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74DC2" w14:textId="77777777" w:rsidR="00935ACF" w:rsidRPr="00190491" w:rsidRDefault="00935ACF" w:rsidP="009E6C5C">
      <w:pPr>
        <w:pStyle w:val="MDPI11articletype"/>
        <w:rPr>
          <w:lang w:val="en-GB"/>
        </w:rPr>
      </w:pPr>
      <w:r w:rsidRPr="00190491">
        <w:rPr>
          <w:lang w:val="en-GB"/>
        </w:rPr>
        <w:t>Article</w:t>
      </w:r>
    </w:p>
    <w:p w14:paraId="32DEEB03" w14:textId="77777777" w:rsidR="000A2079" w:rsidRPr="000A2079" w:rsidRDefault="000A2079" w:rsidP="009E6C5C">
      <w:pPr>
        <w:pStyle w:val="MDPI12title"/>
      </w:pPr>
      <w:r w:rsidRPr="000A2079">
        <w:t>Ep</w:t>
      </w:r>
      <w:r>
        <w:t>igenome-wide association study </w:t>
      </w:r>
      <w:r w:rsidRPr="000A2079">
        <w:t xml:space="preserve">reveals duration of breastfeeding is </w:t>
      </w:r>
      <w:r>
        <w:t>associated w</w:t>
      </w:r>
      <w:r w:rsidRPr="000A2079">
        <w:t>ith epigenetic differences in children</w:t>
      </w:r>
    </w:p>
    <w:p w14:paraId="2CEA9C45" w14:textId="77777777" w:rsidR="00935ACF" w:rsidRPr="00190491" w:rsidRDefault="00FF1643" w:rsidP="009E6C5C">
      <w:pPr>
        <w:pStyle w:val="MDPI13authornames"/>
        <w:rPr>
          <w:lang w:val="en-GB"/>
        </w:rPr>
      </w:pPr>
      <w:r w:rsidRPr="009E6C5C">
        <w:rPr>
          <w:lang w:val="en-GB"/>
        </w:rPr>
        <w:t>William B. Sherwood</w:t>
      </w:r>
      <w:r w:rsidRPr="009E6C5C">
        <w:rPr>
          <w:vertAlign w:val="superscript"/>
          <w:lang w:val="en-GB"/>
        </w:rPr>
        <w:t>1,</w:t>
      </w:r>
      <w:r w:rsidRPr="009E6C5C">
        <w:rPr>
          <w:rFonts w:cs="Arial"/>
          <w:sz w:val="23"/>
          <w:szCs w:val="23"/>
          <w:vertAlign w:val="superscript"/>
          <w:lang w:val="en-GB"/>
        </w:rPr>
        <w:t>†</w:t>
      </w:r>
      <w:r w:rsidRPr="009E6C5C">
        <w:rPr>
          <w:lang w:val="en-GB"/>
        </w:rPr>
        <w:t xml:space="preserve">,  </w:t>
      </w:r>
      <w:r w:rsidR="00923561" w:rsidRPr="009E6C5C">
        <w:rPr>
          <w:lang w:val="en-GB"/>
        </w:rPr>
        <w:t>Dilini M. Kothalawala</w:t>
      </w:r>
      <w:r w:rsidR="00923561" w:rsidRPr="009E6C5C">
        <w:rPr>
          <w:vertAlign w:val="superscript"/>
          <w:lang w:val="en-GB"/>
        </w:rPr>
        <w:t>1,2,</w:t>
      </w:r>
      <w:r w:rsidR="00923561" w:rsidRPr="009E6C5C">
        <w:rPr>
          <w:rFonts w:cs="Arial"/>
          <w:sz w:val="23"/>
          <w:szCs w:val="23"/>
          <w:vertAlign w:val="superscript"/>
          <w:lang w:val="en-GB"/>
        </w:rPr>
        <w:t>†</w:t>
      </w:r>
      <w:r w:rsidR="00923561" w:rsidRPr="009E6C5C">
        <w:rPr>
          <w:rFonts w:cs="Arial"/>
          <w:sz w:val="23"/>
          <w:szCs w:val="23"/>
          <w:lang w:val="en-GB"/>
        </w:rPr>
        <w:t>,</w:t>
      </w:r>
      <w:r w:rsidR="000E4A8C" w:rsidRPr="009E6C5C">
        <w:rPr>
          <w:rFonts w:cs="Arial"/>
          <w:sz w:val="23"/>
          <w:szCs w:val="23"/>
          <w:lang w:val="en-GB"/>
        </w:rPr>
        <w:t xml:space="preserve"> </w:t>
      </w:r>
      <w:r w:rsidR="00935ACF" w:rsidRPr="009E6C5C">
        <w:rPr>
          <w:lang w:val="en-GB"/>
        </w:rPr>
        <w:t>Latha Kadalayil</w:t>
      </w:r>
      <w:r w:rsidR="00935ACF" w:rsidRPr="009E6C5C">
        <w:rPr>
          <w:vertAlign w:val="superscript"/>
          <w:lang w:val="en-GB"/>
        </w:rPr>
        <w:t>1</w:t>
      </w:r>
      <w:r w:rsidR="00935ACF" w:rsidRPr="009E6C5C">
        <w:rPr>
          <w:lang w:val="en-GB"/>
        </w:rPr>
        <w:t>, Susan Ewart</w:t>
      </w:r>
      <w:r w:rsidR="00935ACF" w:rsidRPr="009E6C5C">
        <w:rPr>
          <w:vertAlign w:val="superscript"/>
          <w:lang w:val="en-GB"/>
        </w:rPr>
        <w:t>3</w:t>
      </w:r>
      <w:r w:rsidR="00935ACF" w:rsidRPr="009E6C5C">
        <w:rPr>
          <w:lang w:val="en-GB"/>
        </w:rPr>
        <w:t>, Hongmei Zhang</w:t>
      </w:r>
      <w:r w:rsidR="00935ACF" w:rsidRPr="009E6C5C">
        <w:rPr>
          <w:vertAlign w:val="superscript"/>
          <w:lang w:val="en-GB"/>
        </w:rPr>
        <w:t>4</w:t>
      </w:r>
      <w:r w:rsidR="00935ACF" w:rsidRPr="009E6C5C">
        <w:rPr>
          <w:lang w:val="en-GB"/>
        </w:rPr>
        <w:t>, Wilfried Karmaus</w:t>
      </w:r>
      <w:r w:rsidR="00935ACF" w:rsidRPr="009E6C5C">
        <w:rPr>
          <w:vertAlign w:val="superscript"/>
          <w:lang w:val="en-GB"/>
        </w:rPr>
        <w:t>4</w:t>
      </w:r>
      <w:r w:rsidR="00935ACF" w:rsidRPr="009E6C5C">
        <w:rPr>
          <w:lang w:val="en-GB"/>
        </w:rPr>
        <w:t>, S. Hasan Arshad</w:t>
      </w:r>
      <w:r w:rsidR="00935ACF" w:rsidRPr="009E6C5C">
        <w:rPr>
          <w:vertAlign w:val="superscript"/>
          <w:lang w:val="en-GB"/>
        </w:rPr>
        <w:t>2,5,6</w:t>
      </w:r>
      <w:r w:rsidR="00935ACF" w:rsidRPr="009E6C5C">
        <w:rPr>
          <w:lang w:val="en-GB"/>
        </w:rPr>
        <w:t>, John W. Holloway</w:t>
      </w:r>
      <w:r w:rsidR="00935ACF" w:rsidRPr="009E6C5C">
        <w:rPr>
          <w:vertAlign w:val="superscript"/>
          <w:lang w:val="en-GB"/>
        </w:rPr>
        <w:t>1,2</w:t>
      </w:r>
      <w:r w:rsidR="00923561" w:rsidRPr="009E6C5C">
        <w:rPr>
          <w:vertAlign w:val="superscript"/>
          <w:lang w:val="en-GB"/>
        </w:rPr>
        <w:t>,</w:t>
      </w:r>
      <w:r w:rsidR="00923561" w:rsidRPr="009E6C5C">
        <w:rPr>
          <w:rFonts w:cs="Arial"/>
          <w:color w:val="1C1D1E"/>
          <w:sz w:val="21"/>
          <w:szCs w:val="21"/>
          <w:shd w:val="clear" w:color="auto" w:fill="FFFFFF"/>
          <w:lang w:val="en-GB"/>
        </w:rPr>
        <w:t xml:space="preserve"> </w:t>
      </w:r>
      <w:r w:rsidR="00923561" w:rsidRPr="009E6C5C">
        <w:rPr>
          <w:rFonts w:cs="Arial"/>
          <w:color w:val="1C1D1E"/>
          <w:sz w:val="21"/>
          <w:szCs w:val="21"/>
          <w:shd w:val="clear" w:color="auto" w:fill="FFFFFF"/>
          <w:vertAlign w:val="superscript"/>
          <w:lang w:val="en-GB"/>
        </w:rPr>
        <w:t>‡</w:t>
      </w:r>
      <w:r w:rsidR="00935ACF" w:rsidRPr="009E6C5C">
        <w:rPr>
          <w:vertAlign w:val="superscript"/>
          <w:lang w:val="en-GB"/>
        </w:rPr>
        <w:t>,</w:t>
      </w:r>
      <w:r w:rsidR="00935ACF" w:rsidRPr="009E6C5C">
        <w:rPr>
          <w:lang w:val="en-GB"/>
        </w:rPr>
        <w:t>*, Faisal I. Rezwan</w:t>
      </w:r>
      <w:r w:rsidR="00935ACF" w:rsidRPr="009E6C5C">
        <w:rPr>
          <w:vertAlign w:val="superscript"/>
          <w:lang w:val="en-GB"/>
        </w:rPr>
        <w:t>1,7</w:t>
      </w:r>
      <w:r w:rsidR="009E6C5C" w:rsidRPr="009E6C5C">
        <w:rPr>
          <w:lang w:val="en-GB"/>
        </w:rPr>
        <w:t xml:space="preserve"> </w:t>
      </w:r>
      <w:r w:rsidR="00923561" w:rsidRPr="009E6C5C">
        <w:rPr>
          <w:rFonts w:cs="Arial"/>
          <w:color w:val="1C1D1E"/>
          <w:sz w:val="21"/>
          <w:szCs w:val="21"/>
          <w:shd w:val="clear" w:color="auto" w:fill="FFFFFF"/>
          <w:vertAlign w:val="superscript"/>
          <w:lang w:val="en-GB"/>
        </w:rPr>
        <w:t>‡</w:t>
      </w:r>
      <w:r w:rsidR="00935ACF" w:rsidRPr="00190491">
        <w:rPr>
          <w:vertAlign w:val="superscript"/>
          <w:lang w:val="en-GB"/>
        </w:rPr>
        <w:t xml:space="preserve"> </w:t>
      </w:r>
    </w:p>
    <w:p w14:paraId="3F79D62A" w14:textId="36E2943E" w:rsidR="00935ACF" w:rsidRPr="00190491" w:rsidRDefault="00935ACF" w:rsidP="009E6C5C">
      <w:pPr>
        <w:pStyle w:val="MDPI16affiliation"/>
        <w:ind w:left="113" w:firstLine="0"/>
      </w:pPr>
      <w:r w:rsidRPr="00190491">
        <w:rPr>
          <w:vertAlign w:val="superscript"/>
        </w:rPr>
        <w:t>1</w:t>
      </w:r>
      <w:r w:rsidRPr="00190491">
        <w:t xml:space="preserve"> Human Development and Health, Faculty of Medicine, University of Southampton, Southampton, </w:t>
      </w:r>
      <w:r w:rsidR="00461EF6">
        <w:t xml:space="preserve">SO16 6YD, </w:t>
      </w:r>
      <w:r w:rsidRPr="00190491">
        <w:t>UK</w:t>
      </w:r>
    </w:p>
    <w:p w14:paraId="4019CD98" w14:textId="77777777" w:rsidR="00935ACF" w:rsidRPr="005D07D2" w:rsidRDefault="00935ACF" w:rsidP="00461EF6">
      <w:pPr>
        <w:pStyle w:val="MDPI16affiliation"/>
        <w:ind w:left="113" w:firstLine="0"/>
        <w:rPr>
          <w:lang w:val="en-GB"/>
        </w:rPr>
      </w:pPr>
      <w:r w:rsidRPr="00190491">
        <w:rPr>
          <w:vertAlign w:val="superscript"/>
        </w:rPr>
        <w:t>2</w:t>
      </w:r>
      <w:r w:rsidRPr="00190491">
        <w:t xml:space="preserve"> NIHR Southampton Biomedical Research Centre</w:t>
      </w:r>
      <w:r w:rsidR="009902EF">
        <w:t xml:space="preserve">, </w:t>
      </w:r>
      <w:r w:rsidR="00461EF6" w:rsidRPr="00461EF6">
        <w:rPr>
          <w:lang w:val="en-GB"/>
        </w:rPr>
        <w:t>University Hospital Southampton NHS Foundation Trust</w:t>
      </w:r>
      <w:r w:rsidR="009902EF">
        <w:t xml:space="preserve">, Southampton, </w:t>
      </w:r>
      <w:r w:rsidR="00461EF6">
        <w:t xml:space="preserve">SO16 6YD, </w:t>
      </w:r>
      <w:r w:rsidR="009902EF">
        <w:t>UK</w:t>
      </w:r>
      <w:r w:rsidR="00461EF6">
        <w:t xml:space="preserve"> </w:t>
      </w:r>
    </w:p>
    <w:p w14:paraId="38F10CDF" w14:textId="77777777" w:rsidR="00935ACF" w:rsidRPr="00190491" w:rsidRDefault="00935ACF" w:rsidP="009E6C5C">
      <w:pPr>
        <w:pStyle w:val="MDPI16affiliation"/>
        <w:ind w:left="113" w:firstLine="0"/>
      </w:pPr>
      <w:r w:rsidRPr="00190491">
        <w:rPr>
          <w:vertAlign w:val="superscript"/>
        </w:rPr>
        <w:t>3</w:t>
      </w:r>
      <w:r w:rsidRPr="00190491">
        <w:t xml:space="preserve"> College of Veterinary Medicine, Michigan State University, East Lansing, MI, USA</w:t>
      </w:r>
    </w:p>
    <w:p w14:paraId="128799E3" w14:textId="77777777" w:rsidR="00935ACF" w:rsidRPr="00190491" w:rsidRDefault="00935ACF" w:rsidP="009E6C5C">
      <w:pPr>
        <w:pStyle w:val="MDPI16affiliation"/>
        <w:ind w:left="113" w:firstLine="0"/>
      </w:pPr>
      <w:r w:rsidRPr="00190491">
        <w:rPr>
          <w:vertAlign w:val="superscript"/>
        </w:rPr>
        <w:t>4</w:t>
      </w:r>
      <w:r w:rsidRPr="00190491">
        <w:t xml:space="preserve"> Division of Epidemiology, Biostatistics and Environmental Health, School of Public Health, University of Memphis, 236A Robison Hall, Memphis, TN 38152</w:t>
      </w:r>
    </w:p>
    <w:p w14:paraId="772748E4" w14:textId="77777777" w:rsidR="00935ACF" w:rsidRPr="00190491" w:rsidRDefault="00935ACF" w:rsidP="009E6C5C">
      <w:pPr>
        <w:pStyle w:val="MDPI16affiliation"/>
        <w:ind w:left="113" w:firstLine="0"/>
      </w:pPr>
      <w:r w:rsidRPr="00190491">
        <w:rPr>
          <w:vertAlign w:val="superscript"/>
        </w:rPr>
        <w:t>5</w:t>
      </w:r>
      <w:r w:rsidRPr="00190491">
        <w:t xml:space="preserve"> Clinical and Experimental Sciences, Faculty of Medicine, University of Southampton,</w:t>
      </w:r>
      <w:r w:rsidR="00461EF6">
        <w:t xml:space="preserve"> </w:t>
      </w:r>
      <w:r w:rsidR="00461EF6" w:rsidRPr="00190491">
        <w:t>SO16 6YD,</w:t>
      </w:r>
      <w:r w:rsidRPr="00190491">
        <w:t xml:space="preserve"> UK</w:t>
      </w:r>
    </w:p>
    <w:p w14:paraId="39245235" w14:textId="77777777" w:rsidR="00935ACF" w:rsidRPr="00190491" w:rsidRDefault="00935ACF" w:rsidP="009E6C5C">
      <w:pPr>
        <w:pStyle w:val="MDPI16affiliation"/>
        <w:ind w:left="113" w:firstLine="0"/>
      </w:pPr>
      <w:r w:rsidRPr="00190491">
        <w:rPr>
          <w:vertAlign w:val="superscript"/>
        </w:rPr>
        <w:t>6</w:t>
      </w:r>
      <w:r w:rsidRPr="00190491">
        <w:t xml:space="preserve"> The David Hide Asthma and Allergy Research Centre, </w:t>
      </w:r>
      <w:r w:rsidR="00461EF6">
        <w:t xml:space="preserve">St Mary's Hospital, </w:t>
      </w:r>
      <w:r w:rsidRPr="00190491">
        <w:t>Isle of Wight, UK</w:t>
      </w:r>
    </w:p>
    <w:p w14:paraId="41728D00" w14:textId="77777777" w:rsidR="00935ACF" w:rsidRPr="00190491" w:rsidRDefault="00935ACF" w:rsidP="009E6C5C">
      <w:pPr>
        <w:pStyle w:val="MDPI16affiliation"/>
        <w:ind w:left="113" w:firstLine="0"/>
      </w:pPr>
      <w:r w:rsidRPr="00190491">
        <w:rPr>
          <w:vertAlign w:val="superscript"/>
        </w:rPr>
        <w:t>7</w:t>
      </w:r>
      <w:r w:rsidRPr="00190491">
        <w:t xml:space="preserve"> School of Water, Energy and Environment, Cranfield University, Cranfield, Bedfordshire, MK43 0AL, UK</w:t>
      </w:r>
    </w:p>
    <w:p w14:paraId="6298195B" w14:textId="77777777" w:rsidR="00CC62E4" w:rsidRPr="00190491" w:rsidRDefault="00CC62E4" w:rsidP="009E6C5C">
      <w:pPr>
        <w:pStyle w:val="MDPI16affiliation"/>
        <w:ind w:left="113" w:firstLine="0"/>
      </w:pPr>
      <w:r w:rsidRPr="00190491">
        <w:t>† Co</w:t>
      </w:r>
      <w:r w:rsidR="00923561" w:rsidRPr="00190491">
        <w:t>ntributed equally</w:t>
      </w:r>
      <w:r w:rsidR="00B65A36" w:rsidRPr="00190491">
        <w:t xml:space="preserve"> and share </w:t>
      </w:r>
      <w:r w:rsidRPr="00190491">
        <w:t>first author</w:t>
      </w:r>
      <w:r w:rsidR="00B65A36" w:rsidRPr="00190491">
        <w:t>ship</w:t>
      </w:r>
    </w:p>
    <w:p w14:paraId="0011A888" w14:textId="77777777" w:rsidR="00CC62E4" w:rsidRPr="00190491" w:rsidRDefault="00923561" w:rsidP="009E6C5C">
      <w:pPr>
        <w:pStyle w:val="MDPI16affiliation"/>
        <w:ind w:left="113" w:firstLine="0"/>
      </w:pPr>
      <w:r w:rsidRPr="00190491">
        <w:rPr>
          <w:rFonts w:cs="Arial"/>
          <w:color w:val="1C1D1E"/>
          <w:sz w:val="21"/>
          <w:szCs w:val="21"/>
          <w:shd w:val="clear" w:color="auto" w:fill="FFFFFF"/>
          <w:vertAlign w:val="superscript"/>
        </w:rPr>
        <w:t>‡</w:t>
      </w:r>
      <w:r w:rsidR="00CC62E4" w:rsidRPr="00190491">
        <w:t xml:space="preserve"> Co-senior author</w:t>
      </w:r>
    </w:p>
    <w:p w14:paraId="407B0F2C" w14:textId="77777777" w:rsidR="00935ACF" w:rsidRPr="00190491" w:rsidRDefault="00935ACF" w:rsidP="009E6C5C">
      <w:pPr>
        <w:pStyle w:val="MDPI16affiliation"/>
        <w:ind w:left="113" w:firstLine="0"/>
        <w:rPr>
          <w:lang w:val="en-GB"/>
        </w:rPr>
      </w:pPr>
      <w:r w:rsidRPr="00190491">
        <w:rPr>
          <w:b/>
          <w:lang w:val="en-GB"/>
        </w:rPr>
        <w:t>*</w:t>
      </w:r>
      <w:r w:rsidRPr="00190491">
        <w:rPr>
          <w:lang w:val="en-GB"/>
        </w:rPr>
        <w:t xml:space="preserve">Correspondence: </w:t>
      </w:r>
      <w:hyperlink r:id="rId8" w:history="1">
        <w:r w:rsidRPr="00190491">
          <w:rPr>
            <w:rStyle w:val="Hyperlink"/>
            <w:color w:val="auto"/>
            <w:lang w:val="en-GB"/>
          </w:rPr>
          <w:t>J.W.Holloway@soton.ac.uk</w:t>
        </w:r>
      </w:hyperlink>
      <w:r w:rsidRPr="00190491">
        <w:rPr>
          <w:lang w:val="en-GB"/>
        </w:rPr>
        <w:t>; Tel.: +44 (0)23 8120 8758</w:t>
      </w:r>
    </w:p>
    <w:p w14:paraId="4C01D371" w14:textId="77777777" w:rsidR="00811F63" w:rsidRPr="00190491" w:rsidRDefault="00935ACF" w:rsidP="009E6C5C">
      <w:pPr>
        <w:pStyle w:val="MDPI17abstract"/>
        <w:rPr>
          <w:lang w:val="en-GB"/>
        </w:rPr>
      </w:pPr>
      <w:r w:rsidRPr="009E6C5C">
        <w:rPr>
          <w:b/>
          <w:lang w:val="en-GB"/>
        </w:rPr>
        <w:t xml:space="preserve">Abstract: </w:t>
      </w:r>
      <w:r w:rsidR="00811F63" w:rsidRPr="00190491">
        <w:rPr>
          <w:lang w:val="en-GB"/>
        </w:rPr>
        <w:t>Several small studies have shown associations between breastfeeding and genome-wide DNA methylation (DNAm). We performed a comprehensive E</w:t>
      </w:r>
      <w:r w:rsidR="00162230">
        <w:rPr>
          <w:lang w:val="en-GB"/>
        </w:rPr>
        <w:t>pigenome</w:t>
      </w:r>
      <w:r w:rsidR="00574D76">
        <w:rPr>
          <w:lang w:val="en-GB"/>
        </w:rPr>
        <w:t>-w</w:t>
      </w:r>
      <w:r w:rsidR="00162230">
        <w:rPr>
          <w:lang w:val="en-GB"/>
        </w:rPr>
        <w:t xml:space="preserve">ide </w:t>
      </w:r>
      <w:r w:rsidR="00DB4CD8" w:rsidRPr="00190491">
        <w:rPr>
          <w:lang w:val="en-GB"/>
        </w:rPr>
        <w:t>A</w:t>
      </w:r>
      <w:r w:rsidR="00DB4CD8">
        <w:rPr>
          <w:lang w:val="en-GB"/>
        </w:rPr>
        <w:t>ssociation</w:t>
      </w:r>
      <w:r w:rsidR="00162230">
        <w:rPr>
          <w:lang w:val="en-GB"/>
        </w:rPr>
        <w:t xml:space="preserve"> </w:t>
      </w:r>
      <w:r w:rsidR="00811F63" w:rsidRPr="00190491">
        <w:rPr>
          <w:lang w:val="en-GB"/>
        </w:rPr>
        <w:t>S</w:t>
      </w:r>
      <w:r w:rsidR="00162230">
        <w:rPr>
          <w:lang w:val="en-GB"/>
        </w:rPr>
        <w:t>tudy (EWAS)</w:t>
      </w:r>
      <w:r w:rsidR="00811F63" w:rsidRPr="00190491">
        <w:rPr>
          <w:lang w:val="en-GB"/>
        </w:rPr>
        <w:t xml:space="preserve"> to identify associations between breastfeeding and DNAm patterns in childhood.</w:t>
      </w:r>
      <w:r w:rsidR="009E6C5C">
        <w:rPr>
          <w:lang w:val="en-GB"/>
        </w:rPr>
        <w:t xml:space="preserve"> </w:t>
      </w:r>
      <w:r w:rsidR="00811F63" w:rsidRPr="00190491">
        <w:rPr>
          <w:lang w:val="en-GB"/>
        </w:rPr>
        <w:t xml:space="preserve">We analysed DNAm data from the Isle of Wight Birth Cohort at </w:t>
      </w:r>
      <w:r w:rsidR="00923561" w:rsidRPr="00190491">
        <w:rPr>
          <w:lang w:val="en-GB"/>
        </w:rPr>
        <w:t xml:space="preserve">birth, </w:t>
      </w:r>
      <w:r w:rsidR="00811F63" w:rsidRPr="00190491">
        <w:rPr>
          <w:lang w:val="en-GB"/>
        </w:rPr>
        <w:t xml:space="preserve">10, 18 and 26 years. </w:t>
      </w:r>
      <w:r w:rsidR="00F5296E">
        <w:rPr>
          <w:lang w:val="en-GB"/>
        </w:rPr>
        <w:t>Feeding method</w:t>
      </w:r>
      <w:r w:rsidR="00F5296E" w:rsidRPr="00190491">
        <w:rPr>
          <w:lang w:val="en-GB"/>
        </w:rPr>
        <w:t xml:space="preserve"> </w:t>
      </w:r>
      <w:r w:rsidR="00811F63" w:rsidRPr="00190491">
        <w:rPr>
          <w:lang w:val="en-GB"/>
        </w:rPr>
        <w:t xml:space="preserve">was categorized as </w:t>
      </w:r>
      <w:r w:rsidR="00124CB2">
        <w:rPr>
          <w:lang w:val="en-GB"/>
        </w:rPr>
        <w:t>breastfeeding</w:t>
      </w:r>
      <w:r w:rsidR="00811F63" w:rsidRPr="00190491">
        <w:rPr>
          <w:lang w:val="en-GB"/>
        </w:rPr>
        <w:t xml:space="preserve"> duration &gt;3</w:t>
      </w:r>
      <w:r w:rsidR="00D975E5">
        <w:rPr>
          <w:lang w:val="en-GB"/>
        </w:rPr>
        <w:t xml:space="preserve"> </w:t>
      </w:r>
      <w:r w:rsidR="00811F63" w:rsidRPr="00190491">
        <w:rPr>
          <w:lang w:val="en-GB"/>
        </w:rPr>
        <w:t>months and &gt;6</w:t>
      </w:r>
      <w:r w:rsidR="00D975E5">
        <w:rPr>
          <w:lang w:val="en-GB"/>
        </w:rPr>
        <w:t xml:space="preserve"> </w:t>
      </w:r>
      <w:r w:rsidR="00811F63" w:rsidRPr="00190491">
        <w:rPr>
          <w:lang w:val="en-GB"/>
        </w:rPr>
        <w:t>months</w:t>
      </w:r>
      <w:r w:rsidR="00F5296E">
        <w:rPr>
          <w:lang w:val="en-GB"/>
        </w:rPr>
        <w:t>,</w:t>
      </w:r>
      <w:r w:rsidR="00811F63" w:rsidRPr="00190491">
        <w:rPr>
          <w:lang w:val="en-GB"/>
        </w:rPr>
        <w:t xml:space="preserve"> and exclusive breastfeeding</w:t>
      </w:r>
      <w:r w:rsidR="000C0ED5">
        <w:rPr>
          <w:lang w:val="en-GB"/>
        </w:rPr>
        <w:t xml:space="preserve"> </w:t>
      </w:r>
      <w:r w:rsidR="000C0ED5" w:rsidRPr="00F15476">
        <w:rPr>
          <w:lang w:val="en-GB"/>
        </w:rPr>
        <w:t>duration</w:t>
      </w:r>
      <w:r w:rsidR="00811F63" w:rsidRPr="00F15476">
        <w:rPr>
          <w:lang w:val="en-GB"/>
        </w:rPr>
        <w:t xml:space="preserve"> &gt;3</w:t>
      </w:r>
      <w:r w:rsidR="00D975E5">
        <w:rPr>
          <w:lang w:val="en-GB"/>
        </w:rPr>
        <w:t xml:space="preserve"> </w:t>
      </w:r>
      <w:r w:rsidR="00811F63" w:rsidRPr="00190491">
        <w:rPr>
          <w:lang w:val="en-GB"/>
        </w:rPr>
        <w:t xml:space="preserve">months. EWASs using robust linear regression were performed to identify differentially methylated positions (DMPs) in breastfed and non-breastfed children at age 10 </w:t>
      </w:r>
      <w:r w:rsidR="00923561" w:rsidRPr="00190491">
        <w:rPr>
          <w:lang w:val="en-GB"/>
        </w:rPr>
        <w:t>(</w:t>
      </w:r>
      <w:r w:rsidR="00811F63" w:rsidRPr="00190491">
        <w:rPr>
          <w:lang w:val="en-GB"/>
        </w:rPr>
        <w:t>false discovery rate of 5%</w:t>
      </w:r>
      <w:r w:rsidR="00923561" w:rsidRPr="00190491">
        <w:rPr>
          <w:lang w:val="en-GB"/>
        </w:rPr>
        <w:t>)</w:t>
      </w:r>
      <w:r w:rsidR="00811F63" w:rsidRPr="00190491">
        <w:rPr>
          <w:lang w:val="en-GB"/>
        </w:rPr>
        <w:t>. Differentially methylated regions (DMRs) were identified using comb-p. The persistence of significant associat</w:t>
      </w:r>
      <w:r w:rsidR="00382225">
        <w:rPr>
          <w:lang w:val="en-GB"/>
        </w:rPr>
        <w:t>ion</w:t>
      </w:r>
      <w:r w:rsidR="00811F63" w:rsidRPr="00190491">
        <w:rPr>
          <w:lang w:val="en-GB"/>
        </w:rPr>
        <w:t xml:space="preserve">s was evaluated in neonates and individuals at 18 and 26 years. Two </w:t>
      </w:r>
      <w:r w:rsidR="00F95980">
        <w:rPr>
          <w:lang w:val="en-GB"/>
        </w:rPr>
        <w:t>DMPs</w:t>
      </w:r>
      <w:r w:rsidR="00811F63" w:rsidRPr="00190491">
        <w:rPr>
          <w:lang w:val="en-GB"/>
        </w:rPr>
        <w:t xml:space="preserve"> </w:t>
      </w:r>
      <w:r w:rsidR="00162230">
        <w:rPr>
          <w:lang w:val="en-GB"/>
        </w:rPr>
        <w:t>in</w:t>
      </w:r>
      <w:r w:rsidR="00725060">
        <w:rPr>
          <w:lang w:val="en-GB"/>
        </w:rPr>
        <w:t xml:space="preserve"> genes</w:t>
      </w:r>
      <w:r w:rsidR="00162230">
        <w:rPr>
          <w:lang w:val="en-GB"/>
        </w:rPr>
        <w:t xml:space="preserve"> </w:t>
      </w:r>
      <w:r w:rsidR="00811F63" w:rsidRPr="005D573F">
        <w:rPr>
          <w:i/>
          <w:lang w:val="en-GB"/>
        </w:rPr>
        <w:t>S</w:t>
      </w:r>
      <w:r w:rsidR="00991D93">
        <w:rPr>
          <w:i/>
          <w:lang w:val="en-GB"/>
        </w:rPr>
        <w:t>N</w:t>
      </w:r>
      <w:r w:rsidR="00811F63" w:rsidRPr="005D573F">
        <w:rPr>
          <w:i/>
          <w:lang w:val="en-GB"/>
        </w:rPr>
        <w:t>X25</w:t>
      </w:r>
      <w:r w:rsidR="00811F63" w:rsidRPr="00190491">
        <w:rPr>
          <w:lang w:val="en-GB"/>
        </w:rPr>
        <w:t xml:space="preserve"> and </w:t>
      </w:r>
      <w:r w:rsidR="00811F63" w:rsidRPr="005D573F">
        <w:rPr>
          <w:i/>
          <w:lang w:val="en-GB"/>
        </w:rPr>
        <w:t>LINC00840</w:t>
      </w:r>
      <w:r w:rsidR="00811F63" w:rsidRPr="00190491">
        <w:rPr>
          <w:lang w:val="en-GB"/>
        </w:rPr>
        <w:t xml:space="preserve">, were </w:t>
      </w:r>
      <w:r w:rsidR="00162230" w:rsidRPr="00190491">
        <w:rPr>
          <w:lang w:val="en-GB"/>
        </w:rPr>
        <w:t xml:space="preserve">significantly associated </w:t>
      </w:r>
      <w:r w:rsidR="00162230">
        <w:rPr>
          <w:lang w:val="en-GB"/>
        </w:rPr>
        <w:t>with</w:t>
      </w:r>
      <w:r w:rsidR="00811F63" w:rsidRPr="00190491">
        <w:rPr>
          <w:lang w:val="en-GB"/>
        </w:rPr>
        <w:t xml:space="preserve"> breastfeeding dur</w:t>
      </w:r>
      <w:r w:rsidR="00923561" w:rsidRPr="00190491">
        <w:rPr>
          <w:lang w:val="en-GB"/>
        </w:rPr>
        <w:t>ation</w:t>
      </w:r>
      <w:r w:rsidR="00811F63" w:rsidRPr="00190491">
        <w:rPr>
          <w:lang w:val="en-GB"/>
        </w:rPr>
        <w:t xml:space="preserve"> &gt;6</w:t>
      </w:r>
      <w:r w:rsidR="00D975E5">
        <w:rPr>
          <w:lang w:val="en-GB"/>
        </w:rPr>
        <w:t xml:space="preserve"> </w:t>
      </w:r>
      <w:r w:rsidR="00811F63" w:rsidRPr="00190491">
        <w:rPr>
          <w:lang w:val="en-GB"/>
        </w:rPr>
        <w:t xml:space="preserve">months </w:t>
      </w:r>
      <w:r w:rsidR="00162230">
        <w:rPr>
          <w:lang w:val="en-GB"/>
        </w:rPr>
        <w:t xml:space="preserve">at 10 years </w:t>
      </w:r>
      <w:r w:rsidR="00811F63" w:rsidRPr="00190491">
        <w:rPr>
          <w:lang w:val="en-GB"/>
        </w:rPr>
        <w:t>and was replicated for &gt;3</w:t>
      </w:r>
      <w:r w:rsidR="00D975E5">
        <w:rPr>
          <w:lang w:val="en-GB"/>
        </w:rPr>
        <w:t xml:space="preserve"> </w:t>
      </w:r>
      <w:r w:rsidR="00811F63" w:rsidRPr="00190491">
        <w:rPr>
          <w:lang w:val="en-GB"/>
        </w:rPr>
        <w:t xml:space="preserve">months of exclusive breastfeeding. </w:t>
      </w:r>
      <w:r w:rsidR="00923561" w:rsidRPr="00190491">
        <w:rPr>
          <w:lang w:val="en-GB"/>
        </w:rPr>
        <w:t>Additionally</w:t>
      </w:r>
      <w:r w:rsidR="00811F63" w:rsidRPr="00190491">
        <w:rPr>
          <w:lang w:val="en-GB"/>
        </w:rPr>
        <w:t>, a significant DMR spanning</w:t>
      </w:r>
      <w:r w:rsidR="00725060">
        <w:rPr>
          <w:lang w:val="en-GB"/>
        </w:rPr>
        <w:t xml:space="preserve"> </w:t>
      </w:r>
      <w:r w:rsidR="006221C0">
        <w:rPr>
          <w:lang w:val="en-GB"/>
        </w:rPr>
        <w:t xml:space="preserve">the </w:t>
      </w:r>
      <w:r w:rsidR="00725060">
        <w:rPr>
          <w:lang w:val="en-GB"/>
        </w:rPr>
        <w:t>gene</w:t>
      </w:r>
      <w:r w:rsidR="00811F63" w:rsidRPr="00190491">
        <w:rPr>
          <w:lang w:val="en-GB"/>
        </w:rPr>
        <w:t xml:space="preserve"> </w:t>
      </w:r>
      <w:r w:rsidR="00811F63" w:rsidRPr="006221C0">
        <w:rPr>
          <w:i/>
          <w:lang w:val="en-GB"/>
        </w:rPr>
        <w:t>FDFT1</w:t>
      </w:r>
      <w:r w:rsidR="00811F63" w:rsidRPr="00190491">
        <w:rPr>
          <w:lang w:val="en-GB"/>
        </w:rPr>
        <w:t xml:space="preserve"> was identified in </w:t>
      </w:r>
      <w:r w:rsidR="000445F9" w:rsidRPr="00190491">
        <w:rPr>
          <w:lang w:val="en-GB"/>
        </w:rPr>
        <w:t>10-year-old</w:t>
      </w:r>
      <w:r w:rsidR="00811F63" w:rsidRPr="00190491">
        <w:rPr>
          <w:lang w:val="en-GB"/>
        </w:rPr>
        <w:t xml:space="preserve"> children who were exposed to breastfeeding</w:t>
      </w:r>
      <w:r w:rsidR="00124CB2">
        <w:rPr>
          <w:lang w:val="en-GB"/>
        </w:rPr>
        <w:t xml:space="preserve"> duration</w:t>
      </w:r>
      <w:r w:rsidR="00811F63" w:rsidRPr="00190491">
        <w:rPr>
          <w:lang w:val="en-GB"/>
        </w:rPr>
        <w:t xml:space="preserve"> &gt;3</w:t>
      </w:r>
      <w:r w:rsidR="00D975E5">
        <w:rPr>
          <w:lang w:val="en-GB"/>
        </w:rPr>
        <w:t xml:space="preserve"> </w:t>
      </w:r>
      <w:r w:rsidR="00811F63" w:rsidRPr="00190491">
        <w:rPr>
          <w:lang w:val="en-GB"/>
        </w:rPr>
        <w:t xml:space="preserve">months. None of these signals persisted </w:t>
      </w:r>
      <w:r w:rsidR="00162230">
        <w:rPr>
          <w:lang w:val="en-GB"/>
        </w:rPr>
        <w:t>to</w:t>
      </w:r>
      <w:r w:rsidR="00811F63" w:rsidRPr="00190491">
        <w:rPr>
          <w:lang w:val="en-GB"/>
        </w:rPr>
        <w:t xml:space="preserve"> 18 or 26 years. This study </w:t>
      </w:r>
      <w:r w:rsidR="006221C0">
        <w:rPr>
          <w:lang w:val="en-GB"/>
        </w:rPr>
        <w:t>lends</w:t>
      </w:r>
      <w:r w:rsidR="006221C0" w:rsidRPr="00190491">
        <w:rPr>
          <w:lang w:val="en-GB"/>
        </w:rPr>
        <w:t xml:space="preserve"> </w:t>
      </w:r>
      <w:r w:rsidR="00811F63" w:rsidRPr="00190491">
        <w:rPr>
          <w:lang w:val="en-GB"/>
        </w:rPr>
        <w:t xml:space="preserve">further support </w:t>
      </w:r>
      <w:r w:rsidR="008477E8">
        <w:rPr>
          <w:lang w:val="en-GB"/>
        </w:rPr>
        <w:t>for</w:t>
      </w:r>
      <w:r w:rsidR="008477E8" w:rsidRPr="00190491">
        <w:rPr>
          <w:lang w:val="en-GB"/>
        </w:rPr>
        <w:t xml:space="preserve"> </w:t>
      </w:r>
      <w:r w:rsidR="008477E8">
        <w:rPr>
          <w:lang w:val="en-GB"/>
        </w:rPr>
        <w:t>a</w:t>
      </w:r>
      <w:r w:rsidR="005D573F">
        <w:rPr>
          <w:lang w:val="en-GB"/>
        </w:rPr>
        <w:t xml:space="preserve"> suggestive</w:t>
      </w:r>
      <w:r w:rsidR="008477E8" w:rsidRPr="00190491">
        <w:rPr>
          <w:lang w:val="en-GB"/>
        </w:rPr>
        <w:t xml:space="preserve"> </w:t>
      </w:r>
      <w:r w:rsidR="00811F63" w:rsidRPr="00190491">
        <w:rPr>
          <w:lang w:val="en-GB"/>
        </w:rPr>
        <w:t xml:space="preserve">role </w:t>
      </w:r>
      <w:r w:rsidR="006221C0">
        <w:rPr>
          <w:lang w:val="en-GB"/>
        </w:rPr>
        <w:t>of</w:t>
      </w:r>
      <w:r w:rsidR="006221C0" w:rsidRPr="00190491">
        <w:rPr>
          <w:lang w:val="en-GB"/>
        </w:rPr>
        <w:t xml:space="preserve"> </w:t>
      </w:r>
      <w:r w:rsidR="00811F63" w:rsidRPr="00190491">
        <w:rPr>
          <w:lang w:val="en-GB"/>
        </w:rPr>
        <w:t>DNAm in the known benefits of breastfeeding on a child’s future health.</w:t>
      </w:r>
    </w:p>
    <w:p w14:paraId="7D196FF6" w14:textId="77777777" w:rsidR="00935ACF" w:rsidRPr="00190491" w:rsidRDefault="009E6C5C" w:rsidP="009E6C5C">
      <w:pPr>
        <w:pStyle w:val="MDPI18keywords"/>
        <w:rPr>
          <w:lang w:val="en-GB"/>
        </w:rPr>
      </w:pPr>
      <w:r w:rsidRPr="009E6C5C">
        <w:rPr>
          <w:b/>
          <w:lang w:val="en-GB"/>
        </w:rPr>
        <w:t>Keywords:</w:t>
      </w:r>
      <w:r w:rsidR="00935ACF" w:rsidRPr="009E6C5C">
        <w:rPr>
          <w:b/>
          <w:lang w:val="en-GB"/>
        </w:rPr>
        <w:t xml:space="preserve"> </w:t>
      </w:r>
      <w:r w:rsidR="00935ACF" w:rsidRPr="00190491">
        <w:rPr>
          <w:lang w:val="en-GB"/>
        </w:rPr>
        <w:t>Epigenome-wide association study; EWAS; epigenetics; breastfeeding; breastfeeding duration; DNA methylation</w:t>
      </w:r>
    </w:p>
    <w:p w14:paraId="53E92F5F" w14:textId="77777777" w:rsidR="00143E9F" w:rsidRPr="00190491" w:rsidRDefault="00143E9F" w:rsidP="009E6C5C">
      <w:pPr>
        <w:pBdr>
          <w:bottom w:val="single" w:sz="4" w:space="1" w:color="000000"/>
        </w:pBdr>
        <w:spacing w:after="480"/>
        <w:rPr>
          <w:b/>
          <w:szCs w:val="22"/>
          <w:lang w:bidi="en-US"/>
        </w:rPr>
      </w:pPr>
      <w:r w:rsidRPr="00190491">
        <w:br w:type="page"/>
      </w:r>
    </w:p>
    <w:p w14:paraId="33CB24DB" w14:textId="77777777" w:rsidR="00935ACF" w:rsidRPr="00190491" w:rsidRDefault="009E6C5C" w:rsidP="009E6C5C">
      <w:pPr>
        <w:pStyle w:val="MDPI21heading1"/>
        <w:rPr>
          <w:lang w:val="en-GB"/>
        </w:rPr>
      </w:pPr>
      <w:r>
        <w:rPr>
          <w:lang w:val="en-GB" w:eastAsia="zh-CN"/>
        </w:rPr>
        <w:lastRenderedPageBreak/>
        <w:t xml:space="preserve">1. </w:t>
      </w:r>
      <w:r w:rsidR="00935ACF" w:rsidRPr="00190491">
        <w:rPr>
          <w:lang w:val="en-GB"/>
        </w:rPr>
        <w:t>Introduction</w:t>
      </w:r>
    </w:p>
    <w:p w14:paraId="1351BB21" w14:textId="77777777" w:rsidR="00935ACF" w:rsidRPr="00190491" w:rsidRDefault="00935ACF" w:rsidP="009E6C5C">
      <w:pPr>
        <w:pStyle w:val="MDPI31text"/>
        <w:rPr>
          <w:lang w:val="en-GB"/>
        </w:rPr>
      </w:pPr>
      <w:r w:rsidRPr="00190491">
        <w:rPr>
          <w:lang w:val="en-GB"/>
        </w:rPr>
        <w:t>Early-life exposures are recognised as predictors of future health and development. The importance of diet in early childhood is well established. Breastfeeding is widely regarded as the best source of nutrition for infants</w:t>
      </w:r>
      <w:r w:rsidR="00BB0F15" w:rsidRPr="00190491">
        <w:rPr>
          <w:lang w:val="en-GB"/>
        </w:rPr>
        <w:t xml:space="preserve"> </w:t>
      </w:r>
      <w:r w:rsidR="00BB0F15" w:rsidRPr="00190491">
        <w:rPr>
          <w:lang w:val="en-GB"/>
        </w:rPr>
        <w:fldChar w:fldCharType="begin" w:fldLock="1"/>
      </w:r>
      <w:r w:rsidR="00E6617B">
        <w:rPr>
          <w:lang w:val="en-GB"/>
        </w:rPr>
        <w:instrText>ADDIN CSL_CITATION {"citationItems":[{"id":"ITEM-1","itemData":{"DOI":"10.1177/1010539515624964","ISSN":"1010-5395","abstract":"Breastfeeding has many health benefits, both in the short term and the longer term, to infants and their mothers. There is an increasing number of studies that report on associations between breastfeeding and long-term protection against chronic disease. Recent research evidence is reviewed in this study, building on previous authoritative reviews. The recent World Health Organization reviews of the short- and long-term benefits of breastfeeding concluded that there was strong evidence for many public health benefits of breastfeeding. Cognitive development is improved by breastfeeding, and infants who are breastfed and mothers who breastfeed have lower rates of obesity. Other chronic diseases that are reduced by breastfeeding include diabetes (both type 1 and type 2), obesity, hypertension, cardiovascular disease, hyperlipidemia, and some types of cancer.","author":[{"dropping-particle":"","family":"Binns","given":"Colin","non-dropping-particle":"","parse-names":false,"suffix":""},{"dropping-particle":"","family":"Lee","given":"MiKyung","non-dropping-particle":"","parse-names":false,"suffix":""},{"dropping-particle":"","family":"Low","given":"Wah Yun","non-dropping-particle":"","parse-names":false,"suffix":""}],"container-title":"Asia Pacific Journal of Public Health","id":"ITEM-1","issue":"1","issued":{"date-parts":[["2016","1","1"]]},"note":"doi: 10.1177/1010539515624964","page":"7-14","publisher":"SAGE Publications Inc","title":"The Long-Term Public Health Benefits of Breastfeeding","type":"article-journal","volume":"28"},"uris":["http://www.mendeley.com/documents/?uuid=9aba50b2-4802-364b-b283-7d5a9e3cbc4e"]}],"mendeley":{"formattedCitation":"&lt;span style=\"baseline\"&gt;[1]&lt;/span&gt;","plainTextFormattedCitation":"[1]","previouslyFormattedCitation":"&lt;span style=\"baseline\"&gt;[1]&lt;/span&gt;"},"properties":{"noteIndex":0},"schema":"https://github.com/citation-style-language/schema/raw/master/csl-citation.json"}</w:instrText>
      </w:r>
      <w:r w:rsidR="00BB0F15" w:rsidRPr="00190491">
        <w:rPr>
          <w:lang w:val="en-GB"/>
        </w:rPr>
        <w:fldChar w:fldCharType="separate"/>
      </w:r>
      <w:r w:rsidR="00333D7D" w:rsidRPr="00333D7D">
        <w:rPr>
          <w:noProof/>
          <w:lang w:val="en-GB"/>
        </w:rPr>
        <w:t>[1]</w:t>
      </w:r>
      <w:r w:rsidR="00BB0F15" w:rsidRPr="00190491">
        <w:rPr>
          <w:lang w:val="en-GB"/>
        </w:rPr>
        <w:fldChar w:fldCharType="end"/>
      </w:r>
      <w:r w:rsidRPr="00190491">
        <w:rPr>
          <w:lang w:val="en-GB"/>
        </w:rPr>
        <w:t xml:space="preserve">, with the </w:t>
      </w:r>
      <w:r w:rsidR="001A6F38" w:rsidRPr="00190491">
        <w:rPr>
          <w:lang w:val="en-GB"/>
        </w:rPr>
        <w:t>World Health Organisation (</w:t>
      </w:r>
      <w:r w:rsidRPr="00190491">
        <w:rPr>
          <w:lang w:val="en-GB"/>
        </w:rPr>
        <w:t>WHO</w:t>
      </w:r>
      <w:r w:rsidR="001A6F38" w:rsidRPr="00190491">
        <w:rPr>
          <w:lang w:val="en-GB"/>
        </w:rPr>
        <w:t>)</w:t>
      </w:r>
      <w:r w:rsidRPr="00190491">
        <w:rPr>
          <w:lang w:val="en-GB"/>
        </w:rPr>
        <w:t xml:space="preserve"> recommending exclusive breastfeeding for six months, after which we</w:t>
      </w:r>
      <w:r w:rsidR="00F9481D" w:rsidRPr="00190491">
        <w:rPr>
          <w:lang w:val="en-GB"/>
        </w:rPr>
        <w:t>a</w:t>
      </w:r>
      <w:r w:rsidRPr="00190491">
        <w:rPr>
          <w:lang w:val="en-GB"/>
        </w:rPr>
        <w:t xml:space="preserve">ning </w:t>
      </w:r>
      <w:r w:rsidR="00F5296E">
        <w:rPr>
          <w:lang w:val="en-GB"/>
        </w:rPr>
        <w:t>should</w:t>
      </w:r>
      <w:r w:rsidR="00382225" w:rsidRPr="00190491">
        <w:rPr>
          <w:lang w:val="en-GB"/>
        </w:rPr>
        <w:t xml:space="preserve"> </w:t>
      </w:r>
      <w:r w:rsidRPr="00190491">
        <w:rPr>
          <w:lang w:val="en-GB"/>
        </w:rPr>
        <w:t>occur</w:t>
      </w:r>
      <w:r w:rsidR="00BB0F15" w:rsidRPr="00190491">
        <w:rPr>
          <w:lang w:val="en-GB"/>
        </w:rPr>
        <w:t xml:space="preserve"> </w:t>
      </w:r>
      <w:bookmarkStart w:id="0" w:name="_GoBack"/>
      <w:bookmarkEnd w:id="0"/>
      <w:r w:rsidR="00BB0F15" w:rsidRPr="00190491">
        <w:rPr>
          <w:lang w:val="en-GB"/>
        </w:rPr>
        <w:fldChar w:fldCharType="begin" w:fldLock="1"/>
      </w:r>
      <w:r w:rsidR="00E6617B">
        <w:rPr>
          <w:lang w:val="en-GB"/>
        </w:rPr>
        <w:instrText>ADDIN CSL_CITATION {"citationItems":[{"id":"ITEM-1","itemData":{"author":[{"dropping-particle":"","family":"WHO","given":"","non-dropping-particle":"","parse-names":false,"suffix":""}],"id":"ITEM-1","issued":{"date-parts":[["2013"]]},"publisher":"World Health Organization","title":"Essential Nutrition Actions: improving maternal, newborn, infant and young child health and nutrition","type":"article"},"uris":["http://www.mendeley.com/documents/?uuid=3d36a58a-9f5b-4c21-beb9-e23b0ff233ce"]}],"mendeley":{"formattedCitation":"&lt;span style=\"baseline\"&gt;[2]&lt;/span&gt;","plainTextFormattedCitation":"[2]","previouslyFormattedCitation":"&lt;span style=\"baseline\"&gt;[2]&lt;/span&gt;"},"properties":{"noteIndex":0},"schema":"https://github.com/citation-style-language/schema/raw/master/csl-citation.json"}</w:instrText>
      </w:r>
      <w:r w:rsidR="00BB0F15" w:rsidRPr="00190491">
        <w:rPr>
          <w:lang w:val="en-GB"/>
        </w:rPr>
        <w:fldChar w:fldCharType="separate"/>
      </w:r>
      <w:r w:rsidR="00333D7D" w:rsidRPr="00333D7D">
        <w:rPr>
          <w:noProof/>
          <w:lang w:val="en-GB"/>
        </w:rPr>
        <w:t>[2]</w:t>
      </w:r>
      <w:r w:rsidR="00BB0F15" w:rsidRPr="00190491">
        <w:rPr>
          <w:lang w:val="en-GB"/>
        </w:rPr>
        <w:fldChar w:fldCharType="end"/>
      </w:r>
      <w:r w:rsidRPr="00190491">
        <w:rPr>
          <w:lang w:val="en-GB"/>
        </w:rPr>
        <w:t xml:space="preserve">. Continued breastfeeding alongside complementary foods until two years of age is considered to offer further benefit.  </w:t>
      </w:r>
    </w:p>
    <w:p w14:paraId="4184A519" w14:textId="77777777" w:rsidR="00935ACF" w:rsidRPr="00190491" w:rsidRDefault="00935ACF" w:rsidP="009E6C5C">
      <w:pPr>
        <w:pStyle w:val="MDPI31text"/>
        <w:rPr>
          <w:lang w:val="en-GB"/>
        </w:rPr>
      </w:pPr>
      <w:r w:rsidRPr="00190491">
        <w:rPr>
          <w:lang w:val="en-GB"/>
        </w:rPr>
        <w:t>The short and long-term health advantages of breastfeeding have been clearly demonstrated</w:t>
      </w:r>
      <w:r w:rsidR="001A6F38" w:rsidRPr="00190491">
        <w:rPr>
          <w:lang w:val="en-GB"/>
        </w:rPr>
        <w:t>,</w:t>
      </w:r>
      <w:r w:rsidRPr="00190491">
        <w:rPr>
          <w:lang w:val="en-GB"/>
        </w:rPr>
        <w:t xml:space="preserve"> including </w:t>
      </w:r>
      <w:r w:rsidR="00973683" w:rsidRPr="00190491">
        <w:rPr>
          <w:lang w:val="en-GB"/>
        </w:rPr>
        <w:t>reduction in</w:t>
      </w:r>
      <w:r w:rsidRPr="00190491">
        <w:rPr>
          <w:lang w:val="en-GB"/>
        </w:rPr>
        <w:t xml:space="preserve"> </w:t>
      </w:r>
      <w:r w:rsidR="007C3218" w:rsidRPr="00190491">
        <w:rPr>
          <w:lang w:val="en-GB"/>
        </w:rPr>
        <w:t xml:space="preserve">the </w:t>
      </w:r>
      <w:r w:rsidRPr="00190491">
        <w:rPr>
          <w:lang w:val="en-GB"/>
        </w:rPr>
        <w:t>risk of all-cause mortality</w:t>
      </w:r>
      <w:r w:rsidR="00BB0F15" w:rsidRPr="00190491">
        <w:rPr>
          <w:lang w:val="en-GB"/>
        </w:rPr>
        <w:t xml:space="preserve"> </w:t>
      </w:r>
      <w:r w:rsidR="00BB0F15" w:rsidRPr="00190491">
        <w:rPr>
          <w:lang w:val="en-GB"/>
        </w:rPr>
        <w:fldChar w:fldCharType="begin" w:fldLock="1"/>
      </w:r>
      <w:r w:rsidR="00E6617B">
        <w:rPr>
          <w:lang w:val="en-GB"/>
        </w:rPr>
        <w:instrText>ADDIN CSL_CITATION {"citationItems":[{"id":"ITEM-1","itemData":{"DOI":"10.1111/apa.13147","author":[{"dropping-particle":"","family":"Sankar","given":"Mari Jeeva","non-dropping-particle":"","parse-names":false,"suffix":""},{"dropping-particle":"","family":"Sinha","given":"Bireshwar","non-dropping-particle":"","parse-names":false,"suffix":""},{"dropping-particle":"","family":"Chowdhury","given":"Ranadip","non-dropping-particle":"","parse-names":false,"suffix":""},{"dropping-particle":"","family":"Bhandari","given":"Nita","non-dropping-particle":"","parse-names":false,"suffix":""},{"dropping-particle":"","family":"Taneja","given":"Sunita","non-dropping-particle":"","parse-names":false,"suffix":""},{"dropping-particle":"","family":"Martines","given":"Jose","non-dropping-particle":"","parse-names":false,"suffix":""},{"dropping-particle":"","family":"Bahl","given":"Rajiv","non-dropping-particle":"","parse-names":false,"suffix":""}],"container-title":"Acta Paediatrica","id":"ITEM-1","issued":{"date-parts":[["2015","11"]]},"page":"3–13","title":"Optimal breastfeeding practices and infant and child mortality: a systematic review and meta-analysis","type":"article-journal","volume":"104"},"uris":["http://www.mendeley.com/documents/?uuid=68786419-c2e5-4506-bdaf-33424f82ccd4"]}],"mendeley":{"formattedCitation":"&lt;span style=\"baseline\"&gt;[3]&lt;/span&gt;","plainTextFormattedCitation":"[3]","previouslyFormattedCitation":"&lt;span style=\"baseline\"&gt;[3]&lt;/span&gt;"},"properties":{"noteIndex":0},"schema":"https://github.com/citation-style-language/schema/raw/master/csl-citation.json"}</w:instrText>
      </w:r>
      <w:r w:rsidR="00BB0F15" w:rsidRPr="00190491">
        <w:rPr>
          <w:lang w:val="en-GB"/>
        </w:rPr>
        <w:fldChar w:fldCharType="separate"/>
      </w:r>
      <w:r w:rsidR="00333D7D" w:rsidRPr="00333D7D">
        <w:rPr>
          <w:noProof/>
          <w:lang w:val="en-GB"/>
        </w:rPr>
        <w:t>[3]</w:t>
      </w:r>
      <w:r w:rsidR="00BB0F15" w:rsidRPr="00190491">
        <w:rPr>
          <w:lang w:val="en-GB"/>
        </w:rPr>
        <w:fldChar w:fldCharType="end"/>
      </w:r>
      <w:r w:rsidRPr="00190491">
        <w:rPr>
          <w:lang w:val="en-GB"/>
        </w:rPr>
        <w:t>, respiratory infections</w:t>
      </w:r>
      <w:r w:rsidR="00BB0F15" w:rsidRPr="00190491">
        <w:rPr>
          <w:lang w:val="en-GB"/>
        </w:rPr>
        <w:t xml:space="preserve"> </w:t>
      </w:r>
      <w:r w:rsidR="00BB0F15" w:rsidRPr="00190491">
        <w:rPr>
          <w:lang w:val="en-GB"/>
        </w:rPr>
        <w:fldChar w:fldCharType="begin" w:fldLock="1"/>
      </w:r>
      <w:r w:rsidR="00E6617B">
        <w:rPr>
          <w:lang w:val="en-GB"/>
        </w:rPr>
        <w:instrText>ADDIN CSL_CITATION {"citationItems":[{"id":"ITEM-1","itemData":{"author":[{"dropping-particle":"","family":"Horta","given":"Bernardo","non-dropping-particle":"","parse-names":false,"suffix":""},{"dropping-particle":"","family":"Victora","given":"Cesar G","non-dropping-particle":"","parse-names":false,"suffix":""}],"id":"ITEM-1","issued":{"date-parts":[["2013"]]},"publisher":"World Health Organization","title":"Short-term effects of breastfeeding: a systematic review of the benefits of breastfeeding on diarrhoea and pneumonia mortality.","type":"article"},"uris":["http://www.mendeley.com/documents/?uuid=d9ddb1ef-33b4-4892-a9fb-dc7e87fd4591"]}],"mendeley":{"formattedCitation":"&lt;span style=\"baseline\"&gt;[4]&lt;/span&gt;","plainTextFormattedCitation":"[4]","previouslyFormattedCitation":"&lt;span style=\"baseline\"&gt;[4]&lt;/span&gt;"},"properties":{"noteIndex":0},"schema":"https://github.com/citation-style-language/schema/raw/master/csl-citation.json"}</w:instrText>
      </w:r>
      <w:r w:rsidR="00BB0F15" w:rsidRPr="00190491">
        <w:rPr>
          <w:lang w:val="en-GB"/>
        </w:rPr>
        <w:fldChar w:fldCharType="separate"/>
      </w:r>
      <w:r w:rsidR="00333D7D" w:rsidRPr="00333D7D">
        <w:rPr>
          <w:noProof/>
          <w:lang w:val="en-GB"/>
        </w:rPr>
        <w:t>[4]</w:t>
      </w:r>
      <w:r w:rsidR="00BB0F15" w:rsidRPr="00190491">
        <w:rPr>
          <w:lang w:val="en-GB"/>
        </w:rPr>
        <w:fldChar w:fldCharType="end"/>
      </w:r>
      <w:r w:rsidRPr="00190491">
        <w:rPr>
          <w:lang w:val="en-GB"/>
        </w:rPr>
        <w:t>, childhood obesity</w:t>
      </w:r>
      <w:r w:rsidR="00BB0F15" w:rsidRPr="00190491">
        <w:rPr>
          <w:lang w:val="en-GB"/>
        </w:rPr>
        <w:t xml:space="preserve"> </w:t>
      </w:r>
      <w:r w:rsidR="00BB0F15" w:rsidRPr="00190491">
        <w:rPr>
          <w:lang w:val="en-GB"/>
        </w:rPr>
        <w:fldChar w:fldCharType="begin" w:fldLock="1"/>
      </w:r>
      <w:r w:rsidR="00E6617B">
        <w:rPr>
          <w:lang w:val="en-GB"/>
        </w:rPr>
        <w:instrText>ADDIN CSL_CITATION {"citationItems":[{"id":"ITEM-1","itemData":{"DOI":"10.1017/s2040174415001257","author":[{"dropping-particle":"","family":"Robinson","given":"S. M.","non-dropping-particle":"","parse-names":false,"suffix":""}],"container-title":"Journal of Developmental Origins of Health and Disease","id":"ITEM-1","issue":"05","issued":{"date-parts":[["2015","6"]]},"page":"384–389","title":"Infant nutrition and lifelong health: current perspectives and future challenges","type":"article-journal","volume":"6"},"uris":["http://www.mendeley.com/documents/?uuid=8fed3299-378f-4b4b-b8e5-d4aab9ec2d89"]}],"mendeley":{"formattedCitation":"&lt;span style=\"baseline\"&gt;[5]&lt;/span&gt;","plainTextFormattedCitation":"[5]","previouslyFormattedCitation":"&lt;span style=\"baseline\"&gt;[5]&lt;/span&gt;"},"properties":{"noteIndex":0},"schema":"https://github.com/citation-style-language/schema/raw/master/csl-citation.json"}</w:instrText>
      </w:r>
      <w:r w:rsidR="00BB0F15" w:rsidRPr="00190491">
        <w:rPr>
          <w:lang w:val="en-GB"/>
        </w:rPr>
        <w:fldChar w:fldCharType="separate"/>
      </w:r>
      <w:r w:rsidR="00333D7D" w:rsidRPr="00333D7D">
        <w:rPr>
          <w:noProof/>
          <w:lang w:val="en-GB"/>
        </w:rPr>
        <w:t>[5]</w:t>
      </w:r>
      <w:r w:rsidR="00BB0F15" w:rsidRPr="00190491">
        <w:rPr>
          <w:lang w:val="en-GB"/>
        </w:rPr>
        <w:fldChar w:fldCharType="end"/>
      </w:r>
      <w:r w:rsidRPr="00190491">
        <w:rPr>
          <w:lang w:val="en-GB"/>
        </w:rPr>
        <w:t xml:space="preserve">, type-2 diabetes </w:t>
      </w:r>
      <w:r w:rsidR="00BB0F15" w:rsidRPr="00190491">
        <w:rPr>
          <w:lang w:val="en-GB"/>
        </w:rPr>
        <w:fldChar w:fldCharType="begin" w:fldLock="1"/>
      </w:r>
      <w:r w:rsidR="00E6617B">
        <w:rPr>
          <w:lang w:val="en-GB"/>
        </w:rPr>
        <w:instrText>ADDIN CSL_CITATION {"citationItems":[{"id":"ITEM-1","itemData":{"DOI":"10.1111/apa.13133","author":[{"dropping-particle":"","family":"Horta","given":"Bernardo L.","non-dropping-particle":"","parse-names":false,"suffix":""},{"dropping-particle":"de","family":"Mola","given":"Christian Loret","non-dropping-particle":"","parse-names":false,"suffix":""},{"dropping-particle":"","family":"Victora","given":"Cesar G.","non-dropping-particle":"","parse-names":false,"suffix":""}],"container-title":"Acta Paediatrica","id":"ITEM-1","issued":{"date-parts":[["2015","11"]]},"page":"30–37","title":"Long-term consequences of breastfeeding on cholesterol, obesity, systolic blood pressure and type 2 diabetes: a systematic review and meta-analysis","type":"article-journal","volume":"104"},"uris":["http://www.mendeley.com/documents/?uuid=6eae2473-81b0-4ff2-99e2-d78228288095"]}],"mendeley":{"formattedCitation":"&lt;span style=\"baseline\"&gt;[6]&lt;/span&gt;","plainTextFormattedCitation":"[6]","previouslyFormattedCitation":"&lt;span style=\"baseline\"&gt;[6]&lt;/span&gt;"},"properties":{"noteIndex":0},"schema":"https://github.com/citation-style-language/schema/raw/master/csl-citation.json"}</w:instrText>
      </w:r>
      <w:r w:rsidR="00BB0F15" w:rsidRPr="00190491">
        <w:rPr>
          <w:lang w:val="en-GB"/>
        </w:rPr>
        <w:fldChar w:fldCharType="separate"/>
      </w:r>
      <w:r w:rsidR="00333D7D" w:rsidRPr="00333D7D">
        <w:rPr>
          <w:noProof/>
          <w:lang w:val="en-GB"/>
        </w:rPr>
        <w:t>[6]</w:t>
      </w:r>
      <w:r w:rsidR="00BB0F15" w:rsidRPr="00190491">
        <w:rPr>
          <w:lang w:val="en-GB"/>
        </w:rPr>
        <w:fldChar w:fldCharType="end"/>
      </w:r>
      <w:r w:rsidR="00BB0F15" w:rsidRPr="00190491">
        <w:rPr>
          <w:lang w:val="en-GB"/>
        </w:rPr>
        <w:t xml:space="preserve"> </w:t>
      </w:r>
      <w:r w:rsidRPr="00190491">
        <w:rPr>
          <w:lang w:val="en-GB"/>
        </w:rPr>
        <w:t>and childhood leukaemia</w:t>
      </w:r>
      <w:r w:rsidR="00BB0F15" w:rsidRPr="00190491">
        <w:rPr>
          <w:lang w:val="en-GB"/>
        </w:rPr>
        <w:t xml:space="preserve"> </w:t>
      </w:r>
      <w:r w:rsidR="00BB0F15" w:rsidRPr="00190491">
        <w:rPr>
          <w:lang w:val="en-GB"/>
        </w:rPr>
        <w:fldChar w:fldCharType="begin" w:fldLock="1"/>
      </w:r>
      <w:r w:rsidR="00E6617B">
        <w:rPr>
          <w:lang w:val="en-GB"/>
        </w:rPr>
        <w:instrText>ADDIN CSL_CITATION {"citationItems":[{"id":"ITEM-1","itemData":{"DOI":"10.1001/jamapediatrics.2015.1025","author":[{"dropping-particle":"","family":"Amitay","given":"Efrat L.","non-dropping-particle":"","parse-names":false,"suffix":""},{"dropping-particle":"","family":"Keinan-Boker","given":"Lital","non-dropping-particle":"","parse-names":false,"suffix":""}],"container-title":"JAMA Pediatrics","id":"ITEM-1","issue":"6","issued":{"date-parts":[["2015","6"]]},"page":"e151025","title":"Breastfeeding and Childhood Leukemia Incidence","type":"article-journal","volume":"169"},"uris":["http://www.mendeley.com/documents/?uuid=2d611aa4-7119-4326-b17e-9e028cb1dcac"]}],"mendeley":{"formattedCitation":"&lt;span style=\"baseline\"&gt;[7]&lt;/span&gt;","plainTextFormattedCitation":"[7]","previouslyFormattedCitation":"&lt;span style=\"baseline\"&gt;[7]&lt;/span&gt;"},"properties":{"noteIndex":0},"schema":"https://github.com/citation-style-language/schema/raw/master/csl-citation.json"}</w:instrText>
      </w:r>
      <w:r w:rsidR="00BB0F15" w:rsidRPr="00190491">
        <w:rPr>
          <w:lang w:val="en-GB"/>
        </w:rPr>
        <w:fldChar w:fldCharType="separate"/>
      </w:r>
      <w:r w:rsidR="00333D7D" w:rsidRPr="00333D7D">
        <w:rPr>
          <w:noProof/>
          <w:lang w:val="en-GB"/>
        </w:rPr>
        <w:t>[7]</w:t>
      </w:r>
      <w:r w:rsidR="00BB0F15" w:rsidRPr="00190491">
        <w:rPr>
          <w:lang w:val="en-GB"/>
        </w:rPr>
        <w:fldChar w:fldCharType="end"/>
      </w:r>
      <w:r w:rsidRPr="00190491">
        <w:rPr>
          <w:lang w:val="en-GB"/>
        </w:rPr>
        <w:t>, though there are some inconsistencies between studies in the context of asthma</w:t>
      </w:r>
      <w:r w:rsidR="00BB0F15" w:rsidRPr="00190491">
        <w:rPr>
          <w:lang w:val="en-GB"/>
        </w:rPr>
        <w:t xml:space="preserve"> </w:t>
      </w:r>
      <w:r w:rsidR="00BB0F15" w:rsidRPr="00190491">
        <w:rPr>
          <w:lang w:val="en-GB"/>
        </w:rPr>
        <w:fldChar w:fldCharType="begin" w:fldLock="1"/>
      </w:r>
      <w:r w:rsidR="00E6617B">
        <w:rPr>
          <w:lang w:val="en-GB"/>
        </w:rPr>
        <w:instrText>ADDIN CSL_CITATION {"citationItems":[{"id":"ITEM-1","itemData":{"DOI":"10.3390/nu10080995","ISSN":"2072-6643","PMID":"30061501","abstract":"Breastfeeding has many established health benefits, but its impact on asthma development is uncertain. Breastfeeding appears to have a positive and dose-dependent impact on respiratory health, particularly during early childhood and in high-risk populations; however, the strength and causality of these associations are unclear. It is challenging to compare results across studies due to methodological differences and biological variation. Resolving these inconsistencies will require well-designed, prospective studies that accurately capture asthma diagnoses and infant feeding exposures (including breastfeeding duration, exclusivity, and method of feeding), account for key confounders, evaluate dose effects, and consider effect modification and reverse causality. Mechanistic studies examining human milk bioactives and their impact on lung health and asthma development are beginning to emerge, and these will be important in establishing the causality and mechanistic basis of the observed associations between breastfeeding and asthma. In this review, we summarize current evidence on this topic, identify possible reasons for disagreement across studies, discuss potential mechanisms for a causal association, and provide recommendations for future research.","author":[{"dropping-particle":"","family":"Miliku","given":"Kozeta","non-dropping-particle":"","parse-names":false,"suffix":""},{"dropping-particle":"","family":"Azad","given":"Meghan B","non-dropping-particle":"","parse-names":false,"suffix":""}],"container-title":"Nutrients","id":"ITEM-1","issue":"8","issued":{"date-parts":[["2018","7","30"]]},"language":"eng","page":"995","publisher":"MDPI","title":"Breastfeeding and the Developmental Origins of Asthma: Current Evidence, Possible Mechanisms, and Future Research Priorities","type":"article-journal","volume":"10"},"uris":["http://www.mendeley.com/documents/?uuid=55e2ecea-fd58-34ae-81c2-6f596393a6d8"]}],"mendeley":{"formattedCitation":"&lt;span style=\"baseline\"&gt;[8]&lt;/span&gt;","plainTextFormattedCitation":"[8]","previouslyFormattedCitation":"&lt;span style=\"baseline\"&gt;[8]&lt;/span&gt;"},"properties":{"noteIndex":0},"schema":"https://github.com/citation-style-language/schema/raw/master/csl-citation.json"}</w:instrText>
      </w:r>
      <w:r w:rsidR="00BB0F15" w:rsidRPr="00190491">
        <w:rPr>
          <w:lang w:val="en-GB"/>
        </w:rPr>
        <w:fldChar w:fldCharType="separate"/>
      </w:r>
      <w:r w:rsidR="00333D7D" w:rsidRPr="00333D7D">
        <w:rPr>
          <w:noProof/>
          <w:lang w:val="en-GB"/>
        </w:rPr>
        <w:t>[8]</w:t>
      </w:r>
      <w:r w:rsidR="00BB0F15" w:rsidRPr="00190491">
        <w:rPr>
          <w:lang w:val="en-GB"/>
        </w:rPr>
        <w:fldChar w:fldCharType="end"/>
      </w:r>
      <w:r w:rsidRPr="00190491">
        <w:rPr>
          <w:lang w:val="en-GB"/>
        </w:rPr>
        <w:t xml:space="preserve">. Specific nutrients and maternal antibodies found in human breastmilk may explain some of </w:t>
      </w:r>
      <w:r w:rsidR="00973683" w:rsidRPr="00190491">
        <w:rPr>
          <w:lang w:val="en-GB"/>
        </w:rPr>
        <w:t xml:space="preserve">these  </w:t>
      </w:r>
      <w:r w:rsidRPr="00190491">
        <w:rPr>
          <w:lang w:val="en-GB"/>
        </w:rPr>
        <w:t>protective effects, particularly its short-term effects</w:t>
      </w:r>
      <w:r w:rsidR="00BB0F15" w:rsidRPr="00190491">
        <w:rPr>
          <w:lang w:val="en-GB"/>
        </w:rPr>
        <w:t xml:space="preserve"> </w:t>
      </w:r>
      <w:r w:rsidR="00BB0F15" w:rsidRPr="00190491">
        <w:rPr>
          <w:lang w:val="en-GB"/>
        </w:rPr>
        <w:fldChar w:fldCharType="begin" w:fldLock="1"/>
      </w:r>
      <w:r w:rsidR="00E6617B">
        <w:rPr>
          <w:lang w:val="en-GB"/>
        </w:rPr>
        <w:instrText>ADDIN CSL_CITATION {"citationItems":[{"id":"ITEM-1","itemData":{"DOI":"10.1016/j.pcl.2012.10.002","ISSN":"1557-8240","abstract":"This article provides an overview of the composition of human milk, its variation, and its clinical relevance. The composition of human milk is the biological norm for infant nutrition. Human milk also contains many hundreds to thousands of distinct bioactive molecules that protect against infection and inflammation and contribute to immune maturation, organ development, and healthy microbial colonization. Some of these molecules (eg, lactoferrin) are being investigated as novel therapeutic agents. Human milk changes in composition from colostrum to late lactation, within feeds, by gestational age, diurnally, and between mothers. Feeding infants with expressed human milk is increasing.","author":[{"dropping-particle":"","family":"Ballard","given":"Olivia","non-dropping-particle":"","parse-names":false,"suffix":""},{"dropping-particle":"","family":"Morrow","given":"Ardythe L.","non-dropping-particle":"","parse-names":false,"suffix":""}],"container-title":"Pediatric Clinics of North America","id":"ITEM-1","issue":"1","issued":{"date-parts":[["2013","2"]]},"language":"eng","page":"49-74","title":"Human milk composition: nutrients and bioactive factors","type":"article-journal","volume":"60"},"uris":["http://www.mendeley.com/documents/?uuid=f228d7ad-3527-4618-aa7a-81bb7d9fc629"]}],"mendeley":{"formattedCitation":"&lt;span style=\"baseline\"&gt;[9]&lt;/span&gt;","plainTextFormattedCitation":"[9]","previouslyFormattedCitation":"&lt;span style=\"baseline\"&gt;[9]&lt;/span&gt;"},"properties":{"noteIndex":0},"schema":"https://github.com/citation-style-language/schema/raw/master/csl-citation.json"}</w:instrText>
      </w:r>
      <w:r w:rsidR="00BB0F15" w:rsidRPr="00190491">
        <w:rPr>
          <w:lang w:val="en-GB"/>
        </w:rPr>
        <w:fldChar w:fldCharType="separate"/>
      </w:r>
      <w:r w:rsidR="00333D7D" w:rsidRPr="00333D7D">
        <w:rPr>
          <w:noProof/>
          <w:lang w:val="en-GB"/>
        </w:rPr>
        <w:t>[9]</w:t>
      </w:r>
      <w:r w:rsidR="00BB0F15" w:rsidRPr="00190491">
        <w:rPr>
          <w:lang w:val="en-GB"/>
        </w:rPr>
        <w:fldChar w:fldCharType="end"/>
      </w:r>
      <w:r w:rsidRPr="00190491">
        <w:rPr>
          <w:lang w:val="en-GB"/>
        </w:rPr>
        <w:t xml:space="preserve">. However, the mechanisms </w:t>
      </w:r>
      <w:r w:rsidR="00973683" w:rsidRPr="00190491">
        <w:rPr>
          <w:lang w:val="en-GB"/>
        </w:rPr>
        <w:t xml:space="preserve">underlying </w:t>
      </w:r>
      <w:r w:rsidRPr="00190491">
        <w:rPr>
          <w:lang w:val="en-GB"/>
        </w:rPr>
        <w:t>the impact of breastfeeding on health throughout childhood</w:t>
      </w:r>
      <w:r w:rsidR="009B11E4" w:rsidRPr="00190491">
        <w:rPr>
          <w:lang w:val="en-GB"/>
        </w:rPr>
        <w:t>,</w:t>
      </w:r>
      <w:r w:rsidRPr="00190491">
        <w:rPr>
          <w:lang w:val="en-GB"/>
        </w:rPr>
        <w:t xml:space="preserve"> and extending into adulthood</w:t>
      </w:r>
      <w:r w:rsidR="009B11E4" w:rsidRPr="00190491">
        <w:rPr>
          <w:lang w:val="en-GB"/>
        </w:rPr>
        <w:t>,</w:t>
      </w:r>
      <w:r w:rsidRPr="00190491">
        <w:rPr>
          <w:lang w:val="en-GB"/>
        </w:rPr>
        <w:t xml:space="preserve"> remain largely unknown</w:t>
      </w:r>
      <w:r w:rsidR="00102302" w:rsidRPr="00190491">
        <w:rPr>
          <w:lang w:val="en-GB"/>
        </w:rPr>
        <w:t xml:space="preserve"> </w:t>
      </w:r>
      <w:r w:rsidR="00102302" w:rsidRPr="00190491">
        <w:rPr>
          <w:lang w:val="en-GB"/>
        </w:rPr>
        <w:fldChar w:fldCharType="begin" w:fldLock="1"/>
      </w:r>
      <w:r w:rsidR="00E6617B">
        <w:rPr>
          <w:lang w:val="en-GB"/>
        </w:rPr>
        <w:instrText>ADDIN CSL_CITATION {"citationItems":[{"id":"ITEM-1","itemData":{"DOI":"10.1016/j.cca.2015.02.021","author":[{"dropping-particle":"","family":"Marincola","given":"Flaminia Cesare","non-dropping-particle":"","parse-names":false,"suffix":""},{"dropping-particle":"","family":"Dessì","given":"Angelica","non-dropping-particle":"","parse-names":false,"suffix":""},{"dropping-particle":"","family":"Corbu","given":"Sara","non-dropping-particle":"","parse-names":false,"suffix":""},{"dropping-particle":"","family":"Reali","given":"Alessandra","non-dropping-particle":"","parse-names":false,"suffix":""},{"dropping-particle":"","family":"Fanos","given":"Vassilios","non-dropping-particle":"","parse-names":false,"suffix":""}],"container-title":"Clinica Chimica Acta","id":"ITEM-1","issued":{"date-parts":[["2015","12"]]},"page":"103–106","title":"Clinical impact of human breast milk metabolomics","type":"article-journal","volume":"451"},"uris":["http://www.mendeley.com/documents/?uuid=b434556a-0105-4487-8964-aa0011199b29"]}],"mendeley":{"formattedCitation":"&lt;span style=\"baseline\"&gt;[10]&lt;/span&gt;","plainTextFormattedCitation":"[10]","previouslyFormattedCitation":"&lt;span style=\"baseline\"&gt;[10]&lt;/span&gt;"},"properties":{"noteIndex":0},"schema":"https://github.com/citation-style-language/schema/raw/master/csl-citation.json"}</w:instrText>
      </w:r>
      <w:r w:rsidR="00102302" w:rsidRPr="00190491">
        <w:rPr>
          <w:lang w:val="en-GB"/>
        </w:rPr>
        <w:fldChar w:fldCharType="separate"/>
      </w:r>
      <w:r w:rsidR="00333D7D" w:rsidRPr="00333D7D">
        <w:rPr>
          <w:noProof/>
          <w:lang w:val="en-GB"/>
        </w:rPr>
        <w:t>[10]</w:t>
      </w:r>
      <w:r w:rsidR="00102302" w:rsidRPr="00190491">
        <w:rPr>
          <w:lang w:val="en-GB"/>
        </w:rPr>
        <w:fldChar w:fldCharType="end"/>
      </w:r>
      <w:r w:rsidRPr="00190491">
        <w:rPr>
          <w:lang w:val="en-GB"/>
        </w:rPr>
        <w:t>. The role of breastfeeding in establishing the infant gut microbiome may be one important mechanism</w:t>
      </w:r>
      <w:r w:rsidR="00102302" w:rsidRPr="00190491">
        <w:rPr>
          <w:lang w:val="en-GB"/>
        </w:rPr>
        <w:t xml:space="preserve"> </w:t>
      </w:r>
      <w:r w:rsidR="00102302" w:rsidRPr="00190491">
        <w:rPr>
          <w:lang w:val="en-GB"/>
        </w:rPr>
        <w:fldChar w:fldCharType="begin" w:fldLock="1"/>
      </w:r>
      <w:r w:rsidR="00E6617B">
        <w:rPr>
          <w:lang w:val="en-GB"/>
        </w:rPr>
        <w:instrText>ADDIN CSL_CITATION {"citationItems":[{"id":"ITEM-1","itemData":{"DOI":"10.1001/jamapediatrics.2017.0378","ISSN":"2168-6203","author":[{"dropping-particle":"","family":"Pannaraj","given":"Pia S.","non-dropping-particle":"","parse-names":false,"suffix":""},{"dropping-particle":"","family":"Li","given":"Fan","non-dropping-particle":"","parse-names":false,"suffix":""},{"dropping-particle":"","family":"Cerini","given":"Chiara","non-dropping-particle":"","parse-names":false,"suffix":""},{"dropping-particle":"","family":"Bender","given":"Jeffrey M.","non-dropping-particle":"","parse-names":false,"suffix":""},{"dropping-particle":"","family":"Yang","given":"Shangxin","non-dropping-particle":"","parse-names":false,"suffix":""},{"dropping-particle":"","family":"Rollie","given":"Adrienne","non-dropping-particle":"","parse-names":false,"suffix":""},{"dropping-particle":"","family":"Adisetiyo","given":"Helty","non-dropping-particle":"","parse-names":false,"suffix":""},{"dropping-particle":"","family":"Zabih","given":"Sara","non-dropping-particle":"","parse-names":false,"suffix":""},{"dropping-particle":"","family":"Lincez","given":"Pamela J.","non-dropping-particle":"","parse-names":false,"suffix":""},{"dropping-particle":"","family":"Bittinger","given":"Kyle","non-dropping-particle":"","parse-names":false,"suffix":""},{"dropping-particle":"","family":"Bailey","given":"Aubrey","non-dropping-particle":"","parse-names":false,"suffix":""},{"dropping-particle":"","family":"Bushman","given":"Frederic D.","non-dropping-particle":"","parse-names":false,"suffix":""},{"dropping-particle":"","family":"Sleasman","given":"John W.","non-dropping-particle":"","parse-names":false,"suffix":""},{"dropping-particle":"","family":"Aldrovandi","given":"Grace M.","non-dropping-particle":"","parse-names":false,"suffix":""}],"container-title":"JAMA Pediatrics","id":"ITEM-1","issue":"7","issued":{"date-parts":[["2017","7"]]},"language":"en","page":"647","title":"Association Between Breast Milk Bacterial Communities and Establishment and Development of the Infant Gut Microbiome","type":"article-journal","volume":"171"},"uris":["http://www.mendeley.com/documents/?uuid=657802e7-f344-4e00-8f30-1e8033381c6c"]}],"mendeley":{"formattedCitation":"&lt;span style=\"baseline\"&gt;[11]&lt;/span&gt;","plainTextFormattedCitation":"[11]","previouslyFormattedCitation":"&lt;span style=\"baseline\"&gt;[11]&lt;/span&gt;"},"properties":{"noteIndex":0},"schema":"https://github.com/citation-style-language/schema/raw/master/csl-citation.json"}</w:instrText>
      </w:r>
      <w:r w:rsidR="00102302" w:rsidRPr="00190491">
        <w:rPr>
          <w:lang w:val="en-GB"/>
        </w:rPr>
        <w:fldChar w:fldCharType="separate"/>
      </w:r>
      <w:r w:rsidR="00333D7D" w:rsidRPr="00333D7D">
        <w:rPr>
          <w:noProof/>
          <w:lang w:val="en-GB"/>
        </w:rPr>
        <w:t>[11]</w:t>
      </w:r>
      <w:r w:rsidR="00102302" w:rsidRPr="00190491">
        <w:rPr>
          <w:lang w:val="en-GB"/>
        </w:rPr>
        <w:fldChar w:fldCharType="end"/>
      </w:r>
      <w:r w:rsidRPr="00190491">
        <w:rPr>
          <w:lang w:val="en-GB"/>
        </w:rPr>
        <w:t>. However, nutritional exposures in adults have shown to elicit epigenetic changes</w:t>
      </w:r>
      <w:r w:rsidR="00102302" w:rsidRPr="00190491">
        <w:rPr>
          <w:lang w:val="en-GB"/>
        </w:rPr>
        <w:t xml:space="preserve"> </w:t>
      </w:r>
      <w:r w:rsidR="00102302" w:rsidRPr="00190491">
        <w:rPr>
          <w:lang w:val="en-GB"/>
        </w:rPr>
        <w:fldChar w:fldCharType="begin" w:fldLock="1"/>
      </w:r>
      <w:r w:rsidR="00E6617B">
        <w:rPr>
          <w:lang w:val="en-GB"/>
        </w:rPr>
        <w:instrText>ADDIN CSL_CITATION {"citationItems":[{"id":"ITEM-1","itemData":{"DOI":"10.1371/journal.pone.0109896","author":[{"dropping-particle":"","family":"Hoile","given":"Samuel P.","non-dropping-particle":"","parse-names":false,"suffix":""},{"dropping-particle":"","family":"Clarke-Harris","given":"Rebecca","non-dropping-particle":"","parse-names":false,"suffix":""},{"dropping-particle":"","family":"Huang","given":"Rae-Chi","non-dropping-particle":"","parse-names":false,"suffix":""},{"dropping-particle":"","family":"Calder","given":"Philip C.","non-dropping-particle":"","parse-names":false,"suffix":""},{"dropping-particle":"","family":"Mori","given":"Trevor A.","non-dropping-particle":"","parse-names":false,"suffix":""},{"dropping-particle":"","family":"Beilin","given":"Lawrence J.","non-dropping-particle":"","parse-names":false,"suffix":""},{"dropping-particle":"","family":"Lillycrop","given":"Karen A.","non-dropping-particle":"","parse-names":false,"suffix":""},{"dropping-particle":"","family":"Burdge","given":"Graham C.","non-dropping-particle":"","parse-names":false,"suffix":""}],"container-title":"PLoS ONE","editor":[{"dropping-particle":"","family":"Schunck","given":"Wolf-Hagen","non-dropping-particle":"","parse-names":false,"suffix":""}],"id":"ITEM-1","issue":"10","issued":{"date-parts":[["2014","10"]]},"page":"e109896","title":"Supplementation with N-3 Long-Chain Polyunsaturated Fatty Acids or Olive Oil in Men and Women with Renal Disease Induces Differential Changes in the DNA Methylation of FADS2 and ELOVL5 in Peripheral Blood Mononuclear Cells","type":"article-journal","volume":"9"},"uris":["http://www.mendeley.com/documents/?uuid=ccd9d1b8-c37f-4b7c-8877-4c1d8a8b5705"]}],"mendeley":{"formattedCitation":"&lt;span style=\"baseline\"&gt;[12]&lt;/span&gt;","plainTextFormattedCitation":"[12]","previouslyFormattedCitation":"&lt;span style=\"baseline\"&gt;[12]&lt;/span&gt;"},"properties":{"noteIndex":0},"schema":"https://github.com/citation-style-language/schema/raw/master/csl-citation.json"}</w:instrText>
      </w:r>
      <w:r w:rsidR="00102302" w:rsidRPr="00190491">
        <w:rPr>
          <w:lang w:val="en-GB"/>
        </w:rPr>
        <w:fldChar w:fldCharType="separate"/>
      </w:r>
      <w:r w:rsidR="00333D7D" w:rsidRPr="00333D7D">
        <w:rPr>
          <w:noProof/>
          <w:lang w:val="en-GB"/>
        </w:rPr>
        <w:t>[12]</w:t>
      </w:r>
      <w:r w:rsidR="00102302" w:rsidRPr="00190491">
        <w:rPr>
          <w:lang w:val="en-GB"/>
        </w:rPr>
        <w:fldChar w:fldCharType="end"/>
      </w:r>
      <w:r w:rsidRPr="00190491">
        <w:rPr>
          <w:lang w:val="en-GB"/>
        </w:rPr>
        <w:t xml:space="preserve">, generating the hypothesis that early life nutrition could </w:t>
      </w:r>
      <w:r w:rsidR="001A6F38" w:rsidRPr="00190491">
        <w:rPr>
          <w:lang w:val="en-GB"/>
        </w:rPr>
        <w:t xml:space="preserve">cause </w:t>
      </w:r>
      <w:r w:rsidRPr="00190491">
        <w:rPr>
          <w:lang w:val="en-GB"/>
        </w:rPr>
        <w:t>long-term effects on health through epigenetic programming</w:t>
      </w:r>
      <w:r w:rsidR="00102302" w:rsidRPr="00190491">
        <w:rPr>
          <w:lang w:val="en-GB"/>
        </w:rPr>
        <w:t xml:space="preserve"> </w:t>
      </w:r>
      <w:r w:rsidR="00102302" w:rsidRPr="00190491">
        <w:rPr>
          <w:lang w:val="en-GB"/>
        </w:rPr>
        <w:fldChar w:fldCharType="begin" w:fldLock="1"/>
      </w:r>
      <w:r w:rsidR="00E6617B">
        <w:rPr>
          <w:lang w:val="en-GB"/>
        </w:rPr>
        <w:instrText>ADDIN CSL_CITATION {"citationItems":[{"id":"ITEM-1","itemData":{"DOI":"10.1017/s0954422411000102","author":[{"dropping-particle":"","family":"Canani","given":"Roberto Berni","non-dropping-particle":"","parse-names":false,"suffix":""},{"dropping-particle":"Di","family":"Costanzo","given":"Margherita","non-dropping-particle":"","parse-names":false,"suffix":""},{"dropping-particle":"","family":"Leone","given":"Ludovica","non-dropping-particle":"","parse-names":false,"suffix":""},{"dropping-particle":"","family":"Bedogni","given":"Giorgio","non-dropping-particle":"","parse-names":false,"suffix":""},{"dropping-particle":"","family":"Brambilla","given":"Paolo","non-dropping-particle":"","parse-names":false,"suffix":""},{"dropping-particle":"","family":"Cianfarani","given":"Stefano","non-dropping-particle":"","parse-names":false,"suffix":""},{"dropping-particle":"","family":"Nobili","given":"Valerio","non-dropping-particle":"","parse-names":false,"suffix":""},{"dropping-particle":"","family":"Pietrobelli","given":"Angelo","non-dropping-particle":"","parse-names":false,"suffix":""},{"dropping-particle":"","family":"Agostoni","given":"Carlo","non-dropping-particle":"","parse-names":false,"suffix":""}],"container-title":"Nutrition Research Reviews","id":"ITEM-1","issue":"02","issued":{"date-parts":[["2011","10"]]},"page":"198–205","title":"Epigenetic mechanisms elicited by nutrition in early life","type":"article-journal","volume":"24"},"uris":["http://www.mendeley.com/documents/?uuid=25167035-fb2c-4e17-bfaa-1b1f21eb0813"]}],"mendeley":{"formattedCitation":"&lt;span style=\"baseline\"&gt;[13]&lt;/span&gt;","plainTextFormattedCitation":"[13]","previouslyFormattedCitation":"&lt;span style=\"baseline\"&gt;[13]&lt;/span&gt;"},"properties":{"noteIndex":0},"schema":"https://github.com/citation-style-language/schema/raw/master/csl-citation.json"}</w:instrText>
      </w:r>
      <w:r w:rsidR="00102302" w:rsidRPr="00190491">
        <w:rPr>
          <w:lang w:val="en-GB"/>
        </w:rPr>
        <w:fldChar w:fldCharType="separate"/>
      </w:r>
      <w:r w:rsidR="00333D7D" w:rsidRPr="00333D7D">
        <w:rPr>
          <w:noProof/>
          <w:lang w:val="en-GB"/>
        </w:rPr>
        <w:t>[13]</w:t>
      </w:r>
      <w:r w:rsidR="00102302" w:rsidRPr="00190491">
        <w:rPr>
          <w:lang w:val="en-GB"/>
        </w:rPr>
        <w:fldChar w:fldCharType="end"/>
      </w:r>
      <w:r w:rsidRPr="00190491">
        <w:rPr>
          <w:lang w:val="en-GB"/>
        </w:rPr>
        <w:t>. Long-lasting changes to human DNA methylation (DNAm) profiles have shown to be associated with early nutritional exposures</w:t>
      </w:r>
      <w:r w:rsidR="00102302" w:rsidRPr="00190491">
        <w:rPr>
          <w:lang w:val="en-GB"/>
        </w:rPr>
        <w:t xml:space="preserve"> </w:t>
      </w:r>
      <w:r w:rsidR="00102302" w:rsidRPr="00190491">
        <w:rPr>
          <w:lang w:val="en-GB"/>
        </w:rPr>
        <w:fldChar w:fldCharType="begin" w:fldLock="1"/>
      </w:r>
      <w:r w:rsidR="00E6617B">
        <w:rPr>
          <w:lang w:val="en-GB"/>
        </w:rPr>
        <w:instrText>ADDIN CSL_CITATION {"citationItems":[{"id":"ITEM-1","itemData":{"DOI":"10.3945/an.110.1004","author":[{"dropping-particle":"","family":"Choi","given":"Sang-Woon","non-dropping-particle":"","parse-names":false,"suffix":""},{"dropping-particle":"","family":"Friso","given":"Simonetta","non-dropping-particle":"","parse-names":false,"suffix":""}],"container-title":"Advances in Nutrition","id":"ITEM-1","issue":"1","issued":{"date-parts":[["2010","10"]]},"page":"8–16","title":"Epigenetics: A New Bridge between Nutrition and Health","type":"article-journal","volume":"1"},"uris":["http://www.mendeley.com/documents/?uuid=30d794ef-8a57-4d85-8c0c-7deda6cf57b8"]},{"id":"ITEM-2","itemData":{"DOI":"10.1016/j.biopsych.2016.03.2100","author":[{"dropping-particle":"","family":"Peter","given":"Cyril J.","non-dropping-particle":"","parse-names":false,"suffix":""},{"dropping-particle":"","family":"Fischer","given":"Laura K.","non-dropping-particle":"","parse-names":false,"suffix":""},{"dropping-particle":"","family":"Kundakovic","given":"Marija","non-dropping-particle":"","parse-names":false,"suffix":""},{"dropping-particle":"","family":"Garg","given":"Paras","non-dropping-particle":"","parse-names":false,"suffix":""},{"dropping-particle":"","family":"Jakovcevski","given":"Mira","non-dropping-particle":"","parse-names":false,"suffix":""},{"dropping-particle":"","family":"Dincer","given":"Aslihan","non-dropping-particle":"","parse-names":false,"suffix":""},{"dropping-particle":"","family":"Amaral","given":"Ana C.","non-dropping-particle":"","parse-names":false,"suffix":""},{"dropping-particle":"","family":"Ginns","given":"Edward I.","non-dropping-particle":"","parse-names":false,"suffix":""},{"dropping-particle":"","family":"Galdzicka","given":"Marzena","non-dropping-particle":"","parse-names":false,"suffix":""},{"dropping-particle":"","family":"Bryce","given":"Cyralene P.","non-dropping-particle":"","parse-names":false,"suffix":""},{"dropping-particle":"","family":"Ratner","given":"Chana","non-dropping-particle":"","parse-names":false,"suffix":""},{"dropping-particle":"","family":"Waber","given":"Deborah P.","non-dropping-particle":"","parse-names":false,"suffix":""},{"dropping-particle":"","family":"Mokler","given":"David","non-dropping-particle":"","parse-names":false,"suffix":""},{"dropping-particle":"","family":"Medford","given":"Gayle","non-dropping-particle":"","parse-names":false,"suffix":""},{"dropping-particle":"","family":"Champagne","given":"Frances A.","non-dropping-particle":"","parse-names":false,"suffix":""},{"dropping-particle":"","family":"Rosene","given":"Douglas L.","non-dropping-particle":"","parse-names":false,"suffix":""},{"dropping-particle":"","family":"McGaughy","given":"Jill A.","non-dropping-particle":"","parse-names":false,"suffix":""},{"dropping-particle":"","family":"Sharp","given":"Andrew J.","non-dropping-particle":"","parse-names":false,"suffix":""},{"dropping-particle":"","family":"Galler","given":"Janina R.","non-dropping-particle":"","parse-names":false,"suffix":""},{"dropping-particle":"","family":"Akbarian","given":"Schahram","non-dropping-particle":"","parse-names":false,"suffix":""}],"container-title":"Biological Psychiatry","id":"ITEM-2","issue":"10","issued":{"date-parts":[["2016","11"]]},"page":"765–774","title":"DNA Methylation Signatures of Early Childhood Malnutrition Associated With Impairments in Attention and Cognition","type":"article-journal","volume":"80"},"uris":["http://www.mendeley.com/documents/?uuid=909fe1ee-f82f-4968-b628-5112f16a2e8d"]},{"id":"ITEM-3","itemData":{"DOI":"10.1038/s41598-019-38738-w","ISSN":"2045-2322","PMID":"30808949","abstract":"Epigenetic mechanisms could drive the disease course of cow's milk allergy (CMA) and formula choice could modulate these pathways. We compared the effect of two different dietary approaches on epigenetic mechanisms in CMA children. Randomized controlled trial on IgE-mediated CMA children receiving a 12-month treatment with extensively hydrolyzed casein formula containing the probiotic L.rhamnosus GG (EHCF + LGG) or with soy formula (SF). At the baseline, after 6 and 12 months of treatment FoxP3 methylation rate and its expression in CD4(+) T cells were assessed. At same study points IL-4, IL-5, IL-10, and IFN-γ methylation rate, expression and serum concentration, miRNAs expression were also investigated. 20 children (10/group) were evaluated. Baseline demographic, clinical and epigenetic features were similar in the two study groups. At 6 and 12 months, EHCF + LGG group showed a significant increase in FoxP3 demethylation rate compared to SF group. At the same study points, EHCF + LGG group presented a higher increase in IL-4 and IL-5 and a higher reduction in IL-10 and IFN-γ DNA methylation rate compared to SF group. A different modulation of miR-155, -146a, -128 and -193a expression was observed in EHCF + LGG vs. SF. Dietary intervention could exert a different epigenetic modulation on the immune system in CMA children.","author":[{"dropping-particle":"","family":"Paparo","given":"Lorella","non-dropping-particle":"","parse-names":false,"suffix":""},{"dropping-particle":"","family":"Nocerino","given":"Rita","non-dropping-particle":"","parse-names":false,"suffix":""},{"dropping-particle":"","family":"Bruno","given":"Cristina","non-dropping-particle":"","parse-names":false,"suffix":""},{"dropping-particle":"","family":"Scala","given":"Carmen","non-dropping-particle":"Di","parse-names":false,"suffix":""},{"dropping-particle":"","family":"Cosenza","given":"Linda","non-dropping-particle":"","parse-names":false,"suffix":""},{"dropping-particle":"","family":"Bedogni","given":"Giorgio","non-dropping-particle":"","parse-names":false,"suffix":""},{"dropping-particle":"","family":"Costanzo","given":"Margherita","non-dropping-particle":"Di","parse-names":false,"suffix":""},{"dropping-particle":"","family":"Mennini","given":"Maurizio","non-dropping-particle":"","parse-names":false,"suffix":""},{"dropping-particle":"","family":"D'Argenio","given":"Valeria","non-dropping-particle":"","parse-names":false,"suffix":""},{"dropping-particle":"","family":"Salvatore","given":"Francesco","non-dropping-particle":"","parse-names":false,"suffix":""},{"dropping-particle":"","family":"Berni Canani","given":"Roberto","non-dropping-particle":"","parse-names":false,"suffix":""}],"container-title":"Scientific reports","id":"ITEM-3","issue":"1","issued":{"date-parts":[["2019","2","26"]]},"language":"eng","page":"2828","publisher":"Nature Publishing Group UK","title":"Randomized controlled trial on the influence of dietary intervention on epigenetic mechanisms in children with cow's milk allergy: the EPICMA study","type":"article-journal","volume":"9"},"uris":["http://www.mendeley.com/documents/?uuid=e3d682a0-9349-3987-be16-2dc92e3c7961"]}],"mendeley":{"formattedCitation":"&lt;span style=\"baseline\"&gt;[14–16]&lt;/span&gt;","manualFormatting":"[14-16]","plainTextFormattedCitation":"[14–16]","previouslyFormattedCitation":"&lt;span style=\"baseline\"&gt;[14–16]&lt;/span&gt;"},"properties":{"noteIndex":0},"schema":"https://github.com/citation-style-language/schema/raw/master/csl-citation.json"}</w:instrText>
      </w:r>
      <w:r w:rsidR="00102302" w:rsidRPr="00190491">
        <w:rPr>
          <w:lang w:val="en-GB"/>
        </w:rPr>
        <w:fldChar w:fldCharType="separate"/>
      </w:r>
      <w:r w:rsidR="001F7A59" w:rsidRPr="00190491">
        <w:rPr>
          <w:noProof/>
          <w:lang w:val="en-GB"/>
        </w:rPr>
        <w:t>[14</w:t>
      </w:r>
      <w:r w:rsidR="00A64E89" w:rsidRPr="00190491">
        <w:rPr>
          <w:noProof/>
          <w:lang w:val="en-GB"/>
        </w:rPr>
        <w:t>-</w:t>
      </w:r>
      <w:r w:rsidR="001F7A59" w:rsidRPr="00190491">
        <w:rPr>
          <w:noProof/>
          <w:lang w:val="en-GB"/>
        </w:rPr>
        <w:t>16]</w:t>
      </w:r>
      <w:r w:rsidR="00102302" w:rsidRPr="00190491">
        <w:rPr>
          <w:lang w:val="en-GB"/>
        </w:rPr>
        <w:fldChar w:fldCharType="end"/>
      </w:r>
      <w:r w:rsidRPr="00190491">
        <w:rPr>
          <w:lang w:val="en-GB"/>
        </w:rPr>
        <w:t>. As such, epigenetic processes have been proposed as a mechanism behind the long-term effects of breastfeeding</w:t>
      </w:r>
      <w:r w:rsidR="00102302" w:rsidRPr="00190491">
        <w:rPr>
          <w:lang w:val="en-GB"/>
        </w:rPr>
        <w:t xml:space="preserve"> </w:t>
      </w:r>
      <w:r w:rsidR="00102302" w:rsidRPr="00190491">
        <w:rPr>
          <w:lang w:val="en-GB"/>
        </w:rPr>
        <w:fldChar w:fldCharType="begin" w:fldLock="1"/>
      </w:r>
      <w:r w:rsidR="00E6617B">
        <w:rPr>
          <w:lang w:val="en-GB"/>
        </w:rPr>
        <w:instrText>ADDIN CSL_CITATION {"citationItems":[{"id":"ITEM-1","itemData":{"DOI":"10.3390/nu6041711","author":[{"dropping-particle":"","family":"Verduci","given":"Elvira","non-dropping-particle":"","parse-names":false,"suffix":""},{"dropping-particle":"","family":"Banderali","given":"Giuseppe","non-dropping-particle":"","parse-names":false,"suffix":""},{"dropping-particle":"","family":"Barberi","given":"Salvatore","non-dropping-particle":"","parse-names":false,"suffix":""},{"dropping-particle":"","family":"Radaelli","given":"Giovanni","non-dropping-particle":"","parse-names":false,"suffix":""},{"dropping-particle":"","family":"Lops","given":"Alessandra","non-dropping-particle":"","parse-names":false,"suffix":""},{"dropping-particle":"","family":"Betti","given":"Federica","non-dropping-particle":"","parse-names":false,"suffix":""},{"dropping-particle":"","family":"Riva","given":"Enrica","non-dropping-particle":"","parse-names":false,"suffix":""},{"dropping-particle":"","family":"Giovannini","given":"Marcello","non-dropping-particle":"","parse-names":false,"suffix":""}],"container-title":"Nutrients","id":"ITEM-1","issue":"4","issued":{"date-parts":[["2014","4"]]},"page":"1711–1724","title":"Epigenetic Effects of Human Breast Milk","type":"article-journal","volume":"6"},"uris":["http://www.mendeley.com/documents/?uuid=33d8c3a9-3b0e-441e-8178-3242d86caf64"]}],"mendeley":{"formattedCitation":"&lt;span style=\"baseline\"&gt;[17]&lt;/span&gt;","plainTextFormattedCitation":"[17]","previouslyFormattedCitation":"&lt;span style=\"baseline\"&gt;[17]&lt;/span&gt;"},"properties":{"noteIndex":0},"schema":"https://github.com/citation-style-language/schema/raw/master/csl-citation.json"}</w:instrText>
      </w:r>
      <w:r w:rsidR="00102302" w:rsidRPr="00190491">
        <w:rPr>
          <w:lang w:val="en-GB"/>
        </w:rPr>
        <w:fldChar w:fldCharType="separate"/>
      </w:r>
      <w:r w:rsidR="00333D7D" w:rsidRPr="00333D7D">
        <w:rPr>
          <w:noProof/>
          <w:lang w:val="en-GB"/>
        </w:rPr>
        <w:t>[17]</w:t>
      </w:r>
      <w:r w:rsidR="00102302" w:rsidRPr="00190491">
        <w:rPr>
          <w:lang w:val="en-GB"/>
        </w:rPr>
        <w:fldChar w:fldCharType="end"/>
      </w:r>
      <w:r w:rsidRPr="00190491">
        <w:rPr>
          <w:lang w:val="en-GB"/>
        </w:rPr>
        <w:t>.</w:t>
      </w:r>
    </w:p>
    <w:p w14:paraId="18BE8E32" w14:textId="77777777" w:rsidR="00935ACF" w:rsidRPr="00190491" w:rsidRDefault="00935ACF" w:rsidP="00935ACF">
      <w:pPr>
        <w:pStyle w:val="MDPI31text"/>
        <w:rPr>
          <w:color w:val="auto"/>
          <w:lang w:val="en-GB"/>
        </w:rPr>
      </w:pPr>
      <w:r w:rsidRPr="00190491">
        <w:rPr>
          <w:color w:val="auto"/>
          <w:lang w:val="en-GB"/>
        </w:rPr>
        <w:t xml:space="preserve">A recent systematic review identified seven studies (five in humans and two in rats) where </w:t>
      </w:r>
      <w:r w:rsidR="00C911E9" w:rsidRPr="00190491">
        <w:rPr>
          <w:color w:val="auto"/>
          <w:lang w:val="en-GB"/>
        </w:rPr>
        <w:t xml:space="preserve">breastfeeding </w:t>
      </w:r>
      <w:r w:rsidRPr="00190491">
        <w:rPr>
          <w:color w:val="auto"/>
          <w:lang w:val="en-GB"/>
        </w:rPr>
        <w:t>had been associated with</w:t>
      </w:r>
      <w:r w:rsidR="00C911E9" w:rsidRPr="00C911E9">
        <w:rPr>
          <w:color w:val="auto"/>
          <w:lang w:val="en-GB"/>
        </w:rPr>
        <w:t xml:space="preserve"> </w:t>
      </w:r>
      <w:r w:rsidR="00C911E9" w:rsidRPr="00190491">
        <w:rPr>
          <w:color w:val="auto"/>
          <w:lang w:val="en-GB"/>
        </w:rPr>
        <w:t>DNAm</w:t>
      </w:r>
      <w:r w:rsidRPr="00190491">
        <w:rPr>
          <w:color w:val="auto"/>
          <w:lang w:val="en-GB"/>
        </w:rPr>
        <w:t>, but their findings were inconclusive</w:t>
      </w:r>
      <w:r w:rsidR="00102302" w:rsidRPr="00190491">
        <w:rPr>
          <w:color w:val="auto"/>
          <w:lang w:val="en-GB"/>
        </w:rPr>
        <w:t xml:space="preserve"> </w:t>
      </w:r>
      <w:r w:rsidR="00102302" w:rsidRPr="00190491">
        <w:rPr>
          <w:color w:val="auto"/>
          <w:lang w:val="en-GB"/>
        </w:rPr>
        <w:fldChar w:fldCharType="begin" w:fldLock="1"/>
      </w:r>
      <w:r w:rsidR="00E6617B">
        <w:rPr>
          <w:color w:val="auto"/>
          <w:lang w:val="en-GB"/>
        </w:rPr>
        <w:instrText>ADDIN CSL_CITATION {"citationItems":[{"id":"ITEM-1","itemData":{"abstract":"Background Breastfeeding benefits both infants and mothers. Recent research shows long-term health and human capital benefits among individuals who were breastfed. Epigenetic mechanisms have been suggested as potential mediators of the effects of early-life exposures on later health outcomes. We reviewed the literature on the potential effects of breastfeeding on DNA methylation.   Methods Studies reporting original results and evaluating DNA methylation differences according to breastfeeding/breast milk groups (e.g., ever vs. never comparisons, different categories of breastfeeding duration, etc) were eligible. Six databases were searched simultaneously using Ovid, and the resulting studies were evaluated independently by two reviewers.   Results Seven eligible studies were identified. Five were conducted in humans. Studies were heterogeneous regarding sample selection, age, target methylation regions, methylation measurement and breastfeeding categorisation. Collectively, the studies suggest that breastfeeding might be negatively associated with promoter methylation of LEP (which encodes an anorexigenic hormone), CDKN2A (involved in tumour suppression) and Slc2a4 genes (which encodes an insulin-related glucose transporter) and positively with promoter methylation of the Nyp (which encodes an orexigenic neuropeptide) gene, as well as influence global methylation patterns and modulate epigenetic effects of some genetic variants.   Conclusions The findings from our systematic review are far from conclusive due to the small number of studies and their inherent limitations. Further studies are required to understand the actual potential role of epigenetics in the associations of breastfeeding with later health outcomes. Suggestions for future investigations, focusing on epigenome-wide association studies, are provided.","author":[{"dropping-particle":"","family":"Hartwig","given":"Fernando Pires","non-dropping-particle":"","parse-names":false,"suffix":""},{"dropping-particle":"","family":"Loret de Mola","given":"Christian","non-dropping-particle":"","parse-names":false,"suffix":""},{"dropping-particle":"","family":"Davies","given":"Neil Martin","non-dropping-particle":"","parse-names":false,"suffix":""},{"dropping-particle":"","family":"Victora","given":"Cesar Gomes","non-dropping-particle":"","parse-names":false,"suffix":""},{"dropping-particle":"","family":"Relton","given":"Caroline L","non-dropping-particle":"","parse-names":false,"suffix":""}],"container-title":"PLOS ONE","id":"ITEM-1","issue":"3","issued":{"date-parts":[["2017","3","3"]]},"page":"e0173070-","publisher":"Public Library of Science","title":"Breastfeeding effects on DNA methylation in the offspring: A systematic literature review","type":"article-journal","volume":"12"},"uris":["http://www.mendeley.com/documents/?uuid=8f9b82c0-bedd-3cec-9b07-b6e65595c995"]}],"mendeley":{"formattedCitation":"&lt;span style=\"baseline\"&gt;[18]&lt;/span&gt;","plainTextFormattedCitation":"[18]","previouslyFormattedCitation":"&lt;span style=\"baseline\"&gt;[18]&lt;/span&gt;"},"properties":{"noteIndex":0},"schema":"https://github.com/citation-style-language/schema/raw/master/csl-citation.json"}</w:instrText>
      </w:r>
      <w:r w:rsidR="00102302" w:rsidRPr="00190491">
        <w:rPr>
          <w:color w:val="auto"/>
          <w:lang w:val="en-GB"/>
        </w:rPr>
        <w:fldChar w:fldCharType="separate"/>
      </w:r>
      <w:r w:rsidR="00333D7D" w:rsidRPr="00333D7D">
        <w:rPr>
          <w:noProof/>
          <w:color w:val="auto"/>
          <w:lang w:val="en-GB"/>
        </w:rPr>
        <w:t>[18]</w:t>
      </w:r>
      <w:r w:rsidR="00102302" w:rsidRPr="00190491">
        <w:rPr>
          <w:color w:val="auto"/>
          <w:lang w:val="en-GB"/>
        </w:rPr>
        <w:fldChar w:fldCharType="end"/>
      </w:r>
      <w:r w:rsidRPr="00190491">
        <w:rPr>
          <w:color w:val="auto"/>
          <w:lang w:val="en-GB"/>
        </w:rPr>
        <w:t>. The studies were generally small and used different methods</w:t>
      </w:r>
      <w:r w:rsidR="00973683" w:rsidRPr="00190491">
        <w:rPr>
          <w:color w:val="auto"/>
          <w:lang w:val="en-GB"/>
        </w:rPr>
        <w:t xml:space="preserve"> for epigenetic assessment</w:t>
      </w:r>
      <w:r w:rsidRPr="00190491">
        <w:rPr>
          <w:color w:val="auto"/>
          <w:lang w:val="en-GB"/>
        </w:rPr>
        <w:t xml:space="preserve">, making comparison between </w:t>
      </w:r>
      <w:r w:rsidR="005131CE">
        <w:rPr>
          <w:color w:val="auto"/>
          <w:lang w:val="en-GB"/>
        </w:rPr>
        <w:t xml:space="preserve">the </w:t>
      </w:r>
      <w:r w:rsidRPr="00190491">
        <w:rPr>
          <w:color w:val="auto"/>
          <w:lang w:val="en-GB"/>
        </w:rPr>
        <w:t>studies difficult. Rossnerova et al. measured DNAm in the peripheral blood of children (7-15 years) using the Illumina Infinium HumanMethylation27 BeadChip and concluded that the duration of exclusive breastfeeding was one factor that could impact DNAm patterns</w:t>
      </w:r>
      <w:r w:rsidR="00A601CC" w:rsidRPr="00190491">
        <w:rPr>
          <w:color w:val="auto"/>
          <w:lang w:val="en-GB"/>
        </w:rPr>
        <w:t xml:space="preserve"> </w:t>
      </w:r>
      <w:r w:rsidR="00A601CC" w:rsidRPr="00190491">
        <w:rPr>
          <w:color w:val="auto"/>
          <w:lang w:val="en-GB"/>
        </w:rPr>
        <w:fldChar w:fldCharType="begin" w:fldLock="1"/>
      </w:r>
      <w:r w:rsidR="00E6617B">
        <w:rPr>
          <w:color w:val="auto"/>
          <w:lang w:val="en-GB"/>
        </w:rPr>
        <w:instrText>ADDIN CSL_CITATION {"citationItems":[{"id":"ITEM-1","itemData":{"DOI":"10.1016/j.mrfmmm.2013.02.003","ISSN":"0027-5107","abstract":"Gene expression levels are significantly regulated by DNA methylation. Differences in gene expression profiles in the populations from various locations with different environmental conditions were repeatedly observed. In this study we compare the methylation profiles in 200 blood samples of children (aged 7-15 years) with and without bronchial asthma from two regions in the Czech Republic with different levels of air pollution (a highly polluted Ostrava region and a control Prachatice region). Samples were collected in March 2010 when the mean concentrations of benzo[a]pyrene (B[a]P) measured by stationary monitoring were 10.1±2.4ng/m(3) in Ostrava Bartovice (5.6 times higher than in the control region). Significantly higher concentrations of other pollutants (benzene, NO2, respirable air particles and metals) were also found in Ostrava. We applied the Infinium Methylation Assay, using the Human Methylation 27K BeadChip with 27,578 CpG loci for identification of the DNA methylation pattern in studied groups. Results demonstrate a significant impact of different environmental conditions on the DNA methylation patterns of children from the two regions. We found 9916 CpG sites with significantly different methylation (beta value) between children from Ostrava vs. Prachatice from which 58 CpG sites had differences &gt;10%. The methylation of all these 58 CpG sites was lower in children from polluted Ostrava, which indicates a higher gene expression in comparison with the control Prachatice region. We did not find a difference in DNA methylation patterns between children with and without bronchial asthma in individual locations, but patterns in both asthmatics and healthy children differed between Ostrava and Prachatice. Further, we show differences in DNA methylation pattern depending on gender and urinary cotinine levels. Other factors including length of gestation, birth weight and length of full breastfeeding are suggested as possible factors that can impact the DNA methylation pattern in future life.","author":[{"dropping-particle":"","family":"Rossnerova","given":"Andrea","non-dropping-particle":"","parse-names":false,"suffix":""},{"dropping-particle":"","family":"Tulupova","given":"Elena","non-dropping-particle":"","parse-names":false,"suffix":""},{"dropping-particle":"","family":"Tabashidze","given":"Nana","non-dropping-particle":"","parse-names":false,"suffix":""},{"dropping-particle":"","family":"Schmuczerova","given":"Jana","non-dropping-particle":"","parse-names":false,"suffix":""},{"dropping-particle":"","family":"Dostal","given":"Miroslav","non-dropping-particle":"","parse-names":false,"suffix":""},{"dropping-particle":"","family":"Rossner","given":"Pavel","non-dropping-particle":"","parse-names":false,"suffix":""},{"dropping-particle":"","family":"Gmuender","given":"Hans","non-dropping-particle":"","parse-names":false,"suffix":""},{"dropping-particle":"","family":"Sram","given":"Radim J.","non-dropping-particle":"","parse-names":false,"suffix":""}],"container-title":"Mutation Research","id":"ITEM-1","issued":{"date-parts":[["2013","2"]]},"language":"eng","page":"18-26","title":"Factors affecting the 27K DNA methylation pattern in asthmatic and healthy children from locations with various environments","type":"article-journal","volume":"741-742"},"uris":["http://www.mendeley.com/documents/?uuid=1defc6c7-b3a6-4d2d-be6d-358ccc5b1211"]}],"mendeley":{"formattedCitation":"&lt;span style=\"baseline\"&gt;[19]&lt;/span&gt;","plainTextFormattedCitation":"[19]","previouslyFormattedCitation":"&lt;span style=\"baseline\"&gt;[19]&lt;/span&gt;"},"properties":{"noteIndex":0},"schema":"https://github.com/citation-style-language/schema/raw/master/csl-citation.json"}</w:instrText>
      </w:r>
      <w:r w:rsidR="00A601CC" w:rsidRPr="00190491">
        <w:rPr>
          <w:color w:val="auto"/>
          <w:lang w:val="en-GB"/>
        </w:rPr>
        <w:fldChar w:fldCharType="separate"/>
      </w:r>
      <w:r w:rsidR="00333D7D" w:rsidRPr="00333D7D">
        <w:rPr>
          <w:noProof/>
          <w:color w:val="auto"/>
          <w:lang w:val="en-GB"/>
        </w:rPr>
        <w:t>[19]</w:t>
      </w:r>
      <w:r w:rsidR="00A601CC" w:rsidRPr="00190491">
        <w:rPr>
          <w:color w:val="auto"/>
          <w:lang w:val="en-GB"/>
        </w:rPr>
        <w:fldChar w:fldCharType="end"/>
      </w:r>
      <w:r w:rsidRPr="00190491">
        <w:rPr>
          <w:color w:val="auto"/>
          <w:lang w:val="en-GB"/>
        </w:rPr>
        <w:t xml:space="preserve">. Obermann-Borst et al. used quantitative high-throughput mass spectrometry to measure DNAm at seven </w:t>
      </w:r>
      <w:r w:rsidR="007169D9" w:rsidRPr="007169D9">
        <w:rPr>
          <w:color w:val="auto"/>
          <w:lang w:val="en-GB"/>
        </w:rPr>
        <w:t>cytosine-phosphate-guanine</w:t>
      </w:r>
      <w:r w:rsidR="007169D9">
        <w:rPr>
          <w:color w:val="auto"/>
          <w:lang w:val="en-GB"/>
        </w:rPr>
        <w:t xml:space="preserve"> (</w:t>
      </w:r>
      <w:r w:rsidRPr="00190491">
        <w:rPr>
          <w:color w:val="auto"/>
          <w:lang w:val="en-GB"/>
        </w:rPr>
        <w:t>CpG</w:t>
      </w:r>
      <w:r w:rsidR="007169D9">
        <w:rPr>
          <w:color w:val="auto"/>
          <w:lang w:val="en-GB"/>
        </w:rPr>
        <w:t>)</w:t>
      </w:r>
      <w:r w:rsidRPr="00190491">
        <w:rPr>
          <w:color w:val="auto"/>
          <w:lang w:val="en-GB"/>
        </w:rPr>
        <w:t xml:space="preserve"> sites of the leptin gene (</w:t>
      </w:r>
      <w:r w:rsidRPr="00CC02B8">
        <w:rPr>
          <w:i/>
          <w:iCs/>
          <w:color w:val="auto"/>
          <w:lang w:val="en-GB"/>
        </w:rPr>
        <w:t>LEP</w:t>
      </w:r>
      <w:r w:rsidRPr="00190491">
        <w:rPr>
          <w:color w:val="auto"/>
          <w:lang w:val="en-GB"/>
        </w:rPr>
        <w:t>), a gene proposed to be involved in the association between breastfeeding and childhood obesity</w:t>
      </w:r>
      <w:r w:rsidR="00A601CC" w:rsidRPr="00190491">
        <w:rPr>
          <w:color w:val="auto"/>
          <w:lang w:val="en-GB"/>
        </w:rPr>
        <w:t xml:space="preserve"> </w:t>
      </w:r>
      <w:r w:rsidR="00A601CC" w:rsidRPr="00190491">
        <w:rPr>
          <w:color w:val="auto"/>
          <w:lang w:val="en-GB"/>
        </w:rPr>
        <w:fldChar w:fldCharType="begin" w:fldLock="1"/>
      </w:r>
      <w:r w:rsidR="00E6617B">
        <w:rPr>
          <w:color w:val="auto"/>
          <w:lang w:val="en-GB"/>
        </w:rPr>
        <w:instrText>ADDIN CSL_CITATION {"citationItems":[{"id":"ITEM-1","itemData":{"DOI":"10.1038/pr.2013.95","author":[{"dropping-particle":"","family":"Obermann-Borst","given":"Sylvia A.","non-dropping-particle":"","parse-names":false,"suffix":""},{"dropping-particle":"","family":"Eilers","given":"Paul H. C.","non-dropping-particle":"","parse-names":false,"suffix":""},{"dropping-particle":"","family":"Tobi","given":"Elmar W.","non-dropping-particle":"","parse-names":false,"suffix":""},{"dropping-particle":"de","family":"Jong","given":"Frank H.","non-dropping-particle":"","parse-names":false,"suffix":""},{"dropping-particle":"","family":"Slagboom","given":"P. Eline","non-dropping-particle":"","parse-names":false,"suffix":""},{"dropping-particle":"","family":"Heijmans","given":"Bastiaan T.","non-dropping-particle":"","parse-names":false,"suffix":""},{"dropping-particle":"","family":"Steegers-Theunissen","given":"Régine P. M.","non-dropping-particle":"","parse-names":false,"suffix":""}],"container-title":"Pediatric Research","id":"ITEM-1","issue":"3","issued":{"date-parts":[["2013","6"]]},"page":"344–349","title":"Duration of breastfeeding and gender are associated with methylation of the LEPTIN gene in very young children","type":"article-journal","volume":"74"},"uris":["http://www.mendeley.com/documents/?uuid=c5b640b0-e0e8-4710-b4be-49119820558e"]}],"mendeley":{"formattedCitation":"&lt;span style=\"baseline\"&gt;[20]&lt;/span&gt;","plainTextFormattedCitation":"[20]","previouslyFormattedCitation":"&lt;span style=\"baseline\"&gt;[20]&lt;/span&gt;"},"properties":{"noteIndex":0},"schema":"https://github.com/citation-style-language/schema/raw/master/csl-citation.json"}</w:instrText>
      </w:r>
      <w:r w:rsidR="00A601CC" w:rsidRPr="00190491">
        <w:rPr>
          <w:color w:val="auto"/>
          <w:lang w:val="en-GB"/>
        </w:rPr>
        <w:fldChar w:fldCharType="separate"/>
      </w:r>
      <w:r w:rsidR="00333D7D" w:rsidRPr="00333D7D">
        <w:rPr>
          <w:noProof/>
          <w:color w:val="auto"/>
          <w:lang w:val="en-GB"/>
        </w:rPr>
        <w:t>[20]</w:t>
      </w:r>
      <w:r w:rsidR="00A601CC" w:rsidRPr="00190491">
        <w:rPr>
          <w:color w:val="auto"/>
          <w:lang w:val="en-GB"/>
        </w:rPr>
        <w:fldChar w:fldCharType="end"/>
      </w:r>
      <w:r w:rsidRPr="00190491">
        <w:rPr>
          <w:color w:val="auto"/>
          <w:lang w:val="en-GB"/>
        </w:rPr>
        <w:t xml:space="preserve">. </w:t>
      </w:r>
      <w:r w:rsidR="00715534">
        <w:rPr>
          <w:color w:val="auto"/>
          <w:lang w:val="en-GB"/>
        </w:rPr>
        <w:t>The study showed that</w:t>
      </w:r>
      <w:r w:rsidRPr="00190491">
        <w:rPr>
          <w:color w:val="auto"/>
          <w:lang w:val="en-GB"/>
        </w:rPr>
        <w:t xml:space="preserve"> breastfeeding duration was significantly associated with a reduction of DNAm at those seven CpGs </w:t>
      </w:r>
      <w:r w:rsidR="00973683" w:rsidRPr="00190491">
        <w:rPr>
          <w:color w:val="auto"/>
          <w:lang w:val="en-GB"/>
        </w:rPr>
        <w:t>in</w:t>
      </w:r>
      <w:r w:rsidRPr="00190491">
        <w:rPr>
          <w:color w:val="auto"/>
          <w:lang w:val="en-GB"/>
        </w:rPr>
        <w:t xml:space="preserve"> </w:t>
      </w:r>
      <w:r w:rsidRPr="00190491">
        <w:rPr>
          <w:i/>
          <w:color w:val="auto"/>
          <w:lang w:val="en-GB"/>
        </w:rPr>
        <w:t>LEP</w:t>
      </w:r>
      <w:r w:rsidRPr="00190491">
        <w:rPr>
          <w:color w:val="auto"/>
          <w:lang w:val="en-GB"/>
        </w:rPr>
        <w:t xml:space="preserve"> in 17-month old infants. Further effects of breastfeeding duration have been observed in </w:t>
      </w:r>
      <w:r w:rsidR="001A6F38" w:rsidRPr="00190491">
        <w:rPr>
          <w:color w:val="auto"/>
          <w:lang w:val="en-GB"/>
        </w:rPr>
        <w:t xml:space="preserve">the </w:t>
      </w:r>
      <w:r w:rsidRPr="00190491">
        <w:rPr>
          <w:color w:val="auto"/>
          <w:lang w:val="en-GB"/>
        </w:rPr>
        <w:t>infant metabolic epigenome</w:t>
      </w:r>
      <w:r w:rsidR="00A601CC" w:rsidRPr="00190491">
        <w:rPr>
          <w:color w:val="auto"/>
          <w:lang w:val="en-GB"/>
        </w:rPr>
        <w:t xml:space="preserve"> </w:t>
      </w:r>
      <w:r w:rsidR="00A601CC" w:rsidRPr="00190491">
        <w:rPr>
          <w:color w:val="auto"/>
          <w:lang w:val="en-GB"/>
        </w:rPr>
        <w:fldChar w:fldCharType="begin" w:fldLock="1"/>
      </w:r>
      <w:r w:rsidR="00E6617B">
        <w:rPr>
          <w:color w:val="auto"/>
          <w:lang w:val="en-GB"/>
        </w:rPr>
        <w:instrText>ADDIN CSL_CITATION {"citationItems":[{"id":"ITEM-1","itemData":{"DOI":"10.3390/nu11061408","ISSN":"2072-6643","PMID":"31234503","abstract":"Nutrition in the postnatal period is associated with metabolic programming. One of the presumed underlying mechanisms involves epigenetic modifications (e.g., DNA methylation). Breastfeeding has an unknown impact on DNA methylation at a young age. Within the Maternal Nutrition and Offspring's Epigenome (MANOE) study, we assessed the effect of breastfeeding duration on infant growth and buccal methylation in obesity-related genes (n = 101). A significant difference was found between infant growth and buccal RXRA and LEP methylation at 12 months of breastfeeding. For RXRA CpG2 methylation, a positive association was found with duration of breastfeeding (slope = 0.217; 95% confidence interval (CI) 1.03, 0.330; p &lt; 0.001). For RXRA CpG3 and CpG, mean methylation levels were significantly lower when children were breastfed for 4-6 months compared to non-breastfed children (only CpG3), and those breastfed for 7-9 months, 10-12 months, or 1-3 months. On the other hand, higher LEP CpG3 methylation was observed when mothers breastfed 7-9 months (6.1%) as compared to breastfeeding for 1-3 months (4.3%; p = 0.007) and 10-12 months (4.6%; p = 0.04). In addition, we observed that infant weight was significantly lower when children were breastfed for 10-12 months. Breastfeeding duration was associated with epigenetic variations in RXRA and LEP at 12 months and with infant biometry/growth. Our results support the hypothesis that breastfeeding could induce epigenetic changes in infants.","author":[{"dropping-particle":"","family":"Pauwels","given":"Sara","non-dropping-particle":"","parse-names":false,"suffix":""},{"dropping-particle":"","family":"Symons","given":"Lin","non-dropping-particle":"","parse-names":false,"suffix":""},{"dropping-particle":"","family":"Vanautgaerden","given":"Eva-Lynn","non-dropping-particle":"","parse-names":false,"suffix":""},{"dropping-particle":"","family":"Ghosh","given":"Manosij","non-dropping-particle":"","parse-names":false,"suffix":""},{"dropping-particle":"","family":"Duca","given":"Radu Corneliu","non-dropping-particle":"","parse-names":false,"suffix":""},{"dropping-particle":"","family":"Bekaert","given":"Bram","non-dropping-particle":"","parse-names":false,"suffix":""},{"dropping-particle":"","family":"Freson","given":"Kathleen","non-dropping-particle":"","parse-names":false,"suffix":""},{"dropping-particle":"","family":"Huybrechts","given":"Inge","non-dropping-particle":"","parse-names":false,"suffix":""},{"dropping-particle":"","family":"Langie","given":"Sabine A S","non-dropping-particle":"","parse-names":false,"suffix":""},{"dropping-particle":"","family":"Koppen","given":"Gudrun","non-dropping-particle":"","parse-names":false,"suffix":""},{"dropping-particle":"","family":"Devlieger","given":"Roland","non-dropping-particle":"","parse-names":false,"suffix":""},{"dropping-particle":"","family":"Godderis","given":"Lode","non-dropping-particle":"","parse-names":false,"suffix":""}],"container-title":"Nutrients","id":"ITEM-1","issue":"6","issued":{"date-parts":[["2019","6","22"]]},"language":"eng","page":"1408","publisher":"MDPI","title":"The Influence of the Duration of Breastfeeding on the Infant's Metabolic Epigenome","type":"article-journal","volume":"11"},"uris":["http://www.mendeley.com/documents/?uuid=05e519b2-df69-3449-81cd-17600435b4d1"]}],"mendeley":{"formattedCitation":"&lt;span style=\"baseline\"&gt;[21]&lt;/span&gt;","plainTextFormattedCitation":"[21]","previouslyFormattedCitation":"&lt;span style=\"baseline\"&gt;[21]&lt;/span&gt;"},"properties":{"noteIndex":0},"schema":"https://github.com/citation-style-language/schema/raw/master/csl-citation.json"}</w:instrText>
      </w:r>
      <w:r w:rsidR="00A601CC" w:rsidRPr="00190491">
        <w:rPr>
          <w:color w:val="auto"/>
          <w:lang w:val="en-GB"/>
        </w:rPr>
        <w:fldChar w:fldCharType="separate"/>
      </w:r>
      <w:r w:rsidR="00333D7D" w:rsidRPr="00333D7D">
        <w:rPr>
          <w:noProof/>
          <w:color w:val="auto"/>
          <w:lang w:val="en-GB"/>
        </w:rPr>
        <w:t>[21]</w:t>
      </w:r>
      <w:r w:rsidR="00A601CC" w:rsidRPr="00190491">
        <w:rPr>
          <w:color w:val="auto"/>
          <w:lang w:val="en-GB"/>
        </w:rPr>
        <w:fldChar w:fldCharType="end"/>
      </w:r>
      <w:r w:rsidRPr="00190491">
        <w:rPr>
          <w:color w:val="auto"/>
          <w:lang w:val="en-GB"/>
        </w:rPr>
        <w:t xml:space="preserve"> and </w:t>
      </w:r>
      <w:r w:rsidR="009B11E4" w:rsidRPr="00190491">
        <w:rPr>
          <w:color w:val="auto"/>
          <w:lang w:val="en-GB"/>
        </w:rPr>
        <w:t xml:space="preserve">with </w:t>
      </w:r>
      <w:r w:rsidRPr="00190491">
        <w:rPr>
          <w:color w:val="auto"/>
          <w:lang w:val="en-GB"/>
        </w:rPr>
        <w:t>DNAm in immunoregulatory genes</w:t>
      </w:r>
      <w:r w:rsidR="00A601CC" w:rsidRPr="00190491">
        <w:rPr>
          <w:color w:val="auto"/>
          <w:lang w:val="en-GB"/>
        </w:rPr>
        <w:t xml:space="preserve"> </w:t>
      </w:r>
      <w:r w:rsidR="003279C9" w:rsidRPr="00190491">
        <w:rPr>
          <w:color w:val="auto"/>
          <w:lang w:val="en-GB"/>
        </w:rPr>
        <w:fldChar w:fldCharType="begin" w:fldLock="1"/>
      </w:r>
      <w:r w:rsidR="00E6617B">
        <w:rPr>
          <w:color w:val="auto"/>
          <w:lang w:val="en-GB"/>
        </w:rPr>
        <w:instrText>ADDIN CSL_CITATION {"citationItems":[{"id":"ITEM-1","itemData":{"DOI":"10.1073/pnas.1620661114","ISSN":"1091-6490","PMID":"28673994","abstract":"Chronic inflammation contributes to a wide range of human diseases, and environments in infancy and childhood are important determinants of inflammatory phenotypes. The underlying biological mechanisms connecting early environments with the regulation of inflammation in adulthood are not known, but epigenetic processes are plausible candidates. We tested the hypothesis that patterns of DNA methylation (DNAm) in inflammatory genes in young adulthood would be predicted by early life nutritional, microbial, and psychosocial exposures previously associated with levels of inflammation. Data come from a population-based longitudinal birth cohort study in metropolitan Cebu, the Philippines, and DNAm was characterized in whole blood samples from 494 participants (age 20-22 y). Analyses focused on probes in 114 target genes involved in the regulation of inflammation, and we identified 10 sites across nine genes where the level of DNAm was significantly predicted by the following variables: household socioeconomic status in childhood, extended absence of a parent in childhood, exposure to animal feces in infancy, birth in the dry season, or duration of exclusive breastfeeding. To evaluate the biological significance of these sites, we tested for associations with a panel of inflammatory biomarkers measured in plasma obtained at the same age as DNAm assessment. Three sites predicted elevated inflammation, and one site predicted lower inflammation, consistent with the interpretation that levels of DNAm at these sites are functionally relevant. This pattern of results points toward DNAm as a potentially important biological mechanism through which developmental environments shape inflammatory phenotypes across the life course.","author":[{"dropping-particle":"","family":"McDade","given":"Thomas W","non-dropping-particle":"","parse-names":false,"suffix":""},{"dropping-particle":"","family":"Ryan","given":"Calen","non-dropping-particle":"","parse-names":false,"suffix":""},{"dropping-particle":"","family":"Jones","given":"Meaghan J","non-dropping-particle":"","parse-names":false,"suffix":""},{"dropping-particle":"","family":"MacIsaac","given":"Julia L","non-dropping-particle":"","parse-names":false,"suffix":""},{"dropping-particle":"","family":"Morin","given":"Alexander M","non-dropping-particle":"","parse-names":false,"suffix":""},{"dropping-particle":"","family":"Meyer","given":"Jess M","non-dropping-particle":"","parse-names":false,"suffix":""},{"dropping-particle":"","family":"Borja","given":"Judith B","non-dropping-particle":"","parse-names":false,"suffix":""},{"dropping-particle":"","family":"Miller","given":"Gregory E","non-dropping-particle":"","parse-names":false,"suffix":""},{"dropping-particle":"","family":"Kobor","given":"Michael S","non-dropping-particle":"","parse-names":false,"suffix":""},{"dropping-particle":"","family":"Kuzawa","given":"Christopher W","non-dropping-particle":"","parse-names":false,"suffix":""}],"container-title":"Proceedings of the National Academy of Sciences of the United States of America","edition":"2017/07/03","id":"ITEM-1","issue":"29","issued":{"date-parts":[["2017","7","18"]]},"language":"eng","page":"7611-7616","publisher":"National Academy of Sciences","title":"Social and physical environments early in development predict DNA methylation of inflammatory genes in young adulthood","type":"article-journal","volume":"114"},"uris":["http://www.mendeley.com/documents/?uuid=0aa941a1-407b-3efe-8d06-821b74b85119"]}],"mendeley":{"formattedCitation":"&lt;span style=\"baseline\"&gt;[22]&lt;/span&gt;","plainTextFormattedCitation":"[22]","previouslyFormattedCitation":"&lt;span style=\"baseline\"&gt;[22]&lt;/span&gt;"},"properties":{"noteIndex":0},"schema":"https://github.com/citation-style-language/schema/raw/master/csl-citation.json"}</w:instrText>
      </w:r>
      <w:r w:rsidR="003279C9" w:rsidRPr="00190491">
        <w:rPr>
          <w:color w:val="auto"/>
          <w:lang w:val="en-GB"/>
        </w:rPr>
        <w:fldChar w:fldCharType="separate"/>
      </w:r>
      <w:r w:rsidR="00333D7D" w:rsidRPr="00333D7D">
        <w:rPr>
          <w:noProof/>
          <w:color w:val="auto"/>
          <w:lang w:val="en-GB"/>
        </w:rPr>
        <w:t>[22]</w:t>
      </w:r>
      <w:r w:rsidR="003279C9" w:rsidRPr="00190491">
        <w:rPr>
          <w:color w:val="auto"/>
          <w:lang w:val="en-GB"/>
        </w:rPr>
        <w:fldChar w:fldCharType="end"/>
      </w:r>
      <w:r w:rsidRPr="00190491">
        <w:rPr>
          <w:color w:val="auto"/>
          <w:lang w:val="en-GB"/>
        </w:rPr>
        <w:t xml:space="preserve">. </w:t>
      </w:r>
    </w:p>
    <w:p w14:paraId="6161CD08" w14:textId="77777777" w:rsidR="00935ACF" w:rsidRDefault="00935ACF" w:rsidP="00477ECA">
      <w:pPr>
        <w:pStyle w:val="MDPI31text"/>
        <w:rPr>
          <w:color w:val="auto"/>
          <w:lang w:val="en-GB"/>
        </w:rPr>
      </w:pPr>
      <w:r w:rsidRPr="00190491">
        <w:rPr>
          <w:color w:val="auto"/>
          <w:lang w:val="en-GB"/>
        </w:rPr>
        <w:t>With the introduction of large-scale epigenetic profiling technologies, such as</w:t>
      </w:r>
      <w:r w:rsidR="00EB27A0">
        <w:rPr>
          <w:color w:val="auto"/>
          <w:lang w:val="en-GB"/>
        </w:rPr>
        <w:t xml:space="preserve"> the</w:t>
      </w:r>
      <w:r w:rsidRPr="00190491">
        <w:rPr>
          <w:color w:val="auto"/>
          <w:lang w:val="en-GB"/>
        </w:rPr>
        <w:t xml:space="preserve"> Illumina Infinium HumanMethylation450 and EPIC BeadChips, it has become possible to investigate </w:t>
      </w:r>
      <w:r w:rsidR="00226139" w:rsidRPr="00190491">
        <w:rPr>
          <w:color w:val="auto"/>
          <w:lang w:val="en-GB"/>
        </w:rPr>
        <w:t xml:space="preserve">the variation of </w:t>
      </w:r>
      <w:r w:rsidRPr="00190491">
        <w:rPr>
          <w:color w:val="auto"/>
          <w:lang w:val="en-GB"/>
        </w:rPr>
        <w:t xml:space="preserve">DNAm on a genome-wide scale. A recent analysis of the relationship between breastfeeding duration and DNAm profiles </w:t>
      </w:r>
      <w:r w:rsidR="005131CE">
        <w:rPr>
          <w:color w:val="auto"/>
          <w:lang w:val="en-GB"/>
        </w:rPr>
        <w:t xml:space="preserve">of the </w:t>
      </w:r>
      <w:r w:rsidR="005131CE" w:rsidRPr="00190491">
        <w:rPr>
          <w:i/>
          <w:iCs/>
          <w:color w:val="auto"/>
          <w:lang w:val="en-GB"/>
        </w:rPr>
        <w:t>LEP</w:t>
      </w:r>
      <w:r w:rsidR="005131CE" w:rsidRPr="00190491">
        <w:rPr>
          <w:color w:val="auto"/>
          <w:lang w:val="en-GB"/>
        </w:rPr>
        <w:t xml:space="preserve"> </w:t>
      </w:r>
      <w:r w:rsidR="005131CE">
        <w:rPr>
          <w:color w:val="auto"/>
          <w:lang w:val="en-GB"/>
        </w:rPr>
        <w:t xml:space="preserve">gene </w:t>
      </w:r>
      <w:r w:rsidRPr="00190491">
        <w:rPr>
          <w:color w:val="auto"/>
          <w:lang w:val="en-GB"/>
        </w:rPr>
        <w:t>was conducted in 10-year-old children in the Isle of Wight Birth Cohort (IOWBC)</w:t>
      </w:r>
      <w:r w:rsidR="003279C9" w:rsidRPr="00190491">
        <w:rPr>
          <w:color w:val="auto"/>
          <w:lang w:val="en-GB"/>
        </w:rPr>
        <w:t xml:space="preserve"> </w:t>
      </w:r>
      <w:r w:rsidR="003279C9" w:rsidRPr="00190491">
        <w:rPr>
          <w:color w:val="auto"/>
          <w:lang w:val="en-GB"/>
        </w:rPr>
        <w:fldChar w:fldCharType="begin" w:fldLock="1"/>
      </w:r>
      <w:r w:rsidR="00E6617B">
        <w:rPr>
          <w:color w:val="auto"/>
          <w:lang w:val="en-GB"/>
        </w:rPr>
        <w:instrText>ADDIN CSL_CITATION {"citationItems":[{"id":"ITEM-1","itemData":{"DOI":"10.1186/s13148-019-0727-9","ISSN":"1868-7083","abstract":"Breastfeeding is protective against many long-term diseases, yet the mechanisms involved are unknown. Leptin gene (LEP) is reported to be associated with body mass index (BMI). On the other hand, breastfeeding duration has been found to be associated with DNA methylation (DNAm) of the LEP gene. Therefore, epigenetic regulation of LEP may represent the mechanism underlying the protective effect of breastfeeding duration against obesity.","author":[{"dropping-particle":"","family":"Sherwood","given":"William B","non-dropping-particle":"","parse-names":false,"suffix":""},{"dropping-particle":"","family":"Bion","given":"Victoria","non-dropping-particle":"","parse-names":false,"suffix":""},{"dropping-particle":"","family":"Lockett","given":"Gabrielle A","non-dropping-particle":"","parse-names":false,"suffix":""},{"dropping-particle":"","family":"Ziyab","given":"Ali H","non-dropping-particle":"","parse-names":false,"suffix":""},{"dropping-particle":"","family":"Soto-Ramírez","given":"Nelís","non-dropping-particle":"","parse-names":false,"suffix":""},{"dropping-particle":"","family":"Mukherjee","given":"Nandini","non-dropping-particle":"","parse-names":false,"suffix":""},{"dropping-particle":"","family":"Kurukulaaratchy","given":"Ramesh J","non-dropping-particle":"","parse-names":false,"suffix":""},{"dropping-particle":"","family":"Ewart","given":"Susan","non-dropping-particle":"","parse-names":false,"suffix":""},{"dropping-particle":"","family":"Zhang","given":"Hongmei","non-dropping-particle":"","parse-names":false,"suffix":""},{"dropping-particle":"","family":"Arshad","given":"S Hasan","non-dropping-particle":"","parse-names":false,"suffix":""},{"dropping-particle":"","family":"Karmaus","given":"Wilfried","non-dropping-particle":"","parse-names":false,"suffix":""},{"dropping-particle":"","family":"Holloway","given":"John W","non-dropping-particle":"","parse-names":false,"suffix":""},{"dropping-particle":"","family":"Rezwan","given":"Faisal I","non-dropping-particle":"","parse-names":false,"suffix":""}],"container-title":"Clinical Epigenetics","id":"ITEM-1","issue":"1","issued":{"date-parts":[["2019"]]},"page":"128","title":"Duration of breastfeeding is associated with leptin (LEP) DNA methylation profiles and BMI in 10-year-old children","type":"article-journal","volume":"11"},"uris":["http://www.mendeley.com/documents/?uuid=3abd0840-4da5-4e63-a655-b30ddc0c1d3c"]}],"mendeley":{"formattedCitation":"&lt;span style=\"baseline\"&gt;[23]&lt;/span&gt;","plainTextFormattedCitation":"[23]","previouslyFormattedCitation":"&lt;span style=\"baseline\"&gt;[23]&lt;/span&gt;"},"properties":{"noteIndex":0},"schema":"https://github.com/citation-style-language/schema/raw/master/csl-citation.json"}</w:instrText>
      </w:r>
      <w:r w:rsidR="003279C9" w:rsidRPr="00190491">
        <w:rPr>
          <w:color w:val="auto"/>
          <w:lang w:val="en-GB"/>
        </w:rPr>
        <w:fldChar w:fldCharType="separate"/>
      </w:r>
      <w:r w:rsidR="00333D7D" w:rsidRPr="00333D7D">
        <w:rPr>
          <w:noProof/>
          <w:color w:val="auto"/>
          <w:lang w:val="en-GB"/>
        </w:rPr>
        <w:t>[23]</w:t>
      </w:r>
      <w:r w:rsidR="003279C9" w:rsidRPr="00190491">
        <w:rPr>
          <w:color w:val="auto"/>
          <w:lang w:val="en-GB"/>
        </w:rPr>
        <w:fldChar w:fldCharType="end"/>
      </w:r>
      <w:r w:rsidRPr="00190491">
        <w:rPr>
          <w:color w:val="auto"/>
          <w:lang w:val="en-GB"/>
        </w:rPr>
        <w:t>. Th</w:t>
      </w:r>
      <w:r w:rsidR="00715534">
        <w:rPr>
          <w:color w:val="auto"/>
          <w:lang w:val="en-GB"/>
        </w:rPr>
        <w:t>e</w:t>
      </w:r>
      <w:r w:rsidRPr="00190491">
        <w:rPr>
          <w:color w:val="auto"/>
          <w:lang w:val="en-GB"/>
        </w:rPr>
        <w:t xml:space="preserve"> study identified an association between both total and exclusive breastfeeding duration</w:t>
      </w:r>
      <w:r w:rsidR="006221C0">
        <w:rPr>
          <w:color w:val="auto"/>
          <w:lang w:val="en-GB"/>
        </w:rPr>
        <w:t xml:space="preserve"> (as a continuous variable)</w:t>
      </w:r>
      <w:r w:rsidRPr="00190491">
        <w:rPr>
          <w:color w:val="auto"/>
          <w:lang w:val="en-GB"/>
        </w:rPr>
        <w:t xml:space="preserve"> and DNAm at four CpG sites in the </w:t>
      </w:r>
      <w:r w:rsidRPr="00CC02B8">
        <w:rPr>
          <w:i/>
          <w:iCs/>
          <w:color w:val="auto"/>
          <w:lang w:val="en-GB"/>
        </w:rPr>
        <w:t>LEP</w:t>
      </w:r>
      <w:r w:rsidRPr="00190491">
        <w:rPr>
          <w:color w:val="auto"/>
          <w:lang w:val="en-GB"/>
        </w:rPr>
        <w:t xml:space="preserve"> locus in children at 10 years</w:t>
      </w:r>
      <w:r w:rsidR="00D84F84" w:rsidRPr="00190491">
        <w:rPr>
          <w:color w:val="auto"/>
          <w:lang w:val="en-GB"/>
        </w:rPr>
        <w:t xml:space="preserve"> of age</w:t>
      </w:r>
      <w:r w:rsidRPr="00190491">
        <w:rPr>
          <w:color w:val="auto"/>
          <w:lang w:val="en-GB"/>
        </w:rPr>
        <w:t xml:space="preserve">, but </w:t>
      </w:r>
      <w:r w:rsidR="00226139" w:rsidRPr="00190491">
        <w:rPr>
          <w:color w:val="auto"/>
          <w:lang w:val="en-GB"/>
        </w:rPr>
        <w:t xml:space="preserve">the </w:t>
      </w:r>
      <w:r w:rsidRPr="00190491">
        <w:rPr>
          <w:color w:val="auto"/>
          <w:lang w:val="en-GB"/>
        </w:rPr>
        <w:t xml:space="preserve">association did not persist at 18 years. </w:t>
      </w:r>
      <w:r w:rsidR="00715534">
        <w:rPr>
          <w:color w:val="auto"/>
          <w:lang w:val="en-GB"/>
        </w:rPr>
        <w:t>A</w:t>
      </w:r>
      <w:r w:rsidRPr="00190491">
        <w:rPr>
          <w:color w:val="auto"/>
          <w:lang w:val="en-GB"/>
        </w:rPr>
        <w:t>dditionally</w:t>
      </w:r>
      <w:r w:rsidR="00715534">
        <w:rPr>
          <w:color w:val="auto"/>
          <w:lang w:val="en-GB"/>
        </w:rPr>
        <w:t xml:space="preserve">, </w:t>
      </w:r>
      <w:r w:rsidR="00D61C72">
        <w:rPr>
          <w:color w:val="auto"/>
          <w:lang w:val="en-GB"/>
        </w:rPr>
        <w:t>in the same study</w:t>
      </w:r>
      <w:r w:rsidR="005131CE">
        <w:rPr>
          <w:color w:val="auto"/>
          <w:lang w:val="en-GB"/>
        </w:rPr>
        <w:t>,</w:t>
      </w:r>
      <w:r w:rsidR="00D61C72">
        <w:rPr>
          <w:color w:val="auto"/>
          <w:lang w:val="en-GB"/>
        </w:rPr>
        <w:t xml:space="preserve"> </w:t>
      </w:r>
      <w:r w:rsidR="00715534">
        <w:rPr>
          <w:color w:val="auto"/>
          <w:lang w:val="en-GB"/>
        </w:rPr>
        <w:t>an</w:t>
      </w:r>
      <w:r w:rsidRPr="00190491">
        <w:rPr>
          <w:color w:val="auto"/>
          <w:lang w:val="en-GB"/>
        </w:rPr>
        <w:t xml:space="preserve"> Epigenome-wide Association Study (EWAS) </w:t>
      </w:r>
      <w:r w:rsidR="00715534">
        <w:rPr>
          <w:color w:val="auto"/>
          <w:lang w:val="en-GB"/>
        </w:rPr>
        <w:t>found breastfeeding duration to be associated with f</w:t>
      </w:r>
      <w:r w:rsidRPr="00190491">
        <w:rPr>
          <w:color w:val="auto"/>
          <w:lang w:val="en-GB"/>
        </w:rPr>
        <w:t>ive differentially methylated regions</w:t>
      </w:r>
      <w:r w:rsidR="00EB27A0">
        <w:rPr>
          <w:color w:val="auto"/>
          <w:lang w:val="en-GB"/>
        </w:rPr>
        <w:t xml:space="preserve"> (DMRs)</w:t>
      </w:r>
      <w:r w:rsidRPr="00190491">
        <w:rPr>
          <w:color w:val="auto"/>
          <w:lang w:val="en-GB"/>
        </w:rPr>
        <w:t xml:space="preserve"> at both </w:t>
      </w:r>
      <w:r w:rsidR="00715534">
        <w:rPr>
          <w:color w:val="auto"/>
          <w:lang w:val="en-GB"/>
        </w:rPr>
        <w:t>10 and 18 years</w:t>
      </w:r>
      <w:r w:rsidR="005131CE">
        <w:rPr>
          <w:color w:val="auto"/>
          <w:lang w:val="en-GB"/>
        </w:rPr>
        <w:t xml:space="preserve"> </w:t>
      </w:r>
      <w:r w:rsidR="005131CE" w:rsidRPr="00190491">
        <w:rPr>
          <w:color w:val="auto"/>
          <w:lang w:val="en-GB"/>
        </w:rPr>
        <w:fldChar w:fldCharType="begin" w:fldLock="1"/>
      </w:r>
      <w:r w:rsidR="005131CE">
        <w:rPr>
          <w:color w:val="auto"/>
          <w:lang w:val="en-GB"/>
        </w:rPr>
        <w:instrText>ADDIN CSL_CITATION {"citationItems":[{"id":"ITEM-1","itemData":{"DOI":"10.1186/s13148-019-0727-9","ISSN":"1868-7083","abstract":"Breastfeeding is protective against many long-term diseases, yet the mechanisms involved are unknown. Leptin gene (LEP) is reported to be associated with body mass index (BMI). On the other hand, breastfeeding duration has been found to be associated with DNA methylation (DNAm) of the LEP gene. Therefore, epigenetic regulation of LEP may represent the mechanism underlying the protective effect of breastfeeding duration against obesity.","author":[{"dropping-particle":"","family":"Sherwood","given":"William B","non-dropping-particle":"","parse-names":false,"suffix":""},{"dropping-particle":"","family":"Bion","given":"Victoria","non-dropping-particle":"","parse-names":false,"suffix":""},{"dropping-particle":"","family":"Lockett","given":"Gabrielle A","non-dropping-particle":"","parse-names":false,"suffix":""},{"dropping-particle":"","family":"Ziyab","given":"Ali H","non-dropping-particle":"","parse-names":false,"suffix":""},{"dropping-particle":"","family":"Soto-Ramírez","given":"Nelís","non-dropping-particle":"","parse-names":false,"suffix":""},{"dropping-particle":"","family":"Mukherjee","given":"Nandini","non-dropping-particle":"","parse-names":false,"suffix":""},{"dropping-particle":"","family":"Kurukulaaratchy","given":"Ramesh J","non-dropping-particle":"","parse-names":false,"suffix":""},{"dropping-particle":"","family":"Ewart","given":"Susan","non-dropping-particle":"","parse-names":false,"suffix":""},{"dropping-particle":"","family":"Zhang","given":"Hongmei","non-dropping-particle":"","parse-names":false,"suffix":""},{"dropping-particle":"","family":"Arshad","given":"S Hasan","non-dropping-particle":"","parse-names":false,"suffix":""},{"dropping-particle":"","family":"Karmaus","given":"Wilfried","non-dropping-particle":"","parse-names":false,"suffix":""},{"dropping-particle":"","family":"Holloway","given":"John W","non-dropping-particle":"","parse-names":false,"suffix":""},{"dropping-particle":"","family":"Rezwan","given":"Faisal I","non-dropping-particle":"","parse-names":false,"suffix":""}],"container-title":"Clinical Epigenetics","id":"ITEM-1","issue":"1","issued":{"date-parts":[["2019"]]},"page":"128","title":"Duration of breastfeeding is associated with leptin (LEP) DNA methylation profiles and BMI in 10-year-old children","type":"article-journal","volume":"11"},"uris":["http://www.mendeley.com/documents/?uuid=3abd0840-4da5-4e63-a655-b30ddc0c1d3c"]}],"mendeley":{"formattedCitation":"&lt;span style=\"baseline\"&gt;[23]&lt;/span&gt;","plainTextFormattedCitation":"[23]","previouslyFormattedCitation":"&lt;span style=\"baseline\"&gt;[23]&lt;/span&gt;"},"properties":{"noteIndex":0},"schema":"https://github.com/citation-style-language/schema/raw/master/csl-citation.json"}</w:instrText>
      </w:r>
      <w:r w:rsidR="005131CE" w:rsidRPr="00190491">
        <w:rPr>
          <w:color w:val="auto"/>
          <w:lang w:val="en-GB"/>
        </w:rPr>
        <w:fldChar w:fldCharType="separate"/>
      </w:r>
      <w:r w:rsidR="005131CE" w:rsidRPr="00333D7D">
        <w:rPr>
          <w:noProof/>
          <w:color w:val="auto"/>
          <w:lang w:val="en-GB"/>
        </w:rPr>
        <w:t>[23]</w:t>
      </w:r>
      <w:r w:rsidR="005131CE" w:rsidRPr="00190491">
        <w:rPr>
          <w:color w:val="auto"/>
          <w:lang w:val="en-GB"/>
        </w:rPr>
        <w:fldChar w:fldCharType="end"/>
      </w:r>
      <w:r w:rsidRPr="00190491">
        <w:rPr>
          <w:color w:val="auto"/>
          <w:lang w:val="en-GB"/>
        </w:rPr>
        <w:t xml:space="preserve">. However, </w:t>
      </w:r>
      <w:r w:rsidR="00973683" w:rsidRPr="00190491">
        <w:rPr>
          <w:color w:val="auto"/>
          <w:lang w:val="en-GB"/>
        </w:rPr>
        <w:t>no</w:t>
      </w:r>
      <w:r w:rsidR="00D84F84" w:rsidRPr="00190491">
        <w:rPr>
          <w:color w:val="auto"/>
          <w:lang w:val="en-GB"/>
        </w:rPr>
        <w:t xml:space="preserve"> significant differentially methylated positions</w:t>
      </w:r>
      <w:r w:rsidR="00EB27A0">
        <w:rPr>
          <w:color w:val="auto"/>
          <w:lang w:val="en-GB"/>
        </w:rPr>
        <w:t xml:space="preserve"> (CpGs)</w:t>
      </w:r>
      <w:r w:rsidR="00D84F84" w:rsidRPr="00190491">
        <w:rPr>
          <w:color w:val="auto"/>
          <w:lang w:val="en-GB"/>
        </w:rPr>
        <w:t xml:space="preserve"> were </w:t>
      </w:r>
      <w:r w:rsidR="00973683" w:rsidRPr="00190491">
        <w:rPr>
          <w:color w:val="auto"/>
          <w:lang w:val="en-GB"/>
        </w:rPr>
        <w:t xml:space="preserve">observed to be </w:t>
      </w:r>
      <w:r w:rsidR="00D84F84" w:rsidRPr="00190491">
        <w:rPr>
          <w:color w:val="auto"/>
          <w:lang w:val="en-GB"/>
        </w:rPr>
        <w:t>associated with breastfeeding.</w:t>
      </w:r>
      <w:r w:rsidR="00973683" w:rsidRPr="00190491">
        <w:rPr>
          <w:color w:val="auto"/>
          <w:lang w:val="en-GB"/>
        </w:rPr>
        <w:t xml:space="preserve"> </w:t>
      </w:r>
      <w:r w:rsidR="00172CE0">
        <w:rPr>
          <w:color w:val="auto"/>
          <w:lang w:val="en-GB"/>
        </w:rPr>
        <w:t xml:space="preserve">With an increase in methylation data collected in </w:t>
      </w:r>
      <w:r w:rsidR="00DA0F93">
        <w:rPr>
          <w:color w:val="auto"/>
          <w:lang w:val="en-GB"/>
        </w:rPr>
        <w:t xml:space="preserve">the </w:t>
      </w:r>
      <w:r w:rsidR="00172CE0">
        <w:rPr>
          <w:color w:val="auto"/>
          <w:lang w:val="en-GB"/>
        </w:rPr>
        <w:t>IOWBC, this</w:t>
      </w:r>
      <w:r w:rsidR="00D910A7" w:rsidRPr="00190491">
        <w:rPr>
          <w:color w:val="auto"/>
          <w:lang w:val="en-GB"/>
        </w:rPr>
        <w:t xml:space="preserve"> </w:t>
      </w:r>
      <w:r w:rsidR="00973683" w:rsidRPr="00190491">
        <w:rPr>
          <w:color w:val="auto"/>
          <w:lang w:val="en-GB"/>
        </w:rPr>
        <w:t>study</w:t>
      </w:r>
      <w:r w:rsidR="0089778C" w:rsidRPr="00190491">
        <w:rPr>
          <w:color w:val="auto"/>
          <w:lang w:val="en-GB"/>
        </w:rPr>
        <w:t xml:space="preserve"> aim</w:t>
      </w:r>
      <w:r w:rsidR="00D910A7" w:rsidRPr="00190491">
        <w:rPr>
          <w:color w:val="auto"/>
          <w:lang w:val="en-GB"/>
        </w:rPr>
        <w:t>s</w:t>
      </w:r>
      <w:r w:rsidR="00973683" w:rsidRPr="00190491">
        <w:rPr>
          <w:color w:val="auto"/>
          <w:lang w:val="en-GB"/>
        </w:rPr>
        <w:t xml:space="preserve"> </w:t>
      </w:r>
      <w:r w:rsidRPr="00190491">
        <w:rPr>
          <w:color w:val="auto"/>
          <w:lang w:val="en-GB"/>
        </w:rPr>
        <w:t>to address the limitations</w:t>
      </w:r>
      <w:r w:rsidR="0089778C" w:rsidRPr="00190491">
        <w:rPr>
          <w:color w:val="auto"/>
          <w:lang w:val="en-GB"/>
        </w:rPr>
        <w:t xml:space="preserve"> in sample size and definition of breastfeeding exposure of th</w:t>
      </w:r>
      <w:r w:rsidR="00172CE0">
        <w:rPr>
          <w:color w:val="auto"/>
          <w:lang w:val="en-GB"/>
        </w:rPr>
        <w:t>e</w:t>
      </w:r>
      <w:r w:rsidR="0089778C" w:rsidRPr="00190491">
        <w:rPr>
          <w:color w:val="auto"/>
          <w:lang w:val="en-GB"/>
        </w:rPr>
        <w:t xml:space="preserve"> pr</w:t>
      </w:r>
      <w:r w:rsidR="00DB4CD8">
        <w:rPr>
          <w:color w:val="auto"/>
          <w:lang w:val="en-GB"/>
        </w:rPr>
        <w:t>e</w:t>
      </w:r>
      <w:r w:rsidR="0089778C" w:rsidRPr="00190491">
        <w:rPr>
          <w:color w:val="auto"/>
          <w:lang w:val="en-GB"/>
        </w:rPr>
        <w:t>vious study</w:t>
      </w:r>
      <w:r w:rsidR="00172CE0">
        <w:rPr>
          <w:color w:val="auto"/>
          <w:lang w:val="en-GB"/>
        </w:rPr>
        <w:t>. We</w:t>
      </w:r>
      <w:r w:rsidR="00226139" w:rsidRPr="00190491">
        <w:rPr>
          <w:color w:val="auto"/>
          <w:lang w:val="en-GB"/>
        </w:rPr>
        <w:t xml:space="preserve"> </w:t>
      </w:r>
      <w:r w:rsidRPr="00190491">
        <w:rPr>
          <w:color w:val="auto"/>
          <w:lang w:val="en-GB"/>
        </w:rPr>
        <w:t>perform</w:t>
      </w:r>
      <w:r w:rsidR="00172CE0">
        <w:rPr>
          <w:color w:val="auto"/>
          <w:lang w:val="en-GB"/>
        </w:rPr>
        <w:t>ed</w:t>
      </w:r>
      <w:r w:rsidRPr="00190491">
        <w:rPr>
          <w:color w:val="auto"/>
          <w:lang w:val="en-GB"/>
        </w:rPr>
        <w:t xml:space="preserve"> a more comprehensive EWAS to identify DNAm patterns </w:t>
      </w:r>
      <w:r w:rsidR="00234AE8" w:rsidRPr="00190491">
        <w:rPr>
          <w:color w:val="auto"/>
          <w:lang w:val="en-GB"/>
        </w:rPr>
        <w:t xml:space="preserve">in childhood </w:t>
      </w:r>
      <w:r w:rsidRPr="00190491">
        <w:rPr>
          <w:color w:val="auto"/>
          <w:lang w:val="en-GB"/>
        </w:rPr>
        <w:t xml:space="preserve">associated with breastfeeding duration and </w:t>
      </w:r>
      <w:r w:rsidR="00172CE0">
        <w:rPr>
          <w:color w:val="auto"/>
          <w:lang w:val="en-GB"/>
        </w:rPr>
        <w:t xml:space="preserve">further </w:t>
      </w:r>
      <w:r w:rsidRPr="00190491">
        <w:rPr>
          <w:color w:val="auto"/>
          <w:lang w:val="en-GB"/>
        </w:rPr>
        <w:t>analyse</w:t>
      </w:r>
      <w:r w:rsidR="00172CE0">
        <w:rPr>
          <w:color w:val="auto"/>
          <w:lang w:val="en-GB"/>
        </w:rPr>
        <w:t>d</w:t>
      </w:r>
      <w:r w:rsidRPr="00190491">
        <w:rPr>
          <w:color w:val="auto"/>
          <w:lang w:val="en-GB"/>
        </w:rPr>
        <w:t xml:space="preserve"> whether these signals persist into later life.</w:t>
      </w:r>
    </w:p>
    <w:p w14:paraId="0003A6F1" w14:textId="77777777" w:rsidR="00935ACF" w:rsidRPr="00190491" w:rsidRDefault="009E6C5C" w:rsidP="009E6C5C">
      <w:pPr>
        <w:pStyle w:val="MDPI21heading1"/>
        <w:rPr>
          <w:lang w:val="en-GB"/>
        </w:rPr>
      </w:pPr>
      <w:r>
        <w:rPr>
          <w:lang w:val="en-GB" w:eastAsia="zh-CN"/>
        </w:rPr>
        <w:t xml:space="preserve">2. </w:t>
      </w:r>
      <w:r w:rsidR="00935ACF" w:rsidRPr="00190491">
        <w:rPr>
          <w:lang w:val="en-GB"/>
        </w:rPr>
        <w:t xml:space="preserve">Materials and Methods </w:t>
      </w:r>
    </w:p>
    <w:p w14:paraId="272828C5" w14:textId="77777777" w:rsidR="00935ACF" w:rsidRPr="009E6C5C" w:rsidRDefault="009E6C5C" w:rsidP="009E6C5C">
      <w:pPr>
        <w:pStyle w:val="MDPI22heading2"/>
        <w:rPr>
          <w:sz w:val="24"/>
          <w:lang w:val="en-GB" w:eastAsia="en-US"/>
        </w:rPr>
      </w:pPr>
      <w:r>
        <w:rPr>
          <w:lang w:val="en-GB"/>
        </w:rPr>
        <w:t xml:space="preserve">2.1. </w:t>
      </w:r>
      <w:r w:rsidR="00935ACF" w:rsidRPr="009E6C5C">
        <w:rPr>
          <w:lang w:val="en-GB"/>
        </w:rPr>
        <w:t>Isle of Wight Birth Cohort</w:t>
      </w:r>
    </w:p>
    <w:p w14:paraId="4AB0D067" w14:textId="77777777" w:rsidR="00935ACF" w:rsidRPr="00190491" w:rsidRDefault="00935ACF" w:rsidP="00935ACF">
      <w:pPr>
        <w:pStyle w:val="MDPI31text"/>
        <w:rPr>
          <w:color w:val="auto"/>
          <w:lang w:val="en-GB"/>
        </w:rPr>
      </w:pPr>
      <w:r w:rsidRPr="00190491">
        <w:rPr>
          <w:color w:val="auto"/>
          <w:lang w:val="en-GB"/>
        </w:rPr>
        <w:lastRenderedPageBreak/>
        <w:t>The Isle of Wight Birth Cohort (IOWBC)</w:t>
      </w:r>
      <w:r w:rsidR="00CF7134">
        <w:rPr>
          <w:color w:val="auto"/>
          <w:lang w:val="en-GB"/>
        </w:rPr>
        <w:t xml:space="preserve">, </w:t>
      </w:r>
      <w:r w:rsidR="00637970">
        <w:rPr>
          <w:color w:val="auto"/>
          <w:lang w:val="en-GB"/>
        </w:rPr>
        <w:t xml:space="preserve">also known as the </w:t>
      </w:r>
      <w:r w:rsidRPr="00190491">
        <w:rPr>
          <w:color w:val="auto"/>
          <w:lang w:val="en-GB"/>
        </w:rPr>
        <w:t>second generation, IoW F</w:t>
      </w:r>
      <w:r w:rsidRPr="006221C0">
        <w:rPr>
          <w:color w:val="auto"/>
          <w:vertAlign w:val="subscript"/>
          <w:lang w:val="en-GB"/>
        </w:rPr>
        <w:t>1</w:t>
      </w:r>
      <w:r w:rsidR="00CF7134">
        <w:rPr>
          <w:color w:val="auto"/>
          <w:lang w:val="en-GB"/>
        </w:rPr>
        <w:t>,</w:t>
      </w:r>
      <w:r w:rsidRPr="00190491">
        <w:rPr>
          <w:color w:val="auto"/>
          <w:lang w:val="en-GB"/>
        </w:rPr>
        <w:t xml:space="preserve"> is a general population birth cohort (n=1536) recruited between 1989 and 1990</w:t>
      </w:r>
      <w:r w:rsidR="003279C9" w:rsidRPr="00190491">
        <w:rPr>
          <w:color w:val="auto"/>
          <w:lang w:val="en-GB"/>
        </w:rPr>
        <w:t xml:space="preserve"> </w:t>
      </w:r>
      <w:r w:rsidR="003279C9" w:rsidRPr="00190491">
        <w:rPr>
          <w:color w:val="auto"/>
          <w:lang w:val="en-GB"/>
        </w:rPr>
        <w:fldChar w:fldCharType="begin" w:fldLock="1"/>
      </w:r>
      <w:r w:rsidR="00E6617B">
        <w:rPr>
          <w:color w:val="auto"/>
          <w:lang w:val="en-GB"/>
        </w:rPr>
        <w:instrText>ADDIN CSL_CITATION {"citationItems":[{"id":"ITEM-1","itemData":{"DOI":"10.1093/ije/dyy023","author":[{"dropping-particle":"","family":"Arshad","given":"S. Hasan","non-dropping-particle":"","parse-names":false,"suffix":""},{"dropping-particle":"","family":"Holloway","given":"John W.","non-dropping-particle":"","parse-names":false,"suffix":""},{"dropping-particle":"","family":"Karmaus","given":"Wilfried","non-dropping-particle":"","parse-names":false,"suffix":""},{"dropping-particle":"","family":"Zhang","given":"Hongmei","non-dropping-particle":"","parse-names":false,"suffix":""},{"dropping-particle":"","family":"Ewart","given":"Susan","non-dropping-particle":"","parse-names":false,"suffix":""},{"dropping-particle":"","family":"Mansfield","given":"Linda","non-dropping-particle":"","parse-names":false,"suffix":""},{"dropping-particle":"","family":"Matthews","given":"Sharon","non-dropping-particle":"","parse-names":false,"suffix":""},{"dropping-particle":"","family":"Hodgekiss","given":"Claire","non-dropping-particle":"","parse-names":false,"suffix":""},{"dropping-particle":"","family":"Roberts","given":"Graham","non-dropping-particle":"","parse-names":false,"suffix":""},{"dropping-particle":"","family":"Kurukulaaratchy","given":"Ramesh","non-dropping-particle":"","parse-names":false,"suffix":""}],"container-title":"International Journal of Epidemiology","id":"ITEM-1","issued":{"date-parts":[["2018","3"]]},"title":"Cohort Profile: The Isle Of Wight Whole Population Birth Cohort (IOWBC)","type":"article-journal"},"uris":["http://www.mendeley.com/documents/?uuid=00c21a42-4f02-4bd9-a107-e3bd7255f21e"]},{"id":"ITEM-2","itemData":{"DOI":"10.1016/j.jaci.2016.12.002","author":[{"dropping-particle":"","family":"Arshad","given":"S. Hasan","non-dropping-particle":"","parse-names":false,"suffix":""},{"dropping-particle":"","family":"Karmaus","given":"Wilfried","non-dropping-particle":"","parse-names":false,"suffix":""},{"dropping-particle":"","family":"Zhang","given":"Hongmei","non-dropping-particle":"","parse-names":false,"suffix":""},{"dropping-particle":"","family":"Holloway","given":"John W.","non-dropping-particle":"","parse-names":false,"suffix":""}],"container-title":"Journal of Allergy and Clinical Immunology","id":"ITEM-2","issue":"2","issued":{"date-parts":[["2017","2"]]},"page":"415–421","title":"Multigenerational cohorts in patients with asthma and allergy","type":"article-journal","volume":"139"},"uris":["http://www.mendeley.com/documents/?uuid=42a8e8bd-56dd-49e4-9821-ee8489d633f1"]}],"mendeley":{"formattedCitation":"&lt;span style=\"baseline\"&gt;[24, 25]&lt;/span&gt;","manualFormatting":"[24-25]","plainTextFormattedCitation":"[24, 25]","previouslyFormattedCitation":"&lt;span style=\"baseline\"&gt;[24, 25]&lt;/span&gt;"},"properties":{"noteIndex":0},"schema":"https://github.com/citation-style-language/schema/raw/master/csl-citation.json"}</w:instrText>
      </w:r>
      <w:r w:rsidR="003279C9" w:rsidRPr="00190491">
        <w:rPr>
          <w:color w:val="auto"/>
          <w:lang w:val="en-GB"/>
        </w:rPr>
        <w:fldChar w:fldCharType="separate"/>
      </w:r>
      <w:r w:rsidR="001F7A59" w:rsidRPr="00190491">
        <w:rPr>
          <w:noProof/>
          <w:color w:val="auto"/>
          <w:lang w:val="en-GB"/>
        </w:rPr>
        <w:t>[24</w:t>
      </w:r>
      <w:r w:rsidR="00A64E89" w:rsidRPr="00190491">
        <w:rPr>
          <w:noProof/>
          <w:color w:val="auto"/>
          <w:lang w:val="en-GB"/>
        </w:rPr>
        <w:t>-</w:t>
      </w:r>
      <w:r w:rsidR="001F7A59" w:rsidRPr="00190491">
        <w:rPr>
          <w:noProof/>
          <w:color w:val="auto"/>
          <w:lang w:val="en-GB"/>
        </w:rPr>
        <w:t>25]</w:t>
      </w:r>
      <w:r w:rsidR="003279C9" w:rsidRPr="00190491">
        <w:rPr>
          <w:color w:val="auto"/>
          <w:lang w:val="en-GB"/>
        </w:rPr>
        <w:fldChar w:fldCharType="end"/>
      </w:r>
      <w:r w:rsidRPr="00190491">
        <w:rPr>
          <w:color w:val="auto"/>
          <w:lang w:val="en-GB"/>
        </w:rPr>
        <w:t>. The parents (first generation, IoW F</w:t>
      </w:r>
      <w:r w:rsidRPr="006221C0">
        <w:rPr>
          <w:color w:val="auto"/>
          <w:vertAlign w:val="subscript"/>
          <w:lang w:val="en-GB"/>
        </w:rPr>
        <w:t>0</w:t>
      </w:r>
      <w:r w:rsidRPr="00190491">
        <w:rPr>
          <w:color w:val="auto"/>
          <w:lang w:val="en-GB"/>
        </w:rPr>
        <w:t>) of all infants born in the Isle of Wight over this period were contacted at birth and 1456 infants, for whom informed consent was obtained, were enrolled into the longitudinal study. Participants were followed up at 1 or 2, 4, 10, 18 and 26 years to collect information on allergic disease status and environmental exposures, including breastfeeding practice and infant nutrition</w:t>
      </w:r>
      <w:r w:rsidR="00500BF9" w:rsidRPr="00190491">
        <w:rPr>
          <w:color w:val="auto"/>
          <w:lang w:val="en-GB"/>
        </w:rPr>
        <w:t xml:space="preserve"> </w:t>
      </w:r>
      <w:r w:rsidR="00500BF9" w:rsidRPr="00190491">
        <w:rPr>
          <w:color w:val="auto"/>
          <w:lang w:val="en-GB"/>
        </w:rPr>
        <w:fldChar w:fldCharType="begin" w:fldLock="1"/>
      </w:r>
      <w:r w:rsidR="00E6617B">
        <w:rPr>
          <w:color w:val="auto"/>
          <w:lang w:val="en-GB"/>
        </w:rPr>
        <w:instrText>ADDIN CSL_CITATION {"citationItems":[{"id":"ITEM-1","itemData":{"ISSN":"0091-6749","abstract":"A total of 1167 infants were followed for 1 year in a population-based prospective study to assess the effect of environmental factors on the development of allergic disorders. Some of these environmental factors are interdependent. Mothers who formula fed their infants smoked more often (p less than 0.001) and tended to belong to lower social classes (p less than 0.01). Logistic regression analysis was performed to adjust for these confounding variables. Maternal smoking adversely affected the prevalence of asthma (p = 0.003) defined as three or more separate episodes of wheezing and total allergy (p = 0.02). Infants in lower socioeconomic groups developed asthma significantly more often (p = 0.03) than infants born in higher socioeconomic groups. There was a nonsignificant trend for infants born in summer to develop asthma more than infants born in winter (p = 0.08). No effect of these factors was observed on eczema, food intolerance, or on the subgroup of infants with definite allergy (clinical disorder with positive skin prick test [SPT]). Exposure to animal dander did not influence the prevalence of clinical disorder, but positive SPT reaction to cat dander was more prevalent in infants who were exposed to cats and/or dogs (p = 0.04). Positive SPT to house dust mite occurred significantly more often in infants who were formula fed (p = 0.05). The environmental factors had a profound effect on the prevalence of asthma but not on other allergic disorders.","author":[{"dropping-particle":"","family":"Arshad","given":"S. H.","non-dropping-particle":"","parse-names":false,"suffix":""},{"dropping-particle":"","family":"Hide","given":"D. W.","non-dropping-particle":"","parse-names":false,"suffix":""}],"container-title":"The Journal of Allergy and Clinical Immunology","id":"ITEM-1","issue":"2","issued":{"date-parts":[["1992","8"]]},"language":"eng","page":"235-241","title":"Effect of environmental factors on the development of allergic disorders in infancy","type":"article-journal","volume":"90"},"uris":["http://www.mendeley.com/documents/?uuid=24d61dac-0a97-42e0-989c-2eb34ce8e9bf"]}],"mendeley":{"formattedCitation":"&lt;span style=\"baseline\"&gt;[26]&lt;/span&gt;","plainTextFormattedCitation":"[26]","previouslyFormattedCitation":"&lt;span style=\"baseline\"&gt;[26]&lt;/span&gt;"},"properties":{"noteIndex":0},"schema":"https://github.com/citation-style-language/schema/raw/master/csl-citation.json"}</w:instrText>
      </w:r>
      <w:r w:rsidR="00500BF9" w:rsidRPr="00190491">
        <w:rPr>
          <w:color w:val="auto"/>
          <w:lang w:val="en-GB"/>
        </w:rPr>
        <w:fldChar w:fldCharType="separate"/>
      </w:r>
      <w:r w:rsidR="00333D7D" w:rsidRPr="00333D7D">
        <w:rPr>
          <w:noProof/>
          <w:color w:val="auto"/>
          <w:lang w:val="en-GB"/>
        </w:rPr>
        <w:t>[26]</w:t>
      </w:r>
      <w:r w:rsidR="00500BF9" w:rsidRPr="00190491">
        <w:rPr>
          <w:color w:val="auto"/>
          <w:lang w:val="en-GB"/>
        </w:rPr>
        <w:fldChar w:fldCharType="end"/>
      </w:r>
      <w:r w:rsidRPr="00190491">
        <w:rPr>
          <w:color w:val="auto"/>
          <w:lang w:val="en-GB"/>
        </w:rPr>
        <w:t xml:space="preserve">. Data on breastfeeding was available for 1332 participants. In addition, peripheral blood samples were collected at birth (neonatal heel prick on Guthrie cards) and at 10, 18 and 26 years. </w:t>
      </w:r>
    </w:p>
    <w:p w14:paraId="7C37E7FA" w14:textId="77777777" w:rsidR="00935ACF" w:rsidRPr="009E6C5C" w:rsidRDefault="009E6C5C" w:rsidP="009E6C5C">
      <w:pPr>
        <w:pStyle w:val="MDPI22heading2"/>
        <w:rPr>
          <w:lang w:val="en-GB"/>
        </w:rPr>
      </w:pPr>
      <w:r>
        <w:rPr>
          <w:lang w:val="en-GB"/>
        </w:rPr>
        <w:t xml:space="preserve">2.2. </w:t>
      </w:r>
      <w:r w:rsidR="00935ACF" w:rsidRPr="009E6C5C">
        <w:rPr>
          <w:lang w:val="en-GB"/>
        </w:rPr>
        <w:t xml:space="preserve">DNA extraction and </w:t>
      </w:r>
      <w:r w:rsidR="00845E8A" w:rsidRPr="009E6C5C">
        <w:rPr>
          <w:lang w:val="en-GB"/>
        </w:rPr>
        <w:t>micro</w:t>
      </w:r>
      <w:r w:rsidR="00935ACF" w:rsidRPr="009E6C5C">
        <w:rPr>
          <w:lang w:val="en-GB"/>
        </w:rPr>
        <w:t>array</w:t>
      </w:r>
    </w:p>
    <w:p w14:paraId="07CB6134" w14:textId="77777777" w:rsidR="00935ACF" w:rsidRPr="00190491" w:rsidRDefault="00935ACF" w:rsidP="00935ACF">
      <w:pPr>
        <w:pStyle w:val="MDPI31text"/>
        <w:rPr>
          <w:color w:val="auto"/>
          <w:lang w:val="en-GB"/>
        </w:rPr>
      </w:pPr>
      <w:r w:rsidRPr="00190491">
        <w:rPr>
          <w:color w:val="auto"/>
          <w:lang w:val="en-GB"/>
        </w:rPr>
        <w:t>DNA was extracted from peripheral blood samples using a standard salting</w:t>
      </w:r>
      <w:r w:rsidR="00715534">
        <w:rPr>
          <w:color w:val="auto"/>
          <w:lang w:val="en-GB"/>
        </w:rPr>
        <w:t>-</w:t>
      </w:r>
      <w:r w:rsidRPr="00190491">
        <w:rPr>
          <w:color w:val="auto"/>
          <w:lang w:val="en-GB"/>
        </w:rPr>
        <w:t>out procedure. Approximately 1μg of DNA was bisulfite-treated following the EZ 96-DNA methylation kit (Zymo Research, Irvine, CA, USA) standard protocol. DNAm levels were measured for each sample using the Infinium MethylationEPIC BeadChips from Illumina (Illumina, San Diego, CA, USA) following the manufacturer’s standard protocol. DNAm data (β values) underwent pre-processing for quality control following the CPACOR pipeline</w:t>
      </w:r>
      <w:r w:rsidR="00500BF9" w:rsidRPr="00190491">
        <w:rPr>
          <w:color w:val="auto"/>
          <w:lang w:val="en-GB"/>
        </w:rPr>
        <w:t xml:space="preserve"> </w:t>
      </w:r>
      <w:r w:rsidR="00500BF9" w:rsidRPr="00190491">
        <w:rPr>
          <w:color w:val="auto"/>
          <w:lang w:val="en-GB"/>
        </w:rPr>
        <w:fldChar w:fldCharType="begin" w:fldLock="1"/>
      </w:r>
      <w:r w:rsidR="00E6617B">
        <w:rPr>
          <w:color w:val="auto"/>
          <w:lang w:val="en-GB"/>
        </w:rPr>
        <w:instrText>ADDIN CSL_CITATION {"citationItems":[{"id":"ITEM-1","itemData":{"DOI":"10.1186/s13059-015-0600-x","author":[{"dropping-particle":"","family":"Lehne","given":"Benjamin","non-dropping-particle":"","parse-names":false,"suffix":""},{"dropping-particle":"","family":"Drong","given":"Alexander W.","non-dropping-particle":"","parse-names":false,"suffix":""},{"dropping-particle":"","family":"Loh","given":"Marie","non-dropping-particle":"","parse-names":false,"suffix":""},{"dropping-particle":"","family":"Zhang","given":"Weihua","non-dropping-particle":"","parse-names":false,"suffix":""},{"dropping-particle":"","family":"Scott","given":"William R.","non-dropping-particle":"","parse-names":false,"suffix":""},{"dropping-particle":"","family":"Tan","given":"Sian-Tsung","non-dropping-particle":"","parse-names":false,"suffix":""},{"dropping-particle":"","family":"Afzal","given":"Uzma","non-dropping-particle":"","parse-names":false,"suffix":""},{"dropping-particle":"","family":"Scott","given":"James","non-dropping-particle":"","parse-names":false,"suffix":""},{"dropping-particle":"","family":"Jarvelin","given":"Marjo-Riitta","non-dropping-particle":"","parse-names":false,"suffix":""},{"dropping-particle":"","family":"Elliott","given":"Paul","non-dropping-particle":"","parse-names":false,"suffix":""},{"dropping-particle":"","family":"McCarthy","given":"Mark I.","non-dropping-particle":"","parse-names":false,"suffix":""},{"dropping-particle":"","family":"Kooner","given":"Jaspal S.","non-dropping-particle":"","parse-names":false,"suffix":""},{"dropping-particle":"","family":"Chambers","given":"John C.","non-dropping-particle":"","parse-names":false,"suffix":""}],"container-title":"Genome Biology","id":"ITEM-1","issue":"1","issued":{"date-parts":[["2015","2"]]},"title":"A coherent approach for analysis of the Illumina HumanMethylation450 BeadChip improves data quality and performance in epigenome-wide association studies","type":"article-journal","volume":"16"},"uris":["http://www.mendeley.com/documents/?uuid=f6afa869-cbc8-4ccd-98aa-98c2a01efd38"]}],"mendeley":{"formattedCitation":"&lt;span style=\"baseline\"&gt;[27]&lt;/span&gt;","plainTextFormattedCitation":"[27]","previouslyFormattedCitation":"&lt;span style=\"baseline\"&gt;[27]&lt;/span&gt;"},"properties":{"noteIndex":0},"schema":"https://github.com/citation-style-language/schema/raw/master/csl-citation.json"}</w:instrText>
      </w:r>
      <w:r w:rsidR="00500BF9" w:rsidRPr="00190491">
        <w:rPr>
          <w:color w:val="auto"/>
          <w:lang w:val="en-GB"/>
        </w:rPr>
        <w:fldChar w:fldCharType="separate"/>
      </w:r>
      <w:r w:rsidR="00333D7D" w:rsidRPr="00333D7D">
        <w:rPr>
          <w:noProof/>
          <w:color w:val="auto"/>
          <w:lang w:val="en-GB"/>
        </w:rPr>
        <w:t>[27]</w:t>
      </w:r>
      <w:r w:rsidR="00500BF9" w:rsidRPr="00190491">
        <w:rPr>
          <w:color w:val="auto"/>
          <w:lang w:val="en-GB"/>
        </w:rPr>
        <w:fldChar w:fldCharType="end"/>
      </w:r>
      <w:r w:rsidRPr="00190491">
        <w:rPr>
          <w:color w:val="auto"/>
          <w:lang w:val="en-GB"/>
        </w:rPr>
        <w:t xml:space="preserve"> and batch effect correct</w:t>
      </w:r>
      <w:r w:rsidR="00022AD9" w:rsidRPr="00190491">
        <w:rPr>
          <w:color w:val="auto"/>
          <w:lang w:val="en-GB"/>
        </w:rPr>
        <w:t>ion</w:t>
      </w:r>
      <w:r w:rsidRPr="00190491">
        <w:rPr>
          <w:color w:val="auto"/>
          <w:lang w:val="en-GB"/>
        </w:rPr>
        <w:t xml:space="preserve"> using ComBat</w:t>
      </w:r>
      <w:r w:rsidR="00500BF9" w:rsidRPr="00190491">
        <w:rPr>
          <w:color w:val="auto"/>
          <w:lang w:val="en-GB"/>
        </w:rPr>
        <w:t xml:space="preserve"> </w:t>
      </w:r>
      <w:r w:rsidR="00500BF9" w:rsidRPr="00190491">
        <w:rPr>
          <w:color w:val="auto"/>
          <w:lang w:val="en-GB"/>
        </w:rPr>
        <w:fldChar w:fldCharType="begin" w:fldLock="1"/>
      </w:r>
      <w:r w:rsidR="00E6617B">
        <w:rPr>
          <w:color w:val="auto"/>
          <w:lang w:val="en-GB"/>
        </w:rPr>
        <w:instrText>ADDIN CSL_CITATION {"citationItems":[{"id":"ITEM-1","itemData":{"DOI":"10.1093/biostatistics/kxj037","author":[{"dropping-particle":"","family":"Johnson","given":"W. E.","non-dropping-particle":"","parse-names":false,"suffix":""},{"dropping-particle":"","family":"Li","given":"C.","non-dropping-particle":"","parse-names":false,"suffix":""},{"dropping-particle":"","family":"Rabinovic","given":"A.","non-dropping-particle":"","parse-names":false,"suffix":""}],"container-title":"Biostatistics","id":"ITEM-1","issue":"1","issued":{"date-parts":[["2006","4"]]},"page":"118–127","title":"Adjusting batch effects in microarray expression data using empirical Bayes methods","type":"article-journal","volume":"8"},"uris":["http://www.mendeley.com/documents/?uuid=e9b3df80-f744-477a-8e37-86e42f5df25b"]}],"mendeley":{"formattedCitation":"&lt;span style=\"baseline\"&gt;[28]&lt;/span&gt;","plainTextFormattedCitation":"[28]","previouslyFormattedCitation":"&lt;span style=\"baseline\"&gt;[28]&lt;/span&gt;"},"properties":{"noteIndex":0},"schema":"https://github.com/citation-style-language/schema/raw/master/csl-citation.json"}</w:instrText>
      </w:r>
      <w:r w:rsidR="00500BF9" w:rsidRPr="00190491">
        <w:rPr>
          <w:color w:val="auto"/>
          <w:lang w:val="en-GB"/>
        </w:rPr>
        <w:fldChar w:fldCharType="separate"/>
      </w:r>
      <w:r w:rsidR="00333D7D" w:rsidRPr="00333D7D">
        <w:rPr>
          <w:noProof/>
          <w:color w:val="auto"/>
          <w:lang w:val="en-GB"/>
        </w:rPr>
        <w:t>[28]</w:t>
      </w:r>
      <w:r w:rsidR="00500BF9" w:rsidRPr="00190491">
        <w:rPr>
          <w:color w:val="auto"/>
          <w:lang w:val="en-GB"/>
        </w:rPr>
        <w:fldChar w:fldCharType="end"/>
      </w:r>
      <w:r w:rsidRPr="00190491">
        <w:rPr>
          <w:color w:val="auto"/>
          <w:lang w:val="en-GB"/>
        </w:rPr>
        <w:t>. Polymorphic and cross-hybridised probes were removed as described by McCartney et al.</w:t>
      </w:r>
      <w:r w:rsidR="00500BF9" w:rsidRPr="00190491">
        <w:rPr>
          <w:color w:val="auto"/>
          <w:lang w:val="en-GB"/>
        </w:rPr>
        <w:t xml:space="preserve"> </w:t>
      </w:r>
      <w:r w:rsidR="00500BF9" w:rsidRPr="00190491">
        <w:rPr>
          <w:color w:val="auto"/>
          <w:lang w:val="en-GB"/>
        </w:rPr>
        <w:fldChar w:fldCharType="begin" w:fldLock="1"/>
      </w:r>
      <w:r w:rsidR="00E6617B">
        <w:rPr>
          <w:color w:val="auto"/>
          <w:lang w:val="en-GB"/>
        </w:rPr>
        <w:instrText>ADDIN CSL_CITATION {"citationItems":[{"id":"ITEM-1","itemData":{"DOI":"10.1016/J.GDATA.2016.05.012","ISSN":"2213-5960","abstract":"Genome-wide analysis of DNA methylation has now become a relatively inexpensive technique thanks to array-based methylation profiling technologies. The recently developed Illumina Infinium MethylationEPIC BeadChip interrogates methylation at over 850,000 sites across the human genome, covering 99% of RefSeq genes. This array supersedes the widely used Infinium HumanMethylation450 BeadChip, which has permitted insights into the relationship between DNA methylation and a wide range of conditions and traits. Previous research has identified issues with certain probes on both the HumanMethylation450 BeadChip and its predecessor, the Infinium HumanMethylation27 BeadChip, which were predicted to affect array performance. These issues concerned probe-binding specificity and the presence of polymorphisms at target sites. Using in silico methods, we have identified probes on the Infinium MethylationEPIC BeadChip that are predicted to (i) measure methylation at polymorphic sites and (ii) hybridise to multiple genomic regions. We intend these resources to be used for quality control procedures when analysing data derived from this platform.","author":[{"dropping-particle":"","family":"McCartney","given":"Daniel L.","non-dropping-particle":"","parse-names":false,"suffix":""},{"dropping-particle":"","family":"Walker","given":"Rosie M.","non-dropping-particle":"","parse-names":false,"suffix":""},{"dropping-particle":"","family":"Morris","given":"Stewart W.","non-dropping-particle":"","parse-names":false,"suffix":""},{"dropping-particle":"","family":"McIntosh","given":"Andrew M.","non-dropping-particle":"","parse-names":false,"suffix":""},{"dropping-particle":"","family":"Porteous","given":"David J.","non-dropping-particle":"","parse-names":false,"suffix":""},{"dropping-particle":"","family":"Evans","given":"Kathryn L.","non-dropping-particle":"","parse-names":false,"suffix":""}],"container-title":"Genomics Data","id":"ITEM-1","issued":{"date-parts":[["2016","9","1"]]},"page":"22-24","publisher":"Elsevier","title":"Identification of polymorphic and off-target probe binding sites on the Illumina Infinium MethylationEPIC BeadChip","type":"article-journal","volume":"9"},"uris":["http://www.mendeley.com/documents/?uuid=c7ce55e5-c76c-3d6e-986c-b9da5dcec56d"]}],"mendeley":{"formattedCitation":"&lt;span style=\"baseline\"&gt;[29]&lt;/span&gt;","plainTextFormattedCitation":"[29]","previouslyFormattedCitation":"&lt;span style=\"baseline\"&gt;[29]&lt;/span&gt;"},"properties":{"noteIndex":0},"schema":"https://github.com/citation-style-language/schema/raw/master/csl-citation.json"}</w:instrText>
      </w:r>
      <w:r w:rsidR="00500BF9" w:rsidRPr="00190491">
        <w:rPr>
          <w:color w:val="auto"/>
          <w:lang w:val="en-GB"/>
        </w:rPr>
        <w:fldChar w:fldCharType="separate"/>
      </w:r>
      <w:r w:rsidR="00333D7D" w:rsidRPr="00333D7D">
        <w:rPr>
          <w:noProof/>
          <w:color w:val="auto"/>
          <w:lang w:val="en-GB"/>
        </w:rPr>
        <w:t>[29]</w:t>
      </w:r>
      <w:r w:rsidR="00500BF9" w:rsidRPr="00190491">
        <w:rPr>
          <w:color w:val="auto"/>
          <w:lang w:val="en-GB"/>
        </w:rPr>
        <w:fldChar w:fldCharType="end"/>
      </w:r>
      <w:r w:rsidR="00022AD9" w:rsidRPr="00190491">
        <w:rPr>
          <w:color w:val="auto"/>
          <w:lang w:val="en-GB"/>
        </w:rPr>
        <w:t>,</w:t>
      </w:r>
      <w:r w:rsidRPr="00190491">
        <w:rPr>
          <w:color w:val="auto"/>
          <w:lang w:val="en-GB"/>
        </w:rPr>
        <w:t xml:space="preserve"> leaving 538,693 CpGs for analysis.</w:t>
      </w:r>
    </w:p>
    <w:p w14:paraId="205CB347" w14:textId="77777777" w:rsidR="00935ACF" w:rsidRPr="00190491" w:rsidRDefault="00935ACF" w:rsidP="00935ACF">
      <w:pPr>
        <w:pStyle w:val="MDPI31text"/>
        <w:rPr>
          <w:color w:val="auto"/>
          <w:lang w:val="en-GB"/>
        </w:rPr>
      </w:pPr>
      <w:r w:rsidRPr="00190491">
        <w:rPr>
          <w:color w:val="auto"/>
          <w:lang w:val="en-GB"/>
        </w:rPr>
        <w:t xml:space="preserve">DNAm data was available for </w:t>
      </w:r>
      <w:r w:rsidR="003061DA" w:rsidRPr="00190491">
        <w:rPr>
          <w:color w:val="auto"/>
          <w:lang w:val="en-GB"/>
        </w:rPr>
        <w:t xml:space="preserve">885, </w:t>
      </w:r>
      <w:r w:rsidRPr="00190491">
        <w:rPr>
          <w:color w:val="auto"/>
          <w:lang w:val="en-GB"/>
        </w:rPr>
        <w:t xml:space="preserve">410, 109 and 302 participants at </w:t>
      </w:r>
      <w:r w:rsidR="003061DA" w:rsidRPr="00190491">
        <w:rPr>
          <w:color w:val="auto"/>
          <w:lang w:val="en-GB"/>
        </w:rPr>
        <w:t xml:space="preserve">birth, </w:t>
      </w:r>
      <w:r w:rsidRPr="00190491">
        <w:rPr>
          <w:color w:val="auto"/>
          <w:lang w:val="en-GB"/>
        </w:rPr>
        <w:t xml:space="preserve">10, 18 and 26 years, respectively. For singleton analysis, one participant was randomly removed from one pair of twins in the 10 years samples (n=409).  Participants with </w:t>
      </w:r>
      <w:r w:rsidR="004D049A" w:rsidRPr="00190491">
        <w:rPr>
          <w:color w:val="auto"/>
          <w:lang w:val="en-GB"/>
        </w:rPr>
        <w:t xml:space="preserve">both </w:t>
      </w:r>
      <w:r w:rsidRPr="00190491">
        <w:rPr>
          <w:color w:val="auto"/>
          <w:lang w:val="en-GB"/>
        </w:rPr>
        <w:t xml:space="preserve">phenotypic and DNAm data at 10 years (n=356) were used for the EWAS whilst </w:t>
      </w:r>
      <w:r w:rsidR="004D049A" w:rsidRPr="00190491">
        <w:rPr>
          <w:color w:val="auto"/>
          <w:lang w:val="en-GB"/>
        </w:rPr>
        <w:t xml:space="preserve">such data at </w:t>
      </w:r>
      <w:r w:rsidR="003061DA" w:rsidRPr="00190491">
        <w:rPr>
          <w:color w:val="auto"/>
          <w:lang w:val="en-GB"/>
        </w:rPr>
        <w:t xml:space="preserve">birth, </w:t>
      </w:r>
      <w:r w:rsidRPr="00190491">
        <w:rPr>
          <w:color w:val="auto"/>
          <w:lang w:val="en-GB"/>
        </w:rPr>
        <w:t>18 and 26 year</w:t>
      </w:r>
      <w:r w:rsidR="004D049A" w:rsidRPr="00190491">
        <w:rPr>
          <w:color w:val="auto"/>
          <w:lang w:val="en-GB"/>
        </w:rPr>
        <w:t>s</w:t>
      </w:r>
      <w:r w:rsidRPr="00190491">
        <w:rPr>
          <w:color w:val="auto"/>
          <w:lang w:val="en-GB"/>
        </w:rPr>
        <w:t xml:space="preserve"> were used for the follow-up analyses. </w:t>
      </w:r>
    </w:p>
    <w:p w14:paraId="1F5664CA" w14:textId="77777777" w:rsidR="00935ACF" w:rsidRPr="009E6C5C" w:rsidRDefault="009E6C5C" w:rsidP="009E6C5C">
      <w:pPr>
        <w:pStyle w:val="MDPI22heading2"/>
        <w:rPr>
          <w:vertAlign w:val="subscript"/>
          <w:lang w:val="en-GB"/>
        </w:rPr>
      </w:pPr>
      <w:r>
        <w:rPr>
          <w:lang w:val="en-GB"/>
        </w:rPr>
        <w:t xml:space="preserve">2.3. </w:t>
      </w:r>
      <w:r w:rsidR="00935ACF" w:rsidRPr="009E6C5C">
        <w:rPr>
          <w:lang w:val="en-GB"/>
        </w:rPr>
        <w:t>Genotyping and imputation</w:t>
      </w:r>
    </w:p>
    <w:p w14:paraId="5065637C" w14:textId="77777777" w:rsidR="00935ACF" w:rsidRPr="00190491" w:rsidRDefault="00004BE1" w:rsidP="009E6C5C">
      <w:pPr>
        <w:pStyle w:val="MDPI31text"/>
        <w:rPr>
          <w:lang w:val="en-GB"/>
        </w:rPr>
      </w:pPr>
      <w:r w:rsidRPr="00190491">
        <w:rPr>
          <w:lang w:val="en-GB"/>
        </w:rPr>
        <w:t>DNA from blood s</w:t>
      </w:r>
      <w:r w:rsidR="005A36B4" w:rsidRPr="00190491">
        <w:rPr>
          <w:lang w:val="en-GB"/>
        </w:rPr>
        <w:t xml:space="preserve">amples </w:t>
      </w:r>
      <w:r w:rsidR="00D86A6C" w:rsidRPr="00190491">
        <w:rPr>
          <w:lang w:val="en-GB"/>
        </w:rPr>
        <w:t>(</w:t>
      </w:r>
      <w:r w:rsidR="00222641" w:rsidRPr="00190491">
        <w:rPr>
          <w:lang w:val="en-GB"/>
        </w:rPr>
        <w:t xml:space="preserve">Isle of </w:t>
      </w:r>
      <w:r w:rsidR="000445F9">
        <w:rPr>
          <w:lang w:val="en-GB"/>
        </w:rPr>
        <w:t>Wight</w:t>
      </w:r>
      <w:r w:rsidR="000445F9" w:rsidRPr="00190491">
        <w:rPr>
          <w:lang w:val="en-GB"/>
        </w:rPr>
        <w:t xml:space="preserve"> </w:t>
      </w:r>
      <w:r w:rsidR="00222641" w:rsidRPr="00190491">
        <w:rPr>
          <w:lang w:val="en-GB"/>
        </w:rPr>
        <w:t>Birth Cohort, n=</w:t>
      </w:r>
      <w:r w:rsidR="00D53B3F" w:rsidRPr="00190491">
        <w:rPr>
          <w:lang w:val="en-GB"/>
        </w:rPr>
        <w:t>1101</w:t>
      </w:r>
      <w:r w:rsidR="00222641" w:rsidRPr="00190491">
        <w:rPr>
          <w:lang w:val="en-GB"/>
        </w:rPr>
        <w:t xml:space="preserve">) </w:t>
      </w:r>
      <w:r w:rsidR="005A36B4" w:rsidRPr="00190491">
        <w:rPr>
          <w:lang w:val="en-GB"/>
        </w:rPr>
        <w:t>were genotyped using the Illumina InfiniumOmni2.5-8v1.3</w:t>
      </w:r>
      <w:r w:rsidR="00D86A6C" w:rsidRPr="00190491">
        <w:rPr>
          <w:lang w:val="en-GB"/>
        </w:rPr>
        <w:t xml:space="preserve"> microarray</w:t>
      </w:r>
      <w:r w:rsidR="00CA7E22" w:rsidRPr="00190491">
        <w:rPr>
          <w:lang w:val="en-GB"/>
        </w:rPr>
        <w:t xml:space="preserve">. </w:t>
      </w:r>
      <w:r w:rsidR="0089778C" w:rsidRPr="00190491">
        <w:rPr>
          <w:lang w:val="en-GB"/>
        </w:rPr>
        <w:t>S</w:t>
      </w:r>
      <w:r w:rsidR="009635E3" w:rsidRPr="00190491">
        <w:rPr>
          <w:lang w:val="en-GB"/>
        </w:rPr>
        <w:t>tandar</w:t>
      </w:r>
      <w:r w:rsidR="00CA7E22" w:rsidRPr="00190491">
        <w:rPr>
          <w:lang w:val="en-GB"/>
        </w:rPr>
        <w:t xml:space="preserve">d </w:t>
      </w:r>
      <w:r w:rsidR="00D86A6C" w:rsidRPr="00190491">
        <w:rPr>
          <w:lang w:val="en-GB"/>
        </w:rPr>
        <w:t xml:space="preserve">quality control (QC) </w:t>
      </w:r>
      <w:r w:rsidR="00CA7E22" w:rsidRPr="00190491">
        <w:rPr>
          <w:lang w:val="en-GB"/>
        </w:rPr>
        <w:t>measures</w:t>
      </w:r>
      <w:r w:rsidR="0089778C" w:rsidRPr="00190491">
        <w:rPr>
          <w:lang w:val="en-GB"/>
        </w:rPr>
        <w:t xml:space="preserve"> were applied</w:t>
      </w:r>
      <w:r w:rsidR="00CA7E22" w:rsidRPr="00190491">
        <w:rPr>
          <w:lang w:val="en-GB"/>
        </w:rPr>
        <w:t xml:space="preserve"> to the genotype data to exclude </w:t>
      </w:r>
      <w:r w:rsidR="009635E3" w:rsidRPr="00190491">
        <w:rPr>
          <w:lang w:val="en-GB"/>
        </w:rPr>
        <w:t>samples</w:t>
      </w:r>
      <w:r w:rsidR="00D86A6C" w:rsidRPr="00190491">
        <w:rPr>
          <w:lang w:val="en-GB"/>
        </w:rPr>
        <w:t xml:space="preserve"> with</w:t>
      </w:r>
      <w:r w:rsidR="009635E3" w:rsidRPr="00190491">
        <w:rPr>
          <w:lang w:val="en-GB"/>
        </w:rPr>
        <w:t xml:space="preserve"> </w:t>
      </w:r>
      <w:r w:rsidR="00CA7E22" w:rsidRPr="00190491">
        <w:rPr>
          <w:lang w:val="en-GB"/>
        </w:rPr>
        <w:t>&gt;3% missing genotypes</w:t>
      </w:r>
      <w:r w:rsidR="00D86A6C" w:rsidRPr="00190491">
        <w:rPr>
          <w:lang w:val="en-GB"/>
        </w:rPr>
        <w:t>,</w:t>
      </w:r>
      <w:r w:rsidR="00CA7E22" w:rsidRPr="00190491">
        <w:rPr>
          <w:lang w:val="en-GB"/>
        </w:rPr>
        <w:t xml:space="preserve"> </w:t>
      </w:r>
      <w:r w:rsidR="009635E3" w:rsidRPr="00190491">
        <w:rPr>
          <w:lang w:val="en-GB"/>
        </w:rPr>
        <w:t>SNPs</w:t>
      </w:r>
      <w:r w:rsidR="00715534">
        <w:rPr>
          <w:lang w:val="en-GB"/>
        </w:rPr>
        <w:t xml:space="preserve"> (single nucleotide polymorphisms)</w:t>
      </w:r>
      <w:r w:rsidR="009635E3" w:rsidRPr="00190491">
        <w:rPr>
          <w:lang w:val="en-GB"/>
        </w:rPr>
        <w:t xml:space="preserve"> genotyped in </w:t>
      </w:r>
      <w:r w:rsidR="00D86A6C" w:rsidRPr="00190491">
        <w:rPr>
          <w:lang w:val="en-GB"/>
        </w:rPr>
        <w:t>&lt;</w:t>
      </w:r>
      <w:r w:rsidR="009635E3" w:rsidRPr="00190491">
        <w:rPr>
          <w:lang w:val="en-GB"/>
        </w:rPr>
        <w:t>95% individuals</w:t>
      </w:r>
      <w:r w:rsidR="0077166B" w:rsidRPr="00190491">
        <w:rPr>
          <w:lang w:val="en-GB"/>
        </w:rPr>
        <w:t>,</w:t>
      </w:r>
      <w:r w:rsidR="009635E3" w:rsidRPr="00190491">
        <w:rPr>
          <w:lang w:val="en-GB"/>
        </w:rPr>
        <w:t xml:space="preserve"> </w:t>
      </w:r>
      <w:r w:rsidR="0077166B" w:rsidRPr="00190491">
        <w:rPr>
          <w:lang w:val="en-GB"/>
        </w:rPr>
        <w:t xml:space="preserve">SNPs with minor allele frequencies (MAF) &lt;0.5% </w:t>
      </w:r>
      <w:r w:rsidR="009635E3" w:rsidRPr="00190491">
        <w:rPr>
          <w:lang w:val="en-GB"/>
        </w:rPr>
        <w:t xml:space="preserve">and SNPs with significant deviations from Hardy–Weinberg </w:t>
      </w:r>
      <w:r w:rsidR="0077166B" w:rsidRPr="00190491">
        <w:rPr>
          <w:lang w:val="en-GB"/>
        </w:rPr>
        <w:t>equilibrium (</w:t>
      </w:r>
      <w:r w:rsidR="00715534">
        <w:rPr>
          <w:lang w:val="en-GB"/>
        </w:rPr>
        <w:t>p</w:t>
      </w:r>
      <w:r w:rsidR="0077166B" w:rsidRPr="00190491">
        <w:rPr>
          <w:lang w:val="en-GB"/>
        </w:rPr>
        <w:t>-value ≤1 × 10</w:t>
      </w:r>
      <w:r w:rsidR="0077166B" w:rsidRPr="006221C0">
        <w:rPr>
          <w:vertAlign w:val="superscript"/>
          <w:lang w:val="en-GB"/>
        </w:rPr>
        <w:t>−8</w:t>
      </w:r>
      <w:r w:rsidR="009635E3" w:rsidRPr="00190491">
        <w:rPr>
          <w:lang w:val="en-GB"/>
        </w:rPr>
        <w:t>)</w:t>
      </w:r>
      <w:r w:rsidR="0081188A" w:rsidRPr="00190491">
        <w:rPr>
          <w:lang w:val="en-GB"/>
        </w:rPr>
        <w:t xml:space="preserve">. </w:t>
      </w:r>
      <w:r w:rsidR="00D86A6C" w:rsidRPr="00190491">
        <w:rPr>
          <w:lang w:val="en-GB"/>
        </w:rPr>
        <w:t>Alleles in the q</w:t>
      </w:r>
      <w:r w:rsidR="00A9509E" w:rsidRPr="00190491">
        <w:rPr>
          <w:lang w:val="en-GB"/>
        </w:rPr>
        <w:t>uality-controlled genotype data</w:t>
      </w:r>
      <w:r w:rsidR="00D86A6C" w:rsidRPr="00190491">
        <w:rPr>
          <w:lang w:val="en-GB"/>
        </w:rPr>
        <w:t xml:space="preserve"> were</w:t>
      </w:r>
      <w:r w:rsidR="00A9509E" w:rsidRPr="00190491">
        <w:rPr>
          <w:lang w:val="en-GB"/>
        </w:rPr>
        <w:t xml:space="preserve"> </w:t>
      </w:r>
      <w:r w:rsidR="00D86A6C" w:rsidRPr="00190491">
        <w:rPr>
          <w:lang w:val="en-GB"/>
        </w:rPr>
        <w:t>updated to match the</w:t>
      </w:r>
      <w:r w:rsidR="00B15D92" w:rsidRPr="00190491">
        <w:rPr>
          <w:lang w:val="en-GB"/>
        </w:rPr>
        <w:t xml:space="preserve"> direction (forward) and coordinates of those</w:t>
      </w:r>
      <w:r w:rsidR="00D86A6C" w:rsidRPr="00190491">
        <w:rPr>
          <w:lang w:val="en-GB"/>
        </w:rPr>
        <w:t xml:space="preserve"> </w:t>
      </w:r>
      <w:r w:rsidR="004D049A" w:rsidRPr="00190491">
        <w:rPr>
          <w:lang w:val="en-GB"/>
        </w:rPr>
        <w:t xml:space="preserve">in </w:t>
      </w:r>
      <w:r w:rsidR="00D86A6C" w:rsidRPr="00190491">
        <w:rPr>
          <w:lang w:val="en-GB"/>
        </w:rPr>
        <w:t>the reference dataset GRCh37</w:t>
      </w:r>
      <w:r w:rsidR="00B15D92" w:rsidRPr="00190491">
        <w:rPr>
          <w:lang w:val="en-GB"/>
        </w:rPr>
        <w:t xml:space="preserve"> </w:t>
      </w:r>
      <w:r w:rsidR="0033652D">
        <w:rPr>
          <w:b/>
          <w:lang w:val="en-GB"/>
        </w:rPr>
        <w:fldChar w:fldCharType="begin" w:fldLock="1"/>
      </w:r>
      <w:r w:rsidR="00E6617B">
        <w:rPr>
          <w:lang w:val="en-GB"/>
        </w:rPr>
        <w:instrText>ADDIN CSL_CITATION {"citationItems":[{"id":"ITEM-1","itemData":{"DOI":"10.1038/ng.3643.A","author":[{"dropping-particle":"","family":"McCarthy","given":"Shane","non-dropping-particle":"","parse-names":false,"suffix":""}],"id":"ITEM-1","issue":"10","issued":{"date-parts":[["2016"]]},"page":"1279-1283","title":"A reference panel of 64 ,976 haplotypes for genotype imputation","type":"article-journal","volume":"48"},"uris":["http://www.mendeley.com/documents/?uuid=b0864060-60de-41e0-9dd1-67b77afb3da1","http://www.mendeley.com/documents/?uuid=05d39f1d-eb61-491e-ae0c-bb29ab470fdf"]}],"mendeley":{"formattedCitation":"&lt;span style=\"baseline\"&gt;[30]&lt;/span&gt;","plainTextFormattedCitation":"[30]","previouslyFormattedCitation":"&lt;span style=\"baseline\"&gt;[30]&lt;/span&gt;"},"properties":{"noteIndex":0},"schema":"https://github.com/citation-style-language/schema/raw/master/csl-citation.json"}</w:instrText>
      </w:r>
      <w:r w:rsidR="0033652D">
        <w:rPr>
          <w:b/>
          <w:lang w:val="en-GB"/>
        </w:rPr>
        <w:fldChar w:fldCharType="separate"/>
      </w:r>
      <w:r w:rsidR="0033652D" w:rsidRPr="0033652D">
        <w:rPr>
          <w:noProof/>
          <w:lang w:val="en-GB"/>
        </w:rPr>
        <w:t>[30]</w:t>
      </w:r>
      <w:r w:rsidR="0033652D">
        <w:rPr>
          <w:b/>
          <w:lang w:val="en-GB"/>
        </w:rPr>
        <w:fldChar w:fldCharType="end"/>
      </w:r>
      <w:r w:rsidR="00B15D92" w:rsidRPr="00190491">
        <w:rPr>
          <w:lang w:val="en-GB"/>
        </w:rPr>
        <w:t xml:space="preserve">. A total of 1,641,983 SNPs and </w:t>
      </w:r>
      <w:r w:rsidR="00D53B3F" w:rsidRPr="00190491">
        <w:rPr>
          <w:lang w:val="en-GB"/>
        </w:rPr>
        <w:t>1087</w:t>
      </w:r>
      <w:r w:rsidR="00B15D92" w:rsidRPr="00190491">
        <w:rPr>
          <w:lang w:val="en-GB"/>
        </w:rPr>
        <w:t xml:space="preserve"> individuals were retained for imputation.</w:t>
      </w:r>
      <w:r w:rsidR="0089778C" w:rsidRPr="00190491">
        <w:rPr>
          <w:lang w:val="en-GB"/>
        </w:rPr>
        <w:t xml:space="preserve"> </w:t>
      </w:r>
      <w:r w:rsidR="00B15D92" w:rsidRPr="00190491">
        <w:rPr>
          <w:lang w:val="en-GB"/>
        </w:rPr>
        <w:t xml:space="preserve">Data were </w:t>
      </w:r>
      <w:r w:rsidR="00A9509E" w:rsidRPr="00190491">
        <w:rPr>
          <w:lang w:val="en-GB"/>
        </w:rPr>
        <w:t xml:space="preserve">pre-phased (EAGLE2) </w:t>
      </w:r>
      <w:r w:rsidR="0033652D">
        <w:rPr>
          <w:b/>
          <w:lang w:val="en-GB"/>
        </w:rPr>
        <w:fldChar w:fldCharType="begin" w:fldLock="1"/>
      </w:r>
      <w:r w:rsidR="00E6617B">
        <w:rPr>
          <w:lang w:val="en-GB"/>
        </w:rPr>
        <w:instrText>ADDIN CSL_CITATION {"citationItems":[{"id":"ITEM-1","itemData":{"DOI":"10.1038/ng.3679.Reference-based","author":[{"dropping-particle":"","family":"Loh","given":"Po-ru","non-dropping-particle":"","parse-names":false,"suffix":""},{"dropping-particle":"","family":"Danecek","given":"Petr","non-dropping-particle":"","parse-names":false,"suffix":""},{"dropping-particle":"","family":"Palamara","given":"Pier Francesco","non-dropping-particle":"","parse-names":false,"suffix":""},{"dropping-particle":"","family":"Fuchsberger","given":"Christian","non-dropping-particle":"","parse-names":false,"suffix":""},{"dropping-particle":"","family":"Reshef","given":"A","non-dropping-particle":"","parse-names":false,"suffix":""},{"dropping-particle":"","family":"Finucane","given":"Hilary K","non-dropping-particle":"","parse-names":false,"suffix":""},{"dropping-particle":"","family":"Schoenherr","given":"Sebastian","non-dropping-particle":"","parse-names":false,"suffix":""},{"dropping-particle":"","family":"Forer","given":"Lukas","non-dropping-particle":"","parse-names":false,"suffix":""},{"dropping-particle":"","family":"Mccarthy","given":"Shane","non-dropping-particle":"","parse-names":false,"suffix":""},{"dropping-particle":"","family":"Abecasis","given":"Goncalo R","non-dropping-particle":"","parse-names":false,"suffix":""},{"dropping-particle":"","family":"Durbin","given":"Richard","non-dropping-particle":"","parse-names":false,"suffix":""},{"dropping-particle":"","family":"Price","given":"Alkes L","non-dropping-particle":"","parse-names":false,"suffix":""}],"container-title":"Nature Genetics","id":"ITEM-1","issue":"11","issued":{"date-parts":[["2016"]]},"page":"1443-1448","title":"Reference-based phasing using the Haplotype Reference Consortium panel","type":"article-journal","volume":"48"},"uris":["http://www.mendeley.com/documents/?uuid=33ae6a14-ab26-4e2f-97cd-c3d5fe858a3e","http://www.mendeley.com/documents/?uuid=713ccb9a-bda6-4299-a759-ee06faebcd54"]}],"mendeley":{"formattedCitation":"&lt;span style=\"baseline\"&gt;[31]&lt;/span&gt;","plainTextFormattedCitation":"[31]","previouslyFormattedCitation":"&lt;span style=\"baseline\"&gt;[31]&lt;/span&gt;"},"properties":{"noteIndex":0},"schema":"https://github.com/citation-style-language/schema/raw/master/csl-citation.json"}</w:instrText>
      </w:r>
      <w:r w:rsidR="0033652D">
        <w:rPr>
          <w:b/>
          <w:lang w:val="en-GB"/>
        </w:rPr>
        <w:fldChar w:fldCharType="separate"/>
      </w:r>
      <w:r w:rsidR="0033652D" w:rsidRPr="0033652D">
        <w:rPr>
          <w:noProof/>
          <w:lang w:val="en-GB"/>
        </w:rPr>
        <w:t>[31]</w:t>
      </w:r>
      <w:r w:rsidR="0033652D">
        <w:rPr>
          <w:b/>
          <w:lang w:val="en-GB"/>
        </w:rPr>
        <w:fldChar w:fldCharType="end"/>
      </w:r>
      <w:r w:rsidR="009C3A13">
        <w:rPr>
          <w:b/>
          <w:lang w:val="en-GB"/>
        </w:rPr>
        <w:t xml:space="preserve"> </w:t>
      </w:r>
      <w:r w:rsidR="00A9509E" w:rsidRPr="00190491">
        <w:rPr>
          <w:lang w:val="en-GB"/>
        </w:rPr>
        <w:t>and imputed (PBWT)</w:t>
      </w:r>
      <w:r w:rsidR="0033652D">
        <w:rPr>
          <w:lang w:val="en-GB"/>
        </w:rPr>
        <w:t xml:space="preserve"> </w:t>
      </w:r>
      <w:r w:rsidR="0033652D">
        <w:rPr>
          <w:b/>
          <w:lang w:val="en-GB"/>
        </w:rPr>
        <w:fldChar w:fldCharType="begin" w:fldLock="1"/>
      </w:r>
      <w:r w:rsidR="00E6617B">
        <w:rPr>
          <w:lang w:val="en-GB"/>
        </w:rPr>
        <w:instrText>ADDIN CSL_CITATION {"citationItems":[{"id":"ITEM-1","itemData":{"DOI":"10.1093/bioinformatics/btu014","ISSN":"14602059","abstract":"Motivation: Over the last few years, methods based on suffix arrays using the Burrows-Wheeler Transform have been widely used for DNA sequence read matching and assembly. These provide very fast search algorithms, linear in the search pattern size, on a highly compressible representation of the dataset being searched. Meanwhile, algorithmic development for genotype data has concentrated on statistical methods for phasing and imputation, based on probabilistic matching to hidden Markov model representations of the reference data, which while powerful are much less computationally efficient. Here a theory of haplotype matching using suffix array ideas is developed, which should scale too much larger datasets than those currently handled by genotype algorithms. Results: Given M sequences with N bi-allelic variable sites, an O(NM) algorithm to derive a representation of the data based on positional prefix arrays is given, which is termed the positional Burrows-Wheeler transform (PBWT). On large datasets this compresses with run-length encoding by more than a factor of a hundred smaller than using gzip on the raw data. Using this representation a method is given to find all maximal haplotype matches within the set in O(NM) time rather than O(NM2) as expected from naive pairwise comparison, and also a fast algorithm, empirically independent of M given sufficient memory for indexes, to find maximal matches between a new sequence and the set. The discussion includes some proposals about how these approaches could be used for imputation and phasing. © The Author 2013. Published by Oxford University Press.","author":[{"dropping-particle":"","family":"Durbin","given":"Richard","non-dropping-particle":"","parse-names":false,"suffix":""}],"container-title":"Bioinformatics","id":"ITEM-1","issue":"9","issued":{"date-parts":[["2014"]]},"page":"1266-1272","title":"Efficient haplotype matching and storage using the positional Burrows-Wheeler transform (PBWT)","type":"article-journal","volume":"30"},"uris":["http://www.mendeley.com/documents/?uuid=e32612e5-e48a-49ec-aee4-19ac4176b0d8","http://www.mendeley.com/documents/?uuid=785052d9-8d3d-4764-9810-5239a5f5f63c"]}],"mendeley":{"formattedCitation":"&lt;span style=\"baseline\"&gt;[32]&lt;/span&gt;","plainTextFormattedCitation":"[32]","previouslyFormattedCitation":"&lt;span style=\"baseline\"&gt;[32]&lt;/span&gt;"},"properties":{"noteIndex":0},"schema":"https://github.com/citation-style-language/schema/raw/master/csl-citation.json"}</w:instrText>
      </w:r>
      <w:r w:rsidR="0033652D">
        <w:rPr>
          <w:b/>
          <w:lang w:val="en-GB"/>
        </w:rPr>
        <w:fldChar w:fldCharType="separate"/>
      </w:r>
      <w:r w:rsidR="0033652D" w:rsidRPr="0033652D">
        <w:rPr>
          <w:noProof/>
          <w:lang w:val="en-GB"/>
        </w:rPr>
        <w:t>[32]</w:t>
      </w:r>
      <w:r w:rsidR="0033652D">
        <w:rPr>
          <w:b/>
          <w:lang w:val="en-GB"/>
        </w:rPr>
        <w:fldChar w:fldCharType="end"/>
      </w:r>
      <w:r w:rsidR="00A9509E" w:rsidRPr="00190491">
        <w:rPr>
          <w:lang w:val="en-GB"/>
        </w:rPr>
        <w:t xml:space="preserve"> at the Sanger Imputation Services (Oxford, UK</w:t>
      </w:r>
      <w:r w:rsidR="004D049A" w:rsidRPr="00190491">
        <w:rPr>
          <w:lang w:val="en-GB"/>
        </w:rPr>
        <w:t>)</w:t>
      </w:r>
      <w:r w:rsidR="00B15D92" w:rsidRPr="00190491">
        <w:rPr>
          <w:lang w:val="en-GB"/>
        </w:rPr>
        <w:t>.</w:t>
      </w:r>
      <w:r w:rsidR="00A9509E" w:rsidRPr="00190491">
        <w:rPr>
          <w:lang w:val="en-GB"/>
        </w:rPr>
        <w:t xml:space="preserve"> </w:t>
      </w:r>
      <w:r w:rsidR="004D049A" w:rsidRPr="00190491">
        <w:rPr>
          <w:lang w:val="en-GB"/>
        </w:rPr>
        <w:t xml:space="preserve">Data with an imputation quality &gt;99% were retained. </w:t>
      </w:r>
      <w:r w:rsidR="00222641" w:rsidRPr="00190491">
        <w:rPr>
          <w:lang w:val="en-GB"/>
        </w:rPr>
        <w:t xml:space="preserve">Further standard quality controls, including removal of duplicate samples and SNPs, were performed to generate the final dataset containing </w:t>
      </w:r>
      <w:r w:rsidR="00D53B3F" w:rsidRPr="00190491">
        <w:rPr>
          <w:lang w:val="en-GB"/>
        </w:rPr>
        <w:t xml:space="preserve">1071 </w:t>
      </w:r>
      <w:r w:rsidR="00222641" w:rsidRPr="00190491">
        <w:rPr>
          <w:lang w:val="en-GB"/>
        </w:rPr>
        <w:t xml:space="preserve">samples and </w:t>
      </w:r>
      <w:r w:rsidR="00D53B3F" w:rsidRPr="00190491">
        <w:rPr>
          <w:lang w:val="en-GB"/>
        </w:rPr>
        <w:t>5</w:t>
      </w:r>
      <w:r w:rsidR="0089778C" w:rsidRPr="00190491">
        <w:rPr>
          <w:lang w:val="en-GB"/>
        </w:rPr>
        <w:t>,</w:t>
      </w:r>
      <w:r w:rsidR="00D53B3F" w:rsidRPr="00190491">
        <w:rPr>
          <w:lang w:val="en-GB"/>
        </w:rPr>
        <w:t>031</w:t>
      </w:r>
      <w:r w:rsidR="0089778C" w:rsidRPr="00190491">
        <w:rPr>
          <w:lang w:val="en-GB"/>
        </w:rPr>
        <w:t>,</w:t>
      </w:r>
      <w:r w:rsidR="00D53B3F" w:rsidRPr="00190491">
        <w:rPr>
          <w:lang w:val="en-GB"/>
        </w:rPr>
        <w:t xml:space="preserve">289 </w:t>
      </w:r>
      <w:r w:rsidR="00222641" w:rsidRPr="00190491">
        <w:rPr>
          <w:lang w:val="en-GB"/>
        </w:rPr>
        <w:t>SNPs for downstream analyses.</w:t>
      </w:r>
    </w:p>
    <w:p w14:paraId="5CA67E89" w14:textId="77777777" w:rsidR="00935ACF" w:rsidRPr="009E6C5C" w:rsidRDefault="009E6C5C" w:rsidP="009E6C5C">
      <w:pPr>
        <w:pStyle w:val="MDPI22heading2"/>
        <w:rPr>
          <w:lang w:val="en-GB"/>
        </w:rPr>
      </w:pPr>
      <w:r>
        <w:rPr>
          <w:lang w:val="en-GB"/>
        </w:rPr>
        <w:t xml:space="preserve">2.4. </w:t>
      </w:r>
      <w:r w:rsidR="00935ACF" w:rsidRPr="009E6C5C">
        <w:rPr>
          <w:lang w:val="en-GB"/>
        </w:rPr>
        <w:t>Categorisation of breastfeeding duration</w:t>
      </w:r>
    </w:p>
    <w:p w14:paraId="7A513C96" w14:textId="77777777" w:rsidR="00935ACF" w:rsidRPr="00190491" w:rsidRDefault="00935ACF" w:rsidP="00935ACF">
      <w:pPr>
        <w:pStyle w:val="MDPI31text"/>
        <w:rPr>
          <w:color w:val="auto"/>
          <w:lang w:val="en-GB"/>
        </w:rPr>
      </w:pPr>
      <w:r w:rsidRPr="00190491">
        <w:rPr>
          <w:color w:val="auto"/>
          <w:lang w:val="en-GB"/>
        </w:rPr>
        <w:t xml:space="preserve">For each participant, the exposure of breastfeeding </w:t>
      </w:r>
      <w:r w:rsidRPr="00E60E5F">
        <w:rPr>
          <w:color w:val="auto"/>
          <w:lang w:val="en-GB"/>
        </w:rPr>
        <w:t>duration was defined as the total number of weeks a mother breastfed her child, irrespective of the introduction of</w:t>
      </w:r>
      <w:r w:rsidR="00640A6D" w:rsidRPr="00E60E5F">
        <w:rPr>
          <w:color w:val="auto"/>
          <w:lang w:val="en-GB"/>
        </w:rPr>
        <w:t xml:space="preserve"> water,</w:t>
      </w:r>
      <w:r w:rsidRPr="00E60E5F">
        <w:rPr>
          <w:color w:val="auto"/>
          <w:lang w:val="en-GB"/>
        </w:rPr>
        <w:t xml:space="preserve"> formula feeding and/or solid foods. Breastfeeding duration was categorised as </w:t>
      </w:r>
      <w:r w:rsidR="001B6AA7" w:rsidRPr="00E60E5F">
        <w:rPr>
          <w:color w:val="auto"/>
          <w:lang w:val="en-GB"/>
        </w:rPr>
        <w:t>&gt;</w:t>
      </w:r>
      <w:r w:rsidRPr="00E60E5F">
        <w:rPr>
          <w:color w:val="auto"/>
          <w:lang w:val="en-GB"/>
        </w:rPr>
        <w:t>3</w:t>
      </w:r>
      <w:r w:rsidR="004D049A" w:rsidRPr="00E60E5F">
        <w:rPr>
          <w:color w:val="auto"/>
          <w:lang w:val="en-GB"/>
        </w:rPr>
        <w:t xml:space="preserve"> </w:t>
      </w:r>
      <w:r w:rsidRPr="00E60E5F">
        <w:rPr>
          <w:color w:val="auto"/>
          <w:lang w:val="en-GB"/>
        </w:rPr>
        <w:t xml:space="preserve">months and </w:t>
      </w:r>
      <w:r w:rsidR="001B6AA7" w:rsidRPr="00E60E5F">
        <w:rPr>
          <w:color w:val="auto"/>
          <w:lang w:val="en-GB"/>
        </w:rPr>
        <w:t>&gt;</w:t>
      </w:r>
      <w:r w:rsidRPr="00E60E5F">
        <w:rPr>
          <w:color w:val="auto"/>
          <w:lang w:val="en-GB"/>
        </w:rPr>
        <w:t>6</w:t>
      </w:r>
      <w:r w:rsidR="004D049A" w:rsidRPr="00E60E5F">
        <w:rPr>
          <w:color w:val="auto"/>
          <w:lang w:val="en-GB"/>
        </w:rPr>
        <w:t xml:space="preserve"> </w:t>
      </w:r>
      <w:r w:rsidRPr="00E60E5F">
        <w:rPr>
          <w:color w:val="auto"/>
          <w:lang w:val="en-GB"/>
        </w:rPr>
        <w:t>months</w:t>
      </w:r>
      <w:r w:rsidR="0022078B" w:rsidRPr="00E60E5F">
        <w:rPr>
          <w:color w:val="auto"/>
          <w:lang w:val="en-GB"/>
        </w:rPr>
        <w:t xml:space="preserve"> for the purpose of the primary analysis</w:t>
      </w:r>
      <w:r w:rsidRPr="00E60E5F">
        <w:rPr>
          <w:color w:val="auto"/>
          <w:lang w:val="en-GB"/>
        </w:rPr>
        <w:t>. For the 3</w:t>
      </w:r>
      <w:r w:rsidR="004D049A" w:rsidRPr="00E60E5F">
        <w:rPr>
          <w:color w:val="auto"/>
          <w:lang w:val="en-GB"/>
        </w:rPr>
        <w:t xml:space="preserve"> </w:t>
      </w:r>
      <w:r w:rsidRPr="00E60E5F">
        <w:rPr>
          <w:color w:val="auto"/>
          <w:lang w:val="en-GB"/>
        </w:rPr>
        <w:t>months categor</w:t>
      </w:r>
      <w:r w:rsidR="0089778C" w:rsidRPr="00E60E5F">
        <w:rPr>
          <w:color w:val="auto"/>
          <w:lang w:val="en-GB"/>
        </w:rPr>
        <w:t>y</w:t>
      </w:r>
      <w:r w:rsidRPr="00E60E5F">
        <w:rPr>
          <w:color w:val="auto"/>
          <w:lang w:val="en-GB"/>
        </w:rPr>
        <w:t xml:space="preserve">, participants were </w:t>
      </w:r>
      <w:r w:rsidR="004D049A" w:rsidRPr="00E60E5F">
        <w:rPr>
          <w:color w:val="auto"/>
          <w:lang w:val="en-GB"/>
        </w:rPr>
        <w:t xml:space="preserve">divided </w:t>
      </w:r>
      <w:r w:rsidRPr="00E60E5F">
        <w:rPr>
          <w:color w:val="auto"/>
          <w:lang w:val="en-GB"/>
        </w:rPr>
        <w:t xml:space="preserve">into two groups: never breastfed (n=81) and breastfed </w:t>
      </w:r>
      <w:r w:rsidR="001B6AA7" w:rsidRPr="00E60E5F">
        <w:rPr>
          <w:color w:val="auto"/>
          <w:lang w:val="en-GB"/>
        </w:rPr>
        <w:t>&gt;</w:t>
      </w:r>
      <w:r w:rsidRPr="00E60E5F">
        <w:rPr>
          <w:color w:val="auto"/>
          <w:lang w:val="en-GB"/>
        </w:rPr>
        <w:t>3 months (n=163)</w:t>
      </w:r>
      <w:r w:rsidR="0022078B" w:rsidRPr="00E60E5F">
        <w:rPr>
          <w:color w:val="auto"/>
          <w:lang w:val="en-GB"/>
        </w:rPr>
        <w:t xml:space="preserve"> (</w:t>
      </w:r>
      <w:r w:rsidRPr="00E60E5F">
        <w:rPr>
          <w:color w:val="auto"/>
          <w:lang w:val="en-GB"/>
        </w:rPr>
        <w:t>participants breastfed &lt;3 months</w:t>
      </w:r>
      <w:r w:rsidRPr="00190491">
        <w:rPr>
          <w:color w:val="auto"/>
          <w:lang w:val="en-GB"/>
        </w:rPr>
        <w:t xml:space="preserve"> (n=112</w:t>
      </w:r>
      <w:r w:rsidR="00CD0546">
        <w:rPr>
          <w:color w:val="auto"/>
          <w:lang w:val="en-GB"/>
        </w:rPr>
        <w:t>)</w:t>
      </w:r>
      <w:r w:rsidR="0022078B">
        <w:rPr>
          <w:color w:val="auto"/>
          <w:lang w:val="en-GB"/>
        </w:rPr>
        <w:t xml:space="preserve"> were excluded</w:t>
      </w:r>
      <w:r w:rsidRPr="00190491">
        <w:rPr>
          <w:color w:val="auto"/>
          <w:lang w:val="en-GB"/>
        </w:rPr>
        <w:t>). Similarly, for the 6</w:t>
      </w:r>
      <w:r w:rsidR="004D049A" w:rsidRPr="00190491">
        <w:rPr>
          <w:color w:val="auto"/>
          <w:lang w:val="en-GB"/>
        </w:rPr>
        <w:t xml:space="preserve"> </w:t>
      </w:r>
      <w:r w:rsidRPr="00190491">
        <w:rPr>
          <w:color w:val="auto"/>
          <w:lang w:val="en-GB"/>
        </w:rPr>
        <w:t>month</w:t>
      </w:r>
      <w:r w:rsidR="004D049A" w:rsidRPr="00190491">
        <w:rPr>
          <w:color w:val="auto"/>
          <w:lang w:val="en-GB"/>
        </w:rPr>
        <w:t>s</w:t>
      </w:r>
      <w:r w:rsidRPr="00190491">
        <w:rPr>
          <w:color w:val="auto"/>
          <w:lang w:val="en-GB"/>
        </w:rPr>
        <w:t xml:space="preserve"> </w:t>
      </w:r>
      <w:r w:rsidR="004D049A" w:rsidRPr="00190491">
        <w:rPr>
          <w:color w:val="auto"/>
          <w:lang w:val="en-GB"/>
        </w:rPr>
        <w:t>category</w:t>
      </w:r>
      <w:r w:rsidRPr="00190491">
        <w:rPr>
          <w:color w:val="auto"/>
          <w:lang w:val="en-GB"/>
        </w:rPr>
        <w:t xml:space="preserve">, the sample sizes of </w:t>
      </w:r>
      <w:r w:rsidR="00262658" w:rsidRPr="00190491">
        <w:rPr>
          <w:color w:val="auto"/>
          <w:lang w:val="en-GB"/>
        </w:rPr>
        <w:t xml:space="preserve">the </w:t>
      </w:r>
      <w:r w:rsidR="0022078B">
        <w:rPr>
          <w:color w:val="auto"/>
          <w:lang w:val="en-GB"/>
        </w:rPr>
        <w:t xml:space="preserve">never breastfed and breastfed &gt;6 months </w:t>
      </w:r>
      <w:r w:rsidR="00CD0546">
        <w:rPr>
          <w:color w:val="auto"/>
          <w:lang w:val="en-GB"/>
        </w:rPr>
        <w:t xml:space="preserve">groups </w:t>
      </w:r>
      <w:r w:rsidRPr="00190491">
        <w:rPr>
          <w:color w:val="auto"/>
          <w:lang w:val="en-GB"/>
        </w:rPr>
        <w:t xml:space="preserve">were </w:t>
      </w:r>
      <w:r w:rsidR="0022078B">
        <w:rPr>
          <w:color w:val="auto"/>
          <w:lang w:val="en-GB"/>
        </w:rPr>
        <w:t xml:space="preserve">81 and </w:t>
      </w:r>
      <w:r w:rsidRPr="00190491">
        <w:rPr>
          <w:color w:val="auto"/>
          <w:lang w:val="en-GB"/>
        </w:rPr>
        <w:t>100, respectively.</w:t>
      </w:r>
    </w:p>
    <w:p w14:paraId="198E3923" w14:textId="77777777" w:rsidR="00935ACF" w:rsidRPr="00190491" w:rsidRDefault="00935ACF" w:rsidP="00935ACF">
      <w:pPr>
        <w:pStyle w:val="MDPI31text"/>
        <w:rPr>
          <w:color w:val="auto"/>
          <w:lang w:val="en-GB"/>
        </w:rPr>
      </w:pPr>
      <w:r w:rsidRPr="00190491">
        <w:rPr>
          <w:color w:val="auto"/>
          <w:lang w:val="en-GB"/>
        </w:rPr>
        <w:t>For secondary analysis, a stringent exposure definition of exclusive breastfeeding duration was considered</w:t>
      </w:r>
      <w:r w:rsidR="005F4B7F">
        <w:rPr>
          <w:color w:val="auto"/>
          <w:lang w:val="en-GB"/>
        </w:rPr>
        <w:t xml:space="preserve"> (n=155)</w:t>
      </w:r>
      <w:r w:rsidRPr="00190491">
        <w:rPr>
          <w:color w:val="auto"/>
          <w:lang w:val="en-GB"/>
        </w:rPr>
        <w:t xml:space="preserve">. Exclusive breastfeeding duration was defined as the number of weeks a child was breastfed until the introduction of formula feed and/or solid foods. </w:t>
      </w:r>
      <w:r w:rsidR="00A45C52">
        <w:rPr>
          <w:color w:val="auto"/>
          <w:lang w:val="en-GB"/>
        </w:rPr>
        <w:t>No</w:t>
      </w:r>
      <w:r w:rsidR="006660BD">
        <w:rPr>
          <w:color w:val="auto"/>
          <w:lang w:val="en-GB"/>
        </w:rPr>
        <w:t>ne</w:t>
      </w:r>
      <w:r w:rsidR="00A45C52">
        <w:rPr>
          <w:color w:val="auto"/>
          <w:lang w:val="en-GB"/>
        </w:rPr>
        <w:t xml:space="preserve"> </w:t>
      </w:r>
      <w:r w:rsidR="006660BD">
        <w:rPr>
          <w:color w:val="auto"/>
          <w:lang w:val="en-GB"/>
        </w:rPr>
        <w:t xml:space="preserve">of the </w:t>
      </w:r>
      <w:r w:rsidR="00A45C52">
        <w:rPr>
          <w:color w:val="auto"/>
          <w:lang w:val="en-GB"/>
        </w:rPr>
        <w:t>participant</w:t>
      </w:r>
      <w:r w:rsidR="006660BD">
        <w:rPr>
          <w:color w:val="auto"/>
          <w:lang w:val="en-GB"/>
        </w:rPr>
        <w:t>s</w:t>
      </w:r>
      <w:r w:rsidR="00A45C52">
        <w:rPr>
          <w:color w:val="auto"/>
          <w:lang w:val="en-GB"/>
        </w:rPr>
        <w:t xml:space="preserve"> w</w:t>
      </w:r>
      <w:r w:rsidR="006660BD">
        <w:rPr>
          <w:color w:val="auto"/>
          <w:lang w:val="en-GB"/>
        </w:rPr>
        <w:t>ere</w:t>
      </w:r>
      <w:r w:rsidR="00A45C52">
        <w:rPr>
          <w:color w:val="auto"/>
          <w:lang w:val="en-GB"/>
        </w:rPr>
        <w:t xml:space="preserve"> given water before this point. </w:t>
      </w:r>
      <w:r w:rsidRPr="00190491">
        <w:rPr>
          <w:color w:val="auto"/>
          <w:lang w:val="en-GB"/>
        </w:rPr>
        <w:t xml:space="preserve">The exposed group </w:t>
      </w:r>
      <w:r w:rsidR="003061DA" w:rsidRPr="00190491">
        <w:rPr>
          <w:color w:val="auto"/>
          <w:lang w:val="en-GB"/>
        </w:rPr>
        <w:t xml:space="preserve">consisted of </w:t>
      </w:r>
      <w:r w:rsidRPr="00190491">
        <w:rPr>
          <w:color w:val="auto"/>
          <w:lang w:val="en-GB"/>
        </w:rPr>
        <w:t>those exclusively breastfed &gt;3 months (n=</w:t>
      </w:r>
      <w:r w:rsidR="005F4B7F">
        <w:rPr>
          <w:color w:val="auto"/>
          <w:lang w:val="en-GB"/>
        </w:rPr>
        <w:t>92</w:t>
      </w:r>
      <w:r w:rsidRPr="00190491">
        <w:rPr>
          <w:color w:val="auto"/>
          <w:lang w:val="en-GB"/>
        </w:rPr>
        <w:t xml:space="preserve">). </w:t>
      </w:r>
    </w:p>
    <w:p w14:paraId="0032A3E6" w14:textId="77777777" w:rsidR="00935ACF" w:rsidRPr="009E6C5C" w:rsidRDefault="009E6C5C" w:rsidP="009E6C5C">
      <w:pPr>
        <w:pStyle w:val="MDPI22heading2"/>
        <w:rPr>
          <w:lang w:val="en-GB"/>
        </w:rPr>
      </w:pPr>
      <w:r>
        <w:rPr>
          <w:lang w:val="en-GB"/>
        </w:rPr>
        <w:t xml:space="preserve">2.6. </w:t>
      </w:r>
      <w:r w:rsidR="00935ACF" w:rsidRPr="009E6C5C">
        <w:rPr>
          <w:lang w:val="en-GB"/>
        </w:rPr>
        <w:t>Confounding factors</w:t>
      </w:r>
    </w:p>
    <w:p w14:paraId="31C65A2A" w14:textId="77777777" w:rsidR="00935ACF" w:rsidRPr="00190491" w:rsidRDefault="00F22F8D" w:rsidP="00935ACF">
      <w:pPr>
        <w:pStyle w:val="MDPI31text"/>
        <w:rPr>
          <w:color w:val="auto"/>
          <w:lang w:val="en-GB"/>
        </w:rPr>
      </w:pPr>
      <w:r w:rsidRPr="00190491">
        <w:rPr>
          <w:color w:val="auto"/>
          <w:lang w:val="en-GB"/>
        </w:rPr>
        <w:lastRenderedPageBreak/>
        <w:t>E</w:t>
      </w:r>
      <w:r w:rsidR="00935ACF" w:rsidRPr="00190491">
        <w:rPr>
          <w:color w:val="auto"/>
          <w:lang w:val="en-GB"/>
        </w:rPr>
        <w:t>nvironmental exposures known to influence both breastfeeding duration and DNAm were adjusted for</w:t>
      </w:r>
      <w:r w:rsidR="001B6AA7" w:rsidRPr="00190491">
        <w:rPr>
          <w:color w:val="auto"/>
          <w:lang w:val="en-GB"/>
        </w:rPr>
        <w:t xml:space="preserve"> in all association analyses </w:t>
      </w:r>
      <w:r w:rsidR="006660BD">
        <w:rPr>
          <w:color w:val="auto"/>
          <w:lang w:val="en-GB"/>
        </w:rPr>
        <w:t>performed in this</w:t>
      </w:r>
      <w:r w:rsidR="001B6AA7" w:rsidRPr="00190491">
        <w:rPr>
          <w:color w:val="auto"/>
          <w:lang w:val="en-GB"/>
        </w:rPr>
        <w:t xml:space="preserve"> study</w:t>
      </w:r>
      <w:r w:rsidR="00935ACF" w:rsidRPr="00190491">
        <w:rPr>
          <w:color w:val="auto"/>
          <w:lang w:val="en-GB"/>
        </w:rPr>
        <w:t xml:space="preserve">: sex, birthweight, maternal age, maternal smoking </w:t>
      </w:r>
      <w:r w:rsidR="00C041A1">
        <w:rPr>
          <w:color w:val="auto"/>
          <w:lang w:val="en-GB"/>
        </w:rPr>
        <w:t>during pregnancy (</w:t>
      </w:r>
      <w:r w:rsidR="001E04E5">
        <w:rPr>
          <w:color w:val="auto"/>
          <w:lang w:val="en-GB"/>
        </w:rPr>
        <w:t xml:space="preserve">reported </w:t>
      </w:r>
      <w:r w:rsidR="00935ACF" w:rsidRPr="00190491">
        <w:rPr>
          <w:color w:val="auto"/>
          <w:lang w:val="en-GB"/>
        </w:rPr>
        <w:t>at birth</w:t>
      </w:r>
      <w:r w:rsidR="00C041A1">
        <w:rPr>
          <w:color w:val="auto"/>
          <w:lang w:val="en-GB"/>
        </w:rPr>
        <w:t>)</w:t>
      </w:r>
      <w:r w:rsidR="00935ACF" w:rsidRPr="00190491">
        <w:rPr>
          <w:color w:val="auto"/>
          <w:lang w:val="en-GB"/>
        </w:rPr>
        <w:t xml:space="preserve"> and maternal socioeconomic status (defined using maternal socioeconomic cluster information</w:t>
      </w:r>
      <w:r w:rsidR="001E04E5">
        <w:rPr>
          <w:color w:val="auto"/>
          <w:lang w:val="en-GB"/>
        </w:rPr>
        <w:t xml:space="preserve"> based on</w:t>
      </w:r>
      <w:r w:rsidR="00935ACF" w:rsidRPr="00190491">
        <w:rPr>
          <w:color w:val="auto"/>
          <w:lang w:val="en-GB"/>
        </w:rPr>
        <w:t xml:space="preserve"> household income, number of rooms, and maternal education). Additionally, cell proportions (CD8T, CD4T, NK, B cells, monocytes, granulocytes) were estimated using the minfi package</w:t>
      </w:r>
      <w:r w:rsidR="00500BF9" w:rsidRPr="00190491">
        <w:rPr>
          <w:color w:val="auto"/>
          <w:lang w:val="en-GB"/>
        </w:rPr>
        <w:t xml:space="preserve"> </w:t>
      </w:r>
      <w:r w:rsidR="00500BF9" w:rsidRPr="00190491">
        <w:rPr>
          <w:color w:val="auto"/>
          <w:lang w:val="en-GB"/>
        </w:rPr>
        <w:fldChar w:fldCharType="begin" w:fldLock="1"/>
      </w:r>
      <w:r w:rsidR="00E6617B">
        <w:rPr>
          <w:color w:val="auto"/>
          <w:lang w:val="en-GB"/>
        </w:rPr>
        <w:instrText xml:space="preserve">ADDIN CSL_CITATION {"citationItems":[{"id":"ITEM-1","itemData":{"DOI":"10.1093/bioinformatics/btu049","ISSN":"1367-4811","abstract":"MOTIVATION: The recently released Infinium HumanMethylation450 array (the '450k' array) provides a high-throughput assay to quantify DNA methylation (DNAm) at </w:instrText>
      </w:r>
      <w:r w:rsidR="00E6617B">
        <w:rPr>
          <w:rFonts w:ascii="Cambria Math" w:hAnsi="Cambria Math" w:cs="Cambria Math"/>
          <w:color w:val="auto"/>
          <w:lang w:val="en-GB"/>
        </w:rPr>
        <w:instrText>∼</w:instrText>
      </w:r>
      <w:r w:rsidR="00E6617B">
        <w:rPr>
          <w:color w:val="auto"/>
          <w:lang w:val="en-GB"/>
        </w:rPr>
        <w:instrText>450 000 loci across a range of genomic features. Although less comprehensive than high-throughput sequencing-based techniques, this product is more cost-effective and promises to be the most widely used DNAm high-throughput measurement technology over the next several years.\nRESULTS: Here we describe a suite of computational tools that incorporate state-of-the-art statistical techniques for the analysis of DNAm data. The software is structured to easily adapt to future versions of the technology. We include methods for preprocessing, quality assessment and detection of differentially methylated regions from the kilobase to the megabase scale. We show how our software provides a powerful and flexible development platform for future methods. We also illustrate how our methods empower the technology to make discoveries previously thought to be possible only with sequencing-based methods.\nAVAILABILITY AND IMPLEMENTATION: http://bioconductor.org/packages/release/bioc/html/minfi.html.\nCONTACT: khansen@jhsph.edu; rafa@jimmy.harvard.edu\nSUPPLEMENTARY INFORMATION: Supplementary data are available at Bioinformatics online.","author":[{"dropping-particle":"","family":"Aryee","given":"Martin J.","non-dropping-particle":"","parse-names":false,"suffix":""},{"dropping-particle":"","family":"Jaffe","given":"Andrew E.","non-dropping-particle":"","parse-names":false,"suffix":""},{"dropping-particle":"","family":"Corrada-Bravo","given":"Hector","non-dropping-particle":"","parse-names":false,"suffix":""},{"dropping-particle":"","family":"Ladd-Acosta","given":"Christine","non-dropping-particle":"","parse-names":false,"suffix":""},{"dropping-particle":"","family":"Feinberg","given":"Andrew P.","non-dropping-particle":"","parse-names":false,"suffix":""},{"dropping-particle":"","family":"Hansen","given":"Kasper D.","non-dropping-particle":"","parse-names":false,"suffix":""},{"dropping-particle":"","family":"Irizarry","given":"Rafael A.","non-dropping-particle":"","parse-names":false,"suffix":""}],"container-title":"Bioinformatics (Oxford, England)","id":"ITEM-1","issue":"10","issued":{"date-parts":[["2014","5"]]},"language":"eng","page":"1363-1369","title":"Minfi: a flexible and comprehensive Bioconductor package for the analysis of Infinium DNA methylation microarrays","type":"article-journal","volume":"30"},"uris":["http://www.mendeley.com/documents/?uuid=32d23c82-eed3-4f4f-8111-c2ed664b9020"]}],"mendeley":{"formattedCitation":"&lt;span style=\"baseline\"&gt;[33]&lt;/span&gt;","plainTextFormattedCitation":"[33]","previouslyFormattedCitation":"&lt;span style=\"baseline\"&gt;[33]&lt;/span&gt;"},"properties":{"noteIndex":0},"schema":"https://github.com/citation-style-language/schema/raw/master/csl-citation.json"}</w:instrText>
      </w:r>
      <w:r w:rsidR="00500BF9" w:rsidRPr="00190491">
        <w:rPr>
          <w:color w:val="auto"/>
          <w:lang w:val="en-GB"/>
        </w:rPr>
        <w:fldChar w:fldCharType="separate"/>
      </w:r>
      <w:r w:rsidR="0033652D" w:rsidRPr="0033652D">
        <w:rPr>
          <w:noProof/>
          <w:color w:val="auto"/>
          <w:lang w:val="en-GB"/>
        </w:rPr>
        <w:t>[33]</w:t>
      </w:r>
      <w:r w:rsidR="00500BF9" w:rsidRPr="00190491">
        <w:rPr>
          <w:color w:val="auto"/>
          <w:lang w:val="en-GB"/>
        </w:rPr>
        <w:fldChar w:fldCharType="end"/>
      </w:r>
      <w:r w:rsidR="00935ACF" w:rsidRPr="00190491">
        <w:rPr>
          <w:color w:val="auto"/>
          <w:lang w:val="en-GB"/>
        </w:rPr>
        <w:t xml:space="preserve"> with cell composition coefficients derived using the Houseman method</w:t>
      </w:r>
      <w:r w:rsidR="00500BF9" w:rsidRPr="00190491">
        <w:rPr>
          <w:color w:val="auto"/>
          <w:lang w:val="en-GB"/>
        </w:rPr>
        <w:t xml:space="preserve"> </w:t>
      </w:r>
      <w:r w:rsidR="00500BF9" w:rsidRPr="00190491">
        <w:rPr>
          <w:color w:val="auto"/>
          <w:lang w:val="en-GB"/>
        </w:rPr>
        <w:fldChar w:fldCharType="begin" w:fldLock="1"/>
      </w:r>
      <w:r w:rsidR="00E6617B">
        <w:rPr>
          <w:color w:val="auto"/>
          <w:lang w:val="en-GB"/>
        </w:rPr>
        <w:instrText>ADDIN CSL_CITATION {"citationItems":[{"id":"ITEM-1","itemData":{"DOI":"10.1186/1471-2105-13-86","author":[{"dropping-particle":"","family":"Houseman","given":"Eugene","non-dropping-particle":"","parse-names":false,"suffix":""},{"dropping-particle":"","family":"Accomando","given":"William P.","non-dropping-particle":"","parse-names":false,"suffix":""},{"dropping-particle":"","family":"Koestler","given":"Devin C.","non-dropping-particle":"","parse-names":false,"suffix":""},{"dropping-particle":"","family":"Christensen","given":"Brock C.","non-dropping-particle":"","parse-names":false,"suffix":""},{"dropping-particle":"","family":"Marsit","given":"Carmen J.","non-dropping-particle":"","parse-names":false,"suffix":""},{"dropping-particle":"","family":"Nelson","given":"Heather H.","non-dropping-particle":"","parse-names":false,"suffix":""},{"dropping-particle":"","family":"Wiencke","given":"John K.","non-dropping-particle":"","parse-names":false,"suffix":""},{"dropping-particle":"","family":"Kelsey","given":"Karl T.","non-dropping-particle":"","parse-names":false,"suffix":""}],"container-title":"BMC Bioinformatics","id":"ITEM-1","issue":"1","issued":{"date-parts":[["2012"]]},"page":"86","title":"DNA methylation arrays as surrogate measures of cell mixture distribution","type":"article-journal","volume":"13"},"uris":["http://www.mendeley.com/documents/?uuid=9a472fa1-0a9b-43e8-b4f5-73b7f3155ab4"]}],"mendeley":{"formattedCitation":"&lt;span style=\"baseline\"&gt;[34]&lt;/span&gt;","plainTextFormattedCitation":"[34]","previouslyFormattedCitation":"&lt;span style=\"baseline\"&gt;[34]&lt;/span&gt;"},"properties":{"noteIndex":0},"schema":"https://github.com/citation-style-language/schema/raw/master/csl-citation.json"}</w:instrText>
      </w:r>
      <w:r w:rsidR="00500BF9" w:rsidRPr="00190491">
        <w:rPr>
          <w:color w:val="auto"/>
          <w:lang w:val="en-GB"/>
        </w:rPr>
        <w:fldChar w:fldCharType="separate"/>
      </w:r>
      <w:r w:rsidR="0033652D" w:rsidRPr="0033652D">
        <w:rPr>
          <w:noProof/>
          <w:color w:val="auto"/>
          <w:lang w:val="en-GB"/>
        </w:rPr>
        <w:t>[34]</w:t>
      </w:r>
      <w:r w:rsidR="00500BF9" w:rsidRPr="00190491">
        <w:rPr>
          <w:color w:val="auto"/>
          <w:lang w:val="en-GB"/>
        </w:rPr>
        <w:fldChar w:fldCharType="end"/>
      </w:r>
      <w:r w:rsidR="00935ACF" w:rsidRPr="00190491">
        <w:rPr>
          <w:color w:val="auto"/>
          <w:lang w:val="en-GB"/>
        </w:rPr>
        <w:t>.</w:t>
      </w:r>
    </w:p>
    <w:p w14:paraId="217DCC29" w14:textId="77777777" w:rsidR="00935ACF" w:rsidRPr="009E6C5C" w:rsidRDefault="009E6C5C" w:rsidP="009E6C5C">
      <w:pPr>
        <w:pStyle w:val="MDPI22heading2"/>
        <w:rPr>
          <w:lang w:val="en-GB"/>
        </w:rPr>
      </w:pPr>
      <w:r>
        <w:rPr>
          <w:lang w:val="en-GB"/>
        </w:rPr>
        <w:t xml:space="preserve">2.7. </w:t>
      </w:r>
      <w:r w:rsidR="00935ACF" w:rsidRPr="009E6C5C">
        <w:rPr>
          <w:lang w:val="en-GB"/>
        </w:rPr>
        <w:t>Statistical analyses</w:t>
      </w:r>
    </w:p>
    <w:p w14:paraId="720E0D05" w14:textId="77777777" w:rsidR="00935ACF" w:rsidRPr="00190491" w:rsidRDefault="00935ACF" w:rsidP="00935ACF">
      <w:pPr>
        <w:pStyle w:val="MDPI31text"/>
        <w:rPr>
          <w:color w:val="auto"/>
          <w:lang w:val="en-GB"/>
        </w:rPr>
      </w:pPr>
      <w:r w:rsidRPr="00190491">
        <w:rPr>
          <w:color w:val="auto"/>
          <w:lang w:val="en-GB"/>
        </w:rPr>
        <w:t>Two separate EWASs were performed to identify differentially methylated probes (DMPs) between exposed (&gt;3 months and &gt;6 months breastfeeding duration) and unexposed (never breastfed) subjects at age 10 using robust linear regression, adjusted for confounding factors and cell types. Multiple hypothesis testing was accounted for by controlling the false discovery rate (FDR)</w:t>
      </w:r>
      <w:r w:rsidR="00262658" w:rsidRPr="00190491">
        <w:rPr>
          <w:color w:val="auto"/>
          <w:lang w:val="en-GB"/>
        </w:rPr>
        <w:t xml:space="preserve"> </w:t>
      </w:r>
      <w:r w:rsidRPr="00190491">
        <w:rPr>
          <w:color w:val="auto"/>
          <w:lang w:val="en-GB"/>
        </w:rPr>
        <w:t>using the Benjamini and Hochberg’s algorithm</w:t>
      </w:r>
      <w:r w:rsidR="00500BF9" w:rsidRPr="00190491">
        <w:rPr>
          <w:color w:val="auto"/>
          <w:lang w:val="en-GB"/>
        </w:rPr>
        <w:t xml:space="preserve"> </w:t>
      </w:r>
      <w:r w:rsidR="00500BF9" w:rsidRPr="00190491">
        <w:rPr>
          <w:color w:val="auto"/>
          <w:lang w:val="en-GB"/>
        </w:rPr>
        <w:fldChar w:fldCharType="begin" w:fldLock="1"/>
      </w:r>
      <w:r w:rsidR="00E6617B">
        <w:rPr>
          <w:color w:val="auto"/>
          <w:lang w:val="en-GB"/>
        </w:rPr>
        <w:instrText>ADDIN CSL_CITATION {"citationItems":[{"id":"ITEM-1","itemData":{"ISSN":"00359246","abstract":"[The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author":[{"dropping-particle":"","family":"Benjamini","given":"Yoav","non-dropping-particle":"","parse-names":false,"suffix":""},{"dropping-particle":"","family":"Hochberg","given":"Yosef","non-dropping-particle":"","parse-names":false,"suffix":""}],"container-title":"Journal of the Royal Statistical Society. Series B (Methodological)","id":"ITEM-1","issue":"1","issued":{"date-parts":[["1995"]]},"page":"289-300","publisher":"[Royal Statistical Society, Wiley]","title":"Controlling the False Discovery Rate: A Practical and Powerful Approach to Multiple Testing","type":"article-journal","volume":"57"},"uris":["http://www.mendeley.com/documents/?uuid=db060032-1564-3895-a741-84946e98c5a6"]}],"mendeley":{"formattedCitation":"&lt;span style=\"baseline\"&gt;[35]&lt;/span&gt;","plainTextFormattedCitation":"[35]","previouslyFormattedCitation":"&lt;span style=\"baseline\"&gt;[35]&lt;/span&gt;"},"properties":{"noteIndex":0},"schema":"https://github.com/citation-style-language/schema/raw/master/csl-citation.json"}</w:instrText>
      </w:r>
      <w:r w:rsidR="00500BF9" w:rsidRPr="00190491">
        <w:rPr>
          <w:color w:val="auto"/>
          <w:lang w:val="en-GB"/>
        </w:rPr>
        <w:fldChar w:fldCharType="separate"/>
      </w:r>
      <w:r w:rsidR="0033652D" w:rsidRPr="0033652D">
        <w:rPr>
          <w:noProof/>
          <w:color w:val="auto"/>
          <w:lang w:val="en-GB"/>
        </w:rPr>
        <w:t>[35]</w:t>
      </w:r>
      <w:r w:rsidR="00500BF9" w:rsidRPr="00190491">
        <w:rPr>
          <w:color w:val="auto"/>
          <w:lang w:val="en-GB"/>
        </w:rPr>
        <w:fldChar w:fldCharType="end"/>
      </w:r>
      <w:r w:rsidRPr="00190491">
        <w:rPr>
          <w:color w:val="auto"/>
          <w:lang w:val="en-GB"/>
        </w:rPr>
        <w:t xml:space="preserve">. CpGs with </w:t>
      </w:r>
      <w:r w:rsidR="003061DA" w:rsidRPr="00190491">
        <w:rPr>
          <w:color w:val="auto"/>
          <w:lang w:val="en-GB"/>
        </w:rPr>
        <w:t xml:space="preserve">an </w:t>
      </w:r>
      <w:r w:rsidRPr="00190491">
        <w:rPr>
          <w:color w:val="auto"/>
          <w:lang w:val="en-GB"/>
        </w:rPr>
        <w:t>FDR</w:t>
      </w:r>
      <w:r w:rsidR="007C0EB1" w:rsidRPr="00190491">
        <w:rPr>
          <w:color w:val="auto"/>
          <w:lang w:val="en-GB"/>
        </w:rPr>
        <w:t>-</w:t>
      </w:r>
      <w:r w:rsidRPr="00190491">
        <w:rPr>
          <w:color w:val="auto"/>
          <w:lang w:val="en-GB"/>
        </w:rPr>
        <w:t xml:space="preserve">corrected p-value &lt;0.05 were considered statistically significant. </w:t>
      </w:r>
    </w:p>
    <w:p w14:paraId="201667A3" w14:textId="77777777" w:rsidR="00935ACF" w:rsidRDefault="00935ACF" w:rsidP="00097982">
      <w:pPr>
        <w:pStyle w:val="MDPI31text"/>
        <w:rPr>
          <w:color w:val="auto"/>
          <w:lang w:val="en-GB"/>
        </w:rPr>
      </w:pPr>
      <w:r w:rsidRPr="00190491">
        <w:rPr>
          <w:color w:val="auto"/>
          <w:lang w:val="en-GB"/>
        </w:rPr>
        <w:t xml:space="preserve">Further, comb-p </w:t>
      </w:r>
      <w:r w:rsidR="00500BF9" w:rsidRPr="00190491">
        <w:rPr>
          <w:color w:val="auto"/>
          <w:lang w:val="en-GB"/>
        </w:rPr>
        <w:fldChar w:fldCharType="begin" w:fldLock="1"/>
      </w:r>
      <w:r w:rsidR="00E6617B">
        <w:rPr>
          <w:color w:val="auto"/>
          <w:lang w:val="en-GB"/>
        </w:rPr>
        <w:instrText>ADDIN CSL_CITATION {"citationItems":[{"id":"ITEM-1","itemData":{"DOI":"10.1093/bioinformatics/bts545","ISSN":"1367-4811","abstract":"SUMMARY: comb-p is a command-line tool and a python library that manipulates BED files of possibly irregularly spaced P-values and (1) calculates auto-correlation, (2) combines adjacent P-values, (3) performs false discovery adjustment, (4) finds regions of enrichment (i.e. series of adjacent low P-values) and (5) assigns significance to those regions. In addition, tools are provided for visualization and assessment. We provide validation and example uses on bisulfite-seq with P-values from Fisher's exact test, tiled methylation probes using a linear model and Dam-ID for chromatin binding using moderated t-statistics. Because the library accepts input in a simple, standardized format and is unaffected by the origin of the P-values, it can be used for a wide variety of applications.\nAVAILABILITY: comb-p is maintained under the BSD license. The documentation and implementation are available at https://github.com/brentp/combined-pvalues.\nCONTACT: bpederse@gmail.com","author":[{"dropping-particle":"","family":"Pedersen","given":"Brent S.","non-dropping-particle":"","parse-names":false,"suffix":""},{"dropping-particle":"","family":"Schwartz","given":"David A.","non-dropping-particle":"","parse-names":false,"suffix":""},{"dropping-particle":"V.","family":"Yang","given":"Ivana","non-dropping-particle":"","parse-names":false,"suffix":""},{"dropping-particle":"","family":"Kechris","given":"Katerina J.","non-dropping-particle":"","parse-names":false,"suffix":""}],"container-title":"Bioinformatics (Oxford, England)","id":"ITEM-1","issue":"22","issued":{"date-parts":[["2012","11"]]},"language":"eng","page":"2986-2988","title":"Comb-p: software for combining, analyzing, grouping and correcting spatially correlated P-values","type":"article-journal","volume":"28"},"uris":["http://www.mendeley.com/documents/?uuid=763cbe25-6463-4b8c-9172-954602cd9fc1"]}],"mendeley":{"formattedCitation":"&lt;span style=\"baseline\"&gt;[36]&lt;/span&gt;","plainTextFormattedCitation":"[36]","previouslyFormattedCitation":"&lt;span style=\"baseline\"&gt;[36]&lt;/span&gt;"},"properties":{"noteIndex":0},"schema":"https://github.com/citation-style-language/schema/raw/master/csl-citation.json"}</w:instrText>
      </w:r>
      <w:r w:rsidR="00500BF9" w:rsidRPr="00190491">
        <w:rPr>
          <w:color w:val="auto"/>
          <w:lang w:val="en-GB"/>
        </w:rPr>
        <w:fldChar w:fldCharType="separate"/>
      </w:r>
      <w:r w:rsidR="0033652D" w:rsidRPr="0033652D">
        <w:rPr>
          <w:noProof/>
          <w:color w:val="auto"/>
          <w:lang w:val="en-GB"/>
        </w:rPr>
        <w:t>[36]</w:t>
      </w:r>
      <w:r w:rsidR="00500BF9" w:rsidRPr="00190491">
        <w:rPr>
          <w:color w:val="auto"/>
          <w:lang w:val="en-GB"/>
        </w:rPr>
        <w:fldChar w:fldCharType="end"/>
      </w:r>
      <w:r w:rsidRPr="00190491">
        <w:rPr>
          <w:color w:val="auto"/>
          <w:lang w:val="en-GB"/>
        </w:rPr>
        <w:t xml:space="preserve"> was used to identify DMRs composed of multiple signals across individual CpG positions. Comb-p identifies regions enriched with low unadjusted </w:t>
      </w:r>
      <w:r w:rsidRPr="00190491">
        <w:rPr>
          <w:iCs/>
          <w:color w:val="auto"/>
          <w:lang w:val="en-GB"/>
        </w:rPr>
        <w:t>p-</w:t>
      </w:r>
      <w:r w:rsidRPr="00190491">
        <w:rPr>
          <w:color w:val="auto"/>
          <w:lang w:val="en-GB"/>
        </w:rPr>
        <w:t>values from the EWAS analysis. For each region, the DMR algorithm adjusts the CpG p-values for auto-correction between probes using the Stouffer-Liptak-Kechris (slk) correction</w:t>
      </w:r>
      <w:r w:rsidR="00341AD0" w:rsidRPr="00190491">
        <w:rPr>
          <w:color w:val="auto"/>
          <w:lang w:val="en-GB"/>
        </w:rPr>
        <w:t>,</w:t>
      </w:r>
      <w:r w:rsidRPr="00190491">
        <w:rPr>
          <w:color w:val="auto"/>
          <w:lang w:val="en-GB"/>
        </w:rPr>
        <w:t xml:space="preserve"> with multiple testing adjustment</w:t>
      </w:r>
      <w:r w:rsidR="00341AD0" w:rsidRPr="00190491">
        <w:rPr>
          <w:color w:val="auto"/>
          <w:lang w:val="en-GB"/>
        </w:rPr>
        <w:t>s made</w:t>
      </w:r>
      <w:r w:rsidRPr="00190491">
        <w:rPr>
          <w:color w:val="auto"/>
          <w:lang w:val="en-GB"/>
        </w:rPr>
        <w:t xml:space="preserve"> using a one-step Sidak correction method. Regions with at least two CpG probes within 1000 base pairs, having a Sidak-corrected </w:t>
      </w:r>
      <w:r w:rsidR="0054263A" w:rsidRPr="00190491">
        <w:rPr>
          <w:color w:val="auto"/>
          <w:lang w:val="en-GB"/>
        </w:rPr>
        <w:t>p</w:t>
      </w:r>
      <w:r w:rsidRPr="00190491">
        <w:rPr>
          <w:i/>
          <w:iCs/>
          <w:color w:val="auto"/>
          <w:lang w:val="en-GB"/>
        </w:rPr>
        <w:t>-</w:t>
      </w:r>
      <w:r w:rsidRPr="00190491">
        <w:rPr>
          <w:color w:val="auto"/>
          <w:lang w:val="en-GB"/>
        </w:rPr>
        <w:t>value &lt;0.05, were considered statistically significant.</w:t>
      </w:r>
    </w:p>
    <w:p w14:paraId="1692A492" w14:textId="77777777" w:rsidR="00B23821" w:rsidRPr="00190491" w:rsidRDefault="00B23821" w:rsidP="00097982">
      <w:pPr>
        <w:pStyle w:val="MDPI31text"/>
        <w:rPr>
          <w:color w:val="auto"/>
          <w:lang w:val="en-GB"/>
        </w:rPr>
      </w:pPr>
      <w:r w:rsidRPr="00B23821">
        <w:rPr>
          <w:color w:val="auto"/>
          <w:lang w:val="en-GB"/>
        </w:rPr>
        <w:t>DNAm levels of study participants who were never breastfed were compared against those breastfed &gt;6</w:t>
      </w:r>
      <w:r>
        <w:rPr>
          <w:color w:val="auto"/>
          <w:lang w:val="en-GB"/>
        </w:rPr>
        <w:t xml:space="preserve"> </w:t>
      </w:r>
      <w:r w:rsidRPr="00B23821">
        <w:rPr>
          <w:color w:val="auto"/>
          <w:lang w:val="en-GB"/>
        </w:rPr>
        <w:t xml:space="preserve">months across four different time points: shortly after birth (Guthrie) and at 10, 18 and 26 years of age. Only participants with both methylation and breastfeeding data were considered at each time point. In addition, each of the comparisons at birth, 18 and 26 years were performed on individuals that were also part of the comparison at the 10-year time point. Hence, the total number </w:t>
      </w:r>
      <w:r w:rsidR="006660BD">
        <w:rPr>
          <w:color w:val="auto"/>
          <w:lang w:val="en-GB"/>
        </w:rPr>
        <w:t xml:space="preserve">of participants </w:t>
      </w:r>
      <w:r w:rsidRPr="00B23821">
        <w:rPr>
          <w:color w:val="auto"/>
          <w:lang w:val="en-GB"/>
        </w:rPr>
        <w:t>analysed was: Guthrie (n=124); 10 YR (n=181), 18 YR (n=51); 26 YR (n=85) (Table S1). A nonparametric test, Wilcoxon Rank Sum test, was used to compare the medians of beta values for the exposed (&gt;6 months of breastfeeding) and unexposed (no breastfeeding) groups at each of the four time points.</w:t>
      </w:r>
    </w:p>
    <w:p w14:paraId="12C02C0A" w14:textId="77777777" w:rsidR="00935ACF" w:rsidRPr="00190491" w:rsidRDefault="00F8350A" w:rsidP="00C075C1">
      <w:pPr>
        <w:pStyle w:val="MDPI31text"/>
        <w:rPr>
          <w:color w:val="auto"/>
          <w:lang w:val="en-GB"/>
        </w:rPr>
      </w:pPr>
      <w:r w:rsidRPr="00190491">
        <w:rPr>
          <w:color w:val="auto"/>
          <w:lang w:val="en-GB"/>
        </w:rPr>
        <w:t>In</w:t>
      </w:r>
      <w:r w:rsidR="00935ACF" w:rsidRPr="00190491">
        <w:rPr>
          <w:color w:val="auto"/>
          <w:lang w:val="en-GB"/>
        </w:rPr>
        <w:t xml:space="preserve"> a sensitivity analysis using the significant CpGs identified from the primary EWAS</w:t>
      </w:r>
      <w:r w:rsidRPr="00190491">
        <w:rPr>
          <w:color w:val="auto"/>
          <w:lang w:val="en-GB"/>
        </w:rPr>
        <w:t>,</w:t>
      </w:r>
      <w:r w:rsidR="00935ACF" w:rsidRPr="00190491">
        <w:rPr>
          <w:color w:val="auto"/>
          <w:lang w:val="en-GB"/>
        </w:rPr>
        <w:t xml:space="preserve"> non-breastfed controls (n=</w:t>
      </w:r>
      <w:r w:rsidR="001B6AA7" w:rsidRPr="00190491">
        <w:rPr>
          <w:color w:val="auto"/>
          <w:lang w:val="en-GB"/>
        </w:rPr>
        <w:t>63</w:t>
      </w:r>
      <w:r w:rsidR="00935ACF" w:rsidRPr="00190491">
        <w:rPr>
          <w:color w:val="auto"/>
          <w:lang w:val="en-GB"/>
        </w:rPr>
        <w:t xml:space="preserve">) </w:t>
      </w:r>
      <w:r w:rsidR="00F22F8D" w:rsidRPr="00190491">
        <w:rPr>
          <w:color w:val="auto"/>
          <w:lang w:val="en-GB"/>
        </w:rPr>
        <w:t xml:space="preserve">were compared </w:t>
      </w:r>
      <w:r w:rsidR="00935ACF" w:rsidRPr="00190491">
        <w:rPr>
          <w:color w:val="auto"/>
          <w:lang w:val="en-GB"/>
        </w:rPr>
        <w:t>with participants who were exclusively breastfed &gt;3 months (n=</w:t>
      </w:r>
      <w:r w:rsidR="005F4B7F">
        <w:rPr>
          <w:color w:val="auto"/>
          <w:lang w:val="en-GB"/>
        </w:rPr>
        <w:t>92</w:t>
      </w:r>
      <w:r w:rsidR="00935ACF" w:rsidRPr="00190491">
        <w:rPr>
          <w:color w:val="auto"/>
          <w:lang w:val="en-GB"/>
        </w:rPr>
        <w:t>).</w:t>
      </w:r>
      <w:r w:rsidR="00C075C1" w:rsidRPr="00190491">
        <w:rPr>
          <w:color w:val="auto"/>
          <w:lang w:val="en-GB"/>
        </w:rPr>
        <w:t xml:space="preserve"> </w:t>
      </w:r>
      <w:r w:rsidR="006660BD">
        <w:rPr>
          <w:color w:val="auto"/>
          <w:lang w:val="en-GB"/>
        </w:rPr>
        <w:t>A</w:t>
      </w:r>
      <w:r w:rsidR="006660BD" w:rsidRPr="00190491">
        <w:rPr>
          <w:color w:val="auto"/>
          <w:lang w:val="en-GB"/>
        </w:rPr>
        <w:t xml:space="preserve"> </w:t>
      </w:r>
      <w:r w:rsidR="009B177F" w:rsidRPr="00190491">
        <w:rPr>
          <w:i/>
          <w:color w:val="auto"/>
          <w:lang w:val="en-GB"/>
        </w:rPr>
        <w:t>c</w:t>
      </w:r>
      <w:r w:rsidR="00935ACF" w:rsidRPr="00190491">
        <w:rPr>
          <w:i/>
          <w:color w:val="auto"/>
          <w:lang w:val="en-GB"/>
        </w:rPr>
        <w:t>is</w:t>
      </w:r>
      <w:r w:rsidR="00935ACF" w:rsidRPr="00190491">
        <w:rPr>
          <w:color w:val="auto"/>
          <w:lang w:val="en-GB"/>
        </w:rPr>
        <w:t xml:space="preserve">-mQTL </w:t>
      </w:r>
      <w:r w:rsidR="007831FB" w:rsidRPr="00190491">
        <w:rPr>
          <w:color w:val="auto"/>
          <w:lang w:val="en-GB"/>
        </w:rPr>
        <w:t xml:space="preserve">analysis </w:t>
      </w:r>
      <w:r w:rsidR="00C075C1" w:rsidRPr="00190491">
        <w:rPr>
          <w:color w:val="auto"/>
          <w:lang w:val="en-GB"/>
        </w:rPr>
        <w:t>w</w:t>
      </w:r>
      <w:r w:rsidR="007831FB" w:rsidRPr="00190491">
        <w:rPr>
          <w:color w:val="auto"/>
          <w:lang w:val="en-GB"/>
        </w:rPr>
        <w:t>as</w:t>
      </w:r>
      <w:r w:rsidR="00C075C1" w:rsidRPr="00190491">
        <w:rPr>
          <w:color w:val="auto"/>
          <w:lang w:val="en-GB"/>
        </w:rPr>
        <w:t xml:space="preserve"> conducted</w:t>
      </w:r>
      <w:r w:rsidR="00935ACF" w:rsidRPr="00190491">
        <w:rPr>
          <w:color w:val="auto"/>
          <w:lang w:val="en-GB"/>
        </w:rPr>
        <w:t xml:space="preserve"> to test </w:t>
      </w:r>
      <w:r w:rsidRPr="00190491">
        <w:rPr>
          <w:color w:val="auto"/>
          <w:lang w:val="en-GB"/>
        </w:rPr>
        <w:t xml:space="preserve">the </w:t>
      </w:r>
      <w:r w:rsidR="00935ACF" w:rsidRPr="00190491">
        <w:rPr>
          <w:color w:val="auto"/>
          <w:lang w:val="en-GB"/>
        </w:rPr>
        <w:t>association of DNAm with nearby single nucleotide polymorphisms (SNPs), using the GEM package</w:t>
      </w:r>
      <w:r w:rsidR="00F94C67" w:rsidRPr="00190491">
        <w:rPr>
          <w:color w:val="auto"/>
          <w:lang w:val="en-GB"/>
        </w:rPr>
        <w:t xml:space="preserve"> </w:t>
      </w:r>
      <w:r w:rsidR="00F94C67" w:rsidRPr="00190491">
        <w:rPr>
          <w:color w:val="auto"/>
          <w:lang w:val="en-GB"/>
        </w:rPr>
        <w:fldChar w:fldCharType="begin" w:fldLock="1"/>
      </w:r>
      <w:r w:rsidR="00E6617B">
        <w:rPr>
          <w:color w:val="auto"/>
          <w:lang w:val="en-GB"/>
        </w:rPr>
        <w:instrText>ADDIN CSL_CITATION {"citationItems":[{"id":"ITEM-1","itemData":{"DOI":"10.1186/s12859-016-1161-z","ISSN":"1471-2105","abstract":"The interplay among genetic, environment and epigenetic variation is not fully understood. Advances in high-throughput genotyping methods, high-density DNA methylation detection and well-characterized sample collections, enable epigenetic association studies at the genomic and population levels (EWAS). The field has extended to interrogate the interaction of environmental and genetic (GxE) influences on epigenetic variation. Also, the detection of methylation quantitative trait loci (methQTLs) and their association with health status has enhanced our knowledge of epigenetic mechanisms in disease trajectory. However analysis of this type of data brings computational challenges and there are few practical solutions to enable large scale studies in standard computational environments.","author":[{"dropping-particle":"","family":"Pan","given":"Hong","non-dropping-particle":"","parse-names":false,"suffix":""},{"dropping-particle":"","family":"Holbrook","given":"Joanna D","non-dropping-particle":"","parse-names":false,"suffix":""},{"dropping-particle":"","family":"Karnani","given":"Neerja","non-dropping-particle":"","parse-names":false,"suffix":""},{"dropping-particle":"","family":"Kwoh","given":"Chee Keong","non-dropping-particle":"","parse-names":false,"suffix":""}],"container-title":"BMC Bioinformatics","id":"ITEM-1","issue":"1","issued":{"date-parts":[["2016"]]},"page":"299","title":"Gene, Environment and Methylation (GEM): a tool suite to efficiently navigate large scale epigenome wide association studies and integrate genotype and interaction between genotype and environment","type":"article-journal","volume":"17"},"uris":["http://www.mendeley.com/documents/?uuid=c4ff0c6d-ce48-3850-92ba-78bc308c1dcb"]}],"mendeley":{"formattedCitation":"&lt;span style=\"baseline\"&gt;[37]&lt;/span&gt;","plainTextFormattedCitation":"[37]","previouslyFormattedCitation":"&lt;span style=\"baseline\"&gt;[37]&lt;/span&gt;"},"properties":{"noteIndex":0},"schema":"https://github.com/citation-style-language/schema/raw/master/csl-citation.json"}</w:instrText>
      </w:r>
      <w:r w:rsidR="00F94C67" w:rsidRPr="00190491">
        <w:rPr>
          <w:color w:val="auto"/>
          <w:lang w:val="en-GB"/>
        </w:rPr>
        <w:fldChar w:fldCharType="separate"/>
      </w:r>
      <w:r w:rsidR="0033652D" w:rsidRPr="0033652D">
        <w:rPr>
          <w:noProof/>
          <w:color w:val="auto"/>
          <w:lang w:val="en-GB"/>
        </w:rPr>
        <w:t>[37]</w:t>
      </w:r>
      <w:r w:rsidR="00F94C67" w:rsidRPr="00190491">
        <w:rPr>
          <w:color w:val="auto"/>
          <w:lang w:val="en-GB"/>
        </w:rPr>
        <w:fldChar w:fldCharType="end"/>
      </w:r>
      <w:r w:rsidR="00935ACF" w:rsidRPr="00190491">
        <w:rPr>
          <w:color w:val="auto"/>
          <w:lang w:val="en-GB"/>
        </w:rPr>
        <w:t xml:space="preserve">. The region for the analysis was set within 50 kb upstream and downstream of each statistically significant CpG site. The model </w:t>
      </w:r>
      <w:r w:rsidR="00C075C1" w:rsidRPr="00190491">
        <w:rPr>
          <w:color w:val="auto"/>
          <w:lang w:val="en-GB"/>
        </w:rPr>
        <w:t>wa</w:t>
      </w:r>
      <w:r w:rsidR="00935ACF" w:rsidRPr="00190491">
        <w:rPr>
          <w:color w:val="auto"/>
          <w:lang w:val="en-GB"/>
        </w:rPr>
        <w:t xml:space="preserve">s adjusted </w:t>
      </w:r>
      <w:r w:rsidR="00C075C1" w:rsidRPr="00190491">
        <w:rPr>
          <w:color w:val="auto"/>
          <w:lang w:val="en-GB"/>
        </w:rPr>
        <w:t xml:space="preserve">using </w:t>
      </w:r>
      <w:r w:rsidR="00E5264D" w:rsidRPr="00190491">
        <w:rPr>
          <w:color w:val="auto"/>
          <w:lang w:val="en-GB"/>
        </w:rPr>
        <w:t xml:space="preserve">the </w:t>
      </w:r>
      <w:r w:rsidRPr="00190491">
        <w:rPr>
          <w:color w:val="auto"/>
          <w:lang w:val="en-GB"/>
        </w:rPr>
        <w:t>same covariates as in the EWAS analysis</w:t>
      </w:r>
      <w:r w:rsidR="006660BD">
        <w:rPr>
          <w:color w:val="auto"/>
          <w:lang w:val="en-GB"/>
        </w:rPr>
        <w:t>,</w:t>
      </w:r>
      <w:r w:rsidRPr="00190491">
        <w:rPr>
          <w:color w:val="auto"/>
          <w:lang w:val="en-GB"/>
        </w:rPr>
        <w:t xml:space="preserve"> </w:t>
      </w:r>
      <w:r w:rsidR="00935ACF" w:rsidRPr="00190491">
        <w:rPr>
          <w:color w:val="auto"/>
          <w:lang w:val="en-GB"/>
        </w:rPr>
        <w:t>and significant associations were defined by FDR</w:t>
      </w:r>
      <w:r w:rsidR="005967D8" w:rsidRPr="00190491">
        <w:rPr>
          <w:color w:val="auto"/>
          <w:lang w:val="en-GB"/>
        </w:rPr>
        <w:t>-</w:t>
      </w:r>
      <w:r w:rsidR="00935ACF" w:rsidRPr="00190491">
        <w:rPr>
          <w:color w:val="auto"/>
          <w:lang w:val="en-GB"/>
        </w:rPr>
        <w:t>corrected p-value &lt;0.05.</w:t>
      </w:r>
      <w:r w:rsidR="00935ACF" w:rsidRPr="00190491">
        <w:rPr>
          <w:color w:val="auto"/>
          <w:lang w:val="en-GB" w:eastAsia="en-GB"/>
        </w:rPr>
        <w:t xml:space="preserve"> </w:t>
      </w:r>
    </w:p>
    <w:p w14:paraId="71663B8B" w14:textId="77777777" w:rsidR="00935ACF" w:rsidRPr="00190491" w:rsidRDefault="009E6C5C" w:rsidP="009E6C5C">
      <w:pPr>
        <w:pStyle w:val="MDPI21heading1"/>
        <w:rPr>
          <w:lang w:val="en-GB"/>
        </w:rPr>
      </w:pPr>
      <w:r>
        <w:rPr>
          <w:lang w:val="en-GB"/>
        </w:rPr>
        <w:t xml:space="preserve">3. </w:t>
      </w:r>
      <w:r w:rsidR="00935ACF" w:rsidRPr="00190491">
        <w:rPr>
          <w:lang w:val="en-GB"/>
        </w:rPr>
        <w:t>Results</w:t>
      </w:r>
    </w:p>
    <w:p w14:paraId="7A07415F" w14:textId="77777777" w:rsidR="00935ACF" w:rsidRPr="00190491" w:rsidRDefault="00935ACF" w:rsidP="00935ACF">
      <w:pPr>
        <w:pStyle w:val="MDPI31text"/>
        <w:rPr>
          <w:color w:val="auto"/>
          <w:lang w:val="en-GB"/>
        </w:rPr>
      </w:pPr>
      <w:r w:rsidRPr="00190491">
        <w:rPr>
          <w:color w:val="auto"/>
          <w:lang w:val="en-GB"/>
        </w:rPr>
        <w:t xml:space="preserve">Descriptive statistics comparing all participants in the IOWBC </w:t>
      </w:r>
      <w:r w:rsidR="00A97E41">
        <w:rPr>
          <w:color w:val="auto"/>
          <w:lang w:val="en-GB"/>
        </w:rPr>
        <w:t>with DNAm data are presented in Table 1. The number of participants included in each step of the analysis are presented in Table S1.</w:t>
      </w:r>
    </w:p>
    <w:p w14:paraId="0363DFB6" w14:textId="4E330281" w:rsidR="00935ACF" w:rsidRPr="00190491" w:rsidRDefault="009E6C5C" w:rsidP="009E6C5C">
      <w:pPr>
        <w:pStyle w:val="MDPI41tablecaption"/>
        <w:rPr>
          <w:lang w:val="en-GB"/>
        </w:rPr>
      </w:pPr>
      <w:r w:rsidRPr="009E6C5C">
        <w:rPr>
          <w:b/>
          <w:bCs/>
          <w:lang w:val="en-GB"/>
        </w:rPr>
        <w:t xml:space="preserve">Table 1. </w:t>
      </w:r>
      <w:r w:rsidR="00935ACF" w:rsidRPr="00190491">
        <w:rPr>
          <w:lang w:val="en-GB"/>
        </w:rPr>
        <w:t xml:space="preserve">Baseline characteristics of participants in the IOWBC </w:t>
      </w:r>
      <w:r w:rsidR="00A97E41">
        <w:rPr>
          <w:lang w:val="en-GB"/>
        </w:rPr>
        <w:t>with DNAm data</w:t>
      </w:r>
      <w:r w:rsidR="00935ACF" w:rsidRPr="00190491">
        <w:rPr>
          <w:lang w:val="en-GB"/>
        </w:rPr>
        <w:t xml:space="preserve"> at each time-point</w:t>
      </w:r>
      <w:r>
        <w:rPr>
          <w:lang w:val="en-GB"/>
        </w:rPr>
        <w:t>.</w:t>
      </w:r>
    </w:p>
    <w:tbl>
      <w:tblPr>
        <w:tblStyle w:val="TableGrid1"/>
        <w:tblW w:w="539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1543"/>
        <w:gridCol w:w="1458"/>
        <w:gridCol w:w="1459"/>
        <w:gridCol w:w="1459"/>
        <w:gridCol w:w="1459"/>
      </w:tblGrid>
      <w:tr w:rsidR="00342F28" w:rsidRPr="009E6C5C" w14:paraId="0BCB4C93" w14:textId="77777777" w:rsidTr="009E6C5C">
        <w:trPr>
          <w:jc w:val="center"/>
        </w:trPr>
        <w:tc>
          <w:tcPr>
            <w:tcW w:w="0" w:type="auto"/>
            <w:tcBorders>
              <w:top w:val="single" w:sz="8" w:space="0" w:color="auto"/>
              <w:left w:val="nil"/>
              <w:bottom w:val="single" w:sz="4" w:space="0" w:color="auto"/>
              <w:right w:val="nil"/>
            </w:tcBorders>
            <w:shd w:val="clear" w:color="auto" w:fill="auto"/>
            <w:vAlign w:val="center"/>
            <w:hideMark/>
          </w:tcPr>
          <w:p w14:paraId="298A08E2"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Characteristics</w:t>
            </w:r>
          </w:p>
        </w:tc>
        <w:tc>
          <w:tcPr>
            <w:tcW w:w="0" w:type="auto"/>
            <w:tcBorders>
              <w:top w:val="single" w:sz="8" w:space="0" w:color="auto"/>
              <w:left w:val="nil"/>
              <w:bottom w:val="single" w:sz="4" w:space="0" w:color="auto"/>
              <w:right w:val="nil"/>
            </w:tcBorders>
            <w:shd w:val="clear" w:color="auto" w:fill="auto"/>
            <w:vAlign w:val="center"/>
            <w:hideMark/>
          </w:tcPr>
          <w:p w14:paraId="2F838FAF"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IOWBC (n=1536)</w:t>
            </w:r>
          </w:p>
        </w:tc>
        <w:tc>
          <w:tcPr>
            <w:tcW w:w="0" w:type="auto"/>
            <w:tcBorders>
              <w:top w:val="single" w:sz="8" w:space="0" w:color="auto"/>
              <w:left w:val="nil"/>
              <w:bottom w:val="single" w:sz="4" w:space="0" w:color="auto"/>
              <w:right w:val="nil"/>
            </w:tcBorders>
            <w:shd w:val="clear" w:color="auto" w:fill="auto"/>
            <w:vAlign w:val="center"/>
          </w:tcPr>
          <w:p w14:paraId="652BEE49"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Guthrie (n=885)</w:t>
            </w:r>
          </w:p>
        </w:tc>
        <w:tc>
          <w:tcPr>
            <w:tcW w:w="0" w:type="auto"/>
            <w:tcBorders>
              <w:top w:val="single" w:sz="8" w:space="0" w:color="auto"/>
              <w:left w:val="nil"/>
              <w:bottom w:val="single" w:sz="4" w:space="0" w:color="auto"/>
              <w:right w:val="nil"/>
            </w:tcBorders>
            <w:shd w:val="clear" w:color="auto" w:fill="auto"/>
            <w:vAlign w:val="center"/>
            <w:hideMark/>
          </w:tcPr>
          <w:p w14:paraId="61614BD2"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10 years (n=410)</w:t>
            </w:r>
          </w:p>
        </w:tc>
        <w:tc>
          <w:tcPr>
            <w:tcW w:w="0" w:type="auto"/>
            <w:tcBorders>
              <w:top w:val="single" w:sz="8" w:space="0" w:color="auto"/>
              <w:left w:val="nil"/>
              <w:bottom w:val="single" w:sz="4" w:space="0" w:color="auto"/>
              <w:right w:val="nil"/>
            </w:tcBorders>
            <w:shd w:val="clear" w:color="auto" w:fill="auto"/>
            <w:vAlign w:val="center"/>
            <w:hideMark/>
          </w:tcPr>
          <w:p w14:paraId="6CA6A74E"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18 years (n=109)</w:t>
            </w:r>
          </w:p>
        </w:tc>
        <w:tc>
          <w:tcPr>
            <w:tcW w:w="0" w:type="auto"/>
            <w:tcBorders>
              <w:top w:val="single" w:sz="8" w:space="0" w:color="auto"/>
              <w:left w:val="nil"/>
              <w:bottom w:val="single" w:sz="4" w:space="0" w:color="auto"/>
              <w:right w:val="nil"/>
            </w:tcBorders>
            <w:shd w:val="clear" w:color="auto" w:fill="auto"/>
            <w:vAlign w:val="center"/>
            <w:hideMark/>
          </w:tcPr>
          <w:p w14:paraId="506D4A61"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26 years (n=302)</w:t>
            </w:r>
          </w:p>
        </w:tc>
      </w:tr>
      <w:tr w:rsidR="00342F28" w:rsidRPr="009E6C5C" w14:paraId="1C0D905C" w14:textId="77777777" w:rsidTr="009E6C5C">
        <w:trPr>
          <w:jc w:val="center"/>
        </w:trPr>
        <w:tc>
          <w:tcPr>
            <w:tcW w:w="0" w:type="auto"/>
            <w:tcBorders>
              <w:top w:val="single" w:sz="4" w:space="0" w:color="auto"/>
              <w:left w:val="nil"/>
              <w:bottom w:val="nil"/>
              <w:right w:val="nil"/>
            </w:tcBorders>
            <w:shd w:val="clear" w:color="auto" w:fill="auto"/>
            <w:vAlign w:val="center"/>
            <w:hideMark/>
          </w:tcPr>
          <w:p w14:paraId="11455502"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Child sex (female)</w:t>
            </w:r>
          </w:p>
        </w:tc>
        <w:tc>
          <w:tcPr>
            <w:tcW w:w="0" w:type="auto"/>
            <w:tcBorders>
              <w:top w:val="single" w:sz="4" w:space="0" w:color="auto"/>
              <w:left w:val="nil"/>
              <w:bottom w:val="nil"/>
              <w:right w:val="nil"/>
            </w:tcBorders>
            <w:shd w:val="clear" w:color="auto" w:fill="auto"/>
            <w:vAlign w:val="center"/>
            <w:hideMark/>
          </w:tcPr>
          <w:p w14:paraId="2BDAEAA5"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750 (48.8%)</w:t>
            </w:r>
          </w:p>
        </w:tc>
        <w:tc>
          <w:tcPr>
            <w:tcW w:w="0" w:type="auto"/>
            <w:tcBorders>
              <w:top w:val="single" w:sz="4" w:space="0" w:color="auto"/>
              <w:left w:val="nil"/>
              <w:bottom w:val="nil"/>
              <w:right w:val="nil"/>
            </w:tcBorders>
            <w:shd w:val="clear" w:color="auto" w:fill="auto"/>
            <w:vAlign w:val="center"/>
          </w:tcPr>
          <w:p w14:paraId="08688945"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457 (51.6%)</w:t>
            </w:r>
          </w:p>
        </w:tc>
        <w:tc>
          <w:tcPr>
            <w:tcW w:w="0" w:type="auto"/>
            <w:tcBorders>
              <w:top w:val="single" w:sz="4" w:space="0" w:color="auto"/>
              <w:left w:val="nil"/>
              <w:bottom w:val="nil"/>
              <w:right w:val="nil"/>
            </w:tcBorders>
            <w:shd w:val="clear" w:color="auto" w:fill="auto"/>
            <w:vAlign w:val="center"/>
            <w:hideMark/>
          </w:tcPr>
          <w:p w14:paraId="2D66E0ED"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169 (41.2%)</w:t>
            </w:r>
          </w:p>
        </w:tc>
        <w:tc>
          <w:tcPr>
            <w:tcW w:w="0" w:type="auto"/>
            <w:tcBorders>
              <w:top w:val="single" w:sz="4" w:space="0" w:color="auto"/>
              <w:left w:val="nil"/>
              <w:bottom w:val="nil"/>
              <w:right w:val="nil"/>
            </w:tcBorders>
            <w:shd w:val="clear" w:color="auto" w:fill="auto"/>
            <w:vAlign w:val="center"/>
            <w:hideMark/>
          </w:tcPr>
          <w:p w14:paraId="5ECFBB2A"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4 (3.7%)</w:t>
            </w:r>
          </w:p>
        </w:tc>
        <w:tc>
          <w:tcPr>
            <w:tcW w:w="0" w:type="auto"/>
            <w:tcBorders>
              <w:top w:val="single" w:sz="4" w:space="0" w:color="auto"/>
              <w:left w:val="nil"/>
              <w:bottom w:val="nil"/>
              <w:right w:val="nil"/>
            </w:tcBorders>
            <w:shd w:val="clear" w:color="auto" w:fill="auto"/>
            <w:vAlign w:val="center"/>
            <w:hideMark/>
          </w:tcPr>
          <w:p w14:paraId="624C16A5"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171 (56.6%)</w:t>
            </w:r>
          </w:p>
        </w:tc>
      </w:tr>
      <w:tr w:rsidR="00342F28" w:rsidRPr="009E6C5C" w14:paraId="30E00546" w14:textId="77777777" w:rsidTr="009E6C5C">
        <w:trPr>
          <w:jc w:val="center"/>
        </w:trPr>
        <w:tc>
          <w:tcPr>
            <w:tcW w:w="0" w:type="auto"/>
            <w:shd w:val="clear" w:color="auto" w:fill="auto"/>
            <w:vAlign w:val="center"/>
            <w:hideMark/>
          </w:tcPr>
          <w:p w14:paraId="4F67D9C9"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Child low birth weight</w:t>
            </w:r>
          </w:p>
        </w:tc>
        <w:tc>
          <w:tcPr>
            <w:tcW w:w="0" w:type="auto"/>
            <w:shd w:val="clear" w:color="auto" w:fill="auto"/>
            <w:vAlign w:val="center"/>
            <w:hideMark/>
          </w:tcPr>
          <w:p w14:paraId="5E1ACEFB"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64 (4.2%)</w:t>
            </w:r>
          </w:p>
        </w:tc>
        <w:tc>
          <w:tcPr>
            <w:tcW w:w="0" w:type="auto"/>
            <w:shd w:val="clear" w:color="auto" w:fill="auto"/>
            <w:vAlign w:val="center"/>
          </w:tcPr>
          <w:p w14:paraId="458360A7"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32 (3.6%)</w:t>
            </w:r>
          </w:p>
        </w:tc>
        <w:tc>
          <w:tcPr>
            <w:tcW w:w="0" w:type="auto"/>
            <w:shd w:val="clear" w:color="auto" w:fill="auto"/>
            <w:vAlign w:val="center"/>
            <w:hideMark/>
          </w:tcPr>
          <w:p w14:paraId="5C1FCEF7"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16 (3.9%)</w:t>
            </w:r>
          </w:p>
        </w:tc>
        <w:tc>
          <w:tcPr>
            <w:tcW w:w="0" w:type="auto"/>
            <w:shd w:val="clear" w:color="auto" w:fill="auto"/>
            <w:vAlign w:val="center"/>
            <w:hideMark/>
          </w:tcPr>
          <w:p w14:paraId="4B53D3F0"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6 (5.5%)</w:t>
            </w:r>
          </w:p>
        </w:tc>
        <w:tc>
          <w:tcPr>
            <w:tcW w:w="0" w:type="auto"/>
            <w:shd w:val="clear" w:color="auto" w:fill="auto"/>
            <w:vAlign w:val="center"/>
            <w:hideMark/>
          </w:tcPr>
          <w:p w14:paraId="69F681D7"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15 (5.0%)</w:t>
            </w:r>
          </w:p>
        </w:tc>
      </w:tr>
      <w:tr w:rsidR="00342F28" w:rsidRPr="009E6C5C" w14:paraId="5EC4743A" w14:textId="77777777" w:rsidTr="009E6C5C">
        <w:trPr>
          <w:jc w:val="center"/>
        </w:trPr>
        <w:tc>
          <w:tcPr>
            <w:tcW w:w="0" w:type="auto"/>
            <w:shd w:val="clear" w:color="auto" w:fill="auto"/>
            <w:vAlign w:val="center"/>
            <w:hideMark/>
          </w:tcPr>
          <w:p w14:paraId="1D37250D"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Socioeconomic status</w:t>
            </w:r>
          </w:p>
        </w:tc>
        <w:tc>
          <w:tcPr>
            <w:tcW w:w="0" w:type="auto"/>
            <w:shd w:val="clear" w:color="auto" w:fill="auto"/>
            <w:vAlign w:val="center"/>
          </w:tcPr>
          <w:p w14:paraId="6795164C" w14:textId="77777777" w:rsidR="001C647C" w:rsidRPr="009E6C5C" w:rsidRDefault="001C647C" w:rsidP="009E6C5C">
            <w:pPr>
              <w:pStyle w:val="MDPI31text"/>
              <w:autoSpaceDE w:val="0"/>
              <w:autoSpaceDN w:val="0"/>
              <w:spacing w:line="240" w:lineRule="auto"/>
              <w:ind w:firstLine="0"/>
              <w:jc w:val="center"/>
              <w:rPr>
                <w:color w:val="auto"/>
                <w:sz w:val="18"/>
                <w:lang w:val="en-GB"/>
              </w:rPr>
            </w:pPr>
          </w:p>
        </w:tc>
        <w:tc>
          <w:tcPr>
            <w:tcW w:w="0" w:type="auto"/>
            <w:gridSpan w:val="4"/>
            <w:shd w:val="clear" w:color="auto" w:fill="auto"/>
            <w:vAlign w:val="center"/>
          </w:tcPr>
          <w:p w14:paraId="5D8552C0" w14:textId="77777777" w:rsidR="001C647C" w:rsidRPr="009E6C5C" w:rsidRDefault="001C647C" w:rsidP="009E6C5C">
            <w:pPr>
              <w:pStyle w:val="MDPI31text"/>
              <w:autoSpaceDE w:val="0"/>
              <w:autoSpaceDN w:val="0"/>
              <w:spacing w:line="240" w:lineRule="auto"/>
              <w:ind w:firstLine="0"/>
              <w:jc w:val="center"/>
              <w:rPr>
                <w:color w:val="auto"/>
                <w:sz w:val="18"/>
                <w:lang w:val="en-GB"/>
              </w:rPr>
            </w:pPr>
          </w:p>
        </w:tc>
      </w:tr>
      <w:tr w:rsidR="00342F28" w:rsidRPr="009E6C5C" w14:paraId="59D45ADF" w14:textId="77777777" w:rsidTr="009E6C5C">
        <w:trPr>
          <w:jc w:val="center"/>
        </w:trPr>
        <w:tc>
          <w:tcPr>
            <w:tcW w:w="0" w:type="auto"/>
            <w:shd w:val="clear" w:color="auto" w:fill="auto"/>
            <w:vAlign w:val="center"/>
            <w:hideMark/>
          </w:tcPr>
          <w:p w14:paraId="31ABC52A"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1 (lowest)</w:t>
            </w:r>
          </w:p>
        </w:tc>
        <w:tc>
          <w:tcPr>
            <w:tcW w:w="0" w:type="auto"/>
            <w:shd w:val="clear" w:color="auto" w:fill="auto"/>
            <w:vAlign w:val="center"/>
            <w:hideMark/>
          </w:tcPr>
          <w:p w14:paraId="25B7ABE9"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209 (13.6%)</w:t>
            </w:r>
          </w:p>
        </w:tc>
        <w:tc>
          <w:tcPr>
            <w:tcW w:w="0" w:type="auto"/>
            <w:shd w:val="clear" w:color="auto" w:fill="auto"/>
            <w:vAlign w:val="center"/>
          </w:tcPr>
          <w:p w14:paraId="124AC058"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121 (13.7%)</w:t>
            </w:r>
          </w:p>
        </w:tc>
        <w:tc>
          <w:tcPr>
            <w:tcW w:w="0" w:type="auto"/>
            <w:shd w:val="clear" w:color="auto" w:fill="auto"/>
            <w:vAlign w:val="center"/>
            <w:hideMark/>
          </w:tcPr>
          <w:p w14:paraId="58C1BA5F"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52 (12.7%)</w:t>
            </w:r>
          </w:p>
        </w:tc>
        <w:tc>
          <w:tcPr>
            <w:tcW w:w="0" w:type="auto"/>
            <w:shd w:val="clear" w:color="auto" w:fill="auto"/>
            <w:vAlign w:val="center"/>
            <w:hideMark/>
          </w:tcPr>
          <w:p w14:paraId="1B17B684"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11 (10.1%)</w:t>
            </w:r>
          </w:p>
        </w:tc>
        <w:tc>
          <w:tcPr>
            <w:tcW w:w="0" w:type="auto"/>
            <w:shd w:val="clear" w:color="auto" w:fill="auto"/>
            <w:vAlign w:val="center"/>
            <w:hideMark/>
          </w:tcPr>
          <w:p w14:paraId="77C19DEC"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46 (15.2%)</w:t>
            </w:r>
          </w:p>
        </w:tc>
      </w:tr>
      <w:tr w:rsidR="00342F28" w:rsidRPr="009E6C5C" w14:paraId="6D6E6EEE" w14:textId="77777777" w:rsidTr="009E6C5C">
        <w:trPr>
          <w:jc w:val="center"/>
        </w:trPr>
        <w:tc>
          <w:tcPr>
            <w:tcW w:w="0" w:type="auto"/>
            <w:shd w:val="clear" w:color="auto" w:fill="auto"/>
            <w:vAlign w:val="center"/>
            <w:hideMark/>
          </w:tcPr>
          <w:p w14:paraId="42AF0BD5"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2</w:t>
            </w:r>
          </w:p>
        </w:tc>
        <w:tc>
          <w:tcPr>
            <w:tcW w:w="0" w:type="auto"/>
            <w:shd w:val="clear" w:color="auto" w:fill="auto"/>
            <w:vAlign w:val="center"/>
            <w:hideMark/>
          </w:tcPr>
          <w:p w14:paraId="5065B6A8"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240 (15.6%)</w:t>
            </w:r>
          </w:p>
        </w:tc>
        <w:tc>
          <w:tcPr>
            <w:tcW w:w="0" w:type="auto"/>
            <w:shd w:val="clear" w:color="auto" w:fill="auto"/>
            <w:vAlign w:val="center"/>
          </w:tcPr>
          <w:p w14:paraId="691D216C"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154 (17.4%)</w:t>
            </w:r>
          </w:p>
        </w:tc>
        <w:tc>
          <w:tcPr>
            <w:tcW w:w="0" w:type="auto"/>
            <w:shd w:val="clear" w:color="auto" w:fill="auto"/>
            <w:vAlign w:val="center"/>
            <w:hideMark/>
          </w:tcPr>
          <w:p w14:paraId="1D9816A3"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78 (19.0%)</w:t>
            </w:r>
          </w:p>
        </w:tc>
        <w:tc>
          <w:tcPr>
            <w:tcW w:w="0" w:type="auto"/>
            <w:shd w:val="clear" w:color="auto" w:fill="auto"/>
            <w:vAlign w:val="center"/>
            <w:hideMark/>
          </w:tcPr>
          <w:p w14:paraId="6EA91BFE"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20 (18.3%)</w:t>
            </w:r>
          </w:p>
        </w:tc>
        <w:tc>
          <w:tcPr>
            <w:tcW w:w="0" w:type="auto"/>
            <w:shd w:val="clear" w:color="auto" w:fill="auto"/>
            <w:vAlign w:val="center"/>
            <w:hideMark/>
          </w:tcPr>
          <w:p w14:paraId="68A3C2A0"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60 (19.9%)</w:t>
            </w:r>
          </w:p>
        </w:tc>
      </w:tr>
      <w:tr w:rsidR="00342F28" w:rsidRPr="009E6C5C" w14:paraId="7C4987A4" w14:textId="77777777" w:rsidTr="009E6C5C">
        <w:trPr>
          <w:jc w:val="center"/>
        </w:trPr>
        <w:tc>
          <w:tcPr>
            <w:tcW w:w="0" w:type="auto"/>
            <w:shd w:val="clear" w:color="auto" w:fill="auto"/>
            <w:vAlign w:val="center"/>
            <w:hideMark/>
          </w:tcPr>
          <w:p w14:paraId="40A29580"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3</w:t>
            </w:r>
          </w:p>
        </w:tc>
        <w:tc>
          <w:tcPr>
            <w:tcW w:w="0" w:type="auto"/>
            <w:shd w:val="clear" w:color="auto" w:fill="auto"/>
            <w:vAlign w:val="center"/>
            <w:hideMark/>
          </w:tcPr>
          <w:p w14:paraId="384E1EDA"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403 (26.2%)</w:t>
            </w:r>
          </w:p>
        </w:tc>
        <w:tc>
          <w:tcPr>
            <w:tcW w:w="0" w:type="auto"/>
            <w:shd w:val="clear" w:color="auto" w:fill="auto"/>
            <w:vAlign w:val="center"/>
          </w:tcPr>
          <w:p w14:paraId="28025262"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299 (33.8%)</w:t>
            </w:r>
          </w:p>
        </w:tc>
        <w:tc>
          <w:tcPr>
            <w:tcW w:w="0" w:type="auto"/>
            <w:shd w:val="clear" w:color="auto" w:fill="auto"/>
            <w:vAlign w:val="center"/>
            <w:hideMark/>
          </w:tcPr>
          <w:p w14:paraId="7C1F547C"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126 (30.7%)</w:t>
            </w:r>
          </w:p>
        </w:tc>
        <w:tc>
          <w:tcPr>
            <w:tcW w:w="0" w:type="auto"/>
            <w:shd w:val="clear" w:color="auto" w:fill="auto"/>
            <w:vAlign w:val="center"/>
            <w:hideMark/>
          </w:tcPr>
          <w:p w14:paraId="58F925E9"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36 (33.0%)</w:t>
            </w:r>
          </w:p>
        </w:tc>
        <w:tc>
          <w:tcPr>
            <w:tcW w:w="0" w:type="auto"/>
            <w:shd w:val="clear" w:color="auto" w:fill="auto"/>
            <w:vAlign w:val="center"/>
            <w:hideMark/>
          </w:tcPr>
          <w:p w14:paraId="69304810"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84 (27.8%)</w:t>
            </w:r>
          </w:p>
        </w:tc>
      </w:tr>
      <w:tr w:rsidR="00342F28" w:rsidRPr="009E6C5C" w14:paraId="40FDE840" w14:textId="77777777" w:rsidTr="009E6C5C">
        <w:trPr>
          <w:jc w:val="center"/>
        </w:trPr>
        <w:tc>
          <w:tcPr>
            <w:tcW w:w="0" w:type="auto"/>
            <w:shd w:val="clear" w:color="auto" w:fill="auto"/>
            <w:vAlign w:val="center"/>
            <w:hideMark/>
          </w:tcPr>
          <w:p w14:paraId="2BE5AC1F"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4</w:t>
            </w:r>
          </w:p>
        </w:tc>
        <w:tc>
          <w:tcPr>
            <w:tcW w:w="0" w:type="auto"/>
            <w:shd w:val="clear" w:color="auto" w:fill="auto"/>
            <w:vAlign w:val="center"/>
            <w:hideMark/>
          </w:tcPr>
          <w:p w14:paraId="2508D963"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394 (25.7%)</w:t>
            </w:r>
          </w:p>
        </w:tc>
        <w:tc>
          <w:tcPr>
            <w:tcW w:w="0" w:type="auto"/>
            <w:shd w:val="clear" w:color="auto" w:fill="auto"/>
            <w:vAlign w:val="center"/>
          </w:tcPr>
          <w:p w14:paraId="5F886050"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220 (24.9%)</w:t>
            </w:r>
          </w:p>
        </w:tc>
        <w:tc>
          <w:tcPr>
            <w:tcW w:w="0" w:type="auto"/>
            <w:shd w:val="clear" w:color="auto" w:fill="auto"/>
            <w:vAlign w:val="center"/>
            <w:hideMark/>
          </w:tcPr>
          <w:p w14:paraId="0DE3C37E"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114 (27.8%)</w:t>
            </w:r>
          </w:p>
        </w:tc>
        <w:tc>
          <w:tcPr>
            <w:tcW w:w="0" w:type="auto"/>
            <w:shd w:val="clear" w:color="auto" w:fill="auto"/>
            <w:vAlign w:val="center"/>
            <w:hideMark/>
          </w:tcPr>
          <w:p w14:paraId="75CF77DC"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34 (31.2%)</w:t>
            </w:r>
          </w:p>
        </w:tc>
        <w:tc>
          <w:tcPr>
            <w:tcW w:w="0" w:type="auto"/>
            <w:shd w:val="clear" w:color="auto" w:fill="auto"/>
            <w:vAlign w:val="center"/>
            <w:hideMark/>
          </w:tcPr>
          <w:p w14:paraId="333630E1"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82 (27.2%)</w:t>
            </w:r>
          </w:p>
        </w:tc>
      </w:tr>
      <w:tr w:rsidR="00342F28" w:rsidRPr="009E6C5C" w14:paraId="62D9F44C" w14:textId="77777777" w:rsidTr="009E6C5C">
        <w:trPr>
          <w:jc w:val="center"/>
        </w:trPr>
        <w:tc>
          <w:tcPr>
            <w:tcW w:w="0" w:type="auto"/>
            <w:shd w:val="clear" w:color="auto" w:fill="auto"/>
            <w:vAlign w:val="center"/>
            <w:hideMark/>
          </w:tcPr>
          <w:p w14:paraId="67C3C826"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lastRenderedPageBreak/>
              <w:t>5 (highest)</w:t>
            </w:r>
          </w:p>
        </w:tc>
        <w:tc>
          <w:tcPr>
            <w:tcW w:w="0" w:type="auto"/>
            <w:shd w:val="clear" w:color="auto" w:fill="auto"/>
            <w:vAlign w:val="center"/>
            <w:hideMark/>
          </w:tcPr>
          <w:p w14:paraId="5CE23F08"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111 (7.2%)</w:t>
            </w:r>
          </w:p>
        </w:tc>
        <w:tc>
          <w:tcPr>
            <w:tcW w:w="0" w:type="auto"/>
            <w:shd w:val="clear" w:color="auto" w:fill="auto"/>
            <w:vAlign w:val="center"/>
          </w:tcPr>
          <w:p w14:paraId="6E98FEF4"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70 (7.9%)</w:t>
            </w:r>
          </w:p>
        </w:tc>
        <w:tc>
          <w:tcPr>
            <w:tcW w:w="0" w:type="auto"/>
            <w:shd w:val="clear" w:color="auto" w:fill="auto"/>
            <w:vAlign w:val="center"/>
            <w:hideMark/>
          </w:tcPr>
          <w:p w14:paraId="7E79C9CD"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37 (9.0%)</w:t>
            </w:r>
          </w:p>
        </w:tc>
        <w:tc>
          <w:tcPr>
            <w:tcW w:w="0" w:type="auto"/>
            <w:shd w:val="clear" w:color="auto" w:fill="auto"/>
            <w:vAlign w:val="center"/>
            <w:hideMark/>
          </w:tcPr>
          <w:p w14:paraId="213FC4B8"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7 (6.4%)</w:t>
            </w:r>
          </w:p>
        </w:tc>
        <w:tc>
          <w:tcPr>
            <w:tcW w:w="0" w:type="auto"/>
            <w:shd w:val="clear" w:color="auto" w:fill="auto"/>
            <w:vAlign w:val="center"/>
            <w:hideMark/>
          </w:tcPr>
          <w:p w14:paraId="266A9B71"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23 (7.6%)</w:t>
            </w:r>
          </w:p>
        </w:tc>
      </w:tr>
      <w:tr w:rsidR="00342F28" w:rsidRPr="009E6C5C" w14:paraId="731DA4A2" w14:textId="77777777" w:rsidTr="009E6C5C">
        <w:trPr>
          <w:jc w:val="center"/>
        </w:trPr>
        <w:tc>
          <w:tcPr>
            <w:tcW w:w="0" w:type="auto"/>
            <w:shd w:val="clear" w:color="auto" w:fill="auto"/>
            <w:vAlign w:val="center"/>
            <w:hideMark/>
          </w:tcPr>
          <w:p w14:paraId="5E7DF4EE"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Maternal Smoking</w:t>
            </w:r>
          </w:p>
        </w:tc>
        <w:tc>
          <w:tcPr>
            <w:tcW w:w="0" w:type="auto"/>
            <w:shd w:val="clear" w:color="auto" w:fill="auto"/>
            <w:vAlign w:val="center"/>
            <w:hideMark/>
          </w:tcPr>
          <w:p w14:paraId="212A28D4"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384 (25.0%)</w:t>
            </w:r>
          </w:p>
        </w:tc>
        <w:tc>
          <w:tcPr>
            <w:tcW w:w="0" w:type="auto"/>
            <w:shd w:val="clear" w:color="auto" w:fill="auto"/>
            <w:vAlign w:val="center"/>
          </w:tcPr>
          <w:p w14:paraId="696D02BD"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185 (20.9%)</w:t>
            </w:r>
          </w:p>
        </w:tc>
        <w:tc>
          <w:tcPr>
            <w:tcW w:w="0" w:type="auto"/>
            <w:shd w:val="clear" w:color="auto" w:fill="auto"/>
            <w:vAlign w:val="center"/>
            <w:hideMark/>
          </w:tcPr>
          <w:p w14:paraId="160EEF92"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80 (19.5%)</w:t>
            </w:r>
          </w:p>
        </w:tc>
        <w:tc>
          <w:tcPr>
            <w:tcW w:w="0" w:type="auto"/>
            <w:shd w:val="clear" w:color="auto" w:fill="auto"/>
            <w:vAlign w:val="center"/>
            <w:hideMark/>
          </w:tcPr>
          <w:p w14:paraId="56095E86"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19 (17.4%)</w:t>
            </w:r>
          </w:p>
        </w:tc>
        <w:tc>
          <w:tcPr>
            <w:tcW w:w="0" w:type="auto"/>
            <w:shd w:val="clear" w:color="auto" w:fill="auto"/>
            <w:vAlign w:val="center"/>
            <w:hideMark/>
          </w:tcPr>
          <w:p w14:paraId="407C1425"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58 (19.2%)</w:t>
            </w:r>
          </w:p>
        </w:tc>
      </w:tr>
      <w:tr w:rsidR="00C42C2F" w:rsidRPr="009E6C5C" w14:paraId="70D06714" w14:textId="77777777" w:rsidTr="009E6C5C">
        <w:trPr>
          <w:jc w:val="center"/>
        </w:trPr>
        <w:tc>
          <w:tcPr>
            <w:tcW w:w="0" w:type="auto"/>
            <w:shd w:val="clear" w:color="auto" w:fill="auto"/>
            <w:vAlign w:val="center"/>
            <w:hideMark/>
          </w:tcPr>
          <w:p w14:paraId="5341C8D8" w14:textId="77777777" w:rsidR="00C42C2F" w:rsidRPr="009E6C5C" w:rsidRDefault="00C42C2F"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 xml:space="preserve">Maternal age </w:t>
            </w:r>
            <w:r w:rsidRPr="009E6C5C">
              <w:rPr>
                <w:b/>
                <w:color w:val="auto"/>
                <w:sz w:val="18"/>
                <w:lang w:val="en-GB"/>
              </w:rPr>
              <w:br/>
              <w:t xml:space="preserve">(mean, standard deviation) </w:t>
            </w:r>
          </w:p>
        </w:tc>
        <w:tc>
          <w:tcPr>
            <w:tcW w:w="0" w:type="auto"/>
            <w:shd w:val="clear" w:color="auto" w:fill="auto"/>
            <w:vAlign w:val="center"/>
            <w:hideMark/>
          </w:tcPr>
          <w:p w14:paraId="1DC2F930" w14:textId="77777777" w:rsidR="00C42C2F" w:rsidRPr="009E6C5C" w:rsidRDefault="00C42C2F" w:rsidP="009E6C5C">
            <w:pPr>
              <w:pStyle w:val="MDPI31text"/>
              <w:autoSpaceDE w:val="0"/>
              <w:autoSpaceDN w:val="0"/>
              <w:spacing w:line="240" w:lineRule="auto"/>
              <w:ind w:firstLine="0"/>
              <w:jc w:val="center"/>
              <w:rPr>
                <w:color w:val="auto"/>
                <w:sz w:val="18"/>
                <w:lang w:val="en-GB"/>
              </w:rPr>
            </w:pPr>
            <w:r w:rsidRPr="009E6C5C">
              <w:rPr>
                <w:color w:val="auto"/>
                <w:sz w:val="18"/>
                <w:lang w:val="en-GB"/>
              </w:rPr>
              <w:t>26.77, 5.36</w:t>
            </w:r>
          </w:p>
        </w:tc>
        <w:tc>
          <w:tcPr>
            <w:tcW w:w="0" w:type="auto"/>
            <w:shd w:val="clear" w:color="auto" w:fill="auto"/>
            <w:vAlign w:val="center"/>
          </w:tcPr>
          <w:p w14:paraId="5BDE5D6F" w14:textId="77777777" w:rsidR="00C42C2F" w:rsidRPr="009E6C5C" w:rsidRDefault="00C42C2F" w:rsidP="009E6C5C">
            <w:pPr>
              <w:pStyle w:val="MDPI31text"/>
              <w:autoSpaceDE w:val="0"/>
              <w:autoSpaceDN w:val="0"/>
              <w:spacing w:line="240" w:lineRule="auto"/>
              <w:ind w:firstLine="0"/>
              <w:jc w:val="center"/>
              <w:rPr>
                <w:color w:val="auto"/>
                <w:sz w:val="18"/>
                <w:lang w:val="en-GB"/>
              </w:rPr>
            </w:pPr>
            <w:r w:rsidRPr="009E6C5C">
              <w:rPr>
                <w:color w:val="auto"/>
                <w:sz w:val="18"/>
                <w:lang w:val="en-GB"/>
              </w:rPr>
              <w:t>26.78, 5.16</w:t>
            </w:r>
          </w:p>
        </w:tc>
        <w:tc>
          <w:tcPr>
            <w:tcW w:w="0" w:type="auto"/>
            <w:shd w:val="clear" w:color="auto" w:fill="auto"/>
            <w:vAlign w:val="center"/>
            <w:hideMark/>
          </w:tcPr>
          <w:p w14:paraId="7CB35199" w14:textId="77777777" w:rsidR="00C42C2F" w:rsidRPr="009E6C5C" w:rsidRDefault="00C42C2F" w:rsidP="009E6C5C">
            <w:pPr>
              <w:pStyle w:val="MDPI31text"/>
              <w:autoSpaceDE w:val="0"/>
              <w:autoSpaceDN w:val="0"/>
              <w:spacing w:line="240" w:lineRule="auto"/>
              <w:ind w:firstLine="0"/>
              <w:jc w:val="center"/>
              <w:rPr>
                <w:color w:val="auto"/>
                <w:sz w:val="18"/>
                <w:lang w:val="en-GB"/>
              </w:rPr>
            </w:pPr>
            <w:r w:rsidRPr="009E6C5C">
              <w:rPr>
                <w:color w:val="auto"/>
                <w:sz w:val="18"/>
                <w:lang w:val="en-GB"/>
              </w:rPr>
              <w:t>27.06, 5.19</w:t>
            </w:r>
          </w:p>
        </w:tc>
        <w:tc>
          <w:tcPr>
            <w:tcW w:w="0" w:type="auto"/>
            <w:shd w:val="clear" w:color="auto" w:fill="auto"/>
            <w:vAlign w:val="center"/>
            <w:hideMark/>
          </w:tcPr>
          <w:p w14:paraId="064E5877" w14:textId="77777777" w:rsidR="00C42C2F" w:rsidRPr="009E6C5C" w:rsidRDefault="00C42C2F" w:rsidP="009E6C5C">
            <w:pPr>
              <w:pStyle w:val="MDPI31text"/>
              <w:autoSpaceDE w:val="0"/>
              <w:autoSpaceDN w:val="0"/>
              <w:spacing w:line="240" w:lineRule="auto"/>
              <w:ind w:firstLine="0"/>
              <w:jc w:val="center"/>
              <w:rPr>
                <w:color w:val="auto"/>
                <w:sz w:val="18"/>
                <w:lang w:val="en-GB"/>
              </w:rPr>
            </w:pPr>
            <w:r w:rsidRPr="009E6C5C">
              <w:rPr>
                <w:color w:val="auto"/>
                <w:sz w:val="18"/>
                <w:lang w:val="en-GB"/>
              </w:rPr>
              <w:t>26.89, 4.84</w:t>
            </w:r>
          </w:p>
        </w:tc>
        <w:tc>
          <w:tcPr>
            <w:tcW w:w="0" w:type="auto"/>
            <w:shd w:val="clear" w:color="auto" w:fill="auto"/>
            <w:vAlign w:val="center"/>
            <w:hideMark/>
          </w:tcPr>
          <w:p w14:paraId="06A486B4" w14:textId="77777777" w:rsidR="00C42C2F" w:rsidRPr="009E6C5C" w:rsidRDefault="00C42C2F" w:rsidP="009E6C5C">
            <w:pPr>
              <w:pStyle w:val="MDPI31text"/>
              <w:autoSpaceDE w:val="0"/>
              <w:autoSpaceDN w:val="0"/>
              <w:spacing w:line="240" w:lineRule="auto"/>
              <w:ind w:firstLine="0"/>
              <w:jc w:val="center"/>
              <w:rPr>
                <w:color w:val="auto"/>
                <w:sz w:val="18"/>
                <w:lang w:val="en-GB"/>
              </w:rPr>
            </w:pPr>
            <w:r w:rsidRPr="009E6C5C">
              <w:rPr>
                <w:color w:val="auto"/>
                <w:sz w:val="18"/>
                <w:lang w:val="en-GB"/>
              </w:rPr>
              <w:t>26.86, 5.11</w:t>
            </w:r>
          </w:p>
        </w:tc>
      </w:tr>
      <w:tr w:rsidR="00342F28" w:rsidRPr="009E6C5C" w14:paraId="777380FC" w14:textId="77777777" w:rsidTr="009E6C5C">
        <w:trPr>
          <w:jc w:val="center"/>
        </w:trPr>
        <w:tc>
          <w:tcPr>
            <w:tcW w:w="0" w:type="auto"/>
            <w:tcBorders>
              <w:top w:val="nil"/>
              <w:left w:val="nil"/>
              <w:bottom w:val="single" w:sz="8" w:space="0" w:color="auto"/>
              <w:right w:val="nil"/>
            </w:tcBorders>
            <w:shd w:val="clear" w:color="auto" w:fill="auto"/>
            <w:vAlign w:val="center"/>
            <w:hideMark/>
          </w:tcPr>
          <w:p w14:paraId="060F533E" w14:textId="77777777" w:rsidR="001C647C" w:rsidRPr="009E6C5C" w:rsidRDefault="001C647C"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Never breastfed</w:t>
            </w:r>
          </w:p>
        </w:tc>
        <w:tc>
          <w:tcPr>
            <w:tcW w:w="0" w:type="auto"/>
            <w:tcBorders>
              <w:top w:val="nil"/>
              <w:left w:val="nil"/>
              <w:bottom w:val="single" w:sz="8" w:space="0" w:color="auto"/>
              <w:right w:val="nil"/>
            </w:tcBorders>
            <w:shd w:val="clear" w:color="auto" w:fill="auto"/>
            <w:vAlign w:val="center"/>
            <w:hideMark/>
          </w:tcPr>
          <w:p w14:paraId="14F9376F"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358 (23.3%)</w:t>
            </w:r>
          </w:p>
        </w:tc>
        <w:tc>
          <w:tcPr>
            <w:tcW w:w="0" w:type="auto"/>
            <w:tcBorders>
              <w:top w:val="nil"/>
              <w:left w:val="nil"/>
              <w:bottom w:val="single" w:sz="8" w:space="0" w:color="auto"/>
              <w:right w:val="nil"/>
            </w:tcBorders>
            <w:shd w:val="clear" w:color="auto" w:fill="auto"/>
            <w:vAlign w:val="center"/>
          </w:tcPr>
          <w:p w14:paraId="37D062DC"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599 (67.7%)</w:t>
            </w:r>
          </w:p>
        </w:tc>
        <w:tc>
          <w:tcPr>
            <w:tcW w:w="0" w:type="auto"/>
            <w:tcBorders>
              <w:top w:val="nil"/>
              <w:left w:val="nil"/>
              <w:bottom w:val="single" w:sz="8" w:space="0" w:color="auto"/>
              <w:right w:val="nil"/>
            </w:tcBorders>
            <w:shd w:val="clear" w:color="auto" w:fill="auto"/>
            <w:vAlign w:val="center"/>
            <w:hideMark/>
          </w:tcPr>
          <w:p w14:paraId="506D5AFA"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83 (20.2%)</w:t>
            </w:r>
          </w:p>
        </w:tc>
        <w:tc>
          <w:tcPr>
            <w:tcW w:w="0" w:type="auto"/>
            <w:tcBorders>
              <w:top w:val="nil"/>
              <w:left w:val="nil"/>
              <w:bottom w:val="single" w:sz="8" w:space="0" w:color="auto"/>
              <w:right w:val="nil"/>
            </w:tcBorders>
            <w:shd w:val="clear" w:color="auto" w:fill="auto"/>
            <w:vAlign w:val="center"/>
            <w:hideMark/>
          </w:tcPr>
          <w:p w14:paraId="0E48067C"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23 (21.1%)</w:t>
            </w:r>
          </w:p>
        </w:tc>
        <w:tc>
          <w:tcPr>
            <w:tcW w:w="0" w:type="auto"/>
            <w:tcBorders>
              <w:top w:val="nil"/>
              <w:left w:val="nil"/>
              <w:bottom w:val="single" w:sz="8" w:space="0" w:color="auto"/>
              <w:right w:val="nil"/>
            </w:tcBorders>
            <w:shd w:val="clear" w:color="auto" w:fill="auto"/>
            <w:vAlign w:val="center"/>
            <w:hideMark/>
          </w:tcPr>
          <w:p w14:paraId="7C2D7878" w14:textId="77777777" w:rsidR="001C647C" w:rsidRPr="009E6C5C" w:rsidRDefault="001C647C" w:rsidP="009E6C5C">
            <w:pPr>
              <w:pStyle w:val="MDPI31text"/>
              <w:autoSpaceDE w:val="0"/>
              <w:autoSpaceDN w:val="0"/>
              <w:spacing w:line="240" w:lineRule="auto"/>
              <w:ind w:firstLine="0"/>
              <w:jc w:val="center"/>
              <w:rPr>
                <w:color w:val="auto"/>
                <w:sz w:val="18"/>
                <w:lang w:val="en-GB"/>
              </w:rPr>
            </w:pPr>
            <w:r w:rsidRPr="009E6C5C">
              <w:rPr>
                <w:color w:val="auto"/>
                <w:sz w:val="18"/>
                <w:lang w:val="en-GB"/>
              </w:rPr>
              <w:t>49 (16.2%)</w:t>
            </w:r>
          </w:p>
        </w:tc>
      </w:tr>
    </w:tbl>
    <w:p w14:paraId="25284B3E" w14:textId="77777777" w:rsidR="00935ACF" w:rsidRPr="009E6C5C" w:rsidRDefault="009E6C5C" w:rsidP="009E6C5C">
      <w:pPr>
        <w:pStyle w:val="MDPI22heading2"/>
        <w:rPr>
          <w:lang w:val="en-GB"/>
        </w:rPr>
      </w:pPr>
      <w:r>
        <w:rPr>
          <w:lang w:val="en-GB"/>
        </w:rPr>
        <w:t xml:space="preserve">3.1. </w:t>
      </w:r>
      <w:r w:rsidR="00935ACF" w:rsidRPr="009E6C5C">
        <w:rPr>
          <w:lang w:val="en-GB"/>
        </w:rPr>
        <w:t>EWAS of breastfeeding duration and DNA methylation</w:t>
      </w:r>
    </w:p>
    <w:p w14:paraId="15DB6191" w14:textId="77777777" w:rsidR="00F36A1C" w:rsidRDefault="00F36A1C" w:rsidP="00935ACF">
      <w:pPr>
        <w:pStyle w:val="MDPI31text"/>
        <w:rPr>
          <w:color w:val="auto"/>
          <w:lang w:val="en-GB"/>
        </w:rPr>
      </w:pPr>
    </w:p>
    <w:p w14:paraId="1C3ABB90" w14:textId="77777777" w:rsidR="00935ACF" w:rsidRPr="00190491" w:rsidRDefault="003A1C8F" w:rsidP="00935ACF">
      <w:pPr>
        <w:pStyle w:val="MDPI31text"/>
        <w:rPr>
          <w:color w:val="auto"/>
          <w:lang w:val="en-GB"/>
        </w:rPr>
      </w:pPr>
      <w:r>
        <w:rPr>
          <w:color w:val="auto"/>
          <w:lang w:val="en-GB"/>
        </w:rPr>
        <w:t>B</w:t>
      </w:r>
      <w:r w:rsidR="00935ACF" w:rsidRPr="00190491">
        <w:rPr>
          <w:color w:val="auto"/>
          <w:lang w:val="en-GB"/>
        </w:rPr>
        <w:t xml:space="preserve">reastfeeding duration &gt;6 months was significantly associated with DNAm at two CpG sites </w:t>
      </w:r>
      <w:r w:rsidR="00F656BB" w:rsidRPr="00190491">
        <w:rPr>
          <w:color w:val="auto"/>
          <w:lang w:val="en-GB"/>
        </w:rPr>
        <w:t xml:space="preserve">at 10 years of age, with reduced methylation at </w:t>
      </w:r>
      <w:r w:rsidR="00935ACF" w:rsidRPr="00190491">
        <w:rPr>
          <w:color w:val="auto"/>
          <w:lang w:val="en-GB"/>
        </w:rPr>
        <w:t xml:space="preserve">cg03592955 and </w:t>
      </w:r>
      <w:r w:rsidR="00F656BB" w:rsidRPr="00190491">
        <w:rPr>
          <w:color w:val="auto"/>
          <w:lang w:val="en-GB"/>
        </w:rPr>
        <w:t xml:space="preserve">hypermethylation at </w:t>
      </w:r>
      <w:r w:rsidR="00935ACF" w:rsidRPr="00190491">
        <w:rPr>
          <w:color w:val="auto"/>
          <w:lang w:val="en-GB"/>
        </w:rPr>
        <w:t xml:space="preserve">cg08188863 (FDR &lt;0.05, Table 2, Figure </w:t>
      </w:r>
      <w:r w:rsidR="003659CB" w:rsidRPr="00190491">
        <w:rPr>
          <w:color w:val="auto"/>
          <w:lang w:val="en-GB"/>
        </w:rPr>
        <w:t>1</w:t>
      </w:r>
      <w:r w:rsidR="00B04359" w:rsidRPr="00190491">
        <w:rPr>
          <w:color w:val="auto"/>
          <w:lang w:val="en-GB"/>
        </w:rPr>
        <w:t>)</w:t>
      </w:r>
      <w:r w:rsidR="00935ACF" w:rsidRPr="00190491">
        <w:rPr>
          <w:color w:val="auto"/>
          <w:lang w:val="en-GB"/>
        </w:rPr>
        <w:t xml:space="preserve">. A Quantile-Quantile (QQ) plot, used to indicate any deviations of the observed from the expected null distribution, showed no </w:t>
      </w:r>
      <w:r w:rsidR="001E04E5">
        <w:rPr>
          <w:color w:val="auto"/>
          <w:lang w:val="en-GB"/>
        </w:rPr>
        <w:t xml:space="preserve">genomic </w:t>
      </w:r>
      <w:r w:rsidR="00935ACF" w:rsidRPr="00190491">
        <w:rPr>
          <w:color w:val="auto"/>
          <w:lang w:val="en-GB"/>
        </w:rPr>
        <w:t xml:space="preserve">inflation </w:t>
      </w:r>
      <w:r w:rsidR="001E04E5">
        <w:rPr>
          <w:color w:val="auto"/>
          <w:lang w:val="en-GB"/>
        </w:rPr>
        <w:t>(</w:t>
      </w:r>
      <w:r w:rsidR="001E04E5" w:rsidRPr="009B5D74">
        <w:rPr>
          <w:rFonts w:ascii="Symbol" w:hAnsi="Symbol"/>
          <w:color w:val="auto"/>
          <w:lang w:val="en-GB"/>
        </w:rPr>
        <w:t></w:t>
      </w:r>
      <w:r w:rsidR="009B5D74">
        <w:rPr>
          <w:color w:val="auto"/>
          <w:lang w:val="en-GB"/>
        </w:rPr>
        <w:t xml:space="preserve"> =0.956, </w:t>
      </w:r>
      <w:r w:rsidR="00935ACF" w:rsidRPr="00190491">
        <w:rPr>
          <w:color w:val="auto"/>
          <w:lang w:val="en-GB"/>
        </w:rPr>
        <w:t xml:space="preserve">Figure </w:t>
      </w:r>
      <w:r w:rsidR="003659CB" w:rsidRPr="00190491">
        <w:rPr>
          <w:color w:val="auto"/>
          <w:lang w:val="en-GB"/>
        </w:rPr>
        <w:t>2</w:t>
      </w:r>
      <w:r w:rsidR="00935ACF" w:rsidRPr="00190491">
        <w:rPr>
          <w:color w:val="auto"/>
          <w:lang w:val="en-GB"/>
        </w:rPr>
        <w:t xml:space="preserve">). </w:t>
      </w:r>
      <w:r w:rsidR="00F36A1C" w:rsidRPr="00F36A1C">
        <w:rPr>
          <w:color w:val="auto"/>
          <w:lang w:val="en-GB"/>
        </w:rPr>
        <w:t xml:space="preserve">Post-hoc power calculations for this EWAS indicate that 21.6% of probes had &gt;80% power to detect an effect of 2%. Mansell et al. highlight that a single power calculation may provide only limited information regarding the overall power of a DNAm study due to the variance of DNAm differing across probes in the array; they recommend calculating power at each individual site on the EPIC array </w:t>
      </w:r>
      <w:r w:rsidR="00E6617B">
        <w:rPr>
          <w:color w:val="auto"/>
          <w:lang w:val="en-GB"/>
        </w:rPr>
        <w:fldChar w:fldCharType="begin" w:fldLock="1"/>
      </w:r>
      <w:r w:rsidR="008253DA">
        <w:rPr>
          <w:color w:val="auto"/>
          <w:lang w:val="en-GB"/>
        </w:rPr>
        <w:instrText>ADDIN CSL_CITATION {"citationItems":[{"id":"ITEM-1","itemData":{"DOI":"10.1186/s12864-019-5761-7","ISSN":"1471-2164","abstract":"There has been a steady increase in the number of studies aiming to identify DNA methylation differences associated with complex phenotypes. Many of the challenges of epigenetic epidemiology regarding study design and interpretation have been discussed in detail, however there are analytical concerns that are outstanding and require further exploration. In this study we seek to address three analytical issues. First, we quantify the multiple testing burden and propose a standard statistical significance threshold for identifying DNA methylation sites that are associated with an outcome. Second, we establish whether linear regression, the chosen statistical tool for the majority of studies, is appropriate and whether it is biased by the underlying distribution of DNA methylation data. Finally, we assess the sample size required for adequately powered DNA methylation association studies.","author":[{"dropping-particle":"","family":"Mansell","given":"Georgina","non-dropping-particle":"","parse-names":false,"suffix":""},{"dropping-particle":"","family":"Gorrie-Stone","given":"Tyler J","non-dropping-particle":"","parse-names":false,"suffix":""},{"dropping-particle":"","family":"Bao","given":"Yanchun","non-dropping-particle":"","parse-names":false,"suffix":""},{"dropping-particle":"","family":"Kumari","given":"Meena","non-dropping-particle":"","parse-names":false,"suffix":""},{"dropping-particle":"","family":"Schalkwyk","given":"Leonard S","non-dropping-particle":"","parse-names":false,"suffix":""},{"dropping-particle":"","family":"Mill","given":"Jonathan","non-dropping-particle":"","parse-names":false,"suffix":""},{"dropping-particle":"","family":"Hannon","given":"Eilis","non-dropping-particle":"","parse-names":false,"suffix":""}],"container-title":"BMC Genomics","id":"ITEM-1","issue":"1","issued":{"date-parts":[["2019"]]},"page":"366","title":"Guidance for DNA methylation studies: statistical insights from the Illumina EPIC array","type":"article-journal","volume":"20"},"uris":["http://www.mendeley.com/documents/?uuid=eabd15ea-ef0b-3c7d-9aa0-c5fab5951b9c"]}],"mendeley":{"formattedCitation":"&lt;span style=\"baseline\"&gt;[38]&lt;/span&gt;","plainTextFormattedCitation":"[38]","previouslyFormattedCitation":"&lt;span style=\"baseline\"&gt;[38]&lt;/span&gt;"},"properties":{"noteIndex":0},"schema":"https://github.com/citation-style-language/schema/raw/master/csl-citation.json"}</w:instrText>
      </w:r>
      <w:r w:rsidR="00E6617B">
        <w:rPr>
          <w:color w:val="auto"/>
          <w:lang w:val="en-GB"/>
        </w:rPr>
        <w:fldChar w:fldCharType="separate"/>
      </w:r>
      <w:r w:rsidR="00E6617B" w:rsidRPr="00E6617B">
        <w:rPr>
          <w:noProof/>
          <w:color w:val="auto"/>
          <w:lang w:val="en-GB"/>
        </w:rPr>
        <w:t>[38]</w:t>
      </w:r>
      <w:r w:rsidR="00E6617B">
        <w:rPr>
          <w:color w:val="auto"/>
          <w:lang w:val="en-GB"/>
        </w:rPr>
        <w:fldChar w:fldCharType="end"/>
      </w:r>
      <w:r w:rsidR="00F36A1C" w:rsidRPr="00F36A1C">
        <w:rPr>
          <w:color w:val="auto"/>
          <w:lang w:val="en-GB"/>
        </w:rPr>
        <w:t>. The site-specific power to detect the effect sizes observed at each of the significant CpG sites (Table 2) was 3.58% and 0.54% for cg03592955 and cg08188863 (at a significance threshold of p-value=9.42e-08), respectively. The EWAS comparing DNAm at 10 years between participants never breastfed and breastfed &gt;3</w:t>
      </w:r>
      <w:r w:rsidR="00991D93">
        <w:rPr>
          <w:color w:val="auto"/>
          <w:lang w:val="en-GB"/>
        </w:rPr>
        <w:t xml:space="preserve"> </w:t>
      </w:r>
      <w:r w:rsidR="00F36A1C" w:rsidRPr="00F36A1C">
        <w:rPr>
          <w:color w:val="auto"/>
          <w:lang w:val="en-GB"/>
        </w:rPr>
        <w:t>months did not identify any significant associations between breastfeeding duration &gt;3 months and DNAm at any CpG sites (Supplementary Table S</w:t>
      </w:r>
      <w:r w:rsidR="00AC3DB1">
        <w:rPr>
          <w:color w:val="auto"/>
          <w:lang w:val="en-GB"/>
        </w:rPr>
        <w:t>2</w:t>
      </w:r>
      <w:r w:rsidR="00F36A1C" w:rsidRPr="00F36A1C">
        <w:rPr>
          <w:color w:val="auto"/>
          <w:lang w:val="en-GB"/>
        </w:rPr>
        <w:t xml:space="preserve"> and Supplementary Figures S1 and S2).</w:t>
      </w:r>
    </w:p>
    <w:p w14:paraId="143A4C85" w14:textId="77777777" w:rsidR="00935ACF" w:rsidRPr="00190491" w:rsidRDefault="009E6C5C" w:rsidP="009E6C5C">
      <w:pPr>
        <w:pStyle w:val="MDPI41tablecaption"/>
        <w:jc w:val="center"/>
        <w:rPr>
          <w:lang w:val="en-GB"/>
        </w:rPr>
      </w:pPr>
      <w:r w:rsidRPr="009E6C5C">
        <w:rPr>
          <w:b/>
          <w:bCs/>
          <w:lang w:val="en-GB"/>
        </w:rPr>
        <w:t xml:space="preserve">Table 2. </w:t>
      </w:r>
      <w:r w:rsidR="00935ACF" w:rsidRPr="00190491">
        <w:rPr>
          <w:lang w:val="en-GB"/>
        </w:rPr>
        <w:t xml:space="preserve">Association of DNAm of top five CpG sites with breastfeeding duration &gt;6 </w:t>
      </w:r>
      <w:r w:rsidR="00F36A1C">
        <w:rPr>
          <w:lang w:val="en-GB"/>
        </w:rPr>
        <w:t xml:space="preserve">months </w:t>
      </w:r>
      <w:r w:rsidR="00935ACF" w:rsidRPr="00190491">
        <w:rPr>
          <w:lang w:val="en-GB"/>
        </w:rPr>
        <w:t>at 10 years</w:t>
      </w:r>
    </w:p>
    <w:tbl>
      <w:tblPr>
        <w:tblStyle w:val="TableGrid"/>
        <w:tblW w:w="97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850"/>
        <w:gridCol w:w="1170"/>
        <w:gridCol w:w="1304"/>
        <w:gridCol w:w="1171"/>
        <w:gridCol w:w="1170"/>
        <w:gridCol w:w="1171"/>
        <w:gridCol w:w="1625"/>
      </w:tblGrid>
      <w:tr w:rsidR="007853E7" w:rsidRPr="009E6C5C" w14:paraId="3B0B2CFE" w14:textId="77777777" w:rsidTr="009E6C5C">
        <w:trPr>
          <w:jc w:val="center"/>
        </w:trPr>
        <w:tc>
          <w:tcPr>
            <w:tcW w:w="1247" w:type="dxa"/>
            <w:tcBorders>
              <w:top w:val="single" w:sz="8" w:space="0" w:color="auto"/>
              <w:left w:val="nil"/>
              <w:bottom w:val="single" w:sz="4" w:space="0" w:color="auto"/>
              <w:right w:val="nil"/>
            </w:tcBorders>
            <w:shd w:val="clear" w:color="auto" w:fill="auto"/>
            <w:vAlign w:val="center"/>
            <w:hideMark/>
          </w:tcPr>
          <w:p w14:paraId="1B964F8D" w14:textId="77777777" w:rsidR="00935ACF" w:rsidRPr="009E6C5C" w:rsidRDefault="00C34860" w:rsidP="009E6C5C">
            <w:pPr>
              <w:pStyle w:val="MDPI31text"/>
              <w:autoSpaceDE w:val="0"/>
              <w:autoSpaceDN w:val="0"/>
              <w:spacing w:line="240" w:lineRule="auto"/>
              <w:ind w:firstLine="0"/>
              <w:jc w:val="center"/>
              <w:rPr>
                <w:b/>
                <w:color w:val="auto"/>
                <w:sz w:val="18"/>
                <w:szCs w:val="20"/>
                <w:lang w:val="en-GB"/>
              </w:rPr>
            </w:pPr>
            <w:r w:rsidRPr="009E6C5C">
              <w:rPr>
                <w:b/>
                <w:color w:val="auto"/>
                <w:sz w:val="18"/>
                <w:szCs w:val="20"/>
                <w:lang w:val="en-GB"/>
              </w:rPr>
              <w:t>CpG</w:t>
            </w:r>
            <w:r w:rsidR="0097417D" w:rsidRPr="009E6C5C">
              <w:rPr>
                <w:b/>
                <w:color w:val="auto"/>
                <w:sz w:val="18"/>
                <w:szCs w:val="28"/>
                <w:vertAlign w:val="superscript"/>
                <w:lang w:val="en-GB"/>
              </w:rPr>
              <w:t>¶</w:t>
            </w:r>
          </w:p>
        </w:tc>
        <w:tc>
          <w:tcPr>
            <w:tcW w:w="850" w:type="dxa"/>
            <w:tcBorders>
              <w:top w:val="single" w:sz="8" w:space="0" w:color="auto"/>
              <w:left w:val="nil"/>
              <w:bottom w:val="single" w:sz="4" w:space="0" w:color="auto"/>
              <w:right w:val="nil"/>
            </w:tcBorders>
            <w:shd w:val="clear" w:color="auto" w:fill="auto"/>
            <w:vAlign w:val="center"/>
            <w:hideMark/>
          </w:tcPr>
          <w:p w14:paraId="7076A7C4" w14:textId="77777777" w:rsidR="00935ACF" w:rsidRPr="009E6C5C" w:rsidRDefault="00935ACF">
            <w:pPr>
              <w:pStyle w:val="MDPI31text"/>
              <w:ind w:firstLine="0"/>
              <w:jc w:val="center"/>
              <w:rPr>
                <w:b/>
                <w:color w:val="auto"/>
                <w:sz w:val="18"/>
                <w:szCs w:val="20"/>
                <w:lang w:val="en-GB"/>
              </w:rPr>
            </w:pPr>
            <w:r w:rsidRPr="009E6C5C">
              <w:rPr>
                <w:b/>
                <w:color w:val="auto"/>
                <w:sz w:val="18"/>
                <w:szCs w:val="20"/>
                <w:lang w:val="en-GB"/>
              </w:rPr>
              <w:t>Chr</w:t>
            </w:r>
          </w:p>
        </w:tc>
        <w:tc>
          <w:tcPr>
            <w:tcW w:w="1170" w:type="dxa"/>
            <w:tcBorders>
              <w:top w:val="single" w:sz="8" w:space="0" w:color="auto"/>
              <w:left w:val="nil"/>
              <w:bottom w:val="single" w:sz="4" w:space="0" w:color="auto"/>
              <w:right w:val="nil"/>
            </w:tcBorders>
            <w:shd w:val="clear" w:color="auto" w:fill="auto"/>
            <w:vAlign w:val="center"/>
            <w:hideMark/>
          </w:tcPr>
          <w:p w14:paraId="130EF85A" w14:textId="77777777" w:rsidR="00935ACF" w:rsidRPr="009E6C5C" w:rsidRDefault="00935ACF">
            <w:pPr>
              <w:pStyle w:val="MDPI31text"/>
              <w:ind w:firstLine="0"/>
              <w:jc w:val="center"/>
              <w:rPr>
                <w:b/>
                <w:color w:val="auto"/>
                <w:sz w:val="18"/>
                <w:szCs w:val="20"/>
                <w:lang w:val="en-GB"/>
              </w:rPr>
            </w:pPr>
            <w:r w:rsidRPr="009E6C5C">
              <w:rPr>
                <w:b/>
                <w:color w:val="auto"/>
                <w:sz w:val="18"/>
                <w:szCs w:val="20"/>
                <w:lang w:val="en-GB"/>
              </w:rPr>
              <w:t>Map info</w:t>
            </w:r>
          </w:p>
        </w:tc>
        <w:tc>
          <w:tcPr>
            <w:tcW w:w="1304" w:type="dxa"/>
            <w:tcBorders>
              <w:top w:val="single" w:sz="8" w:space="0" w:color="auto"/>
              <w:left w:val="nil"/>
              <w:bottom w:val="single" w:sz="4" w:space="0" w:color="auto"/>
              <w:right w:val="nil"/>
            </w:tcBorders>
            <w:shd w:val="clear" w:color="auto" w:fill="auto"/>
            <w:vAlign w:val="center"/>
            <w:hideMark/>
          </w:tcPr>
          <w:p w14:paraId="405A48C5" w14:textId="77777777" w:rsidR="00935ACF" w:rsidRPr="009E6C5C" w:rsidRDefault="00935ACF">
            <w:pPr>
              <w:pStyle w:val="MDPI31text"/>
              <w:ind w:firstLine="0"/>
              <w:jc w:val="center"/>
              <w:rPr>
                <w:b/>
                <w:color w:val="auto"/>
                <w:sz w:val="18"/>
                <w:szCs w:val="20"/>
                <w:lang w:val="en-GB"/>
              </w:rPr>
            </w:pPr>
            <w:r w:rsidRPr="009E6C5C">
              <w:rPr>
                <w:b/>
                <w:color w:val="auto"/>
                <w:sz w:val="18"/>
                <w:szCs w:val="20"/>
                <w:lang w:val="en-GB"/>
              </w:rPr>
              <w:t xml:space="preserve">UCSC </w:t>
            </w:r>
            <w:r w:rsidR="007853E7" w:rsidRPr="009E6C5C">
              <w:rPr>
                <w:b/>
                <w:color w:val="auto"/>
                <w:sz w:val="18"/>
                <w:szCs w:val="20"/>
                <w:lang w:val="en-GB"/>
              </w:rPr>
              <w:br/>
            </w:r>
            <w:r w:rsidRPr="009E6C5C">
              <w:rPr>
                <w:b/>
                <w:color w:val="auto"/>
                <w:sz w:val="18"/>
                <w:szCs w:val="20"/>
                <w:lang w:val="en-GB"/>
              </w:rPr>
              <w:t>Gene name</w:t>
            </w:r>
          </w:p>
        </w:tc>
        <w:tc>
          <w:tcPr>
            <w:tcW w:w="1171" w:type="dxa"/>
            <w:tcBorders>
              <w:top w:val="single" w:sz="8" w:space="0" w:color="auto"/>
              <w:left w:val="nil"/>
              <w:bottom w:val="single" w:sz="4" w:space="0" w:color="auto"/>
              <w:right w:val="nil"/>
            </w:tcBorders>
            <w:shd w:val="clear" w:color="auto" w:fill="auto"/>
            <w:vAlign w:val="center"/>
            <w:hideMark/>
          </w:tcPr>
          <w:p w14:paraId="62A6909F" w14:textId="77777777" w:rsidR="00935ACF" w:rsidRPr="009E6C5C" w:rsidRDefault="00935ACF">
            <w:pPr>
              <w:pStyle w:val="MDPI31text"/>
              <w:ind w:firstLine="0"/>
              <w:jc w:val="center"/>
              <w:rPr>
                <w:b/>
                <w:color w:val="auto"/>
                <w:sz w:val="18"/>
                <w:szCs w:val="20"/>
                <w:lang w:val="en-GB"/>
              </w:rPr>
            </w:pPr>
            <w:r w:rsidRPr="009E6C5C">
              <w:rPr>
                <w:b/>
                <w:color w:val="auto"/>
                <w:sz w:val="18"/>
                <w:szCs w:val="20"/>
                <w:lang w:val="en-GB"/>
              </w:rPr>
              <w:t>Beta</w:t>
            </w:r>
          </w:p>
        </w:tc>
        <w:tc>
          <w:tcPr>
            <w:tcW w:w="1170" w:type="dxa"/>
            <w:tcBorders>
              <w:top w:val="single" w:sz="8" w:space="0" w:color="auto"/>
              <w:left w:val="nil"/>
              <w:bottom w:val="single" w:sz="4" w:space="0" w:color="auto"/>
              <w:right w:val="nil"/>
            </w:tcBorders>
            <w:shd w:val="clear" w:color="auto" w:fill="auto"/>
            <w:vAlign w:val="center"/>
            <w:hideMark/>
          </w:tcPr>
          <w:p w14:paraId="2B07028C" w14:textId="77777777" w:rsidR="00935ACF" w:rsidRPr="009E6C5C" w:rsidRDefault="00935ACF">
            <w:pPr>
              <w:pStyle w:val="MDPI31text"/>
              <w:ind w:firstLine="0"/>
              <w:jc w:val="center"/>
              <w:rPr>
                <w:b/>
                <w:color w:val="auto"/>
                <w:sz w:val="18"/>
                <w:szCs w:val="20"/>
                <w:lang w:val="en-GB"/>
              </w:rPr>
            </w:pPr>
            <w:r w:rsidRPr="009E6C5C">
              <w:rPr>
                <w:b/>
                <w:color w:val="auto"/>
                <w:sz w:val="18"/>
                <w:szCs w:val="20"/>
                <w:lang w:val="en-GB"/>
              </w:rPr>
              <w:t>SE</w:t>
            </w:r>
          </w:p>
        </w:tc>
        <w:tc>
          <w:tcPr>
            <w:tcW w:w="1171" w:type="dxa"/>
            <w:tcBorders>
              <w:top w:val="single" w:sz="8" w:space="0" w:color="auto"/>
              <w:left w:val="nil"/>
              <w:bottom w:val="single" w:sz="4" w:space="0" w:color="auto"/>
              <w:right w:val="nil"/>
            </w:tcBorders>
            <w:shd w:val="clear" w:color="auto" w:fill="auto"/>
            <w:vAlign w:val="center"/>
            <w:hideMark/>
          </w:tcPr>
          <w:p w14:paraId="46F98615" w14:textId="77777777" w:rsidR="00935ACF" w:rsidRPr="009E6C5C" w:rsidRDefault="00935ACF">
            <w:pPr>
              <w:pStyle w:val="MDPI31text"/>
              <w:ind w:firstLine="0"/>
              <w:jc w:val="center"/>
              <w:rPr>
                <w:b/>
                <w:color w:val="auto"/>
                <w:sz w:val="18"/>
                <w:szCs w:val="20"/>
                <w:lang w:val="en-GB"/>
              </w:rPr>
            </w:pPr>
            <w:r w:rsidRPr="009E6C5C">
              <w:rPr>
                <w:b/>
                <w:color w:val="auto"/>
                <w:sz w:val="18"/>
                <w:szCs w:val="20"/>
                <w:lang w:val="en-GB"/>
              </w:rPr>
              <w:t>p-value</w:t>
            </w:r>
            <w:r w:rsidR="00C34860" w:rsidRPr="009E6C5C">
              <w:rPr>
                <w:b/>
                <w:color w:val="auto"/>
                <w:sz w:val="18"/>
                <w:szCs w:val="24"/>
                <w:lang w:val="en-GB"/>
              </w:rPr>
              <w:t>*</w:t>
            </w:r>
          </w:p>
        </w:tc>
        <w:tc>
          <w:tcPr>
            <w:tcW w:w="1625" w:type="dxa"/>
            <w:tcBorders>
              <w:top w:val="single" w:sz="8" w:space="0" w:color="auto"/>
              <w:left w:val="nil"/>
              <w:bottom w:val="single" w:sz="4" w:space="0" w:color="auto"/>
              <w:right w:val="nil"/>
            </w:tcBorders>
            <w:shd w:val="clear" w:color="auto" w:fill="auto"/>
            <w:vAlign w:val="center"/>
            <w:hideMark/>
          </w:tcPr>
          <w:p w14:paraId="6D99A992" w14:textId="77777777" w:rsidR="00935ACF" w:rsidRPr="009E6C5C" w:rsidRDefault="00935ACF" w:rsidP="007853E7">
            <w:pPr>
              <w:pStyle w:val="MDPI31text"/>
              <w:ind w:firstLine="0"/>
              <w:jc w:val="center"/>
              <w:rPr>
                <w:b/>
                <w:color w:val="auto"/>
                <w:sz w:val="18"/>
                <w:szCs w:val="20"/>
                <w:lang w:val="en-GB"/>
              </w:rPr>
            </w:pPr>
            <w:r w:rsidRPr="009E6C5C">
              <w:rPr>
                <w:b/>
                <w:color w:val="auto"/>
                <w:sz w:val="18"/>
                <w:szCs w:val="20"/>
                <w:lang w:val="en-GB"/>
              </w:rPr>
              <w:t>FDR</w:t>
            </w:r>
            <w:r w:rsidR="007853E7" w:rsidRPr="009E6C5C">
              <w:rPr>
                <w:b/>
                <w:color w:val="auto"/>
                <w:sz w:val="18"/>
                <w:szCs w:val="20"/>
                <w:lang w:val="en-GB"/>
              </w:rPr>
              <w:t>-adjusted p-value</w:t>
            </w:r>
            <w:r w:rsidR="007853E7" w:rsidRPr="009E6C5C">
              <w:rPr>
                <w:rFonts w:ascii="Calibri" w:hAnsi="Calibri" w:cs="Calibri"/>
                <w:b/>
                <w:color w:val="auto"/>
                <w:sz w:val="18"/>
                <w:szCs w:val="28"/>
                <w:vertAlign w:val="superscript"/>
                <w:lang w:val="en-GB"/>
              </w:rPr>
              <w:t>ƚ</w:t>
            </w:r>
          </w:p>
        </w:tc>
      </w:tr>
      <w:tr w:rsidR="007853E7" w:rsidRPr="009E6C5C" w14:paraId="7A4C12FA" w14:textId="77777777" w:rsidTr="009E6C5C">
        <w:trPr>
          <w:jc w:val="center"/>
        </w:trPr>
        <w:tc>
          <w:tcPr>
            <w:tcW w:w="1247" w:type="dxa"/>
            <w:tcBorders>
              <w:top w:val="single" w:sz="4" w:space="0" w:color="auto"/>
              <w:left w:val="nil"/>
              <w:bottom w:val="nil"/>
              <w:right w:val="nil"/>
            </w:tcBorders>
            <w:shd w:val="clear" w:color="auto" w:fill="auto"/>
            <w:vAlign w:val="center"/>
            <w:hideMark/>
          </w:tcPr>
          <w:p w14:paraId="36C9D5EE"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cg03592955</w:t>
            </w:r>
          </w:p>
        </w:tc>
        <w:tc>
          <w:tcPr>
            <w:tcW w:w="850" w:type="dxa"/>
            <w:tcBorders>
              <w:top w:val="single" w:sz="4" w:space="0" w:color="auto"/>
              <w:left w:val="nil"/>
              <w:bottom w:val="nil"/>
              <w:right w:val="nil"/>
            </w:tcBorders>
            <w:shd w:val="clear" w:color="auto" w:fill="auto"/>
            <w:vAlign w:val="center"/>
            <w:hideMark/>
          </w:tcPr>
          <w:p w14:paraId="7820D423"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10</w:t>
            </w:r>
          </w:p>
        </w:tc>
        <w:tc>
          <w:tcPr>
            <w:tcW w:w="1170" w:type="dxa"/>
            <w:tcBorders>
              <w:top w:val="single" w:sz="4" w:space="0" w:color="auto"/>
              <w:left w:val="nil"/>
              <w:bottom w:val="nil"/>
              <w:right w:val="nil"/>
            </w:tcBorders>
            <w:shd w:val="clear" w:color="auto" w:fill="auto"/>
            <w:vAlign w:val="center"/>
            <w:hideMark/>
          </w:tcPr>
          <w:p w14:paraId="1E774A43"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44373919</w:t>
            </w:r>
          </w:p>
        </w:tc>
        <w:tc>
          <w:tcPr>
            <w:tcW w:w="1304" w:type="dxa"/>
            <w:tcBorders>
              <w:top w:val="single" w:sz="4" w:space="0" w:color="auto"/>
              <w:left w:val="nil"/>
              <w:bottom w:val="nil"/>
              <w:right w:val="nil"/>
            </w:tcBorders>
            <w:shd w:val="clear" w:color="auto" w:fill="auto"/>
            <w:vAlign w:val="center"/>
            <w:hideMark/>
          </w:tcPr>
          <w:p w14:paraId="6168B671" w14:textId="77777777" w:rsidR="00935ACF" w:rsidRPr="00991D93" w:rsidRDefault="00935ACF" w:rsidP="00D87D07">
            <w:pPr>
              <w:pStyle w:val="MDPI31text"/>
              <w:ind w:firstLine="0"/>
              <w:jc w:val="center"/>
              <w:rPr>
                <w:i/>
                <w:iCs/>
                <w:color w:val="auto"/>
                <w:sz w:val="18"/>
                <w:szCs w:val="20"/>
                <w:lang w:val="en-GB"/>
              </w:rPr>
            </w:pPr>
            <w:r w:rsidRPr="00991D93">
              <w:rPr>
                <w:rFonts w:cs="Calibri"/>
                <w:i/>
                <w:iCs/>
                <w:color w:val="auto"/>
                <w:sz w:val="18"/>
                <w:szCs w:val="20"/>
                <w:lang w:val="en-GB"/>
              </w:rPr>
              <w:t>LINC00840</w:t>
            </w:r>
          </w:p>
        </w:tc>
        <w:tc>
          <w:tcPr>
            <w:tcW w:w="1171" w:type="dxa"/>
            <w:tcBorders>
              <w:top w:val="single" w:sz="4" w:space="0" w:color="auto"/>
              <w:left w:val="nil"/>
              <w:bottom w:val="nil"/>
              <w:right w:val="nil"/>
            </w:tcBorders>
            <w:shd w:val="clear" w:color="auto" w:fill="auto"/>
            <w:vAlign w:val="center"/>
            <w:hideMark/>
          </w:tcPr>
          <w:p w14:paraId="092BFF8B"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-0.032</w:t>
            </w:r>
          </w:p>
        </w:tc>
        <w:tc>
          <w:tcPr>
            <w:tcW w:w="1170" w:type="dxa"/>
            <w:tcBorders>
              <w:top w:val="single" w:sz="4" w:space="0" w:color="auto"/>
              <w:left w:val="nil"/>
              <w:bottom w:val="nil"/>
              <w:right w:val="nil"/>
            </w:tcBorders>
            <w:shd w:val="clear" w:color="auto" w:fill="auto"/>
            <w:vAlign w:val="center"/>
            <w:hideMark/>
          </w:tcPr>
          <w:p w14:paraId="77F73FF3"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0.006</w:t>
            </w:r>
          </w:p>
        </w:tc>
        <w:tc>
          <w:tcPr>
            <w:tcW w:w="1171" w:type="dxa"/>
            <w:tcBorders>
              <w:top w:val="single" w:sz="4" w:space="0" w:color="auto"/>
              <w:left w:val="nil"/>
              <w:bottom w:val="nil"/>
              <w:right w:val="nil"/>
            </w:tcBorders>
            <w:shd w:val="clear" w:color="auto" w:fill="auto"/>
            <w:vAlign w:val="center"/>
            <w:hideMark/>
          </w:tcPr>
          <w:p w14:paraId="635D3FEA"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5.82E-08</w:t>
            </w:r>
          </w:p>
        </w:tc>
        <w:tc>
          <w:tcPr>
            <w:tcW w:w="1625" w:type="dxa"/>
            <w:tcBorders>
              <w:top w:val="single" w:sz="4" w:space="0" w:color="auto"/>
              <w:left w:val="nil"/>
              <w:bottom w:val="nil"/>
              <w:right w:val="nil"/>
            </w:tcBorders>
            <w:shd w:val="clear" w:color="auto" w:fill="auto"/>
            <w:vAlign w:val="center"/>
            <w:hideMark/>
          </w:tcPr>
          <w:p w14:paraId="0B69F0EB" w14:textId="77777777" w:rsidR="00935ACF" w:rsidRPr="009E6C5C" w:rsidRDefault="00935ACF" w:rsidP="00D87D07">
            <w:pPr>
              <w:pStyle w:val="MDPI31text"/>
              <w:ind w:firstLine="0"/>
              <w:jc w:val="center"/>
              <w:rPr>
                <w:b/>
                <w:bCs/>
                <w:color w:val="auto"/>
                <w:sz w:val="18"/>
                <w:szCs w:val="20"/>
                <w:lang w:val="en-GB"/>
              </w:rPr>
            </w:pPr>
            <w:r w:rsidRPr="009E6C5C">
              <w:rPr>
                <w:rFonts w:cs="Calibri"/>
                <w:b/>
                <w:bCs/>
                <w:color w:val="auto"/>
                <w:sz w:val="18"/>
                <w:szCs w:val="20"/>
                <w:lang w:val="en-GB"/>
              </w:rPr>
              <w:t>0.019</w:t>
            </w:r>
          </w:p>
        </w:tc>
      </w:tr>
      <w:tr w:rsidR="007853E7" w:rsidRPr="009E6C5C" w14:paraId="4CCCB80B" w14:textId="77777777" w:rsidTr="009E6C5C">
        <w:trPr>
          <w:jc w:val="center"/>
        </w:trPr>
        <w:tc>
          <w:tcPr>
            <w:tcW w:w="1247" w:type="dxa"/>
            <w:shd w:val="clear" w:color="auto" w:fill="auto"/>
            <w:vAlign w:val="center"/>
            <w:hideMark/>
          </w:tcPr>
          <w:p w14:paraId="5380F615"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cg08188863</w:t>
            </w:r>
          </w:p>
        </w:tc>
        <w:tc>
          <w:tcPr>
            <w:tcW w:w="850" w:type="dxa"/>
            <w:shd w:val="clear" w:color="auto" w:fill="auto"/>
            <w:vAlign w:val="center"/>
            <w:hideMark/>
          </w:tcPr>
          <w:p w14:paraId="156D67D0"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4</w:t>
            </w:r>
          </w:p>
        </w:tc>
        <w:tc>
          <w:tcPr>
            <w:tcW w:w="1170" w:type="dxa"/>
            <w:shd w:val="clear" w:color="auto" w:fill="auto"/>
            <w:vAlign w:val="center"/>
            <w:hideMark/>
          </w:tcPr>
          <w:p w14:paraId="2134446C"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186253778</w:t>
            </w:r>
          </w:p>
        </w:tc>
        <w:tc>
          <w:tcPr>
            <w:tcW w:w="1304" w:type="dxa"/>
            <w:shd w:val="clear" w:color="auto" w:fill="auto"/>
            <w:vAlign w:val="center"/>
            <w:hideMark/>
          </w:tcPr>
          <w:p w14:paraId="6D319D00" w14:textId="77777777" w:rsidR="00935ACF" w:rsidRPr="00991D93" w:rsidRDefault="00935ACF" w:rsidP="00D87D07">
            <w:pPr>
              <w:pStyle w:val="MDPI31text"/>
              <w:ind w:firstLine="0"/>
              <w:jc w:val="center"/>
              <w:rPr>
                <w:i/>
                <w:iCs/>
                <w:color w:val="auto"/>
                <w:sz w:val="18"/>
                <w:szCs w:val="20"/>
                <w:lang w:val="en-GB"/>
              </w:rPr>
            </w:pPr>
            <w:r w:rsidRPr="00991D93">
              <w:rPr>
                <w:rFonts w:cs="Calibri"/>
                <w:i/>
                <w:iCs/>
                <w:color w:val="auto"/>
                <w:sz w:val="18"/>
                <w:szCs w:val="20"/>
                <w:lang w:val="en-GB"/>
              </w:rPr>
              <w:t>SNX25</w:t>
            </w:r>
          </w:p>
        </w:tc>
        <w:tc>
          <w:tcPr>
            <w:tcW w:w="1171" w:type="dxa"/>
            <w:shd w:val="clear" w:color="auto" w:fill="auto"/>
            <w:vAlign w:val="center"/>
            <w:hideMark/>
          </w:tcPr>
          <w:p w14:paraId="23610AEE"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0.024</w:t>
            </w:r>
          </w:p>
        </w:tc>
        <w:tc>
          <w:tcPr>
            <w:tcW w:w="1170" w:type="dxa"/>
            <w:shd w:val="clear" w:color="auto" w:fill="auto"/>
            <w:vAlign w:val="center"/>
            <w:hideMark/>
          </w:tcPr>
          <w:p w14:paraId="5CECFEBD"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0.005</w:t>
            </w:r>
          </w:p>
        </w:tc>
        <w:tc>
          <w:tcPr>
            <w:tcW w:w="1171" w:type="dxa"/>
            <w:shd w:val="clear" w:color="auto" w:fill="auto"/>
            <w:vAlign w:val="center"/>
            <w:hideMark/>
          </w:tcPr>
          <w:p w14:paraId="0AF56DEF"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1.24E-07</w:t>
            </w:r>
          </w:p>
        </w:tc>
        <w:tc>
          <w:tcPr>
            <w:tcW w:w="1625" w:type="dxa"/>
            <w:shd w:val="clear" w:color="auto" w:fill="auto"/>
            <w:vAlign w:val="center"/>
            <w:hideMark/>
          </w:tcPr>
          <w:p w14:paraId="04871211" w14:textId="77777777" w:rsidR="00935ACF" w:rsidRPr="009E6C5C" w:rsidRDefault="00935ACF" w:rsidP="00D87D07">
            <w:pPr>
              <w:pStyle w:val="MDPI31text"/>
              <w:ind w:firstLine="0"/>
              <w:jc w:val="center"/>
              <w:rPr>
                <w:b/>
                <w:bCs/>
                <w:color w:val="auto"/>
                <w:sz w:val="18"/>
                <w:szCs w:val="20"/>
                <w:lang w:val="en-GB"/>
              </w:rPr>
            </w:pPr>
            <w:r w:rsidRPr="009E6C5C">
              <w:rPr>
                <w:rFonts w:cs="Calibri"/>
                <w:b/>
                <w:bCs/>
                <w:color w:val="auto"/>
                <w:sz w:val="18"/>
                <w:szCs w:val="20"/>
                <w:lang w:val="en-GB"/>
              </w:rPr>
              <w:t>0.020</w:t>
            </w:r>
          </w:p>
        </w:tc>
      </w:tr>
      <w:tr w:rsidR="007853E7" w:rsidRPr="009E6C5C" w14:paraId="71831F5E" w14:textId="77777777" w:rsidTr="009E6C5C">
        <w:trPr>
          <w:jc w:val="center"/>
        </w:trPr>
        <w:tc>
          <w:tcPr>
            <w:tcW w:w="1247" w:type="dxa"/>
            <w:shd w:val="clear" w:color="auto" w:fill="auto"/>
            <w:vAlign w:val="center"/>
            <w:hideMark/>
          </w:tcPr>
          <w:p w14:paraId="64BD5BBB" w14:textId="77777777" w:rsidR="00935ACF" w:rsidRPr="009E6C5C" w:rsidRDefault="00935ACF" w:rsidP="00D87D07">
            <w:pPr>
              <w:pStyle w:val="MDPI31text"/>
              <w:ind w:firstLine="0"/>
              <w:jc w:val="center"/>
              <w:rPr>
                <w:rFonts w:cs="Calibri"/>
                <w:color w:val="auto"/>
                <w:sz w:val="18"/>
                <w:szCs w:val="20"/>
                <w:lang w:val="en-GB"/>
              </w:rPr>
            </w:pPr>
            <w:r w:rsidRPr="009E6C5C">
              <w:rPr>
                <w:rFonts w:cs="Calibri"/>
                <w:color w:val="auto"/>
                <w:sz w:val="18"/>
                <w:szCs w:val="20"/>
                <w:lang w:val="en-GB"/>
              </w:rPr>
              <w:t>cg25268605</w:t>
            </w:r>
          </w:p>
        </w:tc>
        <w:tc>
          <w:tcPr>
            <w:tcW w:w="850" w:type="dxa"/>
            <w:shd w:val="clear" w:color="auto" w:fill="auto"/>
            <w:vAlign w:val="center"/>
            <w:hideMark/>
          </w:tcPr>
          <w:p w14:paraId="4F74F7B0" w14:textId="77777777" w:rsidR="00935ACF" w:rsidRPr="009E6C5C" w:rsidRDefault="00935ACF" w:rsidP="00D87D07">
            <w:pPr>
              <w:pStyle w:val="MDPI31text"/>
              <w:ind w:firstLine="0"/>
              <w:jc w:val="center"/>
              <w:rPr>
                <w:rFonts w:cs="Calibri"/>
                <w:color w:val="auto"/>
                <w:sz w:val="18"/>
                <w:szCs w:val="20"/>
                <w:lang w:val="en-GB"/>
              </w:rPr>
            </w:pPr>
            <w:r w:rsidRPr="009E6C5C">
              <w:rPr>
                <w:rFonts w:cs="Calibri"/>
                <w:color w:val="auto"/>
                <w:sz w:val="18"/>
                <w:szCs w:val="20"/>
                <w:lang w:val="en-GB"/>
              </w:rPr>
              <w:t>1</w:t>
            </w:r>
          </w:p>
        </w:tc>
        <w:tc>
          <w:tcPr>
            <w:tcW w:w="1170" w:type="dxa"/>
            <w:shd w:val="clear" w:color="auto" w:fill="auto"/>
            <w:vAlign w:val="center"/>
            <w:hideMark/>
          </w:tcPr>
          <w:p w14:paraId="554F0436" w14:textId="77777777" w:rsidR="00935ACF" w:rsidRPr="009E6C5C" w:rsidRDefault="00935ACF" w:rsidP="00D87D07">
            <w:pPr>
              <w:pStyle w:val="MDPI31text"/>
              <w:ind w:firstLine="0"/>
              <w:jc w:val="center"/>
              <w:rPr>
                <w:rFonts w:cs="Calibri"/>
                <w:color w:val="auto"/>
                <w:sz w:val="18"/>
                <w:szCs w:val="20"/>
                <w:lang w:val="en-GB"/>
              </w:rPr>
            </w:pPr>
            <w:r w:rsidRPr="009E6C5C">
              <w:rPr>
                <w:rFonts w:cs="Calibri"/>
                <w:color w:val="auto"/>
                <w:sz w:val="18"/>
                <w:szCs w:val="20"/>
                <w:lang w:val="en-GB"/>
              </w:rPr>
              <w:t>47698518</w:t>
            </w:r>
          </w:p>
        </w:tc>
        <w:tc>
          <w:tcPr>
            <w:tcW w:w="1304" w:type="dxa"/>
            <w:shd w:val="clear" w:color="auto" w:fill="auto"/>
            <w:vAlign w:val="center"/>
            <w:hideMark/>
          </w:tcPr>
          <w:p w14:paraId="53616D53" w14:textId="77777777" w:rsidR="00935ACF" w:rsidRPr="00991D93" w:rsidRDefault="00935ACF" w:rsidP="00D87D07">
            <w:pPr>
              <w:pStyle w:val="MDPI31text"/>
              <w:ind w:firstLine="0"/>
              <w:jc w:val="center"/>
              <w:rPr>
                <w:rFonts w:cs="Calibri"/>
                <w:i/>
                <w:iCs/>
                <w:color w:val="auto"/>
                <w:sz w:val="18"/>
                <w:szCs w:val="20"/>
                <w:lang w:val="en-GB"/>
              </w:rPr>
            </w:pPr>
            <w:r w:rsidRPr="00991D93">
              <w:rPr>
                <w:rFonts w:cs="Calibri"/>
                <w:i/>
                <w:iCs/>
                <w:color w:val="auto"/>
                <w:sz w:val="18"/>
                <w:szCs w:val="20"/>
                <w:lang w:val="en-GB"/>
              </w:rPr>
              <w:t>TAL1</w:t>
            </w:r>
          </w:p>
        </w:tc>
        <w:tc>
          <w:tcPr>
            <w:tcW w:w="1171" w:type="dxa"/>
            <w:shd w:val="clear" w:color="auto" w:fill="auto"/>
            <w:vAlign w:val="center"/>
            <w:hideMark/>
          </w:tcPr>
          <w:p w14:paraId="5BABDD98" w14:textId="77777777" w:rsidR="00935ACF" w:rsidRPr="009E6C5C" w:rsidRDefault="00935ACF" w:rsidP="00D87D07">
            <w:pPr>
              <w:pStyle w:val="MDPI31text"/>
              <w:ind w:firstLine="0"/>
              <w:jc w:val="center"/>
              <w:rPr>
                <w:rFonts w:cs="Calibri"/>
                <w:color w:val="auto"/>
                <w:sz w:val="18"/>
                <w:szCs w:val="20"/>
                <w:lang w:val="en-GB"/>
              </w:rPr>
            </w:pPr>
            <w:r w:rsidRPr="009E6C5C">
              <w:rPr>
                <w:rFonts w:cs="Calibri"/>
                <w:color w:val="auto"/>
                <w:sz w:val="18"/>
                <w:szCs w:val="20"/>
                <w:lang w:val="en-GB"/>
              </w:rPr>
              <w:t>-0.037</w:t>
            </w:r>
          </w:p>
        </w:tc>
        <w:tc>
          <w:tcPr>
            <w:tcW w:w="1170" w:type="dxa"/>
            <w:shd w:val="clear" w:color="auto" w:fill="auto"/>
            <w:vAlign w:val="center"/>
            <w:hideMark/>
          </w:tcPr>
          <w:p w14:paraId="6B610541" w14:textId="77777777" w:rsidR="00935ACF" w:rsidRPr="009E6C5C" w:rsidRDefault="00935ACF" w:rsidP="00D87D07">
            <w:pPr>
              <w:pStyle w:val="MDPI31text"/>
              <w:ind w:firstLine="0"/>
              <w:jc w:val="center"/>
              <w:rPr>
                <w:rFonts w:cs="Calibri"/>
                <w:color w:val="auto"/>
                <w:sz w:val="18"/>
                <w:szCs w:val="20"/>
                <w:lang w:val="en-GB"/>
              </w:rPr>
            </w:pPr>
            <w:r w:rsidRPr="009E6C5C">
              <w:rPr>
                <w:rFonts w:cs="Calibri"/>
                <w:color w:val="auto"/>
                <w:sz w:val="18"/>
                <w:szCs w:val="20"/>
                <w:lang w:val="en-GB"/>
              </w:rPr>
              <w:t>0.008</w:t>
            </w:r>
          </w:p>
        </w:tc>
        <w:tc>
          <w:tcPr>
            <w:tcW w:w="1171" w:type="dxa"/>
            <w:shd w:val="clear" w:color="auto" w:fill="auto"/>
            <w:vAlign w:val="center"/>
            <w:hideMark/>
          </w:tcPr>
          <w:p w14:paraId="0413842E" w14:textId="77777777" w:rsidR="00935ACF" w:rsidRPr="009E6C5C" w:rsidRDefault="00935ACF" w:rsidP="00D87D07">
            <w:pPr>
              <w:pStyle w:val="MDPI31text"/>
              <w:ind w:firstLine="0"/>
              <w:jc w:val="center"/>
              <w:rPr>
                <w:rFonts w:cs="Calibri"/>
                <w:color w:val="auto"/>
                <w:sz w:val="18"/>
                <w:szCs w:val="20"/>
                <w:lang w:val="en-GB"/>
              </w:rPr>
            </w:pPr>
            <w:r w:rsidRPr="009E6C5C">
              <w:rPr>
                <w:rFonts w:cs="Calibri"/>
                <w:color w:val="auto"/>
                <w:sz w:val="18"/>
                <w:szCs w:val="20"/>
                <w:lang w:val="en-GB"/>
              </w:rPr>
              <w:t>3.05E-06</w:t>
            </w:r>
          </w:p>
        </w:tc>
        <w:tc>
          <w:tcPr>
            <w:tcW w:w="1625" w:type="dxa"/>
            <w:shd w:val="clear" w:color="auto" w:fill="auto"/>
            <w:vAlign w:val="center"/>
            <w:hideMark/>
          </w:tcPr>
          <w:p w14:paraId="7BC28C09" w14:textId="77777777" w:rsidR="00935ACF" w:rsidRPr="009E6C5C" w:rsidRDefault="00935ACF" w:rsidP="00D87D07">
            <w:pPr>
              <w:pStyle w:val="MDPI31text"/>
              <w:ind w:firstLine="0"/>
              <w:jc w:val="center"/>
              <w:rPr>
                <w:rFonts w:cs="Calibri"/>
                <w:color w:val="auto"/>
                <w:sz w:val="18"/>
                <w:szCs w:val="20"/>
                <w:lang w:val="en-GB"/>
              </w:rPr>
            </w:pPr>
            <w:r w:rsidRPr="009E6C5C">
              <w:rPr>
                <w:rFonts w:cs="Calibri"/>
                <w:color w:val="auto"/>
                <w:sz w:val="18"/>
                <w:szCs w:val="20"/>
                <w:lang w:val="en-GB"/>
              </w:rPr>
              <w:t>0.241</w:t>
            </w:r>
          </w:p>
        </w:tc>
      </w:tr>
      <w:tr w:rsidR="007853E7" w:rsidRPr="009E6C5C" w14:paraId="33550B66" w14:textId="77777777" w:rsidTr="009E6C5C">
        <w:trPr>
          <w:jc w:val="center"/>
        </w:trPr>
        <w:tc>
          <w:tcPr>
            <w:tcW w:w="1247" w:type="dxa"/>
            <w:shd w:val="clear" w:color="auto" w:fill="auto"/>
            <w:vAlign w:val="center"/>
            <w:hideMark/>
          </w:tcPr>
          <w:p w14:paraId="4E573AC8"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cg04957663</w:t>
            </w:r>
          </w:p>
        </w:tc>
        <w:tc>
          <w:tcPr>
            <w:tcW w:w="850" w:type="dxa"/>
            <w:shd w:val="clear" w:color="auto" w:fill="auto"/>
            <w:vAlign w:val="center"/>
            <w:hideMark/>
          </w:tcPr>
          <w:p w14:paraId="0376D836"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6</w:t>
            </w:r>
          </w:p>
        </w:tc>
        <w:tc>
          <w:tcPr>
            <w:tcW w:w="1170" w:type="dxa"/>
            <w:shd w:val="clear" w:color="auto" w:fill="auto"/>
            <w:vAlign w:val="center"/>
            <w:hideMark/>
          </w:tcPr>
          <w:p w14:paraId="01514306"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29587487</w:t>
            </w:r>
          </w:p>
        </w:tc>
        <w:tc>
          <w:tcPr>
            <w:tcW w:w="1304" w:type="dxa"/>
            <w:shd w:val="clear" w:color="auto" w:fill="auto"/>
            <w:vAlign w:val="center"/>
            <w:hideMark/>
          </w:tcPr>
          <w:p w14:paraId="2584E186" w14:textId="77777777" w:rsidR="00935ACF" w:rsidRPr="00991D93" w:rsidRDefault="00935ACF" w:rsidP="00D87D07">
            <w:pPr>
              <w:pStyle w:val="MDPI31text"/>
              <w:ind w:firstLine="0"/>
              <w:jc w:val="center"/>
              <w:rPr>
                <w:i/>
                <w:iCs/>
                <w:color w:val="auto"/>
                <w:sz w:val="18"/>
                <w:szCs w:val="20"/>
                <w:lang w:val="en-GB"/>
              </w:rPr>
            </w:pPr>
            <w:r w:rsidRPr="00991D93">
              <w:rPr>
                <w:rFonts w:cs="Calibri"/>
                <w:i/>
                <w:iCs/>
                <w:color w:val="auto"/>
                <w:sz w:val="18"/>
                <w:szCs w:val="20"/>
                <w:lang w:val="en-GB"/>
              </w:rPr>
              <w:t>GABBR1</w:t>
            </w:r>
          </w:p>
        </w:tc>
        <w:tc>
          <w:tcPr>
            <w:tcW w:w="1171" w:type="dxa"/>
            <w:shd w:val="clear" w:color="auto" w:fill="auto"/>
            <w:vAlign w:val="center"/>
            <w:hideMark/>
          </w:tcPr>
          <w:p w14:paraId="75CC88D3"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-0.016</w:t>
            </w:r>
          </w:p>
        </w:tc>
        <w:tc>
          <w:tcPr>
            <w:tcW w:w="1170" w:type="dxa"/>
            <w:shd w:val="clear" w:color="auto" w:fill="auto"/>
            <w:vAlign w:val="center"/>
            <w:hideMark/>
          </w:tcPr>
          <w:p w14:paraId="42AA065E"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0.004</w:t>
            </w:r>
          </w:p>
        </w:tc>
        <w:tc>
          <w:tcPr>
            <w:tcW w:w="1171" w:type="dxa"/>
            <w:shd w:val="clear" w:color="auto" w:fill="auto"/>
            <w:vAlign w:val="center"/>
            <w:hideMark/>
          </w:tcPr>
          <w:p w14:paraId="0FC32230"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3.32E-06</w:t>
            </w:r>
          </w:p>
        </w:tc>
        <w:tc>
          <w:tcPr>
            <w:tcW w:w="1625" w:type="dxa"/>
            <w:shd w:val="clear" w:color="auto" w:fill="auto"/>
            <w:vAlign w:val="center"/>
            <w:hideMark/>
          </w:tcPr>
          <w:p w14:paraId="4C033D57"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0.241</w:t>
            </w:r>
          </w:p>
        </w:tc>
      </w:tr>
      <w:tr w:rsidR="007853E7" w:rsidRPr="009E6C5C" w14:paraId="0869E9B0" w14:textId="77777777" w:rsidTr="009E6C5C">
        <w:trPr>
          <w:jc w:val="center"/>
        </w:trPr>
        <w:tc>
          <w:tcPr>
            <w:tcW w:w="1247" w:type="dxa"/>
            <w:tcBorders>
              <w:top w:val="nil"/>
              <w:left w:val="nil"/>
              <w:bottom w:val="single" w:sz="8" w:space="0" w:color="auto"/>
              <w:right w:val="nil"/>
            </w:tcBorders>
            <w:shd w:val="clear" w:color="auto" w:fill="auto"/>
            <w:vAlign w:val="center"/>
            <w:hideMark/>
          </w:tcPr>
          <w:p w14:paraId="60A304E5"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cg14723566</w:t>
            </w:r>
          </w:p>
        </w:tc>
        <w:tc>
          <w:tcPr>
            <w:tcW w:w="850" w:type="dxa"/>
            <w:tcBorders>
              <w:top w:val="nil"/>
              <w:left w:val="nil"/>
              <w:bottom w:val="single" w:sz="8" w:space="0" w:color="auto"/>
              <w:right w:val="nil"/>
            </w:tcBorders>
            <w:shd w:val="clear" w:color="auto" w:fill="auto"/>
            <w:vAlign w:val="center"/>
            <w:hideMark/>
          </w:tcPr>
          <w:p w14:paraId="68FFB1E9"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15</w:t>
            </w:r>
          </w:p>
        </w:tc>
        <w:tc>
          <w:tcPr>
            <w:tcW w:w="1170" w:type="dxa"/>
            <w:tcBorders>
              <w:top w:val="nil"/>
              <w:left w:val="nil"/>
              <w:bottom w:val="single" w:sz="8" w:space="0" w:color="auto"/>
              <w:right w:val="nil"/>
            </w:tcBorders>
            <w:shd w:val="clear" w:color="auto" w:fill="auto"/>
            <w:vAlign w:val="center"/>
            <w:hideMark/>
          </w:tcPr>
          <w:p w14:paraId="345926FD"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80711027</w:t>
            </w:r>
          </w:p>
        </w:tc>
        <w:tc>
          <w:tcPr>
            <w:tcW w:w="1304" w:type="dxa"/>
            <w:tcBorders>
              <w:top w:val="nil"/>
              <w:left w:val="nil"/>
              <w:bottom w:val="single" w:sz="8" w:space="0" w:color="auto"/>
              <w:right w:val="nil"/>
            </w:tcBorders>
            <w:shd w:val="clear" w:color="auto" w:fill="auto"/>
            <w:vAlign w:val="center"/>
            <w:hideMark/>
          </w:tcPr>
          <w:p w14:paraId="5B398E9A" w14:textId="77777777" w:rsidR="00935ACF" w:rsidRPr="00991D93" w:rsidRDefault="00935ACF" w:rsidP="00D87D07">
            <w:pPr>
              <w:pStyle w:val="MDPI31text"/>
              <w:ind w:firstLine="0"/>
              <w:jc w:val="center"/>
              <w:rPr>
                <w:i/>
                <w:iCs/>
                <w:color w:val="auto"/>
                <w:sz w:val="18"/>
                <w:szCs w:val="20"/>
                <w:lang w:val="en-GB"/>
              </w:rPr>
            </w:pPr>
            <w:r w:rsidRPr="00991D93">
              <w:rPr>
                <w:rFonts w:cs="Calibri"/>
                <w:i/>
                <w:iCs/>
                <w:color w:val="auto"/>
                <w:sz w:val="18"/>
                <w:szCs w:val="20"/>
                <w:lang w:val="en-GB"/>
              </w:rPr>
              <w:t>ARNT2</w:t>
            </w:r>
          </w:p>
        </w:tc>
        <w:tc>
          <w:tcPr>
            <w:tcW w:w="1171" w:type="dxa"/>
            <w:tcBorders>
              <w:top w:val="nil"/>
              <w:left w:val="nil"/>
              <w:bottom w:val="single" w:sz="8" w:space="0" w:color="auto"/>
              <w:right w:val="nil"/>
            </w:tcBorders>
            <w:shd w:val="clear" w:color="auto" w:fill="auto"/>
            <w:vAlign w:val="center"/>
            <w:hideMark/>
          </w:tcPr>
          <w:p w14:paraId="4A2089DA"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-0.011</w:t>
            </w:r>
          </w:p>
        </w:tc>
        <w:tc>
          <w:tcPr>
            <w:tcW w:w="1170" w:type="dxa"/>
            <w:tcBorders>
              <w:top w:val="nil"/>
              <w:left w:val="nil"/>
              <w:bottom w:val="single" w:sz="8" w:space="0" w:color="auto"/>
              <w:right w:val="nil"/>
            </w:tcBorders>
            <w:shd w:val="clear" w:color="auto" w:fill="auto"/>
            <w:vAlign w:val="center"/>
            <w:hideMark/>
          </w:tcPr>
          <w:p w14:paraId="5D555D37"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0.002</w:t>
            </w:r>
          </w:p>
        </w:tc>
        <w:tc>
          <w:tcPr>
            <w:tcW w:w="1171" w:type="dxa"/>
            <w:tcBorders>
              <w:top w:val="nil"/>
              <w:left w:val="nil"/>
              <w:bottom w:val="single" w:sz="8" w:space="0" w:color="auto"/>
              <w:right w:val="nil"/>
            </w:tcBorders>
            <w:shd w:val="clear" w:color="auto" w:fill="auto"/>
            <w:vAlign w:val="center"/>
            <w:hideMark/>
          </w:tcPr>
          <w:p w14:paraId="2EE5EBD6"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3.73E-06</w:t>
            </w:r>
          </w:p>
        </w:tc>
        <w:tc>
          <w:tcPr>
            <w:tcW w:w="1625" w:type="dxa"/>
            <w:tcBorders>
              <w:top w:val="nil"/>
              <w:left w:val="nil"/>
              <w:bottom w:val="single" w:sz="8" w:space="0" w:color="auto"/>
              <w:right w:val="nil"/>
            </w:tcBorders>
            <w:shd w:val="clear" w:color="auto" w:fill="auto"/>
            <w:vAlign w:val="center"/>
            <w:hideMark/>
          </w:tcPr>
          <w:p w14:paraId="459536F3" w14:textId="77777777" w:rsidR="00935ACF" w:rsidRPr="009E6C5C" w:rsidRDefault="00935ACF" w:rsidP="00D87D07">
            <w:pPr>
              <w:pStyle w:val="MDPI31text"/>
              <w:ind w:firstLine="0"/>
              <w:jc w:val="center"/>
              <w:rPr>
                <w:color w:val="auto"/>
                <w:sz w:val="18"/>
                <w:szCs w:val="20"/>
                <w:lang w:val="en-GB"/>
              </w:rPr>
            </w:pPr>
            <w:r w:rsidRPr="009E6C5C">
              <w:rPr>
                <w:rFonts w:cs="Calibri"/>
                <w:color w:val="auto"/>
                <w:sz w:val="18"/>
                <w:szCs w:val="20"/>
                <w:lang w:val="en-GB"/>
              </w:rPr>
              <w:t>0.241</w:t>
            </w:r>
          </w:p>
        </w:tc>
      </w:tr>
    </w:tbl>
    <w:p w14:paraId="6236BD82" w14:textId="77777777" w:rsidR="00935ACF" w:rsidRPr="00190491" w:rsidRDefault="0097417D" w:rsidP="009E6C5C">
      <w:pPr>
        <w:pStyle w:val="MDPI31text"/>
        <w:rPr>
          <w:lang w:val="en-GB"/>
        </w:rPr>
      </w:pPr>
      <w:r w:rsidRPr="00190491">
        <w:rPr>
          <w:b/>
          <w:vertAlign w:val="superscript"/>
          <w:lang w:val="en-GB"/>
        </w:rPr>
        <w:t>¶</w:t>
      </w:r>
      <w:r w:rsidRPr="00190491">
        <w:rPr>
          <w:lang w:val="en-GB"/>
        </w:rPr>
        <w:t>Only the top five CpG sites are included, see Supplementary Table S</w:t>
      </w:r>
      <w:r w:rsidR="009C05D4">
        <w:rPr>
          <w:lang w:val="en-GB"/>
        </w:rPr>
        <w:t>3</w:t>
      </w:r>
      <w:r w:rsidRPr="00190491">
        <w:rPr>
          <w:lang w:val="en-GB"/>
        </w:rPr>
        <w:t>, for the top 50 sites.</w:t>
      </w:r>
      <w:r w:rsidR="009E6C5C">
        <w:rPr>
          <w:lang w:val="en-GB"/>
        </w:rPr>
        <w:t xml:space="preserve"> </w:t>
      </w:r>
      <w:r w:rsidR="00C34860" w:rsidRPr="00190491">
        <w:rPr>
          <w:lang w:val="en-GB"/>
        </w:rPr>
        <w:t>*p-values given are raw (FDR-unadjusted)</w:t>
      </w:r>
      <w:r w:rsidR="009E6C5C">
        <w:rPr>
          <w:rFonts w:asciiTheme="minorEastAsia" w:eastAsiaTheme="minorEastAsia" w:hAnsiTheme="minorEastAsia" w:hint="eastAsia"/>
          <w:lang w:val="en-GB" w:eastAsia="zh-CN"/>
        </w:rPr>
        <w:t>.</w:t>
      </w:r>
      <w:r w:rsidR="009E6C5C">
        <w:rPr>
          <w:rFonts w:asciiTheme="minorEastAsia" w:eastAsiaTheme="minorEastAsia" w:hAnsiTheme="minorEastAsia"/>
          <w:lang w:val="en-GB" w:eastAsia="zh-CN"/>
        </w:rPr>
        <w:t xml:space="preserve"> </w:t>
      </w:r>
      <w:r w:rsidR="007853E7" w:rsidRPr="007853E7">
        <w:rPr>
          <w:rFonts w:ascii="Calibri" w:hAnsi="Calibri" w:cs="Calibri"/>
          <w:sz w:val="28"/>
          <w:szCs w:val="28"/>
          <w:vertAlign w:val="superscript"/>
          <w:lang w:val="en-GB"/>
        </w:rPr>
        <w:t>ƚ</w:t>
      </w:r>
      <w:r w:rsidRPr="00190491">
        <w:rPr>
          <w:lang w:val="en-GB"/>
        </w:rPr>
        <w:t>FDR</w:t>
      </w:r>
      <w:r w:rsidR="0014039A" w:rsidRPr="00190491">
        <w:rPr>
          <w:lang w:val="en-GB"/>
        </w:rPr>
        <w:t>-</w:t>
      </w:r>
      <w:r w:rsidR="007853E7">
        <w:rPr>
          <w:lang w:val="en-GB"/>
        </w:rPr>
        <w:t>adjusted</w:t>
      </w:r>
      <w:r w:rsidR="007853E7" w:rsidRPr="00190491">
        <w:rPr>
          <w:lang w:val="en-GB"/>
        </w:rPr>
        <w:t xml:space="preserve"> </w:t>
      </w:r>
      <w:r w:rsidR="0014039A" w:rsidRPr="00190491">
        <w:rPr>
          <w:lang w:val="en-GB"/>
        </w:rPr>
        <w:t>p-values</w:t>
      </w:r>
      <w:r w:rsidRPr="00190491">
        <w:rPr>
          <w:lang w:val="en-GB"/>
        </w:rPr>
        <w:t xml:space="preserve"> &lt;0.05 </w:t>
      </w:r>
      <w:r w:rsidR="0014039A" w:rsidRPr="00190491">
        <w:rPr>
          <w:lang w:val="en-GB"/>
        </w:rPr>
        <w:t xml:space="preserve">were </w:t>
      </w:r>
      <w:r w:rsidRPr="00190491">
        <w:rPr>
          <w:lang w:val="en-GB"/>
        </w:rPr>
        <w:t>considered significant</w:t>
      </w:r>
      <w:r w:rsidR="0014039A" w:rsidRPr="00190491">
        <w:rPr>
          <w:lang w:val="en-GB"/>
        </w:rPr>
        <w:t xml:space="preserve"> (</w:t>
      </w:r>
      <w:r w:rsidR="007853E7">
        <w:rPr>
          <w:lang w:val="en-GB"/>
        </w:rPr>
        <w:t xml:space="preserve">in </w:t>
      </w:r>
      <w:r w:rsidR="0014039A" w:rsidRPr="00190491">
        <w:rPr>
          <w:lang w:val="en-GB"/>
        </w:rPr>
        <w:t>bold)</w:t>
      </w:r>
      <w:r w:rsidRPr="00190491">
        <w:rPr>
          <w:lang w:val="en-GB"/>
        </w:rPr>
        <w:t xml:space="preserve">. </w:t>
      </w:r>
      <w:r w:rsidR="00C34860" w:rsidRPr="00190491">
        <w:rPr>
          <w:lang w:val="en-GB"/>
        </w:rPr>
        <w:t>CpG</w:t>
      </w:r>
      <w:r w:rsidR="00311C11" w:rsidRPr="00190491">
        <w:rPr>
          <w:lang w:val="en-GB"/>
        </w:rPr>
        <w:t>:</w:t>
      </w:r>
      <w:r w:rsidR="00935ACF" w:rsidRPr="00190491">
        <w:rPr>
          <w:lang w:val="en-GB"/>
        </w:rPr>
        <w:t xml:space="preserve"> </w:t>
      </w:r>
      <w:r w:rsidR="00C34860" w:rsidRPr="00190491">
        <w:rPr>
          <w:lang w:val="en-GB"/>
        </w:rPr>
        <w:t xml:space="preserve">name of the </w:t>
      </w:r>
      <w:r w:rsidR="00935ACF" w:rsidRPr="00190491">
        <w:rPr>
          <w:lang w:val="en-GB"/>
        </w:rPr>
        <w:t>CpG site; Chr</w:t>
      </w:r>
      <w:r w:rsidR="00311C11" w:rsidRPr="00190491">
        <w:rPr>
          <w:lang w:val="en-GB"/>
        </w:rPr>
        <w:t xml:space="preserve">: </w:t>
      </w:r>
      <w:r w:rsidR="00935ACF" w:rsidRPr="00190491">
        <w:rPr>
          <w:lang w:val="en-GB"/>
        </w:rPr>
        <w:t>chromosom</w:t>
      </w:r>
      <w:r w:rsidR="00C34860" w:rsidRPr="00190491">
        <w:rPr>
          <w:lang w:val="en-GB"/>
        </w:rPr>
        <w:t>e</w:t>
      </w:r>
      <w:r w:rsidR="00935ACF" w:rsidRPr="00190491">
        <w:rPr>
          <w:lang w:val="en-GB"/>
        </w:rPr>
        <w:t>; Map info</w:t>
      </w:r>
      <w:r w:rsidR="00311C11" w:rsidRPr="00190491">
        <w:rPr>
          <w:lang w:val="en-GB"/>
        </w:rPr>
        <w:t xml:space="preserve">: </w:t>
      </w:r>
      <w:r w:rsidR="00935ACF" w:rsidRPr="00190491">
        <w:rPr>
          <w:lang w:val="en-GB"/>
        </w:rPr>
        <w:t>genomic location of each site in genome build GRCh37; Beta</w:t>
      </w:r>
      <w:r w:rsidR="00311C11" w:rsidRPr="00190491">
        <w:rPr>
          <w:lang w:val="en-GB"/>
        </w:rPr>
        <w:t xml:space="preserve">: </w:t>
      </w:r>
      <w:r w:rsidR="00935ACF" w:rsidRPr="00190491">
        <w:rPr>
          <w:lang w:val="en-GB"/>
        </w:rPr>
        <w:t>methylation level; SE</w:t>
      </w:r>
      <w:r w:rsidR="00311C11" w:rsidRPr="00190491">
        <w:rPr>
          <w:lang w:val="en-GB"/>
        </w:rPr>
        <w:t xml:space="preserve">: </w:t>
      </w:r>
      <w:r w:rsidR="00935ACF" w:rsidRPr="00190491">
        <w:rPr>
          <w:lang w:val="en-GB"/>
        </w:rPr>
        <w:t>standard error of beta; FDR</w:t>
      </w:r>
      <w:r w:rsidR="00311C11" w:rsidRPr="00190491">
        <w:rPr>
          <w:lang w:val="en-GB"/>
        </w:rPr>
        <w:t xml:space="preserve">: </w:t>
      </w:r>
      <w:r w:rsidR="00935ACF" w:rsidRPr="00190491">
        <w:rPr>
          <w:lang w:val="en-GB"/>
        </w:rPr>
        <w:t xml:space="preserve"> </w:t>
      </w:r>
      <w:r w:rsidRPr="00190491">
        <w:rPr>
          <w:lang w:val="en-GB"/>
        </w:rPr>
        <w:t>False Discovery Rate</w:t>
      </w:r>
      <w:r w:rsidR="00935ACF" w:rsidRPr="00190491">
        <w:rPr>
          <w:lang w:val="en-GB"/>
        </w:rPr>
        <w:t xml:space="preserve"> </w:t>
      </w:r>
    </w:p>
    <w:p w14:paraId="69110362" w14:textId="77777777" w:rsidR="00935ACF" w:rsidRPr="00190491" w:rsidRDefault="00970460" w:rsidP="009E6C5C">
      <w:pPr>
        <w:pStyle w:val="MDPI31text"/>
        <w:spacing w:before="240"/>
        <w:ind w:hanging="142"/>
        <w:rPr>
          <w:color w:val="auto"/>
          <w:lang w:val="en-GB"/>
        </w:rPr>
      </w:pPr>
      <w:r w:rsidRPr="00190491">
        <w:rPr>
          <w:noProof/>
          <w:color w:val="auto"/>
          <w:lang w:val="en-GB" w:eastAsia="en-GB" w:bidi="ar-SA"/>
        </w:rPr>
        <w:drawing>
          <wp:inline distT="0" distB="0" distL="0" distR="0" wp14:anchorId="44FFCFE2" wp14:editId="24D6DC2F">
            <wp:extent cx="5727700" cy="25666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2566670"/>
                    </a:xfrm>
                    <a:prstGeom prst="rect">
                      <a:avLst/>
                    </a:prstGeom>
                  </pic:spPr>
                </pic:pic>
              </a:graphicData>
            </a:graphic>
          </wp:inline>
        </w:drawing>
      </w:r>
    </w:p>
    <w:p w14:paraId="4CBBBAAA" w14:textId="77777777" w:rsidR="00935ACF" w:rsidRPr="00190491" w:rsidRDefault="00B407DF" w:rsidP="00FE6EC1">
      <w:pPr>
        <w:pStyle w:val="MDPI33textspaceafter"/>
        <w:spacing w:after="0"/>
        <w:rPr>
          <w:color w:val="auto"/>
          <w:lang w:val="en-GB"/>
        </w:rPr>
      </w:pPr>
      <w:r w:rsidRPr="00190491">
        <w:rPr>
          <w:b/>
          <w:bCs/>
          <w:color w:val="auto"/>
          <w:lang w:val="en-GB"/>
        </w:rPr>
        <w:lastRenderedPageBreak/>
        <w:t xml:space="preserve">Figure </w:t>
      </w:r>
      <w:r w:rsidR="00F90072" w:rsidRPr="00190491">
        <w:rPr>
          <w:b/>
          <w:bCs/>
          <w:color w:val="auto"/>
          <w:lang w:val="en-GB"/>
        </w:rPr>
        <w:t>1</w:t>
      </w:r>
      <w:r w:rsidRPr="00190491">
        <w:rPr>
          <w:b/>
          <w:bCs/>
          <w:color w:val="auto"/>
          <w:lang w:val="en-GB"/>
        </w:rPr>
        <w:t>. Genome-wide analysis of breastfeeding association with childhood DNAm.</w:t>
      </w:r>
      <w:r w:rsidRPr="00190491">
        <w:rPr>
          <w:color w:val="auto"/>
          <w:lang w:val="en-GB"/>
        </w:rPr>
        <w:t xml:space="preserve"> Manhattan plot shows </w:t>
      </w:r>
      <w:r w:rsidR="00AE57E9" w:rsidRPr="00190491">
        <w:rPr>
          <w:color w:val="auto"/>
          <w:lang w:val="en-GB"/>
        </w:rPr>
        <w:t xml:space="preserve">the </w:t>
      </w:r>
      <w:r w:rsidRPr="00190491">
        <w:rPr>
          <w:color w:val="auto"/>
          <w:lang w:val="en-GB"/>
        </w:rPr>
        <w:t xml:space="preserve">association of breastfeeding duration &gt;6 months and DNAm at 10 years. </w:t>
      </w:r>
      <w:r w:rsidR="00935ACF" w:rsidRPr="00190491">
        <w:rPr>
          <w:color w:val="auto"/>
          <w:lang w:val="en-GB"/>
        </w:rPr>
        <w:t>The model was adjusted for sex, birthweight, maternal age, maternal smoking at birth</w:t>
      </w:r>
      <w:r w:rsidR="007853E7">
        <w:rPr>
          <w:color w:val="auto"/>
          <w:lang w:val="en-GB"/>
        </w:rPr>
        <w:t>,</w:t>
      </w:r>
      <w:r w:rsidR="00935ACF" w:rsidRPr="00190491">
        <w:rPr>
          <w:color w:val="auto"/>
          <w:lang w:val="en-GB"/>
        </w:rPr>
        <w:t xml:space="preserve"> maternal socioeconomic status </w:t>
      </w:r>
      <w:r w:rsidR="00D87D07" w:rsidRPr="00190491">
        <w:rPr>
          <w:color w:val="auto"/>
          <w:lang w:val="en-GB"/>
        </w:rPr>
        <w:t xml:space="preserve">and </w:t>
      </w:r>
      <w:r w:rsidR="00935ACF" w:rsidRPr="00190491">
        <w:rPr>
          <w:color w:val="auto"/>
          <w:lang w:val="en-GB"/>
        </w:rPr>
        <w:t>e</w:t>
      </w:r>
      <w:r w:rsidR="00D87D07" w:rsidRPr="00190491">
        <w:rPr>
          <w:color w:val="auto"/>
          <w:lang w:val="en-GB"/>
        </w:rPr>
        <w:t>s</w:t>
      </w:r>
      <w:r w:rsidR="00935ACF" w:rsidRPr="00190491">
        <w:rPr>
          <w:color w:val="auto"/>
          <w:lang w:val="en-GB"/>
        </w:rPr>
        <w:t>timated cell type proportions. The blue and red lines indicate the FDR and Bonferroni (9.28x10</w:t>
      </w:r>
      <w:r w:rsidR="00935ACF" w:rsidRPr="00190491">
        <w:rPr>
          <w:color w:val="auto"/>
          <w:vertAlign w:val="superscript"/>
          <w:lang w:val="en-GB"/>
        </w:rPr>
        <w:t>-08</w:t>
      </w:r>
      <w:r w:rsidR="00935ACF" w:rsidRPr="00190491">
        <w:rPr>
          <w:color w:val="auto"/>
          <w:lang w:val="en-GB"/>
        </w:rPr>
        <w:t xml:space="preserve">) thresholds, respectively. </w:t>
      </w:r>
    </w:p>
    <w:p w14:paraId="58F4F375" w14:textId="77777777" w:rsidR="005A2783" w:rsidRPr="00190491" w:rsidRDefault="005A2783">
      <w:pPr>
        <w:rPr>
          <w:szCs w:val="22"/>
          <w:lang w:eastAsia="de-DE" w:bidi="en-US"/>
        </w:rPr>
      </w:pPr>
    </w:p>
    <w:p w14:paraId="482CB854" w14:textId="77777777" w:rsidR="00935ACF" w:rsidRPr="00190491" w:rsidRDefault="00935ACF" w:rsidP="00935ACF">
      <w:pPr>
        <w:pStyle w:val="MDPI31text"/>
        <w:rPr>
          <w:color w:val="auto"/>
          <w:lang w:val="en-GB"/>
        </w:rPr>
      </w:pPr>
    </w:p>
    <w:p w14:paraId="76A84CC6" w14:textId="77777777" w:rsidR="00935ACF" w:rsidRPr="00190491" w:rsidRDefault="00935ACF" w:rsidP="00DB5C6F">
      <w:pPr>
        <w:pStyle w:val="MDPI31text"/>
        <w:ind w:firstLine="0"/>
        <w:jc w:val="center"/>
        <w:rPr>
          <w:color w:val="auto"/>
          <w:lang w:val="en-GB"/>
        </w:rPr>
      </w:pPr>
      <w:r w:rsidRPr="00190491">
        <w:rPr>
          <w:noProof/>
          <w:color w:val="auto"/>
          <w:lang w:val="en-GB" w:eastAsia="en-GB" w:bidi="ar-SA"/>
        </w:rPr>
        <w:drawing>
          <wp:inline distT="0" distB="0" distL="0" distR="0" wp14:anchorId="61C9AAB3" wp14:editId="10A674A4">
            <wp:extent cx="4560570" cy="3837305"/>
            <wp:effectExtent l="0" t="0" r="0" b="0"/>
            <wp:docPr id="4" name="Picture 4" descr="EWAS Breastfeeding Duration(6 months catego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AS Breastfeeding Duration(6 months categoris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0570" cy="3837305"/>
                    </a:xfrm>
                    <a:prstGeom prst="rect">
                      <a:avLst/>
                    </a:prstGeom>
                    <a:noFill/>
                    <a:ln>
                      <a:noFill/>
                    </a:ln>
                  </pic:spPr>
                </pic:pic>
              </a:graphicData>
            </a:graphic>
          </wp:inline>
        </w:drawing>
      </w:r>
    </w:p>
    <w:p w14:paraId="3196351A" w14:textId="77777777" w:rsidR="003E3C79" w:rsidRPr="00190491" w:rsidRDefault="003E3C79" w:rsidP="003E3C79">
      <w:pPr>
        <w:pStyle w:val="MDPI31text"/>
        <w:ind w:firstLine="0"/>
        <w:rPr>
          <w:b/>
          <w:bCs/>
          <w:color w:val="auto"/>
          <w:lang w:val="en-GB"/>
        </w:rPr>
      </w:pPr>
      <w:r w:rsidRPr="00190491">
        <w:rPr>
          <w:b/>
          <w:bCs/>
          <w:color w:val="auto"/>
          <w:lang w:val="en-GB"/>
        </w:rPr>
        <w:t>Figure 2</w:t>
      </w:r>
      <w:r w:rsidRPr="00190491">
        <w:rPr>
          <w:color w:val="auto"/>
          <w:lang w:val="en-GB"/>
        </w:rPr>
        <w:t>. Quantile-Quantile (QQ) plot of EWAS for breastfeeding duration &gt;6 months and DNAm in IOWBC at 10 years.</w:t>
      </w:r>
    </w:p>
    <w:p w14:paraId="6A7FF2F2" w14:textId="77777777" w:rsidR="00935ACF" w:rsidRPr="009E6C5C" w:rsidRDefault="009E6C5C" w:rsidP="009E6C5C">
      <w:pPr>
        <w:pStyle w:val="MDPI22heading2"/>
        <w:rPr>
          <w:lang w:val="en-GB"/>
        </w:rPr>
      </w:pPr>
      <w:r>
        <w:rPr>
          <w:lang w:val="en-GB"/>
        </w:rPr>
        <w:t xml:space="preserve">3.2. </w:t>
      </w:r>
      <w:r w:rsidR="00935ACF" w:rsidRPr="009E6C5C">
        <w:rPr>
          <w:lang w:val="en-GB"/>
        </w:rPr>
        <w:t>Genome-wide DMR identifications</w:t>
      </w:r>
    </w:p>
    <w:p w14:paraId="49981936" w14:textId="77777777" w:rsidR="00935ACF" w:rsidRPr="00190491" w:rsidRDefault="00935ACF" w:rsidP="00935ACF">
      <w:pPr>
        <w:pStyle w:val="MDPI31text"/>
        <w:rPr>
          <w:color w:val="auto"/>
          <w:lang w:val="en-GB"/>
        </w:rPr>
      </w:pPr>
      <w:r w:rsidRPr="00190491">
        <w:rPr>
          <w:color w:val="auto"/>
          <w:lang w:val="en-GB"/>
        </w:rPr>
        <w:t xml:space="preserve">At age 10, the analysis of differentially methylated regions using comb-p for the breastfeeding </w:t>
      </w:r>
      <w:r w:rsidR="00413D0F">
        <w:rPr>
          <w:color w:val="auto"/>
          <w:lang w:val="en-GB"/>
        </w:rPr>
        <w:t xml:space="preserve">duration </w:t>
      </w:r>
      <w:r w:rsidRPr="00190491">
        <w:rPr>
          <w:color w:val="auto"/>
          <w:lang w:val="en-GB"/>
        </w:rPr>
        <w:t>&gt;3</w:t>
      </w:r>
      <w:r w:rsidR="00AE57E9" w:rsidRPr="00190491">
        <w:rPr>
          <w:color w:val="auto"/>
          <w:lang w:val="en-GB"/>
        </w:rPr>
        <w:t xml:space="preserve"> </w:t>
      </w:r>
      <w:r w:rsidRPr="00190491">
        <w:rPr>
          <w:color w:val="auto"/>
          <w:lang w:val="en-GB"/>
        </w:rPr>
        <w:t xml:space="preserve">months category identified one significant DMR (Sidak-corrected </w:t>
      </w:r>
      <w:r w:rsidR="006221C0">
        <w:rPr>
          <w:color w:val="auto"/>
          <w:lang w:val="en-GB"/>
        </w:rPr>
        <w:t>p-</w:t>
      </w:r>
      <w:r w:rsidRPr="00190491">
        <w:rPr>
          <w:color w:val="auto"/>
          <w:lang w:val="en-GB"/>
        </w:rPr>
        <w:t>values 6.65 × 10</w:t>
      </w:r>
      <w:r w:rsidRPr="00190491">
        <w:rPr>
          <w:color w:val="auto"/>
          <w:vertAlign w:val="superscript"/>
          <w:lang w:val="en-GB"/>
        </w:rPr>
        <w:t>−5</w:t>
      </w:r>
      <w:r w:rsidRPr="00190491">
        <w:rPr>
          <w:color w:val="auto"/>
          <w:lang w:val="en-GB"/>
        </w:rPr>
        <w:t>) at chr</w:t>
      </w:r>
      <w:r w:rsidR="00FA4D01">
        <w:rPr>
          <w:color w:val="auto"/>
          <w:lang w:val="en-GB"/>
        </w:rPr>
        <w:t>omosome eight</w:t>
      </w:r>
      <w:r w:rsidRPr="00190491">
        <w:rPr>
          <w:color w:val="auto"/>
          <w:lang w:val="en-GB"/>
        </w:rPr>
        <w:t xml:space="preserve"> (Table 3 and Supplementary Figure 3). No DMRs were identified for the &gt;6</w:t>
      </w:r>
      <w:r w:rsidR="00AE57E9" w:rsidRPr="00190491">
        <w:rPr>
          <w:color w:val="auto"/>
          <w:lang w:val="en-GB"/>
        </w:rPr>
        <w:t xml:space="preserve"> </w:t>
      </w:r>
      <w:r w:rsidRPr="00190491">
        <w:rPr>
          <w:color w:val="auto"/>
          <w:lang w:val="en-GB"/>
        </w:rPr>
        <w:t xml:space="preserve">months breastfeeding </w:t>
      </w:r>
      <w:r w:rsidR="00413D0F">
        <w:rPr>
          <w:color w:val="auto"/>
          <w:lang w:val="en-GB"/>
        </w:rPr>
        <w:t xml:space="preserve">duration </w:t>
      </w:r>
      <w:r w:rsidRPr="00190491">
        <w:rPr>
          <w:color w:val="auto"/>
          <w:lang w:val="en-GB"/>
        </w:rPr>
        <w:t>category.</w:t>
      </w:r>
    </w:p>
    <w:p w14:paraId="6B0C0AA6" w14:textId="77777777" w:rsidR="00935ACF" w:rsidRPr="00190491" w:rsidRDefault="00935ACF" w:rsidP="009E6C5C">
      <w:pPr>
        <w:pStyle w:val="MDPI41tablecaption"/>
        <w:rPr>
          <w:lang w:val="en-GB"/>
        </w:rPr>
      </w:pPr>
      <w:r w:rsidRPr="009E6C5C">
        <w:rPr>
          <w:b/>
          <w:lang w:val="en-GB"/>
        </w:rPr>
        <w:t xml:space="preserve">Table 3. </w:t>
      </w:r>
      <w:r w:rsidRPr="00190491">
        <w:rPr>
          <w:lang w:val="en-GB"/>
        </w:rPr>
        <w:t xml:space="preserve">Statistically significant DMRs (Sidak </w:t>
      </w:r>
      <w:r w:rsidR="009B5D74">
        <w:rPr>
          <w:lang w:val="en-GB"/>
        </w:rPr>
        <w:t>p-</w:t>
      </w:r>
      <w:r w:rsidRPr="00190491">
        <w:rPr>
          <w:lang w:val="en-GB"/>
        </w:rPr>
        <w:t>value &lt; 0.05) for breastfeeding duration &gt;3 months</w:t>
      </w:r>
      <w:r w:rsidR="00190491" w:rsidRPr="00190491">
        <w:rPr>
          <w:lang w:val="en-GB"/>
        </w:rPr>
        <w:t>.</w:t>
      </w:r>
    </w:p>
    <w:tbl>
      <w:tblPr>
        <w:tblW w:w="9580" w:type="dxa"/>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2277"/>
        <w:gridCol w:w="1246"/>
        <w:gridCol w:w="853"/>
        <w:gridCol w:w="853"/>
        <w:gridCol w:w="1496"/>
        <w:gridCol w:w="1691"/>
        <w:gridCol w:w="1164"/>
      </w:tblGrid>
      <w:tr w:rsidR="00342F28" w:rsidRPr="009E6C5C" w14:paraId="523DC9EA" w14:textId="77777777" w:rsidTr="009E6C5C">
        <w:trPr>
          <w:jc w:val="center"/>
        </w:trPr>
        <w:tc>
          <w:tcPr>
            <w:tcW w:w="0" w:type="auto"/>
            <w:tcBorders>
              <w:top w:val="single" w:sz="8" w:space="0" w:color="auto"/>
              <w:bottom w:val="single" w:sz="4" w:space="0" w:color="auto"/>
            </w:tcBorders>
            <w:shd w:val="clear" w:color="auto" w:fill="auto"/>
            <w:vAlign w:val="center"/>
            <w:hideMark/>
          </w:tcPr>
          <w:p w14:paraId="480180EF" w14:textId="77777777" w:rsidR="00935ACF" w:rsidRPr="009E6C5C" w:rsidRDefault="00935ACF"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Location</w:t>
            </w:r>
          </w:p>
        </w:tc>
        <w:tc>
          <w:tcPr>
            <w:tcW w:w="0" w:type="auto"/>
            <w:shd w:val="clear" w:color="auto" w:fill="auto"/>
            <w:vAlign w:val="center"/>
            <w:hideMark/>
          </w:tcPr>
          <w:p w14:paraId="7CBC29C3" w14:textId="77777777" w:rsidR="00935ACF" w:rsidRPr="009E6C5C" w:rsidRDefault="00935ACF"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No. of probes</w:t>
            </w:r>
          </w:p>
        </w:tc>
        <w:tc>
          <w:tcPr>
            <w:tcW w:w="0" w:type="auto"/>
            <w:shd w:val="clear" w:color="auto" w:fill="auto"/>
            <w:vAlign w:val="center"/>
            <w:hideMark/>
          </w:tcPr>
          <w:p w14:paraId="599B0EFB" w14:textId="77777777" w:rsidR="00935ACF" w:rsidRPr="009E6C5C" w:rsidRDefault="00935ACF"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 xml:space="preserve">Slk </w:t>
            </w:r>
            <w:r w:rsidR="009B5D74" w:rsidRPr="009E6C5C">
              <w:rPr>
                <w:b/>
                <w:color w:val="auto"/>
                <w:sz w:val="18"/>
                <w:lang w:val="en-GB"/>
              </w:rPr>
              <w:br/>
              <w:t>p-</w:t>
            </w:r>
            <w:r w:rsidRPr="009E6C5C">
              <w:rPr>
                <w:b/>
                <w:color w:val="auto"/>
                <w:sz w:val="18"/>
                <w:lang w:val="en-GB"/>
              </w:rPr>
              <w:t>value</w:t>
            </w:r>
          </w:p>
        </w:tc>
        <w:tc>
          <w:tcPr>
            <w:tcW w:w="0" w:type="auto"/>
            <w:shd w:val="clear" w:color="auto" w:fill="auto"/>
            <w:vAlign w:val="center"/>
            <w:hideMark/>
          </w:tcPr>
          <w:p w14:paraId="2C9A97D0" w14:textId="77777777" w:rsidR="00935ACF" w:rsidRPr="009E6C5C" w:rsidRDefault="00935ACF"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 xml:space="preserve">Sidak </w:t>
            </w:r>
            <w:r w:rsidR="009B5D74" w:rsidRPr="009E6C5C">
              <w:rPr>
                <w:b/>
                <w:color w:val="auto"/>
                <w:sz w:val="18"/>
                <w:lang w:val="en-GB"/>
              </w:rPr>
              <w:br/>
              <w:t>p-</w:t>
            </w:r>
            <w:r w:rsidRPr="009E6C5C">
              <w:rPr>
                <w:b/>
                <w:color w:val="auto"/>
                <w:sz w:val="18"/>
                <w:lang w:val="en-GB"/>
              </w:rPr>
              <w:t>value</w:t>
            </w:r>
          </w:p>
        </w:tc>
        <w:tc>
          <w:tcPr>
            <w:tcW w:w="0" w:type="auto"/>
            <w:gridSpan w:val="2"/>
            <w:shd w:val="clear" w:color="auto" w:fill="auto"/>
            <w:vAlign w:val="center"/>
            <w:hideMark/>
          </w:tcPr>
          <w:p w14:paraId="41BEDE3B" w14:textId="77777777" w:rsidR="00935ACF" w:rsidRPr="009E6C5C" w:rsidRDefault="00935ACF"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 xml:space="preserve">Ref gene name and genomic </w:t>
            </w:r>
            <w:r w:rsidR="00DB5C6F" w:rsidRPr="009E6C5C">
              <w:rPr>
                <w:b/>
                <w:color w:val="auto"/>
                <w:sz w:val="18"/>
                <w:lang w:val="en-GB"/>
              </w:rPr>
              <w:t xml:space="preserve">       </w:t>
            </w:r>
            <w:r w:rsidRPr="009E6C5C">
              <w:rPr>
                <w:b/>
                <w:color w:val="auto"/>
                <w:sz w:val="18"/>
                <w:lang w:val="en-GB"/>
              </w:rPr>
              <w:t>feature</w:t>
            </w:r>
          </w:p>
        </w:tc>
        <w:tc>
          <w:tcPr>
            <w:tcW w:w="0" w:type="auto"/>
            <w:shd w:val="clear" w:color="auto" w:fill="auto"/>
            <w:vAlign w:val="center"/>
            <w:hideMark/>
          </w:tcPr>
          <w:p w14:paraId="526044D7" w14:textId="77777777" w:rsidR="00935ACF" w:rsidRPr="009E6C5C" w:rsidRDefault="00935ACF"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CpG feature</w:t>
            </w:r>
          </w:p>
        </w:tc>
      </w:tr>
      <w:tr w:rsidR="00342F28" w:rsidRPr="009E6C5C" w14:paraId="704604E7" w14:textId="77777777" w:rsidTr="009E6C5C">
        <w:trPr>
          <w:jc w:val="center"/>
        </w:trPr>
        <w:tc>
          <w:tcPr>
            <w:tcW w:w="0" w:type="auto"/>
            <w:tcBorders>
              <w:top w:val="single" w:sz="4" w:space="0" w:color="auto"/>
              <w:bottom w:val="single" w:sz="4" w:space="0" w:color="auto"/>
            </w:tcBorders>
            <w:shd w:val="clear" w:color="auto" w:fill="auto"/>
            <w:noWrap/>
            <w:vAlign w:val="center"/>
            <w:hideMark/>
          </w:tcPr>
          <w:p w14:paraId="2777FFBC" w14:textId="77777777" w:rsidR="00935ACF" w:rsidRPr="009E6C5C" w:rsidRDefault="00935ACF" w:rsidP="009E6C5C">
            <w:pPr>
              <w:pStyle w:val="MDPI31text"/>
              <w:autoSpaceDE w:val="0"/>
              <w:autoSpaceDN w:val="0"/>
              <w:spacing w:line="240" w:lineRule="auto"/>
              <w:ind w:firstLine="0"/>
              <w:jc w:val="center"/>
              <w:rPr>
                <w:b/>
                <w:color w:val="auto"/>
                <w:sz w:val="18"/>
                <w:lang w:val="en-GB"/>
              </w:rPr>
            </w:pPr>
            <w:r w:rsidRPr="009E6C5C">
              <w:rPr>
                <w:b/>
                <w:color w:val="auto"/>
                <w:sz w:val="18"/>
                <w:lang w:val="en-GB"/>
              </w:rPr>
              <w:t>chr8: 11666256 – 11666619</w:t>
            </w:r>
          </w:p>
        </w:tc>
        <w:tc>
          <w:tcPr>
            <w:tcW w:w="0" w:type="auto"/>
            <w:shd w:val="clear" w:color="auto" w:fill="auto"/>
            <w:vAlign w:val="center"/>
            <w:hideMark/>
          </w:tcPr>
          <w:p w14:paraId="419A8E16" w14:textId="77777777" w:rsidR="00935ACF" w:rsidRPr="009E6C5C" w:rsidRDefault="00935ACF" w:rsidP="009E6C5C">
            <w:pPr>
              <w:pStyle w:val="MDPI31text"/>
              <w:autoSpaceDE w:val="0"/>
              <w:autoSpaceDN w:val="0"/>
              <w:spacing w:line="240" w:lineRule="auto"/>
              <w:ind w:firstLine="0"/>
              <w:jc w:val="center"/>
              <w:rPr>
                <w:color w:val="auto"/>
                <w:sz w:val="18"/>
                <w:lang w:val="en-GB"/>
              </w:rPr>
            </w:pPr>
            <w:r w:rsidRPr="009E6C5C">
              <w:rPr>
                <w:color w:val="auto"/>
                <w:sz w:val="18"/>
                <w:lang w:val="en-GB"/>
              </w:rPr>
              <w:t>6</w:t>
            </w:r>
          </w:p>
        </w:tc>
        <w:tc>
          <w:tcPr>
            <w:tcW w:w="0" w:type="auto"/>
            <w:shd w:val="clear" w:color="auto" w:fill="auto"/>
            <w:vAlign w:val="center"/>
            <w:hideMark/>
          </w:tcPr>
          <w:p w14:paraId="6149C412" w14:textId="77777777" w:rsidR="00935ACF" w:rsidRPr="009E6C5C" w:rsidRDefault="00935ACF" w:rsidP="009E6C5C">
            <w:pPr>
              <w:pStyle w:val="MDPI31text"/>
              <w:autoSpaceDE w:val="0"/>
              <w:autoSpaceDN w:val="0"/>
              <w:spacing w:line="240" w:lineRule="auto"/>
              <w:ind w:firstLine="0"/>
              <w:jc w:val="center"/>
              <w:rPr>
                <w:color w:val="auto"/>
                <w:sz w:val="18"/>
                <w:lang w:val="en-GB"/>
              </w:rPr>
            </w:pPr>
            <w:r w:rsidRPr="009E6C5C">
              <w:rPr>
                <w:color w:val="auto"/>
                <w:sz w:val="18"/>
                <w:lang w:val="en-GB"/>
              </w:rPr>
              <w:t>9.44E-10</w:t>
            </w:r>
          </w:p>
        </w:tc>
        <w:tc>
          <w:tcPr>
            <w:tcW w:w="0" w:type="auto"/>
            <w:shd w:val="clear" w:color="auto" w:fill="auto"/>
            <w:vAlign w:val="center"/>
            <w:hideMark/>
          </w:tcPr>
          <w:p w14:paraId="65F3DDD3" w14:textId="77777777" w:rsidR="00935ACF" w:rsidRPr="009E6C5C" w:rsidRDefault="00935ACF" w:rsidP="009E6C5C">
            <w:pPr>
              <w:pStyle w:val="MDPI31text"/>
              <w:autoSpaceDE w:val="0"/>
              <w:autoSpaceDN w:val="0"/>
              <w:spacing w:line="240" w:lineRule="auto"/>
              <w:ind w:firstLine="0"/>
              <w:jc w:val="center"/>
              <w:rPr>
                <w:color w:val="auto"/>
                <w:sz w:val="18"/>
                <w:lang w:val="en-GB"/>
              </w:rPr>
            </w:pPr>
            <w:r w:rsidRPr="009E6C5C">
              <w:rPr>
                <w:color w:val="auto"/>
                <w:sz w:val="18"/>
                <w:lang w:val="en-GB"/>
              </w:rPr>
              <w:t>6.65E-05</w:t>
            </w:r>
          </w:p>
        </w:tc>
        <w:tc>
          <w:tcPr>
            <w:tcW w:w="0" w:type="auto"/>
            <w:shd w:val="clear" w:color="auto" w:fill="auto"/>
            <w:vAlign w:val="center"/>
            <w:hideMark/>
          </w:tcPr>
          <w:p w14:paraId="5791C815" w14:textId="77777777" w:rsidR="00935ACF" w:rsidRPr="00991D93" w:rsidRDefault="00935ACF" w:rsidP="009E6C5C">
            <w:pPr>
              <w:pStyle w:val="MDPI31text"/>
              <w:autoSpaceDE w:val="0"/>
              <w:autoSpaceDN w:val="0"/>
              <w:spacing w:line="240" w:lineRule="auto"/>
              <w:ind w:firstLine="0"/>
              <w:jc w:val="center"/>
              <w:rPr>
                <w:i/>
                <w:iCs/>
                <w:color w:val="auto"/>
                <w:sz w:val="18"/>
                <w:lang w:val="en-GB"/>
              </w:rPr>
            </w:pPr>
            <w:r w:rsidRPr="00991D93">
              <w:rPr>
                <w:i/>
                <w:iCs/>
                <w:color w:val="auto"/>
                <w:sz w:val="18"/>
                <w:lang w:val="en-GB"/>
              </w:rPr>
              <w:t>FDFT1</w:t>
            </w:r>
          </w:p>
        </w:tc>
        <w:tc>
          <w:tcPr>
            <w:tcW w:w="0" w:type="auto"/>
            <w:shd w:val="clear" w:color="auto" w:fill="auto"/>
            <w:vAlign w:val="center"/>
            <w:hideMark/>
          </w:tcPr>
          <w:p w14:paraId="0EB5C511" w14:textId="77777777" w:rsidR="00935ACF" w:rsidRPr="009E6C5C" w:rsidRDefault="00935ACF" w:rsidP="009E6C5C">
            <w:pPr>
              <w:pStyle w:val="MDPI31text"/>
              <w:autoSpaceDE w:val="0"/>
              <w:autoSpaceDN w:val="0"/>
              <w:spacing w:line="240" w:lineRule="auto"/>
              <w:ind w:firstLine="0"/>
              <w:jc w:val="center"/>
              <w:rPr>
                <w:color w:val="auto"/>
                <w:sz w:val="18"/>
                <w:lang w:val="en-GB"/>
              </w:rPr>
            </w:pPr>
            <w:r w:rsidRPr="009E6C5C">
              <w:rPr>
                <w:color w:val="auto"/>
                <w:sz w:val="18"/>
                <w:lang w:val="en-GB"/>
              </w:rPr>
              <w:t>S_Shore</w:t>
            </w:r>
          </w:p>
        </w:tc>
        <w:tc>
          <w:tcPr>
            <w:tcW w:w="0" w:type="auto"/>
            <w:shd w:val="clear" w:color="auto" w:fill="auto"/>
            <w:vAlign w:val="center"/>
            <w:hideMark/>
          </w:tcPr>
          <w:p w14:paraId="6E55E52E" w14:textId="77777777" w:rsidR="00935ACF" w:rsidRPr="009E6C5C" w:rsidRDefault="00935ACF" w:rsidP="009E6C5C">
            <w:pPr>
              <w:pStyle w:val="MDPI31text"/>
              <w:autoSpaceDE w:val="0"/>
              <w:autoSpaceDN w:val="0"/>
              <w:spacing w:line="240" w:lineRule="auto"/>
              <w:ind w:firstLine="0"/>
              <w:jc w:val="center"/>
              <w:rPr>
                <w:color w:val="auto"/>
                <w:sz w:val="18"/>
                <w:lang w:val="en-GB"/>
              </w:rPr>
            </w:pPr>
            <w:r w:rsidRPr="009E6C5C">
              <w:rPr>
                <w:color w:val="auto"/>
                <w:sz w:val="18"/>
                <w:lang w:val="en-GB"/>
              </w:rPr>
              <w:t>NA</w:t>
            </w:r>
          </w:p>
        </w:tc>
      </w:tr>
    </w:tbl>
    <w:p w14:paraId="49370109" w14:textId="77777777" w:rsidR="00935ACF" w:rsidRPr="00190491" w:rsidRDefault="00935ACF" w:rsidP="00341AD0">
      <w:pPr>
        <w:pStyle w:val="MDPI51figurecaption"/>
        <w:spacing w:before="0" w:after="0"/>
        <w:ind w:left="0"/>
        <w:rPr>
          <w:rFonts w:eastAsia="Calibri"/>
          <w:color w:val="auto"/>
          <w:sz w:val="24"/>
          <w:szCs w:val="24"/>
          <w:lang w:val="en-GB" w:eastAsia="en-US"/>
        </w:rPr>
      </w:pPr>
      <w:r w:rsidRPr="00190491">
        <w:rPr>
          <w:i/>
          <w:iCs/>
          <w:color w:val="auto"/>
          <w:lang w:val="en-GB"/>
        </w:rPr>
        <w:t>Slk</w:t>
      </w:r>
      <w:r w:rsidRPr="00190491">
        <w:rPr>
          <w:color w:val="auto"/>
          <w:lang w:val="en-GB"/>
        </w:rPr>
        <w:t xml:space="preserve"> </w:t>
      </w:r>
      <w:r w:rsidR="009B5D74">
        <w:rPr>
          <w:color w:val="auto"/>
          <w:lang w:val="en-GB"/>
        </w:rPr>
        <w:t>p-</w:t>
      </w:r>
      <w:r w:rsidR="00EA62F3" w:rsidRPr="00190491">
        <w:rPr>
          <w:color w:val="auto"/>
          <w:lang w:val="en-GB"/>
        </w:rPr>
        <w:t xml:space="preserve">value: </w:t>
      </w:r>
      <w:r w:rsidRPr="00190491">
        <w:rPr>
          <w:color w:val="auto"/>
          <w:lang w:val="en-GB"/>
        </w:rPr>
        <w:t>uncorrected Stouffer-Liptak-Kechris</w:t>
      </w:r>
      <w:r w:rsidR="00EA62F3" w:rsidRPr="00190491">
        <w:rPr>
          <w:color w:val="auto"/>
          <w:lang w:val="en-GB"/>
        </w:rPr>
        <w:t xml:space="preserve"> p-values; </w:t>
      </w:r>
      <w:r w:rsidRPr="00190491">
        <w:rPr>
          <w:color w:val="auto"/>
          <w:lang w:val="en-GB"/>
        </w:rPr>
        <w:t xml:space="preserve">Sidak </w:t>
      </w:r>
      <w:r w:rsidR="009B5D74">
        <w:rPr>
          <w:color w:val="auto"/>
          <w:lang w:val="en-GB"/>
        </w:rPr>
        <w:t>p-</w:t>
      </w:r>
      <w:r w:rsidRPr="00190491">
        <w:rPr>
          <w:color w:val="auto"/>
          <w:lang w:val="en-GB"/>
        </w:rPr>
        <w:t>value</w:t>
      </w:r>
      <w:r w:rsidR="00EA62F3" w:rsidRPr="00190491">
        <w:rPr>
          <w:color w:val="auto"/>
          <w:lang w:val="en-GB"/>
        </w:rPr>
        <w:t>:</w:t>
      </w:r>
      <w:r w:rsidRPr="00190491">
        <w:rPr>
          <w:color w:val="auto"/>
          <w:lang w:val="en-GB"/>
        </w:rPr>
        <w:t xml:space="preserve"> corrected for multiple testing</w:t>
      </w:r>
      <w:r w:rsidR="00C94C4A" w:rsidRPr="00190491">
        <w:rPr>
          <w:color w:val="auto"/>
          <w:lang w:val="en-GB"/>
        </w:rPr>
        <w:t>.</w:t>
      </w:r>
      <w:r w:rsidRPr="00190491">
        <w:rPr>
          <w:color w:val="auto"/>
          <w:lang w:val="en-GB"/>
        </w:rPr>
        <w:t xml:space="preserve"> S_Shore</w:t>
      </w:r>
      <w:r w:rsidR="00C94C4A" w:rsidRPr="00190491">
        <w:rPr>
          <w:color w:val="auto"/>
          <w:lang w:val="en-GB"/>
        </w:rPr>
        <w:t xml:space="preserve">: </w:t>
      </w:r>
      <w:r w:rsidRPr="00190491">
        <w:rPr>
          <w:color w:val="auto"/>
          <w:lang w:val="en-GB"/>
        </w:rPr>
        <w:t>South shore of CpG Island</w:t>
      </w:r>
      <w:r w:rsidR="00C94C4A" w:rsidRPr="00190491">
        <w:rPr>
          <w:color w:val="auto"/>
          <w:lang w:val="en-GB"/>
        </w:rPr>
        <w:t>, NA: not available</w:t>
      </w:r>
    </w:p>
    <w:p w14:paraId="5E2F9E7E" w14:textId="77777777" w:rsidR="00935ACF" w:rsidRPr="009E6C5C" w:rsidRDefault="009E6C5C" w:rsidP="009E6C5C">
      <w:pPr>
        <w:pStyle w:val="MDPI22heading2"/>
        <w:rPr>
          <w:lang w:val="en-GB"/>
        </w:rPr>
      </w:pPr>
      <w:r>
        <w:rPr>
          <w:lang w:val="en-GB"/>
        </w:rPr>
        <w:t xml:space="preserve">3.3. </w:t>
      </w:r>
      <w:r w:rsidR="00935ACF" w:rsidRPr="009E6C5C">
        <w:rPr>
          <w:lang w:val="en-GB"/>
        </w:rPr>
        <w:t>Persistence of DNA methylation at significant CpG sites</w:t>
      </w:r>
    </w:p>
    <w:p w14:paraId="63E03B03" w14:textId="77777777" w:rsidR="00377E3F" w:rsidRPr="00190491" w:rsidRDefault="00C075C1" w:rsidP="00C075C1">
      <w:pPr>
        <w:pStyle w:val="MDPI31text"/>
        <w:rPr>
          <w:color w:val="auto"/>
          <w:lang w:val="en-GB"/>
        </w:rPr>
      </w:pPr>
      <w:r w:rsidRPr="00190491">
        <w:rPr>
          <w:color w:val="auto"/>
          <w:lang w:val="en-GB"/>
        </w:rPr>
        <w:t>T</w:t>
      </w:r>
      <w:r w:rsidR="000A4465" w:rsidRPr="00190491">
        <w:rPr>
          <w:color w:val="auto"/>
          <w:lang w:val="en-GB"/>
        </w:rPr>
        <w:t xml:space="preserve">he </w:t>
      </w:r>
      <w:r w:rsidR="009B177F" w:rsidRPr="00190491">
        <w:rPr>
          <w:color w:val="auto"/>
          <w:lang w:val="en-GB"/>
        </w:rPr>
        <w:t>variation in</w:t>
      </w:r>
      <w:r w:rsidR="000A4465" w:rsidRPr="00190491">
        <w:rPr>
          <w:color w:val="auto"/>
          <w:lang w:val="en-GB"/>
        </w:rPr>
        <w:t xml:space="preserve"> DNAm level</w:t>
      </w:r>
      <w:r w:rsidR="009B177F" w:rsidRPr="00190491">
        <w:rPr>
          <w:color w:val="auto"/>
          <w:lang w:val="en-GB"/>
        </w:rPr>
        <w:t>s</w:t>
      </w:r>
      <w:r w:rsidR="000A4465" w:rsidRPr="00190491">
        <w:rPr>
          <w:color w:val="auto"/>
          <w:lang w:val="en-GB"/>
        </w:rPr>
        <w:t xml:space="preserve"> (beta values) </w:t>
      </w:r>
      <w:r w:rsidR="000A243A" w:rsidRPr="00190491">
        <w:rPr>
          <w:color w:val="auto"/>
          <w:lang w:val="en-GB"/>
        </w:rPr>
        <w:t>of cg08188863 and cg03592955</w:t>
      </w:r>
      <w:r w:rsidRPr="00190491">
        <w:rPr>
          <w:color w:val="auto"/>
          <w:lang w:val="en-GB"/>
        </w:rPr>
        <w:t xml:space="preserve"> </w:t>
      </w:r>
      <w:r w:rsidR="003E76BC" w:rsidRPr="00190491">
        <w:rPr>
          <w:color w:val="auto"/>
          <w:lang w:val="en-GB"/>
        </w:rPr>
        <w:t>were</w:t>
      </w:r>
      <w:r w:rsidRPr="00190491">
        <w:rPr>
          <w:color w:val="auto"/>
          <w:lang w:val="en-GB"/>
        </w:rPr>
        <w:t xml:space="preserve"> compared </w:t>
      </w:r>
      <w:r w:rsidR="000A4465" w:rsidRPr="00190491">
        <w:rPr>
          <w:color w:val="auto"/>
          <w:lang w:val="en-GB"/>
        </w:rPr>
        <w:t xml:space="preserve">in </w:t>
      </w:r>
      <w:r w:rsidR="000A243A" w:rsidRPr="00190491">
        <w:rPr>
          <w:color w:val="auto"/>
          <w:lang w:val="en-GB"/>
        </w:rPr>
        <w:t xml:space="preserve">children </w:t>
      </w:r>
      <w:r w:rsidR="000845D3" w:rsidRPr="00190491">
        <w:rPr>
          <w:color w:val="auto"/>
          <w:lang w:val="en-GB"/>
        </w:rPr>
        <w:t xml:space="preserve">across </w:t>
      </w:r>
      <w:r w:rsidR="003E76BC" w:rsidRPr="00190491">
        <w:rPr>
          <w:color w:val="auto"/>
          <w:lang w:val="en-GB"/>
        </w:rPr>
        <w:t xml:space="preserve">the </w:t>
      </w:r>
      <w:r w:rsidR="000845D3" w:rsidRPr="00190491">
        <w:rPr>
          <w:color w:val="auto"/>
          <w:lang w:val="en-GB"/>
        </w:rPr>
        <w:t>four time points between</w:t>
      </w:r>
      <w:r w:rsidR="003E76BC" w:rsidRPr="00190491">
        <w:rPr>
          <w:color w:val="auto"/>
          <w:lang w:val="en-GB"/>
        </w:rPr>
        <w:t xml:space="preserve"> birth and 26 years of age. </w:t>
      </w:r>
      <w:r w:rsidR="00FA4D01">
        <w:rPr>
          <w:color w:val="auto"/>
          <w:lang w:val="en-GB"/>
        </w:rPr>
        <w:t>For both CpGs, t</w:t>
      </w:r>
      <w:r w:rsidRPr="00190491">
        <w:rPr>
          <w:color w:val="auto"/>
          <w:lang w:val="en-GB"/>
        </w:rPr>
        <w:t>here was a</w:t>
      </w:r>
      <w:r w:rsidR="00377E3F" w:rsidRPr="00190491">
        <w:rPr>
          <w:color w:val="auto"/>
          <w:lang w:val="en-GB"/>
        </w:rPr>
        <w:t xml:space="preserve"> statistically significant difference </w:t>
      </w:r>
      <w:r w:rsidR="009B5D74">
        <w:rPr>
          <w:color w:val="auto"/>
          <w:lang w:val="en-GB"/>
        </w:rPr>
        <w:t xml:space="preserve">in the medians </w:t>
      </w:r>
      <w:r w:rsidR="00377E3F" w:rsidRPr="00190491">
        <w:rPr>
          <w:color w:val="auto"/>
          <w:lang w:val="en-GB"/>
        </w:rPr>
        <w:t xml:space="preserve">of the beta values </w:t>
      </w:r>
      <w:r w:rsidR="006F5D78" w:rsidRPr="00190491">
        <w:rPr>
          <w:color w:val="auto"/>
          <w:lang w:val="en-GB"/>
        </w:rPr>
        <w:t xml:space="preserve">between </w:t>
      </w:r>
      <w:r w:rsidR="009B5D74">
        <w:rPr>
          <w:color w:val="auto"/>
          <w:lang w:val="en-GB"/>
        </w:rPr>
        <w:t>breastfed and non-</w:t>
      </w:r>
      <w:r w:rsidR="009B5D74">
        <w:rPr>
          <w:color w:val="auto"/>
          <w:lang w:val="en-GB"/>
        </w:rPr>
        <w:lastRenderedPageBreak/>
        <w:t xml:space="preserve">breastfed children at </w:t>
      </w:r>
      <w:r w:rsidR="006F26FB" w:rsidRPr="00190491">
        <w:rPr>
          <w:color w:val="auto"/>
          <w:lang w:val="en-GB"/>
        </w:rPr>
        <w:t xml:space="preserve">10 years </w:t>
      </w:r>
      <w:r w:rsidR="006F5D78" w:rsidRPr="00190491">
        <w:rPr>
          <w:color w:val="auto"/>
          <w:lang w:val="en-GB"/>
        </w:rPr>
        <w:t xml:space="preserve">of age </w:t>
      </w:r>
      <w:r w:rsidR="000A243A" w:rsidRPr="00190491">
        <w:rPr>
          <w:color w:val="auto"/>
          <w:lang w:val="en-GB"/>
        </w:rPr>
        <w:t>(p</w:t>
      </w:r>
      <w:r w:rsidR="003E76BC" w:rsidRPr="00190491">
        <w:rPr>
          <w:color w:val="auto"/>
          <w:lang w:val="en-GB"/>
        </w:rPr>
        <w:t>-value</w:t>
      </w:r>
      <w:r w:rsidR="000A243A" w:rsidRPr="00190491">
        <w:rPr>
          <w:color w:val="auto"/>
          <w:lang w:val="en-GB"/>
        </w:rPr>
        <w:t>=0.006 and &lt;0.0001</w:t>
      </w:r>
      <w:r w:rsidR="00F42408" w:rsidRPr="00190491">
        <w:rPr>
          <w:color w:val="auto"/>
          <w:lang w:val="en-GB"/>
        </w:rPr>
        <w:t xml:space="preserve"> </w:t>
      </w:r>
      <w:r w:rsidR="000A243A" w:rsidRPr="00190491">
        <w:rPr>
          <w:color w:val="auto"/>
          <w:lang w:val="en-GB"/>
        </w:rPr>
        <w:t>for cg08188863 and cg03592955 respectively, Figure 3, 10YR: No and &gt;6</w:t>
      </w:r>
      <w:r w:rsidR="00FA4D01">
        <w:rPr>
          <w:color w:val="auto"/>
          <w:lang w:val="en-GB"/>
        </w:rPr>
        <w:t xml:space="preserve"> </w:t>
      </w:r>
      <w:r w:rsidR="000A243A" w:rsidRPr="00190491">
        <w:rPr>
          <w:color w:val="auto"/>
          <w:lang w:val="en-GB"/>
        </w:rPr>
        <w:t>m</w:t>
      </w:r>
      <w:r w:rsidR="00FA4D01">
        <w:rPr>
          <w:color w:val="auto"/>
          <w:lang w:val="en-GB"/>
        </w:rPr>
        <w:t>onths</w:t>
      </w:r>
      <w:r w:rsidR="000A243A" w:rsidRPr="00190491">
        <w:rPr>
          <w:color w:val="auto"/>
          <w:lang w:val="en-GB"/>
        </w:rPr>
        <w:t>)</w:t>
      </w:r>
      <w:r w:rsidR="00377E3F" w:rsidRPr="00190491">
        <w:rPr>
          <w:color w:val="auto"/>
          <w:lang w:val="en-GB"/>
        </w:rPr>
        <w:t xml:space="preserve">. </w:t>
      </w:r>
      <w:r w:rsidR="006F26FB" w:rsidRPr="00190491">
        <w:rPr>
          <w:color w:val="auto"/>
          <w:lang w:val="en-GB"/>
        </w:rPr>
        <w:t xml:space="preserve">This is in line with the </w:t>
      </w:r>
      <w:r w:rsidR="00FA4D01">
        <w:rPr>
          <w:color w:val="auto"/>
          <w:lang w:val="en-GB"/>
        </w:rPr>
        <w:t xml:space="preserve">significant </w:t>
      </w:r>
      <w:r w:rsidR="006F26FB" w:rsidRPr="00190491">
        <w:rPr>
          <w:color w:val="auto"/>
          <w:lang w:val="en-GB"/>
        </w:rPr>
        <w:t xml:space="preserve">association of breastfeeding duration </w:t>
      </w:r>
      <w:r w:rsidR="00FA4D01">
        <w:rPr>
          <w:color w:val="auto"/>
          <w:lang w:val="en-GB"/>
        </w:rPr>
        <w:t xml:space="preserve">&gt;6 months </w:t>
      </w:r>
      <w:r w:rsidR="006F26FB" w:rsidRPr="00190491">
        <w:rPr>
          <w:color w:val="auto"/>
          <w:lang w:val="en-GB"/>
        </w:rPr>
        <w:t xml:space="preserve">with cg08188863 and cg03592955 in </w:t>
      </w:r>
      <w:r w:rsidR="00517F9F" w:rsidRPr="00190491">
        <w:rPr>
          <w:color w:val="auto"/>
          <w:lang w:val="en-GB"/>
        </w:rPr>
        <w:t>10-year</w:t>
      </w:r>
      <w:r w:rsidR="006F26FB" w:rsidRPr="00190491">
        <w:rPr>
          <w:color w:val="auto"/>
          <w:lang w:val="en-GB"/>
        </w:rPr>
        <w:t xml:space="preserve"> olds as identified </w:t>
      </w:r>
      <w:r w:rsidR="00FA4D01">
        <w:rPr>
          <w:color w:val="auto"/>
          <w:lang w:val="en-GB"/>
        </w:rPr>
        <w:t>from</w:t>
      </w:r>
      <w:r w:rsidR="006F26FB" w:rsidRPr="00190491">
        <w:rPr>
          <w:color w:val="auto"/>
          <w:lang w:val="en-GB"/>
        </w:rPr>
        <w:t xml:space="preserve"> the EWAS. </w:t>
      </w:r>
      <w:r w:rsidR="00377E3F" w:rsidRPr="00190491">
        <w:rPr>
          <w:color w:val="auto"/>
          <w:lang w:val="en-GB"/>
        </w:rPr>
        <w:t xml:space="preserve">We hypothesized that the </w:t>
      </w:r>
      <w:r w:rsidR="008E7345">
        <w:rPr>
          <w:color w:val="auto"/>
          <w:lang w:val="en-GB"/>
        </w:rPr>
        <w:t>methylation levels</w:t>
      </w:r>
      <w:r w:rsidR="00377E3F" w:rsidRPr="00190491">
        <w:rPr>
          <w:color w:val="auto"/>
          <w:lang w:val="en-GB"/>
        </w:rPr>
        <w:t xml:space="preserve"> </w:t>
      </w:r>
      <w:r w:rsidR="00160F17" w:rsidRPr="00190491">
        <w:rPr>
          <w:color w:val="auto"/>
          <w:lang w:val="en-GB"/>
        </w:rPr>
        <w:t>for all</w:t>
      </w:r>
      <w:r w:rsidR="00377E3F" w:rsidRPr="00190491">
        <w:rPr>
          <w:color w:val="auto"/>
          <w:lang w:val="en-GB"/>
        </w:rPr>
        <w:t xml:space="preserve"> </w:t>
      </w:r>
      <w:r w:rsidR="00160F17" w:rsidRPr="00190491">
        <w:rPr>
          <w:color w:val="auto"/>
          <w:lang w:val="en-GB"/>
        </w:rPr>
        <w:t>neonates</w:t>
      </w:r>
      <w:r w:rsidR="00377E3F" w:rsidRPr="00190491">
        <w:rPr>
          <w:color w:val="auto"/>
          <w:lang w:val="en-GB"/>
        </w:rPr>
        <w:t xml:space="preserve"> </w:t>
      </w:r>
      <w:r w:rsidR="003C3EFB" w:rsidRPr="00190491">
        <w:rPr>
          <w:color w:val="auto"/>
          <w:lang w:val="en-GB"/>
        </w:rPr>
        <w:t xml:space="preserve">(Guthrie cards) would </w:t>
      </w:r>
      <w:r w:rsidR="00766423" w:rsidRPr="00190491">
        <w:rPr>
          <w:color w:val="auto"/>
          <w:lang w:val="en-GB"/>
        </w:rPr>
        <w:t xml:space="preserve">be similar, </w:t>
      </w:r>
      <w:r w:rsidR="003C3EFB" w:rsidRPr="00190491">
        <w:rPr>
          <w:color w:val="auto"/>
          <w:lang w:val="en-GB"/>
        </w:rPr>
        <w:t xml:space="preserve">as these samples </w:t>
      </w:r>
      <w:r w:rsidR="006F26FB" w:rsidRPr="00190491">
        <w:rPr>
          <w:color w:val="auto"/>
          <w:lang w:val="en-GB"/>
        </w:rPr>
        <w:t xml:space="preserve">were </w:t>
      </w:r>
      <w:r w:rsidR="003C3EFB" w:rsidRPr="00190491">
        <w:rPr>
          <w:color w:val="auto"/>
          <w:lang w:val="en-GB"/>
        </w:rPr>
        <w:t xml:space="preserve">collected soon after birth (within 2-3 days) and the infants </w:t>
      </w:r>
      <w:r w:rsidR="006F26FB" w:rsidRPr="00190491">
        <w:rPr>
          <w:color w:val="auto"/>
          <w:lang w:val="en-GB"/>
        </w:rPr>
        <w:t xml:space="preserve">were </w:t>
      </w:r>
      <w:r w:rsidR="003C3EFB" w:rsidRPr="00190491">
        <w:rPr>
          <w:color w:val="auto"/>
          <w:lang w:val="en-GB"/>
        </w:rPr>
        <w:t xml:space="preserve">likely to have </w:t>
      </w:r>
      <w:r w:rsidR="00160F17" w:rsidRPr="00190491">
        <w:rPr>
          <w:color w:val="auto"/>
          <w:lang w:val="en-GB"/>
        </w:rPr>
        <w:t xml:space="preserve">had </w:t>
      </w:r>
      <w:r w:rsidR="003C3EFB" w:rsidRPr="00190491">
        <w:rPr>
          <w:color w:val="auto"/>
          <w:lang w:val="en-GB"/>
        </w:rPr>
        <w:t xml:space="preserve">minimal or no exposure to breastfeeding. </w:t>
      </w:r>
      <w:r w:rsidR="006967AA" w:rsidRPr="00190491">
        <w:rPr>
          <w:color w:val="auto"/>
          <w:lang w:val="en-GB"/>
        </w:rPr>
        <w:t>As expected, n</w:t>
      </w:r>
      <w:r w:rsidR="006F26FB" w:rsidRPr="00190491">
        <w:rPr>
          <w:color w:val="auto"/>
          <w:lang w:val="en-GB"/>
        </w:rPr>
        <w:t xml:space="preserve">o </w:t>
      </w:r>
      <w:r w:rsidR="003C3EFB" w:rsidRPr="00190491">
        <w:rPr>
          <w:color w:val="auto"/>
          <w:lang w:val="en-GB"/>
        </w:rPr>
        <w:t xml:space="preserve">difference in the medians of the Guthrie beta values for </w:t>
      </w:r>
      <w:r w:rsidR="00160F17" w:rsidRPr="00190491">
        <w:rPr>
          <w:color w:val="auto"/>
          <w:lang w:val="en-GB"/>
        </w:rPr>
        <w:t xml:space="preserve">either </w:t>
      </w:r>
      <w:r w:rsidR="003C3EFB" w:rsidRPr="00190491">
        <w:rPr>
          <w:color w:val="auto"/>
          <w:lang w:val="en-GB"/>
        </w:rPr>
        <w:t>of the CpGs</w:t>
      </w:r>
      <w:r w:rsidR="006F26FB" w:rsidRPr="00190491">
        <w:rPr>
          <w:color w:val="auto"/>
          <w:lang w:val="en-GB"/>
        </w:rPr>
        <w:t xml:space="preserve"> w</w:t>
      </w:r>
      <w:r w:rsidR="006F5D78" w:rsidRPr="00190491">
        <w:rPr>
          <w:color w:val="auto"/>
          <w:lang w:val="en-GB"/>
        </w:rPr>
        <w:t>as</w:t>
      </w:r>
      <w:r w:rsidR="006F26FB" w:rsidRPr="00190491">
        <w:rPr>
          <w:color w:val="auto"/>
          <w:lang w:val="en-GB"/>
        </w:rPr>
        <w:t xml:space="preserve"> observed</w:t>
      </w:r>
      <w:r w:rsidR="003C3EFB" w:rsidRPr="00190491">
        <w:rPr>
          <w:color w:val="auto"/>
          <w:lang w:val="en-GB"/>
        </w:rPr>
        <w:t xml:space="preserve"> (Figure 3, GU). </w:t>
      </w:r>
      <w:r w:rsidR="006967AA" w:rsidRPr="00190491">
        <w:rPr>
          <w:color w:val="auto"/>
          <w:lang w:val="en-GB"/>
        </w:rPr>
        <w:t>However, n</w:t>
      </w:r>
      <w:r w:rsidR="001E2DCF" w:rsidRPr="00190491">
        <w:rPr>
          <w:color w:val="auto"/>
          <w:lang w:val="en-GB"/>
        </w:rPr>
        <w:t xml:space="preserve">o statistically significant differences in </w:t>
      </w:r>
      <w:r w:rsidR="00766423" w:rsidRPr="00190491">
        <w:rPr>
          <w:color w:val="auto"/>
          <w:lang w:val="en-GB"/>
        </w:rPr>
        <w:t>methylation</w:t>
      </w:r>
      <w:r w:rsidR="00620B80" w:rsidRPr="00190491">
        <w:rPr>
          <w:color w:val="auto"/>
          <w:lang w:val="en-GB"/>
        </w:rPr>
        <w:t xml:space="preserve"> levels</w:t>
      </w:r>
      <w:r w:rsidR="00766423" w:rsidRPr="00190491">
        <w:rPr>
          <w:color w:val="auto"/>
          <w:lang w:val="en-GB"/>
        </w:rPr>
        <w:t xml:space="preserve"> </w:t>
      </w:r>
      <w:r w:rsidR="001E2DCF" w:rsidRPr="00190491">
        <w:rPr>
          <w:color w:val="auto"/>
          <w:lang w:val="en-GB"/>
        </w:rPr>
        <w:t xml:space="preserve">were observed </w:t>
      </w:r>
      <w:r w:rsidR="00160F17" w:rsidRPr="00190491">
        <w:rPr>
          <w:color w:val="auto"/>
          <w:lang w:val="en-GB"/>
        </w:rPr>
        <w:t xml:space="preserve">at either </w:t>
      </w:r>
      <w:r w:rsidR="001E2DCF" w:rsidRPr="00190491">
        <w:rPr>
          <w:color w:val="auto"/>
          <w:lang w:val="en-GB"/>
        </w:rPr>
        <w:t xml:space="preserve">18 </w:t>
      </w:r>
      <w:r w:rsidR="00160F17" w:rsidRPr="00190491">
        <w:rPr>
          <w:color w:val="auto"/>
          <w:lang w:val="en-GB"/>
        </w:rPr>
        <w:t xml:space="preserve">or </w:t>
      </w:r>
      <w:r w:rsidR="001E2DCF" w:rsidRPr="00190491">
        <w:rPr>
          <w:color w:val="auto"/>
          <w:lang w:val="en-GB"/>
        </w:rPr>
        <w:t>26 year</w:t>
      </w:r>
      <w:r w:rsidR="00160F17" w:rsidRPr="00190491">
        <w:rPr>
          <w:color w:val="auto"/>
          <w:lang w:val="en-GB"/>
        </w:rPr>
        <w:t>s</w:t>
      </w:r>
      <w:r w:rsidR="006967AA" w:rsidRPr="00190491">
        <w:rPr>
          <w:color w:val="auto"/>
          <w:lang w:val="en-GB"/>
        </w:rPr>
        <w:t>, suggesting that the associations</w:t>
      </w:r>
      <w:r w:rsidR="00517F9F">
        <w:rPr>
          <w:color w:val="auto"/>
          <w:lang w:val="en-GB"/>
        </w:rPr>
        <w:t xml:space="preserve"> identified at age 10</w:t>
      </w:r>
      <w:r w:rsidR="006967AA" w:rsidRPr="00190491">
        <w:rPr>
          <w:color w:val="auto"/>
          <w:lang w:val="en-GB"/>
        </w:rPr>
        <w:t xml:space="preserve"> do not persist into adulthood </w:t>
      </w:r>
      <w:r w:rsidR="001E2DCF" w:rsidRPr="00190491">
        <w:rPr>
          <w:color w:val="auto"/>
          <w:lang w:val="en-GB"/>
        </w:rPr>
        <w:t>(Figure 3, 18YR, 26YR).</w:t>
      </w:r>
    </w:p>
    <w:p w14:paraId="2C44C9DE" w14:textId="77777777" w:rsidR="00935ACF" w:rsidRPr="00190491" w:rsidRDefault="005A2783" w:rsidP="009726D6">
      <w:pPr>
        <w:pStyle w:val="MDPI33textspaceafter"/>
        <w:spacing w:after="0"/>
        <w:rPr>
          <w:color w:val="auto"/>
          <w:lang w:val="en-GB"/>
        </w:rPr>
      </w:pPr>
      <w:r w:rsidRPr="00190491">
        <w:rPr>
          <w:b/>
          <w:bCs/>
          <w:noProof/>
          <w:color w:val="auto"/>
          <w:lang w:val="en-GB" w:eastAsia="en-GB" w:bidi="ar-SA"/>
        </w:rPr>
        <w:drawing>
          <wp:inline distT="0" distB="0" distL="0" distR="0" wp14:anchorId="5CD5625C" wp14:editId="012B58C4">
            <wp:extent cx="5727700" cy="1995805"/>
            <wp:effectExtent l="0" t="0" r="635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1"/>
                    <a:stretch>
                      <a:fillRect/>
                    </a:stretch>
                  </pic:blipFill>
                  <pic:spPr>
                    <a:xfrm>
                      <a:off x="0" y="0"/>
                      <a:ext cx="5727700" cy="1995805"/>
                    </a:xfrm>
                    <a:prstGeom prst="rect">
                      <a:avLst/>
                    </a:prstGeom>
                  </pic:spPr>
                </pic:pic>
              </a:graphicData>
            </a:graphic>
          </wp:inline>
        </w:drawing>
      </w:r>
      <w:r w:rsidRPr="00190491" w:rsidDel="003B4150">
        <w:rPr>
          <w:b/>
          <w:bCs/>
          <w:color w:val="auto"/>
          <w:lang w:val="en-GB"/>
        </w:rPr>
        <w:t xml:space="preserve"> </w:t>
      </w:r>
    </w:p>
    <w:p w14:paraId="66011313" w14:textId="77777777" w:rsidR="00D02AC6" w:rsidRPr="00190491" w:rsidRDefault="003B4150" w:rsidP="00341AD0">
      <w:pPr>
        <w:pStyle w:val="MDPI33textspaceafter"/>
        <w:spacing w:after="0"/>
        <w:rPr>
          <w:color w:val="auto"/>
          <w:lang w:val="en-GB"/>
        </w:rPr>
      </w:pPr>
      <w:r w:rsidRPr="00190491">
        <w:rPr>
          <w:b/>
          <w:bCs/>
          <w:color w:val="auto"/>
          <w:lang w:val="en-GB"/>
        </w:rPr>
        <w:t xml:space="preserve">Figure </w:t>
      </w:r>
      <w:r w:rsidR="005A2783" w:rsidRPr="00190491">
        <w:rPr>
          <w:b/>
          <w:bCs/>
          <w:color w:val="auto"/>
          <w:lang w:val="en-GB"/>
        </w:rPr>
        <w:t>3</w:t>
      </w:r>
      <w:r w:rsidRPr="00190491">
        <w:rPr>
          <w:b/>
          <w:bCs/>
          <w:color w:val="auto"/>
          <w:lang w:val="en-GB"/>
        </w:rPr>
        <w:t>.</w:t>
      </w:r>
      <w:r w:rsidRPr="00190491">
        <w:rPr>
          <w:color w:val="auto"/>
          <w:lang w:val="en-GB"/>
        </w:rPr>
        <w:t xml:space="preserve"> </w:t>
      </w:r>
      <w:r w:rsidR="00812951" w:rsidRPr="00190491">
        <w:rPr>
          <w:color w:val="auto"/>
          <w:lang w:val="en-GB"/>
        </w:rPr>
        <w:t xml:space="preserve">Influence </w:t>
      </w:r>
      <w:r w:rsidRPr="00190491">
        <w:rPr>
          <w:color w:val="auto"/>
          <w:lang w:val="en-GB"/>
        </w:rPr>
        <w:t>of breastfeeding on the distribution of beta values (methylation levels) at cg08188863 (</w:t>
      </w:r>
      <w:r w:rsidRPr="00991D93">
        <w:rPr>
          <w:i/>
          <w:iCs/>
          <w:color w:val="auto"/>
          <w:lang w:val="en-GB"/>
        </w:rPr>
        <w:t>SNX25</w:t>
      </w:r>
      <w:r w:rsidRPr="00190491">
        <w:rPr>
          <w:color w:val="auto"/>
          <w:lang w:val="en-GB"/>
        </w:rPr>
        <w:t xml:space="preserve">) (A) </w:t>
      </w:r>
      <w:r w:rsidR="005A2783" w:rsidRPr="00190491">
        <w:rPr>
          <w:color w:val="auto"/>
          <w:lang w:val="en-GB"/>
        </w:rPr>
        <w:t>and cg03592955 (</w:t>
      </w:r>
      <w:r w:rsidR="005A2783" w:rsidRPr="00991D93">
        <w:rPr>
          <w:i/>
          <w:iCs/>
          <w:color w:val="auto"/>
          <w:lang w:val="en-GB"/>
        </w:rPr>
        <w:t>LINC00840</w:t>
      </w:r>
      <w:r w:rsidR="005A2783" w:rsidRPr="00190491">
        <w:rPr>
          <w:color w:val="auto"/>
          <w:lang w:val="en-GB"/>
        </w:rPr>
        <w:t xml:space="preserve">) </w:t>
      </w:r>
      <w:r w:rsidR="000A243A" w:rsidRPr="00190491">
        <w:rPr>
          <w:color w:val="auto"/>
          <w:lang w:val="en-GB"/>
        </w:rPr>
        <w:t xml:space="preserve">(B) </w:t>
      </w:r>
      <w:r w:rsidRPr="00190491">
        <w:rPr>
          <w:color w:val="auto"/>
          <w:lang w:val="en-GB"/>
        </w:rPr>
        <w:t>from birth to 26 years.</w:t>
      </w:r>
      <w:r w:rsidR="000A243A" w:rsidRPr="00190491">
        <w:rPr>
          <w:color w:val="auto"/>
          <w:lang w:val="en-GB"/>
        </w:rPr>
        <w:t xml:space="preserve"> </w:t>
      </w:r>
      <w:r w:rsidR="00935ACF" w:rsidRPr="00190491">
        <w:rPr>
          <w:color w:val="auto"/>
          <w:lang w:val="en-GB"/>
        </w:rPr>
        <w:t>Box plot</w:t>
      </w:r>
      <w:r w:rsidR="00B16660" w:rsidRPr="00190491">
        <w:rPr>
          <w:color w:val="auto"/>
          <w:lang w:val="en-GB"/>
        </w:rPr>
        <w:t>s</w:t>
      </w:r>
      <w:r w:rsidR="00935ACF" w:rsidRPr="00190491">
        <w:rPr>
          <w:color w:val="auto"/>
          <w:lang w:val="en-GB"/>
        </w:rPr>
        <w:t xml:space="preserve"> </w:t>
      </w:r>
      <w:r w:rsidR="006967AA" w:rsidRPr="00190491">
        <w:rPr>
          <w:color w:val="auto"/>
          <w:lang w:val="en-GB"/>
        </w:rPr>
        <w:t>show the distribution of</w:t>
      </w:r>
      <w:r w:rsidR="00935ACF" w:rsidRPr="00190491">
        <w:rPr>
          <w:color w:val="auto"/>
          <w:lang w:val="en-GB"/>
        </w:rPr>
        <w:t xml:space="preserve"> </w:t>
      </w:r>
      <w:r w:rsidR="00D02AC6" w:rsidRPr="00190491">
        <w:rPr>
          <w:color w:val="auto"/>
          <w:lang w:val="en-GB"/>
        </w:rPr>
        <w:t>be</w:t>
      </w:r>
      <w:r w:rsidR="00F0668A" w:rsidRPr="00190491">
        <w:rPr>
          <w:color w:val="auto"/>
          <w:lang w:val="en-GB"/>
        </w:rPr>
        <w:t>ta valu</w:t>
      </w:r>
      <w:r w:rsidR="00D02AC6" w:rsidRPr="00190491">
        <w:rPr>
          <w:color w:val="auto"/>
          <w:lang w:val="en-GB"/>
        </w:rPr>
        <w:t xml:space="preserve">es </w:t>
      </w:r>
      <w:r w:rsidR="00DC11AC" w:rsidRPr="00190491">
        <w:rPr>
          <w:color w:val="auto"/>
          <w:lang w:val="en-GB"/>
        </w:rPr>
        <w:t xml:space="preserve">measured </w:t>
      </w:r>
      <w:r w:rsidR="005A2783" w:rsidRPr="00190491">
        <w:rPr>
          <w:color w:val="auto"/>
          <w:lang w:val="en-GB"/>
        </w:rPr>
        <w:t xml:space="preserve">from </w:t>
      </w:r>
      <w:r w:rsidR="006967AA" w:rsidRPr="00190491">
        <w:rPr>
          <w:color w:val="auto"/>
          <w:lang w:val="en-GB"/>
        </w:rPr>
        <w:t>neonatal heel prick samples</w:t>
      </w:r>
      <w:r w:rsidR="005A2783" w:rsidRPr="00190491">
        <w:rPr>
          <w:color w:val="auto"/>
          <w:lang w:val="en-GB"/>
        </w:rPr>
        <w:t xml:space="preserve"> </w:t>
      </w:r>
      <w:r w:rsidR="00074A5F" w:rsidRPr="00190491">
        <w:rPr>
          <w:color w:val="auto"/>
          <w:lang w:val="en-GB"/>
        </w:rPr>
        <w:t>(GU)</w:t>
      </w:r>
      <w:r w:rsidR="00DC11AC" w:rsidRPr="00190491">
        <w:rPr>
          <w:color w:val="auto"/>
          <w:lang w:val="en-GB"/>
        </w:rPr>
        <w:t xml:space="preserve"> and</w:t>
      </w:r>
      <w:r w:rsidR="005A2783" w:rsidRPr="00190491">
        <w:rPr>
          <w:color w:val="auto"/>
          <w:lang w:val="en-GB"/>
        </w:rPr>
        <w:t xml:space="preserve"> blood samples collected</w:t>
      </w:r>
      <w:r w:rsidR="00DC11AC" w:rsidRPr="00190491">
        <w:rPr>
          <w:color w:val="auto"/>
          <w:lang w:val="en-GB"/>
        </w:rPr>
        <w:t xml:space="preserve"> at </w:t>
      </w:r>
      <w:r w:rsidR="00935ACF" w:rsidRPr="00190491">
        <w:rPr>
          <w:color w:val="auto"/>
          <w:lang w:val="en-GB"/>
        </w:rPr>
        <w:t>ages 10</w:t>
      </w:r>
      <w:r w:rsidR="00074A5F" w:rsidRPr="00190491">
        <w:rPr>
          <w:color w:val="auto"/>
          <w:lang w:val="en-GB"/>
        </w:rPr>
        <w:t xml:space="preserve"> (10YR)</w:t>
      </w:r>
      <w:r w:rsidR="00935ACF" w:rsidRPr="00190491">
        <w:rPr>
          <w:color w:val="auto"/>
          <w:lang w:val="en-GB"/>
        </w:rPr>
        <w:t xml:space="preserve">, 18 </w:t>
      </w:r>
      <w:r w:rsidR="00074A5F" w:rsidRPr="00190491">
        <w:rPr>
          <w:color w:val="auto"/>
          <w:lang w:val="en-GB"/>
        </w:rPr>
        <w:t xml:space="preserve">(18YR) </w:t>
      </w:r>
      <w:r w:rsidR="00935ACF" w:rsidRPr="00190491">
        <w:rPr>
          <w:color w:val="auto"/>
          <w:lang w:val="en-GB"/>
        </w:rPr>
        <w:t>and 26</w:t>
      </w:r>
      <w:r w:rsidR="00074A5F" w:rsidRPr="00190491">
        <w:rPr>
          <w:color w:val="auto"/>
          <w:lang w:val="en-GB"/>
        </w:rPr>
        <w:t xml:space="preserve"> (26YR)</w:t>
      </w:r>
      <w:r w:rsidR="00935ACF" w:rsidRPr="00190491">
        <w:rPr>
          <w:color w:val="auto"/>
          <w:lang w:val="en-GB"/>
        </w:rPr>
        <w:t xml:space="preserve"> years</w:t>
      </w:r>
      <w:r w:rsidR="00074A5F" w:rsidRPr="00190491">
        <w:rPr>
          <w:color w:val="auto"/>
          <w:lang w:val="en-GB"/>
        </w:rPr>
        <w:t>.</w:t>
      </w:r>
      <w:r w:rsidR="00935ACF" w:rsidRPr="00190491">
        <w:rPr>
          <w:color w:val="auto"/>
          <w:lang w:val="en-GB"/>
        </w:rPr>
        <w:t xml:space="preserve"> </w:t>
      </w:r>
      <w:r w:rsidR="00074A5F" w:rsidRPr="00190491">
        <w:rPr>
          <w:color w:val="auto"/>
          <w:lang w:val="en-GB"/>
        </w:rPr>
        <w:t>At each of the four time points</w:t>
      </w:r>
      <w:r w:rsidR="006967AA" w:rsidRPr="00190491">
        <w:rPr>
          <w:color w:val="auto"/>
          <w:lang w:val="en-GB"/>
        </w:rPr>
        <w:t>,</w:t>
      </w:r>
      <w:r w:rsidR="00074A5F" w:rsidRPr="00190491">
        <w:rPr>
          <w:color w:val="auto"/>
          <w:lang w:val="en-GB"/>
        </w:rPr>
        <w:t xml:space="preserve"> the </w:t>
      </w:r>
      <w:r w:rsidR="008E7345">
        <w:rPr>
          <w:color w:val="auto"/>
          <w:lang w:val="en-GB"/>
        </w:rPr>
        <w:t>medians</w:t>
      </w:r>
      <w:r w:rsidR="008E7345" w:rsidRPr="00190491">
        <w:rPr>
          <w:color w:val="auto"/>
          <w:lang w:val="en-GB"/>
        </w:rPr>
        <w:t xml:space="preserve"> </w:t>
      </w:r>
      <w:r w:rsidR="00074A5F" w:rsidRPr="00190491">
        <w:rPr>
          <w:color w:val="auto"/>
          <w:lang w:val="en-GB"/>
        </w:rPr>
        <w:t xml:space="preserve">of the </w:t>
      </w:r>
      <w:r w:rsidR="006967AA" w:rsidRPr="00190491">
        <w:rPr>
          <w:color w:val="auto"/>
          <w:lang w:val="en-GB"/>
        </w:rPr>
        <w:t>beta values</w:t>
      </w:r>
      <w:r w:rsidR="00074A5F" w:rsidRPr="00190491">
        <w:rPr>
          <w:color w:val="auto"/>
          <w:lang w:val="en-GB"/>
        </w:rPr>
        <w:t xml:space="preserve"> </w:t>
      </w:r>
      <w:r w:rsidR="006967AA" w:rsidRPr="00190491">
        <w:rPr>
          <w:color w:val="auto"/>
          <w:lang w:val="en-GB"/>
        </w:rPr>
        <w:t>for</w:t>
      </w:r>
      <w:r w:rsidR="00935ACF" w:rsidRPr="00190491">
        <w:rPr>
          <w:color w:val="auto"/>
          <w:lang w:val="en-GB"/>
        </w:rPr>
        <w:t xml:space="preserve"> breastfed </w:t>
      </w:r>
      <w:r w:rsidR="00074A5F" w:rsidRPr="00190491">
        <w:rPr>
          <w:color w:val="auto"/>
          <w:lang w:val="en-GB"/>
        </w:rPr>
        <w:t>for greater than 6 months (&gt;6m)</w:t>
      </w:r>
      <w:r w:rsidR="006967AA" w:rsidRPr="00190491">
        <w:rPr>
          <w:color w:val="auto"/>
          <w:lang w:val="en-GB"/>
        </w:rPr>
        <w:t xml:space="preserve"> and </w:t>
      </w:r>
      <w:r w:rsidR="00B97392" w:rsidRPr="00190491">
        <w:rPr>
          <w:color w:val="auto"/>
          <w:lang w:val="en-GB"/>
        </w:rPr>
        <w:t xml:space="preserve">never </w:t>
      </w:r>
      <w:r w:rsidR="006967AA" w:rsidRPr="00190491">
        <w:rPr>
          <w:color w:val="auto"/>
          <w:lang w:val="en-GB"/>
        </w:rPr>
        <w:t>breastfed (No) participants were compared</w:t>
      </w:r>
      <w:r w:rsidR="00B97392" w:rsidRPr="00190491">
        <w:rPr>
          <w:color w:val="auto"/>
          <w:lang w:val="en-GB"/>
        </w:rPr>
        <w:t>. Wilcoxon Rank</w:t>
      </w:r>
      <w:r w:rsidR="008E7345">
        <w:rPr>
          <w:color w:val="auto"/>
          <w:lang w:val="en-GB"/>
        </w:rPr>
        <w:t xml:space="preserve"> S</w:t>
      </w:r>
      <w:r w:rsidR="008E7345" w:rsidRPr="00190491">
        <w:rPr>
          <w:color w:val="auto"/>
          <w:lang w:val="en-GB"/>
        </w:rPr>
        <w:t xml:space="preserve">um </w:t>
      </w:r>
      <w:r w:rsidR="00B97392" w:rsidRPr="00190491">
        <w:rPr>
          <w:color w:val="auto"/>
          <w:lang w:val="en-GB"/>
        </w:rPr>
        <w:t>p-values are reported</w:t>
      </w:r>
      <w:r w:rsidR="006967AA" w:rsidRPr="00190491">
        <w:rPr>
          <w:color w:val="auto"/>
          <w:lang w:val="en-GB"/>
        </w:rPr>
        <w:t>.</w:t>
      </w:r>
      <w:r w:rsidR="00074A5F" w:rsidRPr="00190491">
        <w:rPr>
          <w:color w:val="auto"/>
          <w:lang w:val="en-GB"/>
        </w:rPr>
        <w:t xml:space="preserve"> </w:t>
      </w:r>
      <w:r w:rsidR="00B97392" w:rsidRPr="00190491">
        <w:rPr>
          <w:color w:val="auto"/>
          <w:lang w:val="en-GB"/>
        </w:rPr>
        <w:t xml:space="preserve">Sample size for the analysis for breastfed &gt;6 months and never breastfed, respectively - </w:t>
      </w:r>
      <w:r w:rsidR="00D02AC6" w:rsidRPr="00190491">
        <w:rPr>
          <w:color w:val="auto"/>
          <w:lang w:val="en-GB"/>
        </w:rPr>
        <w:t xml:space="preserve">GU: </w:t>
      </w:r>
      <w:r w:rsidR="00935ACF" w:rsidRPr="00190491">
        <w:rPr>
          <w:color w:val="auto"/>
          <w:lang w:val="en-GB"/>
        </w:rPr>
        <w:t xml:space="preserve"> </w:t>
      </w:r>
      <w:r w:rsidR="00D02AC6" w:rsidRPr="00190491">
        <w:rPr>
          <w:color w:val="auto"/>
          <w:lang w:val="en-GB"/>
        </w:rPr>
        <w:t xml:space="preserve">65 vs 59; 10YR: 101 vs 83; 18YR: 29 vs 22; </w:t>
      </w:r>
      <w:r w:rsidR="00E56DB9" w:rsidRPr="00190491">
        <w:rPr>
          <w:color w:val="auto"/>
          <w:lang w:val="en-GB"/>
        </w:rPr>
        <w:t xml:space="preserve">26YR: </w:t>
      </w:r>
      <w:r w:rsidR="00D02AC6" w:rsidRPr="00190491">
        <w:rPr>
          <w:color w:val="auto"/>
          <w:lang w:val="en-GB"/>
        </w:rPr>
        <w:t>50 vs 35</w:t>
      </w:r>
      <w:r w:rsidR="00B97392" w:rsidRPr="00190491">
        <w:rPr>
          <w:color w:val="auto"/>
          <w:lang w:val="en-GB"/>
        </w:rPr>
        <w:t>.</w:t>
      </w:r>
      <w:r w:rsidR="00D02AC6" w:rsidRPr="00190491">
        <w:rPr>
          <w:color w:val="auto"/>
          <w:lang w:val="en-GB"/>
        </w:rPr>
        <w:t xml:space="preserve"> NS: not significant; *** indicates p-value &lt; 0.001</w:t>
      </w:r>
      <w:r w:rsidR="00B97392" w:rsidRPr="00190491">
        <w:rPr>
          <w:color w:val="auto"/>
          <w:lang w:val="en-GB"/>
        </w:rPr>
        <w:t xml:space="preserve"> and ** indicates p-value &lt;0.01</w:t>
      </w:r>
      <w:r w:rsidR="00D02AC6" w:rsidRPr="00190491">
        <w:rPr>
          <w:color w:val="auto"/>
          <w:lang w:val="en-GB"/>
        </w:rPr>
        <w:t>.</w:t>
      </w:r>
    </w:p>
    <w:p w14:paraId="5245C067" w14:textId="77777777" w:rsidR="00935ACF" w:rsidRPr="009E6C5C" w:rsidRDefault="009E6C5C" w:rsidP="009E6C5C">
      <w:pPr>
        <w:pStyle w:val="MDPI22heading2"/>
        <w:rPr>
          <w:lang w:val="en-GB"/>
        </w:rPr>
      </w:pPr>
      <w:r>
        <w:rPr>
          <w:lang w:val="en-GB"/>
        </w:rPr>
        <w:t xml:space="preserve">3.4. </w:t>
      </w:r>
      <w:r w:rsidR="00935ACF" w:rsidRPr="009E6C5C">
        <w:rPr>
          <w:lang w:val="en-GB"/>
        </w:rPr>
        <w:t xml:space="preserve">EWAS of exclusive breastfeeding duration and DNAm </w:t>
      </w:r>
    </w:p>
    <w:p w14:paraId="58F31CF6" w14:textId="77777777" w:rsidR="00FB46D3" w:rsidRPr="00190491" w:rsidRDefault="00935ACF" w:rsidP="009E6C5C">
      <w:pPr>
        <w:pStyle w:val="MDPI31text"/>
        <w:rPr>
          <w:lang w:val="en-GB"/>
        </w:rPr>
      </w:pPr>
      <w:r w:rsidRPr="00190491">
        <w:rPr>
          <w:lang w:val="en-GB"/>
        </w:rPr>
        <w:t>Both differentially methylated CpGs (cg08188863 and cg03592955) identified from the primary analysis</w:t>
      </w:r>
      <w:r w:rsidR="00311C11" w:rsidRPr="00190491">
        <w:rPr>
          <w:lang w:val="en-GB"/>
        </w:rPr>
        <w:t xml:space="preserve"> in this study</w:t>
      </w:r>
      <w:r w:rsidRPr="00190491">
        <w:rPr>
          <w:lang w:val="en-GB"/>
        </w:rPr>
        <w:t xml:space="preserve"> remained statistically significant</w:t>
      </w:r>
      <w:r w:rsidR="00311C11" w:rsidRPr="00190491">
        <w:rPr>
          <w:lang w:val="en-GB"/>
        </w:rPr>
        <w:t xml:space="preserve"> </w:t>
      </w:r>
      <w:r w:rsidRPr="00190491">
        <w:rPr>
          <w:lang w:val="en-GB"/>
        </w:rPr>
        <w:t xml:space="preserve">with the more stringent exposure of exclusive breastfeeding </w:t>
      </w:r>
      <w:r w:rsidR="00B97392" w:rsidRPr="00190491">
        <w:rPr>
          <w:lang w:val="en-GB"/>
        </w:rPr>
        <w:t xml:space="preserve">over </w:t>
      </w:r>
      <w:r w:rsidR="00E94FF8" w:rsidRPr="00190491">
        <w:rPr>
          <w:lang w:val="en-GB"/>
        </w:rPr>
        <w:t xml:space="preserve">a shorter </w:t>
      </w:r>
      <w:r w:rsidRPr="00190491">
        <w:rPr>
          <w:lang w:val="en-GB"/>
        </w:rPr>
        <w:t>duration</w:t>
      </w:r>
      <w:r w:rsidR="0020476B" w:rsidRPr="00190491">
        <w:rPr>
          <w:lang w:val="en-GB"/>
        </w:rPr>
        <w:t xml:space="preserve"> </w:t>
      </w:r>
      <w:r w:rsidR="00E94FF8" w:rsidRPr="00190491">
        <w:rPr>
          <w:lang w:val="en-GB"/>
        </w:rPr>
        <w:t>(</w:t>
      </w:r>
      <w:r w:rsidRPr="00190491">
        <w:rPr>
          <w:lang w:val="en-GB"/>
        </w:rPr>
        <w:t>&gt;3 months</w:t>
      </w:r>
      <w:r w:rsidR="00E94FF8" w:rsidRPr="00190491">
        <w:rPr>
          <w:lang w:val="en-GB"/>
        </w:rPr>
        <w:t>,</w:t>
      </w:r>
      <w:r w:rsidRPr="00190491">
        <w:rPr>
          <w:lang w:val="en-GB"/>
        </w:rPr>
        <w:t xml:space="preserve"> Table 4).</w:t>
      </w:r>
    </w:p>
    <w:p w14:paraId="01AAF8A4" w14:textId="77777777" w:rsidR="00935ACF" w:rsidRPr="00190491" w:rsidRDefault="009E6C5C" w:rsidP="009E6C5C">
      <w:pPr>
        <w:pStyle w:val="MDPI41tablecaption"/>
        <w:rPr>
          <w:lang w:val="en-GB"/>
        </w:rPr>
      </w:pPr>
      <w:r w:rsidRPr="009E6C5C">
        <w:rPr>
          <w:b/>
          <w:bCs/>
          <w:lang w:val="en-GB"/>
        </w:rPr>
        <w:t xml:space="preserve">Table 4. </w:t>
      </w:r>
      <w:r w:rsidR="00935ACF" w:rsidRPr="00190491">
        <w:rPr>
          <w:lang w:val="en-GB"/>
        </w:rPr>
        <w:t>Exclusive breastfeeding duration &gt;3 months vs DNAm at cg03592955 and cg08188863 at 10 years.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072"/>
        <w:gridCol w:w="1175"/>
        <w:gridCol w:w="1330"/>
        <w:gridCol w:w="1418"/>
        <w:gridCol w:w="992"/>
        <w:gridCol w:w="1134"/>
      </w:tblGrid>
      <w:tr w:rsidR="00935ACF" w:rsidRPr="009E6C5C" w14:paraId="1D1616F5" w14:textId="77777777" w:rsidTr="009E6C5C">
        <w:trPr>
          <w:jc w:val="center"/>
        </w:trPr>
        <w:tc>
          <w:tcPr>
            <w:tcW w:w="1276" w:type="dxa"/>
            <w:tcBorders>
              <w:top w:val="single" w:sz="8" w:space="0" w:color="auto"/>
              <w:left w:val="nil"/>
              <w:bottom w:val="single" w:sz="4" w:space="0" w:color="auto"/>
              <w:right w:val="nil"/>
            </w:tcBorders>
            <w:shd w:val="clear" w:color="auto" w:fill="auto"/>
            <w:vAlign w:val="center"/>
            <w:hideMark/>
          </w:tcPr>
          <w:p w14:paraId="171154F1" w14:textId="77777777" w:rsidR="00935ACF" w:rsidRPr="009E6C5C" w:rsidRDefault="00E94FF8" w:rsidP="009E6C5C">
            <w:pPr>
              <w:pStyle w:val="MDPI31text"/>
              <w:autoSpaceDE w:val="0"/>
              <w:autoSpaceDN w:val="0"/>
              <w:spacing w:line="240" w:lineRule="auto"/>
              <w:ind w:firstLine="0"/>
              <w:jc w:val="center"/>
              <w:rPr>
                <w:b/>
                <w:color w:val="auto"/>
                <w:sz w:val="18"/>
                <w:szCs w:val="20"/>
                <w:lang w:val="en-GB"/>
              </w:rPr>
            </w:pPr>
            <w:r w:rsidRPr="009E6C5C">
              <w:rPr>
                <w:b/>
                <w:color w:val="auto"/>
                <w:sz w:val="18"/>
                <w:szCs w:val="20"/>
                <w:lang w:val="en-GB"/>
              </w:rPr>
              <w:t xml:space="preserve">CpG </w:t>
            </w:r>
          </w:p>
        </w:tc>
        <w:tc>
          <w:tcPr>
            <w:tcW w:w="1072" w:type="dxa"/>
            <w:tcBorders>
              <w:top w:val="single" w:sz="8" w:space="0" w:color="auto"/>
              <w:left w:val="nil"/>
              <w:bottom w:val="single" w:sz="4" w:space="0" w:color="auto"/>
              <w:right w:val="nil"/>
            </w:tcBorders>
            <w:shd w:val="clear" w:color="auto" w:fill="auto"/>
            <w:vAlign w:val="center"/>
            <w:hideMark/>
          </w:tcPr>
          <w:p w14:paraId="0EF45F39" w14:textId="77777777" w:rsidR="00935ACF" w:rsidRPr="009E6C5C" w:rsidRDefault="00935ACF" w:rsidP="009E6C5C">
            <w:pPr>
              <w:pStyle w:val="MDPI31text"/>
              <w:autoSpaceDE w:val="0"/>
              <w:autoSpaceDN w:val="0"/>
              <w:spacing w:line="240" w:lineRule="auto"/>
              <w:ind w:firstLine="0"/>
              <w:jc w:val="center"/>
              <w:rPr>
                <w:b/>
                <w:color w:val="auto"/>
                <w:sz w:val="18"/>
                <w:szCs w:val="20"/>
                <w:lang w:val="en-GB"/>
              </w:rPr>
            </w:pPr>
            <w:r w:rsidRPr="009E6C5C">
              <w:rPr>
                <w:b/>
                <w:color w:val="auto"/>
                <w:sz w:val="18"/>
                <w:szCs w:val="20"/>
                <w:lang w:val="en-GB"/>
              </w:rPr>
              <w:t>Chr</w:t>
            </w:r>
          </w:p>
        </w:tc>
        <w:tc>
          <w:tcPr>
            <w:tcW w:w="1175" w:type="dxa"/>
            <w:tcBorders>
              <w:top w:val="single" w:sz="8" w:space="0" w:color="auto"/>
              <w:left w:val="nil"/>
              <w:bottom w:val="single" w:sz="4" w:space="0" w:color="auto"/>
              <w:right w:val="nil"/>
            </w:tcBorders>
            <w:shd w:val="clear" w:color="auto" w:fill="auto"/>
            <w:vAlign w:val="center"/>
            <w:hideMark/>
          </w:tcPr>
          <w:p w14:paraId="4FF5C4A1" w14:textId="77777777" w:rsidR="00935ACF" w:rsidRPr="009E6C5C" w:rsidRDefault="00935ACF" w:rsidP="009E6C5C">
            <w:pPr>
              <w:pStyle w:val="MDPI31text"/>
              <w:autoSpaceDE w:val="0"/>
              <w:autoSpaceDN w:val="0"/>
              <w:spacing w:line="240" w:lineRule="auto"/>
              <w:ind w:firstLine="0"/>
              <w:jc w:val="center"/>
              <w:rPr>
                <w:b/>
                <w:color w:val="auto"/>
                <w:sz w:val="18"/>
                <w:szCs w:val="20"/>
                <w:lang w:val="en-GB"/>
              </w:rPr>
            </w:pPr>
            <w:r w:rsidRPr="009E6C5C">
              <w:rPr>
                <w:b/>
                <w:color w:val="auto"/>
                <w:sz w:val="18"/>
                <w:szCs w:val="20"/>
                <w:lang w:val="en-GB"/>
              </w:rPr>
              <w:t>Map info</w:t>
            </w:r>
          </w:p>
        </w:tc>
        <w:tc>
          <w:tcPr>
            <w:tcW w:w="1330" w:type="dxa"/>
            <w:tcBorders>
              <w:top w:val="single" w:sz="8" w:space="0" w:color="auto"/>
              <w:left w:val="nil"/>
              <w:bottom w:val="single" w:sz="4" w:space="0" w:color="auto"/>
              <w:right w:val="nil"/>
            </w:tcBorders>
            <w:shd w:val="clear" w:color="auto" w:fill="auto"/>
            <w:vAlign w:val="center"/>
            <w:hideMark/>
          </w:tcPr>
          <w:p w14:paraId="228533CD" w14:textId="77777777" w:rsidR="00935ACF" w:rsidRPr="009E6C5C" w:rsidRDefault="00935ACF" w:rsidP="009E6C5C">
            <w:pPr>
              <w:pStyle w:val="MDPI31text"/>
              <w:autoSpaceDE w:val="0"/>
              <w:autoSpaceDN w:val="0"/>
              <w:spacing w:line="240" w:lineRule="auto"/>
              <w:ind w:firstLine="0"/>
              <w:jc w:val="center"/>
              <w:rPr>
                <w:b/>
                <w:color w:val="auto"/>
                <w:sz w:val="18"/>
                <w:szCs w:val="20"/>
                <w:lang w:val="en-GB"/>
              </w:rPr>
            </w:pPr>
            <w:r w:rsidRPr="009E6C5C">
              <w:rPr>
                <w:b/>
                <w:color w:val="auto"/>
                <w:sz w:val="18"/>
                <w:szCs w:val="20"/>
                <w:lang w:val="en-GB"/>
              </w:rPr>
              <w:t>UCSC Gene name</w:t>
            </w:r>
          </w:p>
        </w:tc>
        <w:tc>
          <w:tcPr>
            <w:tcW w:w="1418" w:type="dxa"/>
            <w:tcBorders>
              <w:top w:val="single" w:sz="8" w:space="0" w:color="auto"/>
              <w:left w:val="nil"/>
              <w:bottom w:val="single" w:sz="4" w:space="0" w:color="auto"/>
              <w:right w:val="nil"/>
            </w:tcBorders>
            <w:shd w:val="clear" w:color="auto" w:fill="auto"/>
            <w:vAlign w:val="center"/>
            <w:hideMark/>
          </w:tcPr>
          <w:p w14:paraId="6B20F4BF" w14:textId="77777777" w:rsidR="00935ACF" w:rsidRPr="009E6C5C" w:rsidRDefault="00935ACF" w:rsidP="009E6C5C">
            <w:pPr>
              <w:pStyle w:val="MDPI31text"/>
              <w:autoSpaceDE w:val="0"/>
              <w:autoSpaceDN w:val="0"/>
              <w:spacing w:line="240" w:lineRule="auto"/>
              <w:ind w:firstLine="0"/>
              <w:jc w:val="center"/>
              <w:rPr>
                <w:b/>
                <w:color w:val="auto"/>
                <w:sz w:val="18"/>
                <w:szCs w:val="20"/>
                <w:lang w:val="en-GB"/>
              </w:rPr>
            </w:pPr>
            <w:r w:rsidRPr="009E6C5C">
              <w:rPr>
                <w:b/>
                <w:color w:val="auto"/>
                <w:sz w:val="18"/>
                <w:szCs w:val="20"/>
                <w:lang w:val="en-GB"/>
              </w:rPr>
              <w:t>Beta</w:t>
            </w:r>
          </w:p>
        </w:tc>
        <w:tc>
          <w:tcPr>
            <w:tcW w:w="992" w:type="dxa"/>
            <w:tcBorders>
              <w:top w:val="single" w:sz="8" w:space="0" w:color="auto"/>
              <w:left w:val="nil"/>
              <w:bottom w:val="single" w:sz="4" w:space="0" w:color="auto"/>
              <w:right w:val="nil"/>
            </w:tcBorders>
            <w:shd w:val="clear" w:color="auto" w:fill="auto"/>
            <w:vAlign w:val="center"/>
            <w:hideMark/>
          </w:tcPr>
          <w:p w14:paraId="6A5A22D8" w14:textId="77777777" w:rsidR="00935ACF" w:rsidRPr="009E6C5C" w:rsidRDefault="00935ACF" w:rsidP="009E6C5C">
            <w:pPr>
              <w:pStyle w:val="MDPI31text"/>
              <w:autoSpaceDE w:val="0"/>
              <w:autoSpaceDN w:val="0"/>
              <w:spacing w:line="240" w:lineRule="auto"/>
              <w:ind w:firstLine="0"/>
              <w:jc w:val="center"/>
              <w:rPr>
                <w:b/>
                <w:color w:val="auto"/>
                <w:sz w:val="18"/>
                <w:szCs w:val="20"/>
                <w:lang w:val="en-GB"/>
              </w:rPr>
            </w:pPr>
            <w:r w:rsidRPr="009E6C5C">
              <w:rPr>
                <w:b/>
                <w:color w:val="auto"/>
                <w:sz w:val="18"/>
                <w:szCs w:val="20"/>
                <w:lang w:val="en-GB"/>
              </w:rPr>
              <w:t>SE</w:t>
            </w:r>
          </w:p>
        </w:tc>
        <w:tc>
          <w:tcPr>
            <w:tcW w:w="1134" w:type="dxa"/>
            <w:tcBorders>
              <w:top w:val="single" w:sz="8" w:space="0" w:color="auto"/>
              <w:left w:val="nil"/>
              <w:bottom w:val="single" w:sz="4" w:space="0" w:color="auto"/>
              <w:right w:val="nil"/>
            </w:tcBorders>
            <w:shd w:val="clear" w:color="auto" w:fill="auto"/>
            <w:vAlign w:val="center"/>
            <w:hideMark/>
          </w:tcPr>
          <w:p w14:paraId="1EF7A232" w14:textId="77777777" w:rsidR="00935ACF" w:rsidRPr="009E6C5C" w:rsidRDefault="00935ACF" w:rsidP="009E6C5C">
            <w:pPr>
              <w:pStyle w:val="MDPI31text"/>
              <w:autoSpaceDE w:val="0"/>
              <w:autoSpaceDN w:val="0"/>
              <w:spacing w:line="240" w:lineRule="auto"/>
              <w:ind w:firstLine="0"/>
              <w:jc w:val="center"/>
              <w:rPr>
                <w:b/>
                <w:color w:val="auto"/>
                <w:sz w:val="18"/>
                <w:szCs w:val="20"/>
                <w:lang w:val="en-GB"/>
              </w:rPr>
            </w:pPr>
            <w:r w:rsidRPr="009E6C5C">
              <w:rPr>
                <w:b/>
                <w:color w:val="auto"/>
                <w:sz w:val="18"/>
                <w:szCs w:val="20"/>
                <w:lang w:val="en-GB"/>
              </w:rPr>
              <w:t>p-value</w:t>
            </w:r>
            <w:r w:rsidR="00311C11" w:rsidRPr="009E6C5C">
              <w:rPr>
                <w:b/>
                <w:color w:val="auto"/>
                <w:sz w:val="18"/>
                <w:szCs w:val="24"/>
                <w:lang w:val="en-GB"/>
              </w:rPr>
              <w:t>*</w:t>
            </w:r>
          </w:p>
        </w:tc>
      </w:tr>
      <w:tr w:rsidR="00935ACF" w:rsidRPr="009E6C5C" w14:paraId="198A020A" w14:textId="77777777" w:rsidTr="009E6C5C">
        <w:trPr>
          <w:jc w:val="center"/>
        </w:trPr>
        <w:tc>
          <w:tcPr>
            <w:tcW w:w="1276" w:type="dxa"/>
            <w:tcBorders>
              <w:top w:val="single" w:sz="4" w:space="0" w:color="auto"/>
              <w:left w:val="nil"/>
              <w:bottom w:val="nil"/>
              <w:right w:val="nil"/>
            </w:tcBorders>
            <w:shd w:val="clear" w:color="auto" w:fill="auto"/>
            <w:vAlign w:val="center"/>
            <w:hideMark/>
          </w:tcPr>
          <w:p w14:paraId="737B70B8" w14:textId="77777777" w:rsidR="00935ACF" w:rsidRPr="009E6C5C" w:rsidRDefault="00935ACF" w:rsidP="009E6C5C">
            <w:pPr>
              <w:pStyle w:val="MDPI31text"/>
              <w:autoSpaceDE w:val="0"/>
              <w:autoSpaceDN w:val="0"/>
              <w:spacing w:line="240" w:lineRule="auto"/>
              <w:ind w:firstLine="0"/>
              <w:jc w:val="center"/>
              <w:rPr>
                <w:color w:val="auto"/>
                <w:sz w:val="18"/>
                <w:szCs w:val="20"/>
                <w:lang w:val="en-GB"/>
              </w:rPr>
            </w:pPr>
            <w:r w:rsidRPr="009E6C5C">
              <w:rPr>
                <w:rFonts w:cs="Calibri"/>
                <w:color w:val="auto"/>
                <w:sz w:val="18"/>
                <w:szCs w:val="20"/>
                <w:lang w:val="en-GB"/>
              </w:rPr>
              <w:t>cg03592955</w:t>
            </w:r>
          </w:p>
        </w:tc>
        <w:tc>
          <w:tcPr>
            <w:tcW w:w="1072" w:type="dxa"/>
            <w:tcBorders>
              <w:top w:val="single" w:sz="4" w:space="0" w:color="auto"/>
              <w:left w:val="nil"/>
              <w:bottom w:val="nil"/>
              <w:right w:val="nil"/>
            </w:tcBorders>
            <w:shd w:val="clear" w:color="auto" w:fill="auto"/>
            <w:vAlign w:val="center"/>
            <w:hideMark/>
          </w:tcPr>
          <w:p w14:paraId="61A03A21" w14:textId="77777777" w:rsidR="00935ACF" w:rsidRPr="009E6C5C" w:rsidRDefault="00935ACF" w:rsidP="009E6C5C">
            <w:pPr>
              <w:pStyle w:val="MDPI31text"/>
              <w:autoSpaceDE w:val="0"/>
              <w:autoSpaceDN w:val="0"/>
              <w:spacing w:line="240" w:lineRule="auto"/>
              <w:ind w:firstLine="0"/>
              <w:jc w:val="center"/>
              <w:rPr>
                <w:color w:val="auto"/>
                <w:sz w:val="18"/>
                <w:szCs w:val="20"/>
                <w:lang w:val="en-GB"/>
              </w:rPr>
            </w:pPr>
            <w:r w:rsidRPr="009E6C5C">
              <w:rPr>
                <w:rFonts w:cs="Calibri"/>
                <w:color w:val="auto"/>
                <w:sz w:val="18"/>
                <w:szCs w:val="20"/>
                <w:lang w:val="en-GB"/>
              </w:rPr>
              <w:t>10</w:t>
            </w:r>
          </w:p>
        </w:tc>
        <w:tc>
          <w:tcPr>
            <w:tcW w:w="1175" w:type="dxa"/>
            <w:tcBorders>
              <w:top w:val="single" w:sz="4" w:space="0" w:color="auto"/>
              <w:left w:val="nil"/>
              <w:bottom w:val="nil"/>
              <w:right w:val="nil"/>
            </w:tcBorders>
            <w:shd w:val="clear" w:color="auto" w:fill="auto"/>
            <w:vAlign w:val="center"/>
            <w:hideMark/>
          </w:tcPr>
          <w:p w14:paraId="5AE2E46B" w14:textId="77777777" w:rsidR="00935ACF" w:rsidRPr="009E6C5C" w:rsidRDefault="00935ACF" w:rsidP="009E6C5C">
            <w:pPr>
              <w:pStyle w:val="MDPI31text"/>
              <w:autoSpaceDE w:val="0"/>
              <w:autoSpaceDN w:val="0"/>
              <w:spacing w:line="240" w:lineRule="auto"/>
              <w:ind w:firstLine="0"/>
              <w:jc w:val="center"/>
              <w:rPr>
                <w:color w:val="auto"/>
                <w:sz w:val="18"/>
                <w:szCs w:val="20"/>
                <w:lang w:val="en-GB"/>
              </w:rPr>
            </w:pPr>
            <w:r w:rsidRPr="009E6C5C">
              <w:rPr>
                <w:rFonts w:cs="Calibri"/>
                <w:color w:val="auto"/>
                <w:sz w:val="18"/>
                <w:szCs w:val="20"/>
                <w:lang w:val="en-GB"/>
              </w:rPr>
              <w:t>44373919</w:t>
            </w:r>
          </w:p>
        </w:tc>
        <w:tc>
          <w:tcPr>
            <w:tcW w:w="1330" w:type="dxa"/>
            <w:tcBorders>
              <w:top w:val="single" w:sz="4" w:space="0" w:color="auto"/>
              <w:left w:val="nil"/>
              <w:bottom w:val="nil"/>
              <w:right w:val="nil"/>
            </w:tcBorders>
            <w:shd w:val="clear" w:color="auto" w:fill="auto"/>
            <w:vAlign w:val="center"/>
            <w:hideMark/>
          </w:tcPr>
          <w:p w14:paraId="4D61D44E" w14:textId="77777777" w:rsidR="00935ACF" w:rsidRPr="00991D93" w:rsidRDefault="00935ACF" w:rsidP="009E6C5C">
            <w:pPr>
              <w:pStyle w:val="MDPI31text"/>
              <w:autoSpaceDE w:val="0"/>
              <w:autoSpaceDN w:val="0"/>
              <w:spacing w:line="240" w:lineRule="auto"/>
              <w:ind w:firstLine="0"/>
              <w:jc w:val="center"/>
              <w:rPr>
                <w:i/>
                <w:iCs/>
                <w:color w:val="auto"/>
                <w:sz w:val="18"/>
                <w:szCs w:val="20"/>
                <w:lang w:val="en-GB"/>
              </w:rPr>
            </w:pPr>
            <w:r w:rsidRPr="00991D93">
              <w:rPr>
                <w:rFonts w:cs="Calibri"/>
                <w:i/>
                <w:iCs/>
                <w:color w:val="auto"/>
                <w:sz w:val="18"/>
                <w:szCs w:val="20"/>
                <w:lang w:val="en-GB"/>
              </w:rPr>
              <w:t>LINC00840</w:t>
            </w:r>
          </w:p>
        </w:tc>
        <w:tc>
          <w:tcPr>
            <w:tcW w:w="1418" w:type="dxa"/>
            <w:tcBorders>
              <w:top w:val="single" w:sz="4" w:space="0" w:color="auto"/>
              <w:left w:val="nil"/>
              <w:bottom w:val="nil"/>
              <w:right w:val="nil"/>
            </w:tcBorders>
            <w:shd w:val="clear" w:color="auto" w:fill="auto"/>
            <w:vAlign w:val="center"/>
            <w:hideMark/>
          </w:tcPr>
          <w:p w14:paraId="3D1AA2B5" w14:textId="77777777" w:rsidR="00935ACF" w:rsidRPr="009E6C5C" w:rsidRDefault="00935ACF" w:rsidP="009E6C5C">
            <w:pPr>
              <w:pStyle w:val="MDPI31text"/>
              <w:autoSpaceDE w:val="0"/>
              <w:autoSpaceDN w:val="0"/>
              <w:spacing w:line="240" w:lineRule="auto"/>
              <w:ind w:firstLine="0"/>
              <w:jc w:val="center"/>
              <w:rPr>
                <w:color w:val="auto"/>
                <w:sz w:val="18"/>
                <w:szCs w:val="20"/>
                <w:lang w:val="en-GB"/>
              </w:rPr>
            </w:pPr>
            <w:r w:rsidRPr="009E6C5C">
              <w:rPr>
                <w:rFonts w:cs="Calibri"/>
                <w:color w:val="auto"/>
                <w:sz w:val="18"/>
                <w:szCs w:val="20"/>
                <w:lang w:val="en-GB"/>
              </w:rPr>
              <w:t>-0.019</w:t>
            </w:r>
          </w:p>
        </w:tc>
        <w:tc>
          <w:tcPr>
            <w:tcW w:w="992" w:type="dxa"/>
            <w:tcBorders>
              <w:top w:val="single" w:sz="4" w:space="0" w:color="auto"/>
              <w:left w:val="nil"/>
              <w:bottom w:val="nil"/>
              <w:right w:val="nil"/>
            </w:tcBorders>
            <w:shd w:val="clear" w:color="auto" w:fill="auto"/>
            <w:vAlign w:val="center"/>
            <w:hideMark/>
          </w:tcPr>
          <w:p w14:paraId="41E0C296" w14:textId="77777777" w:rsidR="00935ACF" w:rsidRPr="009E6C5C" w:rsidRDefault="00935ACF" w:rsidP="009E6C5C">
            <w:pPr>
              <w:pStyle w:val="MDPI31text"/>
              <w:autoSpaceDE w:val="0"/>
              <w:autoSpaceDN w:val="0"/>
              <w:spacing w:line="240" w:lineRule="auto"/>
              <w:ind w:firstLine="0"/>
              <w:jc w:val="center"/>
              <w:rPr>
                <w:color w:val="auto"/>
                <w:sz w:val="18"/>
                <w:szCs w:val="20"/>
                <w:lang w:val="en-GB"/>
              </w:rPr>
            </w:pPr>
            <w:r w:rsidRPr="009E6C5C">
              <w:rPr>
                <w:rFonts w:cs="Calibri"/>
                <w:color w:val="auto"/>
                <w:sz w:val="18"/>
                <w:szCs w:val="20"/>
                <w:lang w:val="en-GB"/>
              </w:rPr>
              <w:t>0.006</w:t>
            </w:r>
          </w:p>
        </w:tc>
        <w:tc>
          <w:tcPr>
            <w:tcW w:w="1134" w:type="dxa"/>
            <w:tcBorders>
              <w:top w:val="single" w:sz="4" w:space="0" w:color="auto"/>
              <w:left w:val="nil"/>
              <w:bottom w:val="nil"/>
              <w:right w:val="nil"/>
            </w:tcBorders>
            <w:shd w:val="clear" w:color="auto" w:fill="auto"/>
            <w:vAlign w:val="center"/>
            <w:hideMark/>
          </w:tcPr>
          <w:p w14:paraId="6695BD3F" w14:textId="77777777" w:rsidR="00935ACF" w:rsidRPr="009E6C5C" w:rsidRDefault="00935ACF" w:rsidP="009E6C5C">
            <w:pPr>
              <w:pStyle w:val="MDPI31text"/>
              <w:autoSpaceDE w:val="0"/>
              <w:autoSpaceDN w:val="0"/>
              <w:spacing w:line="240" w:lineRule="auto"/>
              <w:ind w:firstLine="0"/>
              <w:jc w:val="center"/>
              <w:rPr>
                <w:b/>
                <w:bCs/>
                <w:color w:val="auto"/>
                <w:sz w:val="18"/>
                <w:szCs w:val="20"/>
                <w:lang w:val="en-GB"/>
              </w:rPr>
            </w:pPr>
            <w:r w:rsidRPr="009E6C5C">
              <w:rPr>
                <w:rFonts w:cs="Calibri"/>
                <w:b/>
                <w:bCs/>
                <w:color w:val="auto"/>
                <w:sz w:val="18"/>
                <w:szCs w:val="20"/>
                <w:lang w:val="en-GB"/>
              </w:rPr>
              <w:t>0.002</w:t>
            </w:r>
          </w:p>
        </w:tc>
      </w:tr>
      <w:tr w:rsidR="00935ACF" w:rsidRPr="009E6C5C" w14:paraId="590C4727" w14:textId="77777777" w:rsidTr="009E6C5C">
        <w:trPr>
          <w:jc w:val="center"/>
        </w:trPr>
        <w:tc>
          <w:tcPr>
            <w:tcW w:w="1276" w:type="dxa"/>
            <w:tcBorders>
              <w:top w:val="nil"/>
              <w:left w:val="nil"/>
              <w:bottom w:val="single" w:sz="8" w:space="0" w:color="auto"/>
              <w:right w:val="nil"/>
            </w:tcBorders>
            <w:shd w:val="clear" w:color="auto" w:fill="auto"/>
            <w:vAlign w:val="center"/>
            <w:hideMark/>
          </w:tcPr>
          <w:p w14:paraId="5E7CFF8A" w14:textId="77777777" w:rsidR="00935ACF" w:rsidRPr="009E6C5C" w:rsidRDefault="00935ACF" w:rsidP="009E6C5C">
            <w:pPr>
              <w:pStyle w:val="MDPI31text"/>
              <w:autoSpaceDE w:val="0"/>
              <w:autoSpaceDN w:val="0"/>
              <w:spacing w:line="240" w:lineRule="auto"/>
              <w:ind w:firstLine="0"/>
              <w:jc w:val="center"/>
              <w:rPr>
                <w:color w:val="auto"/>
                <w:sz w:val="18"/>
                <w:szCs w:val="20"/>
                <w:lang w:val="en-GB"/>
              </w:rPr>
            </w:pPr>
            <w:r w:rsidRPr="009E6C5C">
              <w:rPr>
                <w:rFonts w:cs="Calibri"/>
                <w:color w:val="auto"/>
                <w:sz w:val="18"/>
                <w:szCs w:val="20"/>
                <w:lang w:val="en-GB"/>
              </w:rPr>
              <w:t>cg08188863</w:t>
            </w:r>
          </w:p>
        </w:tc>
        <w:tc>
          <w:tcPr>
            <w:tcW w:w="1072" w:type="dxa"/>
            <w:tcBorders>
              <w:top w:val="nil"/>
              <w:left w:val="nil"/>
              <w:bottom w:val="single" w:sz="8" w:space="0" w:color="auto"/>
              <w:right w:val="nil"/>
            </w:tcBorders>
            <w:shd w:val="clear" w:color="auto" w:fill="auto"/>
            <w:vAlign w:val="center"/>
            <w:hideMark/>
          </w:tcPr>
          <w:p w14:paraId="7C643D07" w14:textId="77777777" w:rsidR="00935ACF" w:rsidRPr="009E6C5C" w:rsidRDefault="00935ACF" w:rsidP="009E6C5C">
            <w:pPr>
              <w:pStyle w:val="MDPI31text"/>
              <w:autoSpaceDE w:val="0"/>
              <w:autoSpaceDN w:val="0"/>
              <w:spacing w:line="240" w:lineRule="auto"/>
              <w:ind w:firstLine="0"/>
              <w:jc w:val="center"/>
              <w:rPr>
                <w:color w:val="auto"/>
                <w:sz w:val="18"/>
                <w:szCs w:val="20"/>
                <w:lang w:val="en-GB"/>
              </w:rPr>
            </w:pPr>
            <w:r w:rsidRPr="009E6C5C">
              <w:rPr>
                <w:rFonts w:cs="Calibri"/>
                <w:color w:val="auto"/>
                <w:sz w:val="18"/>
                <w:szCs w:val="20"/>
                <w:lang w:val="en-GB"/>
              </w:rPr>
              <w:t>4</w:t>
            </w:r>
          </w:p>
        </w:tc>
        <w:tc>
          <w:tcPr>
            <w:tcW w:w="1175" w:type="dxa"/>
            <w:tcBorders>
              <w:top w:val="nil"/>
              <w:left w:val="nil"/>
              <w:bottom w:val="single" w:sz="8" w:space="0" w:color="auto"/>
              <w:right w:val="nil"/>
            </w:tcBorders>
            <w:shd w:val="clear" w:color="auto" w:fill="auto"/>
            <w:vAlign w:val="center"/>
            <w:hideMark/>
          </w:tcPr>
          <w:p w14:paraId="2C8624F6" w14:textId="77777777" w:rsidR="00935ACF" w:rsidRPr="009E6C5C" w:rsidRDefault="00935ACF" w:rsidP="009E6C5C">
            <w:pPr>
              <w:pStyle w:val="MDPI31text"/>
              <w:autoSpaceDE w:val="0"/>
              <w:autoSpaceDN w:val="0"/>
              <w:spacing w:line="240" w:lineRule="auto"/>
              <w:ind w:firstLine="0"/>
              <w:jc w:val="center"/>
              <w:rPr>
                <w:color w:val="auto"/>
                <w:sz w:val="18"/>
                <w:szCs w:val="20"/>
                <w:lang w:val="en-GB"/>
              </w:rPr>
            </w:pPr>
            <w:r w:rsidRPr="009E6C5C">
              <w:rPr>
                <w:rFonts w:cs="Calibri"/>
                <w:color w:val="auto"/>
                <w:sz w:val="18"/>
                <w:szCs w:val="20"/>
                <w:lang w:val="en-GB"/>
              </w:rPr>
              <w:t>186253778</w:t>
            </w:r>
          </w:p>
        </w:tc>
        <w:tc>
          <w:tcPr>
            <w:tcW w:w="1330" w:type="dxa"/>
            <w:tcBorders>
              <w:top w:val="nil"/>
              <w:left w:val="nil"/>
              <w:bottom w:val="single" w:sz="8" w:space="0" w:color="auto"/>
              <w:right w:val="nil"/>
            </w:tcBorders>
            <w:shd w:val="clear" w:color="auto" w:fill="auto"/>
            <w:vAlign w:val="center"/>
            <w:hideMark/>
          </w:tcPr>
          <w:p w14:paraId="3144CF1B" w14:textId="77777777" w:rsidR="00935ACF" w:rsidRPr="00991D93" w:rsidRDefault="00935ACF" w:rsidP="009E6C5C">
            <w:pPr>
              <w:pStyle w:val="MDPI31text"/>
              <w:autoSpaceDE w:val="0"/>
              <w:autoSpaceDN w:val="0"/>
              <w:spacing w:line="240" w:lineRule="auto"/>
              <w:ind w:firstLine="0"/>
              <w:jc w:val="center"/>
              <w:rPr>
                <w:i/>
                <w:iCs/>
                <w:color w:val="auto"/>
                <w:sz w:val="18"/>
                <w:szCs w:val="20"/>
                <w:lang w:val="en-GB"/>
              </w:rPr>
            </w:pPr>
            <w:r w:rsidRPr="00991D93">
              <w:rPr>
                <w:rFonts w:cs="Calibri"/>
                <w:i/>
                <w:iCs/>
                <w:color w:val="auto"/>
                <w:sz w:val="18"/>
                <w:szCs w:val="20"/>
                <w:lang w:val="en-GB"/>
              </w:rPr>
              <w:t>SNX25</w:t>
            </w:r>
          </w:p>
        </w:tc>
        <w:tc>
          <w:tcPr>
            <w:tcW w:w="1418" w:type="dxa"/>
            <w:tcBorders>
              <w:top w:val="nil"/>
              <w:left w:val="nil"/>
              <w:bottom w:val="single" w:sz="8" w:space="0" w:color="auto"/>
              <w:right w:val="nil"/>
            </w:tcBorders>
            <w:shd w:val="clear" w:color="auto" w:fill="auto"/>
            <w:vAlign w:val="center"/>
            <w:hideMark/>
          </w:tcPr>
          <w:p w14:paraId="37C9FB34" w14:textId="77777777" w:rsidR="00935ACF" w:rsidRPr="009E6C5C" w:rsidRDefault="00935ACF" w:rsidP="009E6C5C">
            <w:pPr>
              <w:pStyle w:val="MDPI31text"/>
              <w:autoSpaceDE w:val="0"/>
              <w:autoSpaceDN w:val="0"/>
              <w:spacing w:line="240" w:lineRule="auto"/>
              <w:ind w:firstLine="0"/>
              <w:jc w:val="center"/>
              <w:rPr>
                <w:color w:val="auto"/>
                <w:sz w:val="18"/>
                <w:szCs w:val="20"/>
                <w:lang w:val="en-GB"/>
              </w:rPr>
            </w:pPr>
            <w:r w:rsidRPr="009E6C5C">
              <w:rPr>
                <w:rFonts w:cs="Calibri"/>
                <w:color w:val="auto"/>
                <w:sz w:val="18"/>
                <w:szCs w:val="20"/>
                <w:lang w:val="en-GB"/>
              </w:rPr>
              <w:t>0.010</w:t>
            </w:r>
          </w:p>
        </w:tc>
        <w:tc>
          <w:tcPr>
            <w:tcW w:w="992" w:type="dxa"/>
            <w:tcBorders>
              <w:top w:val="nil"/>
              <w:left w:val="nil"/>
              <w:bottom w:val="single" w:sz="8" w:space="0" w:color="auto"/>
              <w:right w:val="nil"/>
            </w:tcBorders>
            <w:shd w:val="clear" w:color="auto" w:fill="auto"/>
            <w:vAlign w:val="center"/>
            <w:hideMark/>
          </w:tcPr>
          <w:p w14:paraId="5AB6BCCD" w14:textId="77777777" w:rsidR="00935ACF" w:rsidRPr="009E6C5C" w:rsidRDefault="00935ACF" w:rsidP="009E6C5C">
            <w:pPr>
              <w:pStyle w:val="MDPI31text"/>
              <w:autoSpaceDE w:val="0"/>
              <w:autoSpaceDN w:val="0"/>
              <w:spacing w:line="240" w:lineRule="auto"/>
              <w:ind w:firstLine="0"/>
              <w:jc w:val="center"/>
              <w:rPr>
                <w:color w:val="auto"/>
                <w:sz w:val="18"/>
                <w:szCs w:val="20"/>
                <w:lang w:val="en-GB"/>
              </w:rPr>
            </w:pPr>
            <w:r w:rsidRPr="009E6C5C">
              <w:rPr>
                <w:rFonts w:cs="Calibri"/>
                <w:color w:val="auto"/>
                <w:sz w:val="18"/>
                <w:szCs w:val="20"/>
                <w:lang w:val="en-GB"/>
              </w:rPr>
              <w:t>0.005</w:t>
            </w:r>
          </w:p>
        </w:tc>
        <w:tc>
          <w:tcPr>
            <w:tcW w:w="1134" w:type="dxa"/>
            <w:tcBorders>
              <w:top w:val="nil"/>
              <w:left w:val="nil"/>
              <w:bottom w:val="single" w:sz="8" w:space="0" w:color="auto"/>
              <w:right w:val="nil"/>
            </w:tcBorders>
            <w:shd w:val="clear" w:color="auto" w:fill="auto"/>
            <w:vAlign w:val="center"/>
            <w:hideMark/>
          </w:tcPr>
          <w:p w14:paraId="2F75E62E" w14:textId="77777777" w:rsidR="00935ACF" w:rsidRPr="009E6C5C" w:rsidRDefault="00935ACF" w:rsidP="009E6C5C">
            <w:pPr>
              <w:pStyle w:val="MDPI31text"/>
              <w:autoSpaceDE w:val="0"/>
              <w:autoSpaceDN w:val="0"/>
              <w:spacing w:line="240" w:lineRule="auto"/>
              <w:ind w:firstLine="0"/>
              <w:jc w:val="center"/>
              <w:rPr>
                <w:b/>
                <w:bCs/>
                <w:color w:val="auto"/>
                <w:sz w:val="18"/>
                <w:szCs w:val="20"/>
                <w:lang w:val="en-GB"/>
              </w:rPr>
            </w:pPr>
            <w:r w:rsidRPr="009E6C5C">
              <w:rPr>
                <w:rFonts w:cs="Calibri"/>
                <w:b/>
                <w:bCs/>
                <w:color w:val="auto"/>
                <w:sz w:val="18"/>
                <w:szCs w:val="20"/>
                <w:lang w:val="en-GB"/>
              </w:rPr>
              <w:t>0.028</w:t>
            </w:r>
          </w:p>
        </w:tc>
      </w:tr>
    </w:tbl>
    <w:p w14:paraId="47129835" w14:textId="77777777" w:rsidR="00311C11" w:rsidRPr="00190491" w:rsidRDefault="00311C11" w:rsidP="00243419">
      <w:pPr>
        <w:pStyle w:val="MDPI51figurecaption"/>
        <w:spacing w:before="0" w:after="0" w:line="240" w:lineRule="auto"/>
        <w:ind w:left="0"/>
        <w:rPr>
          <w:color w:val="auto"/>
          <w:sz w:val="20"/>
          <w:lang w:val="en-GB"/>
        </w:rPr>
      </w:pPr>
      <w:r w:rsidRPr="00190491">
        <w:rPr>
          <w:color w:val="auto"/>
          <w:sz w:val="20"/>
          <w:lang w:val="en-GB"/>
        </w:rPr>
        <w:t>*p-values &lt; 0.05 are considered significant.</w:t>
      </w:r>
    </w:p>
    <w:p w14:paraId="2F65F874" w14:textId="77777777" w:rsidR="00311C11" w:rsidRPr="00190491" w:rsidRDefault="00311C11" w:rsidP="00243419">
      <w:pPr>
        <w:pStyle w:val="MDPI51figurecaption"/>
        <w:spacing w:before="0" w:after="0" w:line="240" w:lineRule="auto"/>
        <w:ind w:left="0"/>
        <w:rPr>
          <w:color w:val="auto"/>
          <w:sz w:val="20"/>
          <w:lang w:val="en-GB"/>
        </w:rPr>
      </w:pPr>
      <w:r w:rsidRPr="00190491">
        <w:rPr>
          <w:color w:val="auto"/>
          <w:sz w:val="20"/>
          <w:lang w:val="en-GB"/>
        </w:rPr>
        <w:t xml:space="preserve">CpG: name of the CpG site; Chr: chromosome; Map info: genomic location of each site in genome build GRCh37; Beta: methylation level; SE: </w:t>
      </w:r>
      <w:r w:rsidR="008F45BD" w:rsidRPr="00190491">
        <w:rPr>
          <w:color w:val="auto"/>
          <w:sz w:val="20"/>
          <w:lang w:val="en-GB"/>
        </w:rPr>
        <w:t>standard error of beta</w:t>
      </w:r>
    </w:p>
    <w:p w14:paraId="75F953C0" w14:textId="77777777" w:rsidR="00935ACF" w:rsidRPr="009E6C5C" w:rsidRDefault="009E6C5C" w:rsidP="009E6C5C">
      <w:pPr>
        <w:pStyle w:val="MDPI22heading2"/>
        <w:rPr>
          <w:lang w:val="en-GB"/>
        </w:rPr>
      </w:pPr>
      <w:r>
        <w:rPr>
          <w:lang w:val="en-GB"/>
        </w:rPr>
        <w:t xml:space="preserve">3.5. </w:t>
      </w:r>
      <w:r w:rsidR="00935ACF" w:rsidRPr="009E6C5C">
        <w:rPr>
          <w:lang w:val="en-GB"/>
        </w:rPr>
        <w:t xml:space="preserve">Association </w:t>
      </w:r>
      <w:r w:rsidR="00FA1136" w:rsidRPr="009E6C5C">
        <w:rPr>
          <w:lang w:val="en-GB"/>
        </w:rPr>
        <w:t xml:space="preserve">of </w:t>
      </w:r>
      <w:r w:rsidR="00935ACF" w:rsidRPr="009E6C5C">
        <w:rPr>
          <w:lang w:val="en-GB"/>
        </w:rPr>
        <w:t>genotype and DNA methylation</w:t>
      </w:r>
    </w:p>
    <w:p w14:paraId="790EF63E" w14:textId="77777777" w:rsidR="002E5CD1" w:rsidRPr="00190491" w:rsidRDefault="00C075C1" w:rsidP="009E6C5C">
      <w:pPr>
        <w:pStyle w:val="MDPI31text"/>
        <w:rPr>
          <w:b/>
          <w:lang w:val="en-GB"/>
        </w:rPr>
      </w:pPr>
      <w:r w:rsidRPr="00190491">
        <w:rPr>
          <w:lang w:val="en-GB"/>
        </w:rPr>
        <w:t>C</w:t>
      </w:r>
      <w:r w:rsidR="002E5CD1" w:rsidRPr="00190491">
        <w:rPr>
          <w:lang w:val="en-GB"/>
        </w:rPr>
        <w:t>is-mQTL analysis</w:t>
      </w:r>
      <w:r w:rsidRPr="00190491">
        <w:rPr>
          <w:lang w:val="en-GB"/>
        </w:rPr>
        <w:t xml:space="preserve"> was carried out</w:t>
      </w:r>
      <w:r w:rsidR="002E5CD1" w:rsidRPr="00190491">
        <w:rPr>
          <w:lang w:val="en-GB"/>
        </w:rPr>
        <w:t xml:space="preserve"> in order to identify associations between </w:t>
      </w:r>
      <w:r w:rsidR="00935ACF" w:rsidRPr="00190491">
        <w:rPr>
          <w:lang w:val="en-GB"/>
        </w:rPr>
        <w:t xml:space="preserve">the two significant CpG sites (cg03592955 and cg08188863) </w:t>
      </w:r>
      <w:r w:rsidR="002E5CD1" w:rsidRPr="00190491">
        <w:rPr>
          <w:lang w:val="en-GB"/>
        </w:rPr>
        <w:t>and SNPs located within 50 Kb upstream and downstream of the two CpGs</w:t>
      </w:r>
      <w:r w:rsidR="007831FB" w:rsidRPr="00190491">
        <w:rPr>
          <w:lang w:val="en-GB"/>
        </w:rPr>
        <w:t xml:space="preserve"> (</w:t>
      </w:r>
      <w:r w:rsidR="00935ACF" w:rsidRPr="00190491">
        <w:rPr>
          <w:lang w:val="en-GB"/>
        </w:rPr>
        <w:t>Supplementary Tables S</w:t>
      </w:r>
      <w:r w:rsidR="009C05D4">
        <w:rPr>
          <w:lang w:val="en-GB"/>
        </w:rPr>
        <w:t>3</w:t>
      </w:r>
      <w:r w:rsidR="00935ACF" w:rsidRPr="00190491">
        <w:rPr>
          <w:lang w:val="en-GB"/>
        </w:rPr>
        <w:t xml:space="preserve"> and S</w:t>
      </w:r>
      <w:r w:rsidR="009C05D4">
        <w:rPr>
          <w:lang w:val="en-GB"/>
        </w:rPr>
        <w:t>4</w:t>
      </w:r>
      <w:r w:rsidR="007831FB" w:rsidRPr="00190491">
        <w:rPr>
          <w:lang w:val="en-GB"/>
        </w:rPr>
        <w:t>)</w:t>
      </w:r>
      <w:r w:rsidR="00935ACF" w:rsidRPr="00190491">
        <w:rPr>
          <w:lang w:val="en-GB"/>
        </w:rPr>
        <w:t xml:space="preserve">. No association was </w:t>
      </w:r>
      <w:r w:rsidR="00E308C1" w:rsidRPr="00190491">
        <w:rPr>
          <w:lang w:val="en-GB"/>
        </w:rPr>
        <w:t xml:space="preserve">found </w:t>
      </w:r>
      <w:r w:rsidR="00935ACF" w:rsidRPr="00190491">
        <w:rPr>
          <w:lang w:val="en-GB"/>
        </w:rPr>
        <w:t>between DNA</w:t>
      </w:r>
      <w:r w:rsidR="00E308C1" w:rsidRPr="00190491">
        <w:rPr>
          <w:lang w:val="en-GB"/>
        </w:rPr>
        <w:t>m</w:t>
      </w:r>
      <w:r w:rsidR="00935ACF" w:rsidRPr="00190491">
        <w:rPr>
          <w:lang w:val="en-GB"/>
        </w:rPr>
        <w:t xml:space="preserve"> </w:t>
      </w:r>
      <w:r w:rsidR="007831FB" w:rsidRPr="00190491">
        <w:rPr>
          <w:lang w:val="en-GB"/>
        </w:rPr>
        <w:t xml:space="preserve">at </w:t>
      </w:r>
      <w:r w:rsidR="002E5CD1" w:rsidRPr="00190491">
        <w:rPr>
          <w:lang w:val="en-GB"/>
        </w:rPr>
        <w:t xml:space="preserve">the two </w:t>
      </w:r>
      <w:r w:rsidR="00935ACF" w:rsidRPr="00190491">
        <w:rPr>
          <w:lang w:val="en-GB"/>
        </w:rPr>
        <w:t xml:space="preserve">CpGs and their nearby </w:t>
      </w:r>
      <w:r w:rsidR="002E5CD1" w:rsidRPr="00190491">
        <w:rPr>
          <w:lang w:val="en-GB"/>
        </w:rPr>
        <w:t>SNPs</w:t>
      </w:r>
      <w:r w:rsidR="00935ACF" w:rsidRPr="00190491">
        <w:rPr>
          <w:lang w:val="en-GB"/>
        </w:rPr>
        <w:t xml:space="preserve"> (FDR</w:t>
      </w:r>
      <w:r w:rsidR="00341AD0" w:rsidRPr="00190491">
        <w:rPr>
          <w:lang w:val="en-GB"/>
        </w:rPr>
        <w:t>-corrected p-value</w:t>
      </w:r>
      <w:r w:rsidR="00935ACF" w:rsidRPr="00190491">
        <w:rPr>
          <w:lang w:val="en-GB"/>
        </w:rPr>
        <w:t xml:space="preserve"> &gt;0.05). </w:t>
      </w:r>
    </w:p>
    <w:p w14:paraId="4E098E5A" w14:textId="77777777" w:rsidR="00935ACF" w:rsidRPr="00190491" w:rsidRDefault="009E6C5C" w:rsidP="009E6C5C">
      <w:pPr>
        <w:pStyle w:val="MDPI21heading1"/>
        <w:rPr>
          <w:lang w:val="en-GB"/>
        </w:rPr>
      </w:pPr>
      <w:r>
        <w:rPr>
          <w:lang w:val="en-GB"/>
        </w:rPr>
        <w:lastRenderedPageBreak/>
        <w:t xml:space="preserve">4. </w:t>
      </w:r>
      <w:r w:rsidR="00935ACF" w:rsidRPr="00190491">
        <w:rPr>
          <w:lang w:val="en-GB"/>
        </w:rPr>
        <w:t>Discussion</w:t>
      </w:r>
    </w:p>
    <w:p w14:paraId="20F29F46" w14:textId="7ACC089E" w:rsidR="00C1082E" w:rsidRPr="00190491" w:rsidRDefault="00935ACF" w:rsidP="00EA15C5">
      <w:pPr>
        <w:pStyle w:val="MDPI31text"/>
        <w:rPr>
          <w:color w:val="auto"/>
          <w:lang w:val="en-GB"/>
        </w:rPr>
      </w:pPr>
      <w:r w:rsidRPr="00190491">
        <w:rPr>
          <w:color w:val="auto"/>
          <w:lang w:val="en-GB"/>
        </w:rPr>
        <w:t xml:space="preserve">In this study, we conducted an epigenome-wide association study to examine the association between breastfeeding duration and genome-wide DNAm profiles in 10-year-old children within the IOWBC. </w:t>
      </w:r>
      <w:r w:rsidR="00C075C1" w:rsidRPr="00190491">
        <w:rPr>
          <w:color w:val="auto"/>
          <w:lang w:val="en-GB"/>
        </w:rPr>
        <w:t>T</w:t>
      </w:r>
      <w:r w:rsidRPr="00190491">
        <w:rPr>
          <w:color w:val="auto"/>
          <w:lang w:val="en-GB"/>
        </w:rPr>
        <w:t xml:space="preserve">wo </w:t>
      </w:r>
      <w:r w:rsidR="0098390A" w:rsidRPr="00190491">
        <w:rPr>
          <w:color w:val="auto"/>
          <w:lang w:val="en-GB"/>
        </w:rPr>
        <w:t>differentially methylated CpG sites</w:t>
      </w:r>
      <w:r w:rsidR="00C075C1" w:rsidRPr="00190491">
        <w:rPr>
          <w:color w:val="auto"/>
          <w:lang w:val="en-GB"/>
        </w:rPr>
        <w:t xml:space="preserve"> </w:t>
      </w:r>
      <w:r w:rsidRPr="00190491">
        <w:rPr>
          <w:color w:val="auto"/>
          <w:lang w:val="en-GB"/>
        </w:rPr>
        <w:t xml:space="preserve">were </w:t>
      </w:r>
      <w:r w:rsidR="00C7245D">
        <w:rPr>
          <w:color w:val="auto"/>
          <w:lang w:val="en-GB"/>
        </w:rPr>
        <w:t xml:space="preserve">found to be </w:t>
      </w:r>
      <w:r w:rsidRPr="00190491">
        <w:rPr>
          <w:color w:val="auto"/>
          <w:lang w:val="en-GB"/>
        </w:rPr>
        <w:t xml:space="preserve">significantly associated </w:t>
      </w:r>
      <w:r w:rsidR="00C075C1" w:rsidRPr="00190491">
        <w:rPr>
          <w:color w:val="auto"/>
          <w:lang w:val="en-GB"/>
        </w:rPr>
        <w:t xml:space="preserve"> </w:t>
      </w:r>
      <w:r w:rsidRPr="00190491">
        <w:rPr>
          <w:color w:val="auto"/>
          <w:lang w:val="en-GB"/>
        </w:rPr>
        <w:t>with breastfeeding duration &gt;6 months</w:t>
      </w:r>
      <w:r w:rsidR="00C7245D">
        <w:rPr>
          <w:color w:val="auto"/>
          <w:lang w:val="en-GB"/>
        </w:rPr>
        <w:t xml:space="preserve"> </w:t>
      </w:r>
      <w:r w:rsidR="00C7245D" w:rsidRPr="00190491">
        <w:rPr>
          <w:color w:val="auto"/>
          <w:lang w:val="en-GB"/>
        </w:rPr>
        <w:t>(FDR-corrected p-value &lt;0.05)</w:t>
      </w:r>
      <w:r w:rsidRPr="00190491">
        <w:rPr>
          <w:color w:val="auto"/>
          <w:lang w:val="en-GB"/>
        </w:rPr>
        <w:t xml:space="preserve">. </w:t>
      </w:r>
      <w:r w:rsidR="00151077" w:rsidRPr="00190491">
        <w:rPr>
          <w:color w:val="auto"/>
          <w:lang w:val="en-GB"/>
        </w:rPr>
        <w:t xml:space="preserve">One of the </w:t>
      </w:r>
      <w:r w:rsidR="00B0230A" w:rsidRPr="00190491">
        <w:rPr>
          <w:color w:val="auto"/>
          <w:lang w:val="en-GB"/>
        </w:rPr>
        <w:t>CpG site</w:t>
      </w:r>
      <w:r w:rsidR="00DA5BC0" w:rsidRPr="00190491">
        <w:rPr>
          <w:color w:val="auto"/>
          <w:lang w:val="en-GB"/>
        </w:rPr>
        <w:t>s</w:t>
      </w:r>
      <w:r w:rsidR="00B0230A" w:rsidRPr="00190491">
        <w:rPr>
          <w:color w:val="auto"/>
          <w:lang w:val="en-GB"/>
        </w:rPr>
        <w:t xml:space="preserve">, </w:t>
      </w:r>
      <w:r w:rsidRPr="00190491">
        <w:rPr>
          <w:color w:val="auto"/>
          <w:lang w:val="en-GB"/>
        </w:rPr>
        <w:t>cg08188863, found on the Sorting Nexin 25 (</w:t>
      </w:r>
      <w:r w:rsidRPr="00991D93">
        <w:rPr>
          <w:i/>
          <w:iCs/>
          <w:color w:val="auto"/>
          <w:lang w:val="en-GB"/>
        </w:rPr>
        <w:t>SNX25</w:t>
      </w:r>
      <w:r w:rsidRPr="00190491">
        <w:rPr>
          <w:color w:val="auto"/>
          <w:lang w:val="en-GB"/>
        </w:rPr>
        <w:t>) gene, a protein involved in signa</w:t>
      </w:r>
      <w:r w:rsidR="002F6968">
        <w:rPr>
          <w:color w:val="auto"/>
          <w:lang w:val="en-GB"/>
        </w:rPr>
        <w:t>l</w:t>
      </w:r>
      <w:r w:rsidRPr="00190491">
        <w:rPr>
          <w:color w:val="auto"/>
          <w:lang w:val="en-GB"/>
        </w:rPr>
        <w:t>ling and cargo sorting</w:t>
      </w:r>
      <w:r w:rsidR="00620B80" w:rsidRPr="00190491">
        <w:rPr>
          <w:color w:val="auto"/>
          <w:lang w:val="en-GB"/>
        </w:rPr>
        <w:t>, was hypermethylated</w:t>
      </w:r>
      <w:r w:rsidRPr="00190491">
        <w:rPr>
          <w:color w:val="auto"/>
          <w:lang w:val="en-GB"/>
        </w:rPr>
        <w:t xml:space="preserve">. Of its many functions, </w:t>
      </w:r>
      <w:r w:rsidRPr="00991D93">
        <w:rPr>
          <w:i/>
          <w:iCs/>
          <w:color w:val="auto"/>
          <w:lang w:val="en-GB"/>
        </w:rPr>
        <w:t>SNX25</w:t>
      </w:r>
      <w:r w:rsidRPr="00190491">
        <w:rPr>
          <w:color w:val="auto"/>
          <w:lang w:val="en-GB"/>
        </w:rPr>
        <w:t xml:space="preserve"> has been shown to downregulate transforming growth factor beta (TGF-β) </w:t>
      </w:r>
      <w:r w:rsidR="009736D3" w:rsidRPr="00190491">
        <w:rPr>
          <w:color w:val="auto"/>
          <w:lang w:val="en-GB"/>
        </w:rPr>
        <w:t>signa</w:t>
      </w:r>
      <w:r w:rsidR="002F6968">
        <w:rPr>
          <w:color w:val="auto"/>
          <w:lang w:val="en-GB"/>
        </w:rPr>
        <w:t>l</w:t>
      </w:r>
      <w:r w:rsidR="009736D3" w:rsidRPr="00190491">
        <w:rPr>
          <w:color w:val="auto"/>
          <w:lang w:val="en-GB"/>
        </w:rPr>
        <w:t xml:space="preserve">ling </w:t>
      </w:r>
      <w:r w:rsidR="006B0FF4" w:rsidRPr="00190491">
        <w:rPr>
          <w:color w:val="auto"/>
          <w:lang w:val="en-GB"/>
        </w:rPr>
        <w:fldChar w:fldCharType="begin" w:fldLock="1"/>
      </w:r>
      <w:r w:rsidR="008253DA">
        <w:rPr>
          <w:color w:val="auto"/>
          <w:lang w:val="en-GB"/>
        </w:rPr>
        <w:instrText>ADDIN CSL_CITATION {"citationItems":[{"id":"ITEM-1","itemData":{"DOI":"10.1016/J.CELLSIG.2011.01.022","ISSN":"0898-6568","abstract":"SNXs (sorting nexin), a family of proteins playing roles in cargo sorting and signaling from compartments within the endocytic network, regulate traffic of membrane proteins including TGF-β receptors. Here we report that the full length human and mouse SNX25, a SNX member with PX, PXA and RGS domains, co-localizes with TGF-β receptors, and forms internalized cytosolic punctae upon treatment with TGF-β. While overexpression of SNX25 inhibits TGF-β induced luciferase reporter activity, knocking down endogenous SNX25 by siRNA in NIH3T3 cells elevates the TGF-β receptor levels and facilitates TGF-β signaling. Immunoprecipitation experiments demonstrate that SNX25 interacts with TβRI. Western blot analyses indicate that SNX25 enhances the degradation of TGF-β receptors. SNX25 induced TGF-β receptor degradation is shown via the clathrin dependent endocytosis pathway into lysosome. We have characterized that PXA domain of SNX25 is required for the degradation of TβRI. Our findings demonstrate that SNX25 negatively regulates TGF-β signaling by enhancing the receptor degradation through lysosome pathway.","author":[{"dropping-particle":"","family":"Hao","given":"Xinbao","non-dropping-particle":"","parse-names":false,"suffix":""},{"dropping-particle":"","family":"Wang","given":"Yinyin","non-dropping-particle":"","parse-names":false,"suffix":""},{"dropping-particle":"","family":"Ren","given":"Fangli","non-dropping-particle":"","parse-names":false,"suffix":""},{"dropping-particle":"","family":"Zhu","given":"Shanshan","non-dropping-particle":"","parse-names":false,"suffix":""},{"dropping-particle":"","family":"Ren","given":"Yongming","non-dropping-particle":"","parse-names":false,"suffix":""},{"dropping-particle":"","family":"Jia","given":"Baoqing","non-dropping-particle":"","parse-names":false,"suffix":""},{"dropping-particle":"","family":"Li","given":"Yi-Ping","non-dropping-particle":"","parse-names":false,"suffix":""},{"dropping-particle":"","family":"Shi","given":"Yuguang","non-dropping-particle":"","parse-names":false,"suffix":""},{"dropping-particle":"","family":"Chang","given":"Zhijie","non-dropping-particle":"","parse-names":false,"suffix":""}],"container-title":"Cellular Signalling","id":"ITEM-1","issue":"5","issued":{"date-parts":[["2011","5","1"]]},"page":"935-946","publisher":"Pergamon","title":"SNX25 regulates TGF-β signaling by enhancing the receptor degradation","type":"article-journal","volume":"23"},"uris":["http://www.mendeley.com/documents/?uuid=8bb41b11-2c7a-3251-9ae9-5f6aec2037c4"]}],"mendeley":{"formattedCitation":"&lt;span style=\"baseline\"&gt;[39]&lt;/span&gt;","plainTextFormattedCitation":"[39]","previouslyFormattedCitation":"&lt;span style=\"baseline\"&gt;[39]&lt;/span&gt;"},"properties":{"noteIndex":0},"schema":"https://github.com/citation-style-language/schema/raw/master/csl-citation.json"}</w:instrText>
      </w:r>
      <w:r w:rsidR="006B0FF4" w:rsidRPr="00190491">
        <w:rPr>
          <w:color w:val="auto"/>
          <w:lang w:val="en-GB"/>
        </w:rPr>
        <w:fldChar w:fldCharType="separate"/>
      </w:r>
      <w:r w:rsidR="00E6617B" w:rsidRPr="00E6617B">
        <w:rPr>
          <w:noProof/>
          <w:color w:val="auto"/>
          <w:lang w:val="en-GB"/>
        </w:rPr>
        <w:t>[39]</w:t>
      </w:r>
      <w:r w:rsidR="006B0FF4" w:rsidRPr="00190491">
        <w:rPr>
          <w:color w:val="auto"/>
          <w:lang w:val="en-GB"/>
        </w:rPr>
        <w:fldChar w:fldCharType="end"/>
      </w:r>
      <w:r w:rsidRPr="00190491">
        <w:rPr>
          <w:color w:val="auto"/>
          <w:lang w:val="en-GB"/>
        </w:rPr>
        <w:t xml:space="preserve">. TGF-β </w:t>
      </w:r>
      <w:r w:rsidR="00330D6B" w:rsidRPr="00190491">
        <w:rPr>
          <w:color w:val="auto"/>
          <w:lang w:val="en-GB"/>
        </w:rPr>
        <w:t>is present in human breastmilk</w:t>
      </w:r>
      <w:r w:rsidR="000C773B" w:rsidRPr="00190491">
        <w:rPr>
          <w:color w:val="auto"/>
          <w:lang w:val="en-GB"/>
        </w:rPr>
        <w:t xml:space="preserve"> </w:t>
      </w:r>
      <w:r w:rsidR="000C773B" w:rsidRPr="00190491">
        <w:rPr>
          <w:color w:val="auto"/>
          <w:lang w:val="en-GB"/>
        </w:rPr>
        <w:fldChar w:fldCharType="begin" w:fldLock="1"/>
      </w:r>
      <w:r w:rsidR="008253DA">
        <w:rPr>
          <w:color w:val="auto"/>
          <w:lang w:val="en-GB"/>
        </w:rPr>
        <w:instrText>ADDIN CSL_CITATION {"citationItems":[{"id":"ITEM-1","itemData":{"DOI":"10.1017/S0029665107005654","ISSN":"0029-6651","abstract":"&lt;p&gt;The newborn receives, via the placenta, maternal IgG antibodies against the microbes present in its surroundings, but such antibodies have a pro-inflammatory action, initiating the complement system and phagocytes. Although the host defence mechanisms of the neonate that involve inflammatory reactivity are somewhat inefficient, this defence system can still have catabolic effects. Breast-feeding compensates for this relative inefficiency of host defence in the neonate by providing considerable amounts of secretory IgA antibodies directed particularly against the microbial flora of the mother and her environment. These antibodies bind the microbes that are appearing on the infant's mucosal membranes, preventing activation of the pro-inflammatory defence. The major milk protein lactoferrin can destroy microbes and reduce inflammatory responses. The non-absorbed milk oligosaccharides block attachment of microbes to the infant's mucosae, preventing infections. The milk may contain anti-secretory factor, which is anti-inflammatory, preventing mastitis in mothers and diarrhoea in infants. Numerous additional factors in the milk are of unknown function, although IL-7 is linked to the larger size of the thymus and the enhanced development of intestinal Tγδ lymphocytes in breast-fed compared with non-breast-fed infants. Several additional components in the milk may help to explain why breast-feeding can reduce infant mortality, protecting against neonatal septicaemia and meningitis. It is therefore important to start breast-feeding immediately. Protection is also apparent against diarrhoea, respiratory infections and otitis media. There may be protection against urinary tract infections and necrotizing enterocolitis, and possibly also against allergy and certain other immunological diseases, and tumours. In conclusion, breast-feeding provides a very broad multifactorial anti-inflammatory defence for the infant.&lt;/p&gt;","author":[{"dropping-particle":"","family":"Hanson","given":"Lars Å.","non-dropping-particle":"","parse-names":false,"suffix":""}],"container-title":"Proceedings of the Nutrition Society","id":"ITEM-1","issue":"3","issued":{"date-parts":[["2007","8","16"]]},"page":"384-396","publisher":"Cambridge University Press","title":"Session 1: Feeding and infant development Breast-feeding and immune function","type":"article-journal","volume":"66"},"uris":["http://www.mendeley.com/documents/?uuid=f45b2769-510d-3683-83e1-cb0943d73f63"]}],"mendeley":{"formattedCitation":"&lt;span style=\"baseline\"&gt;[40]&lt;/span&gt;","plainTextFormattedCitation":"[40]","previouslyFormattedCitation":"&lt;span style=\"baseline\"&gt;[40]&lt;/span&gt;"},"properties":{"noteIndex":0},"schema":"https://github.com/citation-style-language/schema/raw/master/csl-citation.json"}</w:instrText>
      </w:r>
      <w:r w:rsidR="000C773B" w:rsidRPr="00190491">
        <w:rPr>
          <w:color w:val="auto"/>
          <w:lang w:val="en-GB"/>
        </w:rPr>
        <w:fldChar w:fldCharType="separate"/>
      </w:r>
      <w:r w:rsidR="00E6617B" w:rsidRPr="00E6617B">
        <w:rPr>
          <w:noProof/>
          <w:color w:val="auto"/>
          <w:lang w:val="en-GB"/>
        </w:rPr>
        <w:t>[40]</w:t>
      </w:r>
      <w:r w:rsidR="000C773B" w:rsidRPr="00190491">
        <w:rPr>
          <w:color w:val="auto"/>
          <w:lang w:val="en-GB"/>
        </w:rPr>
        <w:fldChar w:fldCharType="end"/>
      </w:r>
      <w:r w:rsidR="000C773B" w:rsidRPr="00190491">
        <w:rPr>
          <w:color w:val="auto"/>
          <w:lang w:val="en-GB"/>
        </w:rPr>
        <w:t xml:space="preserve"> an</w:t>
      </w:r>
      <w:r w:rsidR="00330D6B" w:rsidRPr="00190491">
        <w:rPr>
          <w:color w:val="auto"/>
          <w:lang w:val="en-GB"/>
        </w:rPr>
        <w:t xml:space="preserve">d </w:t>
      </w:r>
      <w:r w:rsidRPr="00190491">
        <w:rPr>
          <w:color w:val="auto"/>
          <w:lang w:val="en-GB"/>
        </w:rPr>
        <w:t xml:space="preserve">has been observed to be involved in the pathophysiology of </w:t>
      </w:r>
      <w:r w:rsidR="00814291">
        <w:rPr>
          <w:color w:val="auto"/>
          <w:lang w:val="en-GB"/>
        </w:rPr>
        <w:t xml:space="preserve">a number of diseases such as </w:t>
      </w:r>
      <w:r w:rsidR="00565BE8">
        <w:rPr>
          <w:color w:val="auto"/>
          <w:lang w:val="en-GB"/>
        </w:rPr>
        <w:t>allergic and autoimmune diseases</w:t>
      </w:r>
      <w:r w:rsidR="0033652D">
        <w:rPr>
          <w:color w:val="auto"/>
          <w:lang w:val="en-GB"/>
        </w:rPr>
        <w:t xml:space="preserve"> </w:t>
      </w:r>
      <w:r w:rsidR="0033652D">
        <w:rPr>
          <w:color w:val="auto"/>
          <w:lang w:val="en-GB"/>
        </w:rPr>
        <w:fldChar w:fldCharType="begin" w:fldLock="1"/>
      </w:r>
      <w:r w:rsidR="008253DA">
        <w:rPr>
          <w:color w:val="auto"/>
          <w:lang w:val="en-GB"/>
        </w:rPr>
        <w:instrText>ADDIN CSL_CITATION {"citationItems":[{"id":"ITEM-1","itemData":{"DOI":"10.1155/2014/318481","ISSN":"23147156","abstract":"The transforming growth factor-β (TGF-β) superfamily is a family of structurally related proteins that includes TGF-β, activins/inhibins, and bone morphogenic proteins (BMPs). Members of the TGF-β superfamily regulate cellular functions such as proliferation, apoptosis, differentiation, and migration and thus play key roles in organismal development. TGF-β is involved in several human diseases, including autoimmune disorders and vascular diseases. Activation of the TGF-β receptor induces phosphorylation of serine/threonine residues and triggers phosphorylation of intracellular effectors (Smads). Once activated, Smad proteins translocate to the nucleus and induce transcription of their target genes, regulating various processes and cellular functions. Recently, there has been an attempt to correlate the effect of TGF-β with various pathological entities such as allergic diseases and cancer, yielding a new area of research known as \"allergooncology, which investigates the mechanisms by which allergic diseases may influence the progression of certain cancers. This knowledge could generate new therapeutic strategies aimed at correcting the pathologies in which TGF-β is involved. Here, we review recent studies that suggest an important role for TGF-β in both allergic disease and cancer progression. © 2014 Belen Tirado-Rodriguez et al.","author":[{"dropping-particle":"","family":"Tirado-Rodriguez","given":"Belen","non-dropping-particle":"","parse-names":false,"suffix":""},{"dropping-particle":"","family":"Ortega","given":"Enrique","non-dropping-particle":"","parse-names":false,"suffix":""},{"dropping-particle":"","family":"Segura-Medina","given":"Patricia","non-dropping-particle":"","parse-names":false,"suffix":""},{"dropping-particle":"","family":"Huerta-Yepez","given":"Sara","non-dropping-particle":"","parse-names":false,"suffix":""}],"container-title":"Journal of Immunology Research","id":"ITEM-1","issued":{"date-parts":[["2014"]]},"page":"1-15","title":"TGF-β: An important mediator of allergic disease and a molecule with dual activity in cancer development","type":"article-journal","volume":"2014"},"uris":["http://www.mendeley.com/documents/?uuid=57f0556c-7681-4bee-b5c4-64d68802f66c","http://www.mendeley.com/documents/?uuid=16efa030-5caf-449a-9bad-6b1270cd1cc7"]}],"mendeley":{"formattedCitation":"&lt;span style=\"baseline\"&gt;[41]&lt;/span&gt;","plainTextFormattedCitation":"[41]","previouslyFormattedCitation":"&lt;span style=\"baseline\"&gt;[41]&lt;/span&gt;"},"properties":{"noteIndex":0},"schema":"https://github.com/citation-style-language/schema/raw/master/csl-citation.json"}</w:instrText>
      </w:r>
      <w:r w:rsidR="0033652D">
        <w:rPr>
          <w:color w:val="auto"/>
          <w:lang w:val="en-GB"/>
        </w:rPr>
        <w:fldChar w:fldCharType="separate"/>
      </w:r>
      <w:r w:rsidR="00E6617B" w:rsidRPr="00E6617B">
        <w:rPr>
          <w:noProof/>
          <w:color w:val="auto"/>
          <w:lang w:val="en-GB"/>
        </w:rPr>
        <w:t>[41]</w:t>
      </w:r>
      <w:r w:rsidR="0033652D">
        <w:rPr>
          <w:color w:val="auto"/>
          <w:lang w:val="en-GB"/>
        </w:rPr>
        <w:fldChar w:fldCharType="end"/>
      </w:r>
      <w:r w:rsidR="00565BE8">
        <w:rPr>
          <w:color w:val="auto"/>
          <w:lang w:val="en-GB"/>
        </w:rPr>
        <w:t>. In addition</w:t>
      </w:r>
      <w:r w:rsidR="00CC3696">
        <w:rPr>
          <w:color w:val="auto"/>
          <w:lang w:val="en-GB"/>
        </w:rPr>
        <w:t>,</w:t>
      </w:r>
      <w:r w:rsidR="00814291">
        <w:rPr>
          <w:color w:val="auto"/>
          <w:lang w:val="en-GB"/>
        </w:rPr>
        <w:t xml:space="preserve"> </w:t>
      </w:r>
      <w:r w:rsidR="00565BE8">
        <w:rPr>
          <w:color w:val="auto"/>
          <w:lang w:val="en-GB"/>
        </w:rPr>
        <w:t xml:space="preserve">its role in </w:t>
      </w:r>
      <w:r w:rsidRPr="00190491">
        <w:rPr>
          <w:color w:val="auto"/>
          <w:lang w:val="en-GB"/>
        </w:rPr>
        <w:t>epilepsy</w:t>
      </w:r>
      <w:r w:rsidR="00565BE8">
        <w:rPr>
          <w:color w:val="auto"/>
          <w:lang w:val="en-GB"/>
        </w:rPr>
        <w:t xml:space="preserve"> has also been described</w:t>
      </w:r>
      <w:r w:rsidR="00A55809">
        <w:rPr>
          <w:color w:val="auto"/>
          <w:lang w:val="en-GB"/>
        </w:rPr>
        <w:t xml:space="preserve"> </w:t>
      </w:r>
      <w:r w:rsidR="00120EE3">
        <w:rPr>
          <w:color w:val="auto"/>
          <w:lang w:val="en-GB"/>
        </w:rPr>
        <w:fldChar w:fldCharType="begin" w:fldLock="1"/>
      </w:r>
      <w:r w:rsidR="008253DA">
        <w:rPr>
          <w:color w:val="auto"/>
          <w:lang w:val="en-GB"/>
        </w:rPr>
        <w:instrText>ADDIN CSL_CITATION {"citationItems":[{"id":"ITEM-1","itemData":{"DOI":"10.1016/J.BRAINRES.2013.03.005","ISSN":"0006-8993","abstract":"PURPOSE\nThe transforming growth factor β (TGF-β) signaling pathway is involved in the epileptogenesis. Sorting Nexin 25 (SNX25) has been recently proposed to modulate TGF-β signaling through endosomal sorting of TGF-β receptors for lysosomal degradation. The aim of the present study was to determine the expression pattern of SNX25 in brains of epilepsy patients and in animal model of epilepsy. Methods: We investigated the expression of SNX25 in the brain tissues of patients with temporal lobe epilepsy (TLE) and in the pilocarpine-induced rat model of epilepsy using western blotting, real-time quantitative RT-PCR, and double-label immunofluorescence. Results: The expression of SNX25 was significantly increased in TLE patients in comparison to controls (0.21±0.07 vs. 0.11±0.03, P&lt;0.05). In the lithium-pilocarpine induced epileptic rats, significant elevation of SNX25 levels was detected in the chronic phase, while no SNX25 alteration occurred in the acute and latent phases. Moreover, SNX25 localized to astrocytes and neurons, in both human samples and animal models. Conclusion: Our results indicate that upregulation of SNX25 might be involved in the development of temporal lobe epilepsy.","author":[{"dropping-particle":"","family":"Du","given":"Yingshi","non-dropping-particle":"","parse-names":false,"suffix":""},{"dropping-particle":"","family":"Zou","given":"Yan","non-dropping-particle":"","parse-names":false,"suffix":""},{"dropping-particle":"","family":"Yu","given":"Weihua","non-dropping-particle":"","parse-names":false,"suffix":""},{"dropping-particle":"","family":"Shi","given":"Rui","non-dropping-particle":"","parse-names":false,"suffix":""},{"dropping-particle":"","family":"Zhang","given":"Man","non-dropping-particle":"","parse-names":false,"suffix":""},{"dropping-particle":"","family":"Yang","given":"Wenxiu","non-dropping-particle":"","parse-names":false,"suffix":""},{"dropping-particle":"","family":"Duan","given":"Jingxi","non-dropping-particle":"","parse-names":false,"suffix":""},{"dropping-particle":"","family":"Deng","given":"Yongtao","non-dropping-particle":"","parse-names":false,"suffix":""},{"dropping-particle":"","family":"Wang","given":"Xuefeng","non-dropping-particle":"","parse-names":false,"suffix":""},{"dropping-particle":"","family":"Lü","given":"Yang","non-dropping-particle":"","parse-names":false,"suffix":""}],"container-title":"Brain Research","id":"ITEM-1","issued":{"date-parts":[["2013","5","6"]]},"page":"79-85","publisher":"Elsevier","title":"Expression pattern of sorting nexin 25 in temporal lobe epilepsy: A study on patients and pilocarpine-induced rats","type":"article-journal","volume":"1509"},"uris":["http://www.mendeley.com/documents/?uuid=ec6279b7-d53f-32d7-b762-dc2d02b28d00"]},{"id":"ITEM-2","itemData":{"DOI":"10.1002/glia.22311","ISSN":"0894-1491","abstract":"Abstract Brain insults, including traumatic and ischemic injuries, are frequently followed by acute seizures and delayed development of epilepsy. Dysfunction of the blood-brain barrier (BBB) is a hallmark of brain insults and is usually surrounding the core lesion. Recent studies from several laboratories confirmed that vascular pathology is involved in the development of epilepsy and demonstrate a key role for astroglia in this process. In this review, we focus on glia-related mechanisms linking vascular pathology, and specifically BBB dysfunction, to seizures and epilepsy. We summarize molecular and physiological experimental data demonstrating that the function of astrocytes is altered due to direct exposure to serum albumin, mediated by transforming growth factor beta signaling. We discuss the reported changes and their potential role in the observed hyperexcitability as well as potential implications of these findings for the future development of new diagnostic modalities and treatments to allow a full implementation of the gained knowledge for the benefit of patients with epilepsy. ? 2012 Wiley Periodicals, Inc.","author":[{"dropping-particle":"","family":"Heinemann","given":"Uwe","non-dropping-particle":"","parse-names":false,"suffix":""},{"dropping-particle":"","family":"Kaufer","given":"Daniela","non-dropping-particle":"","parse-names":false,"suffix":""},{"dropping-particle":"","family":"Friedman","given":"Alon","non-dropping-particle":"","parse-names":false,"suffix":""}],"container-title":"Glia","id":"ITEM-2","issue":"8","issued":{"date-parts":[["2012","8","1"]]},"note":"doi: 10.1002/glia.22311","page":"1251-1257","publisher":"John Wiley &amp; Sons, Ltd","title":"Blood-brain barrier dysfunction, TGFβ signaling, and astrocyte dysfunction in epilepsy","type":"article-journal","volume":"60"},"uris":["http://www.mendeley.com/documents/?uuid=c9d8416a-2774-3125-97ba-d39e4afec6fa"]}],"mendeley":{"formattedCitation":"&lt;span style=\"baseline\"&gt;[42, 43]&lt;/span&gt;","plainTextFormattedCitation":"[42, 43]","previouslyFormattedCitation":"&lt;span style=\"baseline\"&gt;[42, 43]&lt;/span&gt;"},"properties":{"noteIndex":0},"schema":"https://github.com/citation-style-language/schema/raw/master/csl-citation.json"}</w:instrText>
      </w:r>
      <w:r w:rsidR="00120EE3">
        <w:rPr>
          <w:color w:val="auto"/>
          <w:lang w:val="en-GB"/>
        </w:rPr>
        <w:fldChar w:fldCharType="separate"/>
      </w:r>
      <w:r w:rsidR="00E6617B" w:rsidRPr="00E6617B">
        <w:rPr>
          <w:noProof/>
          <w:color w:val="auto"/>
          <w:lang w:val="en-GB"/>
        </w:rPr>
        <w:t>[42, 43]</w:t>
      </w:r>
      <w:r w:rsidR="00120EE3">
        <w:rPr>
          <w:color w:val="auto"/>
          <w:lang w:val="en-GB"/>
        </w:rPr>
        <w:fldChar w:fldCharType="end"/>
      </w:r>
      <w:r w:rsidR="006B0FF4" w:rsidRPr="00190491">
        <w:rPr>
          <w:color w:val="auto"/>
          <w:lang w:val="en-GB"/>
        </w:rPr>
        <w:fldChar w:fldCharType="begin" w:fldLock="1"/>
      </w:r>
      <w:r w:rsidR="008253DA">
        <w:rPr>
          <w:color w:val="auto"/>
          <w:lang w:val="en-GB"/>
        </w:rPr>
        <w:instrText>ADDIN CSL_CITATION {"citationItems":[{"id":"ITEM-1","itemData":{"DOI":"10.1016/J.BRAINRES.2013.03.005","ISSN":"0006-8993","abstract":"PURPOSE\nThe transforming growth factor β (TGF-β) signaling pathway is involved in the epileptogenesis. Sorting Nexin 25 (SNX25) has been recently proposed to modulate TGF-β signaling through endosomal sorting of TGF-β receptors for lysosomal degradation. The aim of the present study was to determine the expression pattern of SNX25 in brains of epilepsy patients and in animal model of epilepsy. Methods: We investigated the expression of SNX25 in the brain tissues of patients with temporal lobe epilepsy (TLE) and in the pilocarpine-induced rat model of epilepsy using western blotting, real-time quantitative RT-PCR, and double-label immunofluorescence. Results: The expression of SNX25 was significantly increased in TLE patients in comparison to controls (0.21±0.07 vs. 0.11±0.03, P&lt;0.05). In the lithium-pilocarpine induced epileptic rats, significant elevation of SNX25 levels was detected in the chronic phase, while no SNX25 alteration occurred in the acute and latent phases. Moreover, SNX25 localized to astrocytes and neurons, in both human samples and animal models. Conclusion: Our results indicate that upregulation of SNX25 might be involved in the development of temporal lobe epilepsy.","author":[{"dropping-particle":"","family":"Du","given":"Yingshi","non-dropping-particle":"","parse-names":false,"suffix":""},{"dropping-particle":"","family":"Zou","given":"Yan","non-dropping-particle":"","parse-names":false,"suffix":""},{"dropping-particle":"","family":"Yu","given":"Weihua","non-dropping-particle":"","parse-names":false,"suffix":""},{"dropping-particle":"","family":"Shi","given":"Rui","non-dropping-particle":"","parse-names":false,"suffix":""},{"dropping-particle":"","family":"Zhang","given":"Man","non-dropping-particle":"","parse-names":false,"suffix":""},{"dropping-particle":"","family":"Yang","given":"Wenxiu","non-dropping-particle":"","parse-names":false,"suffix":""},{"dropping-particle":"","family":"Duan","given":"Jingxi","non-dropping-particle":"","parse-names":false,"suffix":""},{"dropping-particle":"","family":"Deng","given":"Yongtao","non-dropping-particle":"","parse-names":false,"suffix":""},{"dropping-particle":"","family":"Wang","given":"Xuefeng","non-dropping-particle":"","parse-names":false,"suffix":""},{"dropping-particle":"","family":"Lü","given":"Yang","non-dropping-particle":"","parse-names":false,"suffix":""}],"container-title":"Brain Research","id":"ITEM-1","issued":{"date-parts":[["2013","5","6"]]},"page":"79-85","publisher":"Elsevier","title":"Expression pattern of sorting nexin 25 in temporal lobe epilepsy: A study on patients and pilocarpine-induced rats","type":"article-journal","volume":"1509"},"uris":["http://www.mendeley.com/documents/?uuid=ec6279b7-d53f-32d7-b762-dc2d02b28d00"]},{"id":"ITEM-2","itemData":{"DOI":"10.1002/glia.22311","ISSN":"0894-1491","abstract":"Abstract Brain insults, including traumatic and ischemic injuries, are frequently followed by acute seizures and delayed development of epilepsy. Dysfunction of the blood-brain barrier (BBB) is a hallmark of brain insults and is usually surrounding the core lesion. Recent studies from several laboratories confirmed that vascular pathology is involved in the development of epilepsy and demonstrate a key role for astroglia in this process. In this review, we focus on glia-related mechanisms linking vascular pathology, and specifically BBB dysfunction, to seizures and epilepsy. We summarize molecular and physiological experimental data demonstrating that the function of astrocytes is altered due to direct exposure to serum albumin, mediated by transforming growth factor beta signaling. We discuss the reported changes and their potential role in the observed hyperexcitability as well as potential implications of these findings for the future development of new diagnostic modalities and treatments to allow a full implementation of the gained knowledge for the benefit of patients with epilepsy. ? 2012 Wiley Periodicals, Inc.","author":[{"dropping-particle":"","family":"Heinemann","given":"Uwe","non-dropping-particle":"","parse-names":false,"suffix":""},{"dropping-particle":"","family":"Kaufer","given":"Daniela","non-dropping-particle":"","parse-names":false,"suffix":""},{"dropping-particle":"","family":"Friedman","given":"Alon","non-dropping-particle":"","parse-names":false,"suffix":""}],"container-title":"Glia","id":"ITEM-2","issue":"8","issued":{"date-parts":[["2012","8","1"]]},"note":"doi: 10.1002/glia.22311","page":"1251-1257","publisher":"John Wiley &amp; Sons, Ltd","title":"Blood-brain barrier dysfunction, TGFβ signaling, and astrocyte dysfunction in epilepsy","type":"article-journal","volume":"60"},"uris":["http://www.mendeley.com/documents/?uuid=c9d8416a-2774-3125-97ba-d39e4afec6fa"]}],"mendeley":{"formattedCitation":"&lt;span style=\"baseline\"&gt;[42, 43]&lt;/span&gt;","plainTextFormattedCitation":"[42, 43]","previouslyFormattedCitation":"&lt;span style=\"baseline\"&gt;[42, 43]&lt;/span&gt;"},"properties":{"noteIndex":0},"schema":"https://github.com/citation-style-language/schema/raw/master/csl-citation.json"}</w:instrText>
      </w:r>
      <w:r w:rsidR="006B0FF4" w:rsidRPr="00190491">
        <w:rPr>
          <w:color w:val="auto"/>
          <w:lang w:val="en-GB"/>
        </w:rPr>
        <w:fldChar w:fldCharType="end"/>
      </w:r>
      <w:r w:rsidR="00243419" w:rsidRPr="00190491">
        <w:rPr>
          <w:color w:val="auto"/>
          <w:lang w:val="en-GB"/>
        </w:rPr>
        <w:t>. T</w:t>
      </w:r>
      <w:r w:rsidRPr="00190491">
        <w:rPr>
          <w:color w:val="auto"/>
          <w:lang w:val="en-GB"/>
        </w:rPr>
        <w:t xml:space="preserve">he risk of epilepsy in children has been associated with </w:t>
      </w:r>
      <w:r w:rsidR="00AA5ADE" w:rsidRPr="00190491">
        <w:rPr>
          <w:color w:val="auto"/>
          <w:lang w:val="en-GB"/>
        </w:rPr>
        <w:t xml:space="preserve">the duration of </w:t>
      </w:r>
      <w:r w:rsidRPr="00190491">
        <w:rPr>
          <w:color w:val="auto"/>
          <w:lang w:val="en-GB"/>
        </w:rPr>
        <w:t>breastfeeding</w:t>
      </w:r>
      <w:r w:rsidR="00243419" w:rsidRPr="00190491">
        <w:rPr>
          <w:color w:val="auto"/>
          <w:lang w:val="en-GB"/>
        </w:rPr>
        <w:t>,</w:t>
      </w:r>
      <w:r w:rsidR="00AA5ADE" w:rsidRPr="00190491">
        <w:rPr>
          <w:color w:val="auto"/>
          <w:lang w:val="en-GB"/>
        </w:rPr>
        <w:t xml:space="preserve"> with </w:t>
      </w:r>
      <w:r w:rsidR="00330D6B" w:rsidRPr="00190491">
        <w:rPr>
          <w:color w:val="auto"/>
          <w:lang w:val="en-GB"/>
        </w:rPr>
        <w:t xml:space="preserve">a </w:t>
      </w:r>
      <w:r w:rsidR="00AA5ADE" w:rsidRPr="00190491">
        <w:rPr>
          <w:color w:val="auto"/>
          <w:lang w:val="en-GB"/>
        </w:rPr>
        <w:t xml:space="preserve">longer duration </w:t>
      </w:r>
      <w:r w:rsidR="00330D6B" w:rsidRPr="00190491">
        <w:rPr>
          <w:color w:val="auto"/>
          <w:lang w:val="en-GB"/>
        </w:rPr>
        <w:t xml:space="preserve">of breastfeeding </w:t>
      </w:r>
      <w:r w:rsidR="00CC3696">
        <w:rPr>
          <w:color w:val="auto"/>
          <w:lang w:val="en-GB"/>
        </w:rPr>
        <w:t xml:space="preserve">suggested to </w:t>
      </w:r>
      <w:r w:rsidR="00AA5ADE" w:rsidRPr="00190491">
        <w:rPr>
          <w:color w:val="auto"/>
          <w:lang w:val="en-GB"/>
        </w:rPr>
        <w:t xml:space="preserve">offer protective </w:t>
      </w:r>
      <w:r w:rsidR="00CC3696">
        <w:rPr>
          <w:color w:val="auto"/>
          <w:lang w:val="en-GB"/>
        </w:rPr>
        <w:t>benefits</w:t>
      </w:r>
      <w:r w:rsidR="006B0FF4" w:rsidRPr="00190491">
        <w:rPr>
          <w:color w:val="auto"/>
          <w:lang w:val="en-GB"/>
        </w:rPr>
        <w:t xml:space="preserve"> </w:t>
      </w:r>
      <w:r w:rsidR="006B0FF4" w:rsidRPr="00190491">
        <w:rPr>
          <w:color w:val="auto"/>
          <w:lang w:val="en-GB"/>
        </w:rPr>
        <w:fldChar w:fldCharType="begin" w:fldLock="1"/>
      </w:r>
      <w:r w:rsidR="008253DA">
        <w:rPr>
          <w:color w:val="auto"/>
          <w:lang w:val="en-GB"/>
        </w:rPr>
        <w:instrText>ADDIN CSL_CITATION {"citationItems":[{"id":"ITEM-1","itemData":{"DOI":"10.1016/j.jpeds.2010.11.035","ISSN":"0022-3476","author":[{"dropping-particle":"","family":"Sun","given":"Yuelian","non-dropping-particle":"","parse-names":false,"suffix":""},{"dropping-particle":"","family":"Vestergaard","given":"Mogens","non-dropping-particle":"","parse-names":false,"suffix":""},{"dropping-particle":"","family":"Christensen","given":"Jakob","non-dropping-particle":"","parse-names":false,"suffix":""},{"dropping-particle":"","family":"Olsen","given":"Jørn","non-dropping-particle":"","parse-names":false,"suffix":""}],"container-title":"The Journal of Pediatrics","id":"ITEM-1","issue":"6","issued":{"date-parts":[["2011","6","1"]]},"note":"doi: 10.1016/j.jpeds.2010.11.035","page":"924-929","publisher":"Elsevier","title":"Breastfeeding and Risk of Epilepsy in Childhood: A Birth Cohort Study","type":"article-journal","volume":"158"},"uris":["http://www.mendeley.com/documents/?uuid=61ef2cb1-8d31-3c76-9f0f-16c20c8ff9c8"]}],"mendeley":{"formattedCitation":"&lt;span style=\"baseline\"&gt;[44]&lt;/span&gt;","plainTextFormattedCitation":"[44]","previouslyFormattedCitation":"&lt;span style=\"baseline\"&gt;[44]&lt;/span&gt;"},"properties":{"noteIndex":0},"schema":"https://github.com/citation-style-language/schema/raw/master/csl-citation.json"}</w:instrText>
      </w:r>
      <w:r w:rsidR="006B0FF4" w:rsidRPr="00190491">
        <w:rPr>
          <w:color w:val="auto"/>
          <w:lang w:val="en-GB"/>
        </w:rPr>
        <w:fldChar w:fldCharType="separate"/>
      </w:r>
      <w:r w:rsidR="00E6617B" w:rsidRPr="00E6617B">
        <w:rPr>
          <w:noProof/>
          <w:color w:val="auto"/>
          <w:lang w:val="en-GB"/>
        </w:rPr>
        <w:t>[44]</w:t>
      </w:r>
      <w:r w:rsidR="006B0FF4" w:rsidRPr="00190491">
        <w:rPr>
          <w:color w:val="auto"/>
          <w:lang w:val="en-GB"/>
        </w:rPr>
        <w:fldChar w:fldCharType="end"/>
      </w:r>
      <w:r w:rsidRPr="00190491">
        <w:rPr>
          <w:color w:val="auto"/>
          <w:lang w:val="en-GB"/>
        </w:rPr>
        <w:t>.</w:t>
      </w:r>
      <w:r w:rsidR="008E7345">
        <w:rPr>
          <w:color w:val="auto"/>
          <w:lang w:val="en-GB"/>
        </w:rPr>
        <w:t xml:space="preserve"> </w:t>
      </w:r>
      <w:r w:rsidR="00AA5ADE" w:rsidRPr="00190491">
        <w:rPr>
          <w:color w:val="auto"/>
          <w:lang w:val="en-GB"/>
        </w:rPr>
        <w:t xml:space="preserve">The </w:t>
      </w:r>
      <w:r w:rsidR="00620B80" w:rsidRPr="00190491">
        <w:rPr>
          <w:color w:val="auto"/>
          <w:lang w:val="en-GB"/>
        </w:rPr>
        <w:t>other</w:t>
      </w:r>
      <w:r w:rsidR="00AA5ADE" w:rsidRPr="00190491">
        <w:rPr>
          <w:color w:val="auto"/>
          <w:lang w:val="en-GB"/>
        </w:rPr>
        <w:t xml:space="preserve"> </w:t>
      </w:r>
      <w:r w:rsidR="00CC3696">
        <w:rPr>
          <w:color w:val="auto"/>
          <w:lang w:val="en-GB"/>
        </w:rPr>
        <w:t xml:space="preserve">significant </w:t>
      </w:r>
      <w:r w:rsidR="00AA5ADE" w:rsidRPr="00190491">
        <w:rPr>
          <w:color w:val="auto"/>
          <w:lang w:val="en-GB"/>
        </w:rPr>
        <w:t>CpG site, cg03592955, located on the long intergenic non-protein coding RNA 840 (</w:t>
      </w:r>
      <w:r w:rsidR="00AA5ADE" w:rsidRPr="00991D93">
        <w:rPr>
          <w:i/>
          <w:iCs/>
          <w:color w:val="auto"/>
          <w:lang w:val="en-GB"/>
        </w:rPr>
        <w:t>LINC00840</w:t>
      </w:r>
      <w:r w:rsidR="00AA5ADE" w:rsidRPr="00190491">
        <w:rPr>
          <w:color w:val="auto"/>
          <w:lang w:val="en-GB"/>
        </w:rPr>
        <w:t>)</w:t>
      </w:r>
      <w:r w:rsidR="00620B80" w:rsidRPr="00190491">
        <w:rPr>
          <w:color w:val="auto"/>
          <w:lang w:val="en-GB"/>
        </w:rPr>
        <w:t>, was hypomethylated</w:t>
      </w:r>
      <w:r w:rsidR="00AA5ADE" w:rsidRPr="00190491">
        <w:rPr>
          <w:color w:val="auto"/>
          <w:lang w:val="en-GB"/>
        </w:rPr>
        <w:t xml:space="preserve">. </w:t>
      </w:r>
      <w:r w:rsidR="00C7245D">
        <w:rPr>
          <w:color w:val="auto"/>
          <w:lang w:val="en-GB"/>
        </w:rPr>
        <w:t xml:space="preserve">However, post-hoc power </w:t>
      </w:r>
      <w:r w:rsidR="008C6E1D">
        <w:rPr>
          <w:color w:val="auto"/>
          <w:lang w:val="en-GB"/>
        </w:rPr>
        <w:t>calculations</w:t>
      </w:r>
      <w:r w:rsidR="00C7245D">
        <w:rPr>
          <w:color w:val="auto"/>
          <w:lang w:val="en-GB"/>
        </w:rPr>
        <w:t xml:space="preserve"> suggest that </w:t>
      </w:r>
      <w:r w:rsidR="006B7857">
        <w:rPr>
          <w:color w:val="auto"/>
          <w:lang w:val="en-GB"/>
        </w:rPr>
        <w:t xml:space="preserve">the site-specific power to detect the observed effect sizes in this analysis was only </w:t>
      </w:r>
      <w:r w:rsidR="00C7245D">
        <w:rPr>
          <w:color w:val="auto"/>
          <w:lang w:val="en-GB"/>
        </w:rPr>
        <w:t xml:space="preserve">4% and 1% for </w:t>
      </w:r>
      <w:r w:rsidR="008C6E1D" w:rsidRPr="00190491">
        <w:rPr>
          <w:lang w:val="en-GB"/>
        </w:rPr>
        <w:t>cg03592955</w:t>
      </w:r>
      <w:r w:rsidR="00C7245D">
        <w:rPr>
          <w:color w:val="auto"/>
          <w:lang w:val="en-GB"/>
        </w:rPr>
        <w:t xml:space="preserve"> and </w:t>
      </w:r>
      <w:r w:rsidR="00C7245D" w:rsidRPr="00190491">
        <w:rPr>
          <w:color w:val="auto"/>
          <w:lang w:val="en-GB"/>
        </w:rPr>
        <w:t>cg08188863</w:t>
      </w:r>
      <w:r w:rsidR="006B7857">
        <w:rPr>
          <w:color w:val="auto"/>
          <w:lang w:val="en-GB"/>
        </w:rPr>
        <w:t>, respectively. This may be reflective of a truly small effect of breastfeeding on DNAm patterns 10 years later.</w:t>
      </w:r>
      <w:r w:rsidR="005C480A">
        <w:rPr>
          <w:color w:val="auto"/>
          <w:lang w:val="en-GB"/>
        </w:rPr>
        <w:t xml:space="preserve"> It is possible that larger effects may be detected if DNAm was measured at earlier ages</w:t>
      </w:r>
      <w:r w:rsidR="006B7857">
        <w:rPr>
          <w:color w:val="auto"/>
          <w:lang w:val="en-GB"/>
        </w:rPr>
        <w:t xml:space="preserve">. However, </w:t>
      </w:r>
      <w:r w:rsidR="00116C1A">
        <w:rPr>
          <w:color w:val="auto"/>
          <w:lang w:val="en-GB"/>
        </w:rPr>
        <w:t>due to the</w:t>
      </w:r>
      <w:r w:rsidR="006B7857">
        <w:rPr>
          <w:color w:val="auto"/>
          <w:lang w:val="en-GB"/>
        </w:rPr>
        <w:t xml:space="preserve"> low power</w:t>
      </w:r>
      <w:r w:rsidR="005C480A">
        <w:rPr>
          <w:color w:val="auto"/>
          <w:lang w:val="en-GB"/>
        </w:rPr>
        <w:t xml:space="preserve"> to detect significant differences in methylation of DMPs following correction for multiple testing, </w:t>
      </w:r>
      <w:r w:rsidR="006B7857">
        <w:rPr>
          <w:color w:val="auto"/>
          <w:lang w:val="en-GB"/>
        </w:rPr>
        <w:t xml:space="preserve">it </w:t>
      </w:r>
      <w:r w:rsidR="00F15476">
        <w:rPr>
          <w:color w:val="auto"/>
          <w:lang w:val="en-GB"/>
        </w:rPr>
        <w:t xml:space="preserve">is </w:t>
      </w:r>
      <w:r w:rsidR="006B7857">
        <w:rPr>
          <w:color w:val="auto"/>
          <w:lang w:val="en-GB"/>
        </w:rPr>
        <w:t xml:space="preserve">also </w:t>
      </w:r>
      <w:r w:rsidR="004161D8">
        <w:rPr>
          <w:color w:val="auto"/>
          <w:lang w:val="en-GB"/>
        </w:rPr>
        <w:t>possible th</w:t>
      </w:r>
      <w:r w:rsidR="006B7857">
        <w:rPr>
          <w:color w:val="auto"/>
          <w:lang w:val="en-GB"/>
        </w:rPr>
        <w:t>at the</w:t>
      </w:r>
      <w:r w:rsidR="008C6E1D">
        <w:rPr>
          <w:color w:val="auto"/>
          <w:lang w:val="en-GB"/>
        </w:rPr>
        <w:t xml:space="preserve"> two significant </w:t>
      </w:r>
      <w:r w:rsidR="005C480A">
        <w:rPr>
          <w:color w:val="auto"/>
          <w:lang w:val="en-GB"/>
        </w:rPr>
        <w:t xml:space="preserve">DMP </w:t>
      </w:r>
      <w:r w:rsidR="008C6E1D">
        <w:rPr>
          <w:color w:val="auto"/>
          <w:lang w:val="en-GB"/>
        </w:rPr>
        <w:t xml:space="preserve">associations detected were </w:t>
      </w:r>
      <w:r w:rsidR="004161D8">
        <w:rPr>
          <w:color w:val="auto"/>
          <w:lang w:val="en-GB"/>
        </w:rPr>
        <w:t xml:space="preserve">in fact </w:t>
      </w:r>
      <w:r w:rsidR="008C6E1D">
        <w:rPr>
          <w:color w:val="auto"/>
          <w:lang w:val="en-GB"/>
        </w:rPr>
        <w:t>false positive</w:t>
      </w:r>
      <w:r w:rsidR="004161D8">
        <w:rPr>
          <w:color w:val="auto"/>
          <w:lang w:val="en-GB"/>
        </w:rPr>
        <w:t xml:space="preserve"> results</w:t>
      </w:r>
      <w:r w:rsidR="006B7857">
        <w:rPr>
          <w:color w:val="auto"/>
          <w:lang w:val="en-GB"/>
        </w:rPr>
        <w:t xml:space="preserve">. </w:t>
      </w:r>
      <w:r w:rsidR="008C6E1D">
        <w:rPr>
          <w:color w:val="auto"/>
          <w:lang w:val="en-GB"/>
        </w:rPr>
        <w:t xml:space="preserve"> </w:t>
      </w:r>
      <w:r w:rsidR="00330D6B" w:rsidRPr="00190491">
        <w:rPr>
          <w:color w:val="auto"/>
          <w:lang w:val="en-GB"/>
        </w:rPr>
        <w:t>O</w:t>
      </w:r>
      <w:r w:rsidR="00AC7EC0" w:rsidRPr="00190491">
        <w:rPr>
          <w:color w:val="auto"/>
          <w:lang w:val="en-GB"/>
        </w:rPr>
        <w:t xml:space="preserve">ne </w:t>
      </w:r>
      <w:r w:rsidR="001A5ADD" w:rsidRPr="00190491">
        <w:rPr>
          <w:color w:val="auto"/>
          <w:lang w:val="en-GB"/>
        </w:rPr>
        <w:t>differentially methylated region (</w:t>
      </w:r>
      <w:r w:rsidR="00AC7EC0" w:rsidRPr="00190491">
        <w:rPr>
          <w:color w:val="auto"/>
          <w:lang w:val="en-GB"/>
        </w:rPr>
        <w:t>DMR</w:t>
      </w:r>
      <w:r w:rsidR="001A5ADD" w:rsidRPr="00190491">
        <w:rPr>
          <w:color w:val="auto"/>
          <w:lang w:val="en-GB"/>
        </w:rPr>
        <w:t>)</w:t>
      </w:r>
      <w:r w:rsidR="00AC7EC0" w:rsidRPr="00190491">
        <w:rPr>
          <w:color w:val="auto"/>
          <w:lang w:val="en-GB"/>
        </w:rPr>
        <w:t xml:space="preserve"> was found to be significantly associated with the exposure of breastfeeding duration &gt;3 months. </w:t>
      </w:r>
      <w:r w:rsidR="00243419" w:rsidRPr="00190491">
        <w:rPr>
          <w:color w:val="auto"/>
          <w:lang w:val="en-GB"/>
        </w:rPr>
        <w:t>This DMR harbours the gene, farnesyl‐diphosphate</w:t>
      </w:r>
      <w:r w:rsidR="0010372E" w:rsidRPr="00190491">
        <w:rPr>
          <w:color w:val="auto"/>
          <w:lang w:val="en-GB"/>
        </w:rPr>
        <w:t xml:space="preserve"> farnesyltransferase 1 (</w:t>
      </w:r>
      <w:r w:rsidR="0010372E" w:rsidRPr="00991D93">
        <w:rPr>
          <w:i/>
          <w:iCs/>
          <w:color w:val="auto"/>
          <w:lang w:val="en-GB"/>
        </w:rPr>
        <w:t>FDFT1</w:t>
      </w:r>
      <w:r w:rsidR="0010372E" w:rsidRPr="00190491">
        <w:rPr>
          <w:color w:val="auto"/>
          <w:lang w:val="en-GB"/>
        </w:rPr>
        <w:t xml:space="preserve">), which </w:t>
      </w:r>
      <w:r w:rsidR="00243419" w:rsidRPr="00190491">
        <w:rPr>
          <w:color w:val="auto"/>
          <w:lang w:val="en-GB"/>
        </w:rPr>
        <w:t>encodes a key enzyme</w:t>
      </w:r>
      <w:r w:rsidR="00F5632D" w:rsidRPr="00190491">
        <w:rPr>
          <w:color w:val="auto"/>
          <w:lang w:val="en-GB"/>
        </w:rPr>
        <w:t>,</w:t>
      </w:r>
      <w:r w:rsidR="00243419" w:rsidRPr="00190491">
        <w:rPr>
          <w:color w:val="auto"/>
          <w:lang w:val="en-GB"/>
        </w:rPr>
        <w:t xml:space="preserve"> </w:t>
      </w:r>
      <w:r w:rsidR="00F5632D" w:rsidRPr="00190491">
        <w:rPr>
          <w:rFonts w:cs="Calibri"/>
          <w:lang w:val="en-GB"/>
        </w:rPr>
        <w:t xml:space="preserve">squalene synthase, </w:t>
      </w:r>
      <w:r w:rsidR="00243419" w:rsidRPr="00190491">
        <w:rPr>
          <w:color w:val="auto"/>
          <w:lang w:val="en-GB"/>
        </w:rPr>
        <w:t>in</w:t>
      </w:r>
      <w:r w:rsidR="00DF7301">
        <w:rPr>
          <w:color w:val="auto"/>
          <w:lang w:val="en-GB"/>
        </w:rPr>
        <w:t>volved in</w:t>
      </w:r>
      <w:r w:rsidR="00243419" w:rsidRPr="00190491">
        <w:rPr>
          <w:color w:val="auto"/>
          <w:lang w:val="en-GB"/>
        </w:rPr>
        <w:t xml:space="preserve"> sterol biosynthesis. </w:t>
      </w:r>
      <w:r w:rsidR="00AE23B4" w:rsidRPr="00190491">
        <w:rPr>
          <w:rFonts w:cs="Calibri"/>
          <w:lang w:val="en-GB"/>
        </w:rPr>
        <w:t xml:space="preserve">The expression of </w:t>
      </w:r>
      <w:r w:rsidR="00AE23B4" w:rsidRPr="00991D93">
        <w:rPr>
          <w:rFonts w:cs="Calibri"/>
          <w:i/>
          <w:iCs/>
          <w:lang w:val="en-GB"/>
        </w:rPr>
        <w:t>FDFT1</w:t>
      </w:r>
      <w:r w:rsidR="00AE23B4" w:rsidRPr="00190491">
        <w:rPr>
          <w:rFonts w:cs="Calibri"/>
          <w:lang w:val="en-GB"/>
        </w:rPr>
        <w:t xml:space="preserve"> has been found to be elevated in </w:t>
      </w:r>
      <w:r w:rsidR="00DF7301">
        <w:rPr>
          <w:rFonts w:cs="Calibri"/>
          <w:lang w:val="en-GB"/>
        </w:rPr>
        <w:t xml:space="preserve">the </w:t>
      </w:r>
      <w:r w:rsidR="00AE23B4" w:rsidRPr="00190491">
        <w:rPr>
          <w:rFonts w:cs="Calibri"/>
          <w:lang w:val="en-GB"/>
        </w:rPr>
        <w:t xml:space="preserve">visceral fat </w:t>
      </w:r>
      <w:r w:rsidR="00DF7301">
        <w:rPr>
          <w:rFonts w:cs="Calibri"/>
          <w:lang w:val="en-GB"/>
        </w:rPr>
        <w:t>of</w:t>
      </w:r>
      <w:r w:rsidR="00AE23B4" w:rsidRPr="00190491">
        <w:rPr>
          <w:rFonts w:cs="Calibri"/>
          <w:lang w:val="en-GB"/>
        </w:rPr>
        <w:t xml:space="preserve"> individuals with abdominal obesity </w:t>
      </w:r>
      <w:r w:rsidR="00D05E55" w:rsidRPr="00190491">
        <w:rPr>
          <w:rFonts w:cs="Calibri"/>
          <w:lang w:val="en-GB"/>
        </w:rPr>
        <w:fldChar w:fldCharType="begin" w:fldLock="1"/>
      </w:r>
      <w:r w:rsidR="008253DA">
        <w:rPr>
          <w:rFonts w:cs="Calibri"/>
          <w:lang w:val="en-GB"/>
        </w:rPr>
        <w:instrText>ADDIN CSL_CITATION {"citationItems":[{"id":"ITEM-1","itemData":{"DOI":"10.1038/oby.2006.132","ISSN":"1930-7381","abstract":"Abstract Objective: To investigate the impact of visceral obesity on cholesterol metabolism in normoglycemic offspring of patients with type 2 diabetes. Research Methods and Procedures: The proportion of intra-abdominal fat (IAF) was measured by abdominal computer tomography, and serum cholesterol synthesis and absorption markers were determined by gas-liquid chromatography in 109 normoglycemic offspring of patients with type 2 diabetes. Insulin action was measured with the hyperinsulinemic euglycemic clamp. The gene encoding squalene synthase (farnesyl-diphosphate farnesyltransferase 1) was screened with the single-strand conformation polymorphism analysis and direct sequencing. Results: Cholesterol synthesis markers correlated positively with IAF (r = 0.213 to 0.309, p ≤ 0.027) and negatively with the rates of insulin-stimulated whole-body glucose uptake (r = ?0.372 to ?0.248, p ≤ 0.010). However, serum squalene, the first measured precursor of cholesterol synthesis, showed a positive correlation with IAF (r = 0.309, p = 0.001) without any association with subcutaneous fat or insulin sensitivity. Variation in the farnesyl-diphosphate farnesyltransferase 1 gene did not explain elevated serum squalene levels in viscerally obese subjects. From the cholesterol absorption markers, cholestanol was associated negatively with IAF and positively with whole-body glucose uptake (p &lt; 0.05). Discussion: High serum squalene levels are associated with visceral obesity but not with subcutaneous obesity. Whether this finding is causally connected to visceral obesity remains to be established.","author":[{"dropping-particle":"","family":"Peltola","given":"Paula","non-dropping-particle":"","parse-names":false,"suffix":""},{"dropping-particle":"","family":"Pihlajamäki","given":"Jussi","non-dropping-particle":"","parse-names":false,"suffix":""},{"dropping-particle":"","family":"Koutnikova","given":"Hana","non-dropping-particle":"","parse-names":false,"suffix":""},{"dropping-particle":"","family":"Ruotsalainen","given":"Eija","non-dropping-particle":"","parse-names":false,"suffix":""},{"dropping-particle":"","family":"Salmenniemi","given":"Urpu","non-dropping-particle":"","parse-names":false,"suffix":""},{"dropping-particle":"","family":"Vauhkonen","given":"Ilkka","non-dropping-particle":"","parse-names":false,"suffix":""},{"dropping-particle":"","family":"Kainulainen","given":"Sakari","non-dropping-particle":"","parse-names":false,"suffix":""},{"dropping-particle":"","family":"Gylling","given":"Helena","non-dropping-particle":"","parse-names":false,"suffix":""},{"dropping-particle":"","family":"Miettinen","given":"Tatu A","non-dropping-particle":"","parse-names":false,"suffix":""},{"dropping-particle":"","family":"Auwerx","given":"Johan","non-dropping-particle":"","parse-names":false,"suffix":""},{"dropping-particle":"","family":"Laakso","given":"Markku","non-dropping-particle":"","parse-names":false,"suffix":""}],"container-title":"Obesity","id":"ITEM-1","issue":"7","issued":{"date-parts":[["2006","7","1"]]},"note":"doi: 10.1038/oby.2006.132","page":"1155-1163","publisher":"John Wiley &amp; Sons, Ltd","title":"Visceral Obesity is Associated with High Levels of Serum Squalene","type":"article-journal","volume":"14"},"uris":["http://www.mendeley.com/documents/?uuid=bd74b19c-383c-3379-8931-6dd76ae07152"]}],"mendeley":{"formattedCitation":"&lt;span style=\"baseline\"&gt;[45]&lt;/span&gt;","plainTextFormattedCitation":"[45]","previouslyFormattedCitation":"&lt;span style=\"baseline\"&gt;[45]&lt;/span&gt;"},"properties":{"noteIndex":0},"schema":"https://github.com/citation-style-language/schema/raw/master/csl-citation.json"}</w:instrText>
      </w:r>
      <w:r w:rsidR="00D05E55" w:rsidRPr="00190491">
        <w:rPr>
          <w:rFonts w:cs="Calibri"/>
          <w:lang w:val="en-GB"/>
        </w:rPr>
        <w:fldChar w:fldCharType="separate"/>
      </w:r>
      <w:r w:rsidR="00E6617B" w:rsidRPr="00E6617B">
        <w:rPr>
          <w:rFonts w:cs="Calibri"/>
          <w:noProof/>
          <w:lang w:val="en-GB"/>
        </w:rPr>
        <w:t>[45]</w:t>
      </w:r>
      <w:r w:rsidR="00D05E55" w:rsidRPr="00190491">
        <w:rPr>
          <w:rFonts w:cs="Calibri"/>
          <w:lang w:val="en-GB"/>
        </w:rPr>
        <w:fldChar w:fldCharType="end"/>
      </w:r>
      <w:r w:rsidR="00AE23B4" w:rsidRPr="00190491">
        <w:rPr>
          <w:rFonts w:cs="Calibri"/>
          <w:lang w:val="en-GB"/>
        </w:rPr>
        <w:t xml:space="preserve">. </w:t>
      </w:r>
      <w:r w:rsidR="00517F9F">
        <w:rPr>
          <w:rFonts w:cs="Calibri"/>
          <w:lang w:val="en-GB"/>
        </w:rPr>
        <w:t xml:space="preserve">Inhibitors of </w:t>
      </w:r>
      <w:r w:rsidR="00517F9F" w:rsidRPr="00991D93">
        <w:rPr>
          <w:rFonts w:cs="Calibri"/>
          <w:i/>
          <w:iCs/>
          <w:lang w:val="en-GB"/>
        </w:rPr>
        <w:t>FDFT1</w:t>
      </w:r>
      <w:r w:rsidR="00517F9F">
        <w:rPr>
          <w:rFonts w:cs="Calibri"/>
          <w:lang w:val="en-GB"/>
        </w:rPr>
        <w:t xml:space="preserve"> have been suggested for </w:t>
      </w:r>
      <w:r w:rsidR="00AE23B4" w:rsidRPr="00190491">
        <w:rPr>
          <w:rFonts w:cs="Calibri"/>
          <w:lang w:val="en-GB"/>
        </w:rPr>
        <w:t xml:space="preserve">the treatment of </w:t>
      </w:r>
      <w:r w:rsidR="00DB4CD8" w:rsidRPr="00190491">
        <w:rPr>
          <w:rFonts w:cs="Calibri"/>
          <w:lang w:val="en-GB"/>
        </w:rPr>
        <w:t>hyperlipidaemia</w:t>
      </w:r>
      <w:r w:rsidR="00D05E55" w:rsidRPr="00190491">
        <w:rPr>
          <w:rFonts w:cs="Calibri"/>
          <w:lang w:val="en-GB"/>
        </w:rPr>
        <w:t xml:space="preserve"> </w:t>
      </w:r>
      <w:r w:rsidR="00D05E55" w:rsidRPr="00190491">
        <w:rPr>
          <w:rFonts w:cs="Calibri"/>
          <w:lang w:val="en-GB"/>
        </w:rPr>
        <w:fldChar w:fldCharType="begin" w:fldLock="1"/>
      </w:r>
      <w:r w:rsidR="008253DA">
        <w:rPr>
          <w:rFonts w:cs="Calibri"/>
          <w:lang w:val="en-GB"/>
        </w:rPr>
        <w:instrText>ADDIN CSL_CITATION {"citationItems":[{"id":"ITEM-1","itemData":{"DOI":"10.3390/molecules23051040","ISSN":"1420-3049","PMID":"29710800","abstract":"Squalene synthase (SQS), a key downstream enzyme involved in the cholesterol biosynthetic pathway, plays an important role in treating hyperlipidemia. Compared to statins, SQS inhibitors have shown a very significant lipid-lowering effect and do not cause myotoxicity. Thus, the paper aims to discover potential SQS inhibitors from Traditional Chinese Medicine (TCM) by the combination of molecular modeling methods and biological assays. In this study, cynarin was selected as a potential SQS inhibitor candidate compound based on its pharmacophoric properties, molecular docking studies and molecular dynamics (MD) simulations. Cynarin could form hydrophobic interactions with PHE54, LEU211, LEU183 and PRO292, which are regarded as important interactions for the SQS inhibitors. In addition, the lipid-lowering effect of cynarin was tested in sodium oleate-induced HepG2 cells by decreasing the lipidemic parameter triglyceride (TG) level by 22.50%. Finally. cynarin was reversely screened against other anti-hyperlipidemia targets which existed in HepG2 cells and cynarin was unable to map with the pharmacophore of these targets, which indicated that the lipid-lowering effects of cynarin might be due to the inhibition of SQS. This study discovered cynarin is a potential SQS inhibitor from TCM, which could be further clinically explored for the treatment of hyperlipidemia.","author":[{"dropping-particle":"","family":"Chen","given":"Yankun","non-dropping-particle":"","parse-names":false,"suffix":""},{"dropping-particle":"","family":"Chen","given":"Xi","non-dropping-particle":"","parse-names":false,"suffix":""},{"dropping-particle":"","family":"Luo","given":"Ganggang","non-dropping-particle":"","parse-names":false,"suffix":""},{"dropping-particle":"","family":"Zhang","given":"Xu","non-dropping-particle":"","parse-names":false,"suffix":""},{"dropping-particle":"","family":"Lu","given":"Fang","non-dropping-particle":"","parse-names":false,"suffix":""},{"dropping-particle":"","family":"Qiao","given":"Liansheng","non-dropping-particle":"","parse-names":false,"suffix":""},{"dropping-particle":"","family":"He","given":"Wenjing","non-dropping-particle":"","parse-names":false,"suffix":""},{"dropping-particle":"","family":"Li","given":"Gongyu","non-dropping-particle":"","parse-names":false,"suffix":""},{"dropping-particle":"","family":"Zhang","given":"Yanling","non-dropping-particle":"","parse-names":false,"suffix":""}],"container-title":"Molecules (Basel, Switzerland)","id":"ITEM-1","issue":"5","issued":{"date-parts":[["2018","4","28"]]},"language":"eng","page":"1040","publisher":"MDPI","title":"Discovery of Potential Inhibitors of Squalene Synthase from Traditional Chinese Medicine Based on Virtual Screening and In Vitro Evaluation of Lipid-Lowering Effect","type":"article-journal","volume":"23"},"uris":["http://www.mendeley.com/documents/?uuid=fd16d6de-ff10-3072-b9e2-526e3d187523"]}],"mendeley":{"formattedCitation":"&lt;span style=\"baseline\"&gt;[46]&lt;/span&gt;","plainTextFormattedCitation":"[46]","previouslyFormattedCitation":"&lt;span style=\"baseline\"&gt;[46]&lt;/span&gt;"},"properties":{"noteIndex":0},"schema":"https://github.com/citation-style-language/schema/raw/master/csl-citation.json"}</w:instrText>
      </w:r>
      <w:r w:rsidR="00D05E55" w:rsidRPr="00190491">
        <w:rPr>
          <w:rFonts w:cs="Calibri"/>
          <w:lang w:val="en-GB"/>
        </w:rPr>
        <w:fldChar w:fldCharType="separate"/>
      </w:r>
      <w:r w:rsidR="00E6617B" w:rsidRPr="00E6617B">
        <w:rPr>
          <w:rFonts w:cs="Calibri"/>
          <w:noProof/>
          <w:lang w:val="en-GB"/>
        </w:rPr>
        <w:t>[46]</w:t>
      </w:r>
      <w:r w:rsidR="00D05E55" w:rsidRPr="00190491">
        <w:rPr>
          <w:rFonts w:cs="Calibri"/>
          <w:lang w:val="en-GB"/>
        </w:rPr>
        <w:fldChar w:fldCharType="end"/>
      </w:r>
      <w:r w:rsidR="00AE23B4" w:rsidRPr="00190491">
        <w:rPr>
          <w:rFonts w:cs="Calibri"/>
          <w:lang w:val="en-GB"/>
        </w:rPr>
        <w:t>. In addition,</w:t>
      </w:r>
      <w:r w:rsidR="00C1082E" w:rsidRPr="00190491">
        <w:rPr>
          <w:rFonts w:cs="Calibri"/>
          <w:lang w:val="en-GB"/>
        </w:rPr>
        <w:t xml:space="preserve"> homozygous</w:t>
      </w:r>
      <w:r w:rsidR="00AE23B4" w:rsidRPr="00190491">
        <w:rPr>
          <w:rFonts w:cs="Calibri"/>
          <w:lang w:val="en-GB"/>
        </w:rPr>
        <w:t xml:space="preserve"> </w:t>
      </w:r>
      <w:r w:rsidR="00C1082E" w:rsidRPr="00190491">
        <w:rPr>
          <w:rFonts w:cs="Calibri"/>
          <w:lang w:val="en-GB"/>
        </w:rPr>
        <w:t>knock</w:t>
      </w:r>
      <w:r w:rsidR="00F5632D" w:rsidRPr="00190491">
        <w:rPr>
          <w:rFonts w:cs="Calibri"/>
          <w:lang w:val="en-GB"/>
        </w:rPr>
        <w:t>-</w:t>
      </w:r>
      <w:r w:rsidR="00C1082E" w:rsidRPr="00190491">
        <w:rPr>
          <w:rFonts w:cs="Calibri"/>
          <w:lang w:val="en-GB"/>
        </w:rPr>
        <w:t xml:space="preserve">out mice </w:t>
      </w:r>
      <w:r w:rsidR="00F5632D" w:rsidRPr="00190491">
        <w:rPr>
          <w:rFonts w:cs="Calibri"/>
          <w:lang w:val="en-GB"/>
        </w:rPr>
        <w:t xml:space="preserve">have shown </w:t>
      </w:r>
      <w:r w:rsidR="00C1082E" w:rsidRPr="00190491">
        <w:rPr>
          <w:rFonts w:cs="Calibri"/>
          <w:lang w:val="en-GB"/>
        </w:rPr>
        <w:t xml:space="preserve">that </w:t>
      </w:r>
      <w:r w:rsidR="00F5632D" w:rsidRPr="00991D93">
        <w:rPr>
          <w:rFonts w:cs="Calibri"/>
          <w:i/>
          <w:iCs/>
          <w:lang w:val="en-GB"/>
        </w:rPr>
        <w:t>FDFT1</w:t>
      </w:r>
      <w:r w:rsidR="00C1082E" w:rsidRPr="00190491">
        <w:rPr>
          <w:rFonts w:cs="Calibri"/>
          <w:lang w:val="en-GB"/>
        </w:rPr>
        <w:t xml:space="preserve"> </w:t>
      </w:r>
      <w:r w:rsidR="00F5632D" w:rsidRPr="00190491">
        <w:rPr>
          <w:rFonts w:cs="Calibri"/>
          <w:lang w:val="en-GB"/>
        </w:rPr>
        <w:t>plays an important role i</w:t>
      </w:r>
      <w:r w:rsidR="00C1082E" w:rsidRPr="00190491">
        <w:rPr>
          <w:rFonts w:cs="Calibri"/>
          <w:lang w:val="en-GB"/>
        </w:rPr>
        <w:t xml:space="preserve">n </w:t>
      </w:r>
      <w:r w:rsidR="00F5632D" w:rsidRPr="00190491">
        <w:rPr>
          <w:rFonts w:cs="Calibri"/>
          <w:lang w:val="en-GB"/>
        </w:rPr>
        <w:t xml:space="preserve">cholesterol synthesis as well as the development of the </w:t>
      </w:r>
      <w:r w:rsidR="00EA15C5" w:rsidRPr="00190491">
        <w:rPr>
          <w:rFonts w:cs="Calibri"/>
          <w:lang w:val="en-GB"/>
        </w:rPr>
        <w:t>central nervous system</w:t>
      </w:r>
      <w:r w:rsidR="00D05E55" w:rsidRPr="00190491">
        <w:rPr>
          <w:rFonts w:cs="Calibri"/>
          <w:lang w:val="en-GB"/>
        </w:rPr>
        <w:t xml:space="preserve"> </w:t>
      </w:r>
      <w:r w:rsidR="00D05E55" w:rsidRPr="00190491">
        <w:rPr>
          <w:rFonts w:cs="Calibri"/>
          <w:lang w:val="en-GB"/>
        </w:rPr>
        <w:fldChar w:fldCharType="begin" w:fldLock="1"/>
      </w:r>
      <w:r w:rsidR="008253DA">
        <w:rPr>
          <w:rFonts w:cs="Calibri"/>
          <w:lang w:val="en-GB"/>
        </w:rPr>
        <w:instrText>ADDIN CSL_CITATION {"citationItems":[{"id":"ITEM-1","itemData":{"DOI":"10.1074/jbc.274.43.30843","abstract":"Squalene synthase (SS) catalyzes the reductive head-to-head condensation of two molecules of farnesyl diphosphate to form squalene, the first specific intermediate in the cholesterol biosynthetic pathway. We used gene targeting to knock out the mouse SS gene. The mice heterozygous for the mutation (SS+/−) were apparently normal. SS+/− mice showed 60% reduction in the hepatic mRNA levels of SS compared with SS+/+ mice. Consistently, the SS enzymatic activities were reduced by 50% in the liver and testis. Nevertheless, the hepatic cholesterol synthesis was not different between SS+/− and SS+/+ mice, and plasma lipoprotein profiles were not different irrespective of the presence of the low density lipoprotein receptor, indicating that SS is not a rate-limiting enzyme in the cholesterol biosynthetic pathway. The mice homozygous for the disrupted SS gene (SS−/−) were embryonic lethal around midgestation. E9.5–10.5 SS−/−embryos exhibited severe growth retardation and defective neural tube closure. The lethal phenotype was not rescued by supplementing the dams either with dietary squalene or cholesterol. We speculate that cholesterol is required for the development, particularly of the nervous system, and that the chorioallantoic circulatory system is not mature enough to supply the rapidly growing embryos with maternal cholesterol at this developmental stage.","author":[{"dropping-particle":"","family":"Tozawa","given":"Ryu-ichi","non-dropping-particle":"","parse-names":false,"suffix":""},{"dropping-particle":"","family":"Ishibashi","given":"Shun","non-dropping-particle":"","parse-names":false,"suffix":""},{"dropping-particle":"","family":"Osuga","given":"Jun-ichi","non-dropping-particle":"","parse-names":false,"suffix":""},{"dropping-particle":"","family":"Yagyu","given":"Hiroaki","non-dropping-particle":"","parse-names":false,"suffix":""},{"dropping-particle":"","family":"Oka","given":"Teruaki","non-dropping-particle":"","parse-names":false,"suffix":""},{"dropping-particle":"","family":"Chen","given":"Zhong","non-dropping-particle":"","parse-names":false,"suffix":""},{"dropping-particle":"","family":"Ohashi","given":"Ken","non-dropping-particle":"","parse-names":false,"suffix":""},{"dropping-particle":"","family":"Perrey","given":"Stéphane","non-dropping-particle":"","parse-names":false,"suffix":""},{"dropping-particle":"","family":"Shionoiri","given":"Futoshi","non-dropping-particle":"","parse-names":false,"suffix":""},{"dropping-particle":"","family":"Yahagi","given":"Naoya","non-dropping-particle":"","parse-names":false,"suffix":""},{"dropping-particle":"","family":"Harada","given":"Kenji","non-dropping-particle":"","parse-names":false,"suffix":""},{"dropping-particle":"","family":"Gotoda","given":"Takanari","non-dropping-particle":"","parse-names":false,"suffix":""},{"dropping-particle":"","family":"Yazaki","given":"Yoshio","non-dropping-particle":"","parse-names":false,"suffix":""},{"dropping-particle":"","family":"Yamada","given":"Nobuhiro","non-dropping-particle":"","parse-names":false,"suffix":""}],"container-title":"Journal of Biological Chemistry","id":"ITEM-1","issue":"43","issued":{"date-parts":[["1999","10","22"]]},"note":"10.1074/jbc.274.43.30843","page":"30843-30848","title":"Embryonic Lethality and Defective Neural Tube Closure in Mice Lacking Squalene Synthase","type":"article-journal","volume":"274"},"uris":["http://www.mendeley.com/documents/?uuid=358e2e50-fab9-3318-bc40-1aadefc46d77"]}],"mendeley":{"formattedCitation":"&lt;span style=\"baseline\"&gt;[47]&lt;/span&gt;","plainTextFormattedCitation":"[47]","previouslyFormattedCitation":"&lt;span style=\"baseline\"&gt;[47]&lt;/span&gt;"},"properties":{"noteIndex":0},"schema":"https://github.com/citation-style-language/schema/raw/master/csl-citation.json"}</w:instrText>
      </w:r>
      <w:r w:rsidR="00D05E55" w:rsidRPr="00190491">
        <w:rPr>
          <w:rFonts w:cs="Calibri"/>
          <w:lang w:val="en-GB"/>
        </w:rPr>
        <w:fldChar w:fldCharType="separate"/>
      </w:r>
      <w:r w:rsidR="00E6617B" w:rsidRPr="00E6617B">
        <w:rPr>
          <w:rFonts w:cs="Calibri"/>
          <w:noProof/>
          <w:lang w:val="en-GB"/>
        </w:rPr>
        <w:t>[47]</w:t>
      </w:r>
      <w:r w:rsidR="00D05E55" w:rsidRPr="00190491">
        <w:rPr>
          <w:rFonts w:cs="Calibri"/>
          <w:lang w:val="en-GB"/>
        </w:rPr>
        <w:fldChar w:fldCharType="end"/>
      </w:r>
      <w:r w:rsidR="00EA15C5" w:rsidRPr="00190491">
        <w:rPr>
          <w:rFonts w:cs="Calibri"/>
          <w:lang w:val="en-GB"/>
        </w:rPr>
        <w:t xml:space="preserve"> and liver function</w:t>
      </w:r>
      <w:r w:rsidR="00D05E55" w:rsidRPr="00190491">
        <w:rPr>
          <w:rFonts w:cs="Calibri"/>
          <w:lang w:val="en-GB"/>
        </w:rPr>
        <w:t xml:space="preserve"> </w:t>
      </w:r>
      <w:r w:rsidR="000C1812" w:rsidRPr="00190491">
        <w:rPr>
          <w:rFonts w:cs="Calibri"/>
          <w:lang w:val="en-GB"/>
        </w:rPr>
        <w:fldChar w:fldCharType="begin" w:fldLock="1"/>
      </w:r>
      <w:r w:rsidR="008253DA">
        <w:rPr>
          <w:rFonts w:cs="Calibri"/>
          <w:lang w:val="en-GB"/>
        </w:rPr>
        <w:instrText>ADDIN CSL_CITATION {"citationItems":[{"id":"ITEM-1","itemData":{"DOI":"10.1194/jlr.M057406","abstract":"Squalene synthase (SS) catalyzes the biosynthesis of squalene, the first specific intermediate in the cholesterol biosynthetic pathway. To test the feasibility of lowering plasma cholesterol by inhibiting hepatic SS, we generated mice in which SS is specifically knocked out in the liver (L-SSKO) using Cre-loxP technology. Hepatic SS activity of L-SSKO mice was reduced by &gt;90%. In addition, cholesterol biosynthesis in the liver slices was almost eliminated. Although the hepatic squalene contents were markedly reduced in L-SSKO mice, the hepatic contents of cholesterol and its precursors distal to squalene were indistinguishable from those of control mice, indicating the presence of sufficient centripetal flow of cholesterol and/or its precursors from the extrahepatic tissues. L-SSKO mice showed a transient liver dysfunction with moderate hepatomegaly presumably secondary to increased farnesol production. In a fed state, the plasma total cholesterol and triglyceride were significantly reduced in L-SSKO mice, primarily owing to reduced hepatic VLDL secretion. In a fasted state, the hypolipidemic effect was lost. mRNA expression of liver X receptor α target genes was reduced, while that of sterol-regulatory element binding protein 2 target genes was increased. In conclusion, liver-specific ablation of SS inhibits hepatic cholesterol biosynthesis and induces hypolipidemia without increasing significant mortality.","author":[{"dropping-particle":"","family":"Nagashima","given":"Shuichi","non-dropping-particle":"","parse-names":false,"suffix":""},{"dropping-particle":"","family":"Yagyu","given":"Hiroaki","non-dropping-particle":"","parse-names":false,"suffix":""},{"dropping-particle":"","family":"Tozawa","given":"Ryuichi","non-dropping-particle":"","parse-names":false,"suffix":""},{"dropping-particle":"","family":"Tazoe","given":"Fumiko","non-dropping-particle":"","parse-names":false,"suffix":""},{"dropping-particle":"","family":"Takahashi","given":"Manabu","non-dropping-particle":"","parse-names":false,"suffix":""},{"dropping-particle":"","family":"Kitamine","given":"Tetsuya","non-dropping-particle":"","parse-names":false,"suffix":""},{"dropping-particle":"","family":"Yamamuro","given":"Daisuke","non-dropping-particle":"","parse-names":false,"suffix":""},{"dropping-particle":"","family":"Sakai","given":"Kent","non-dropping-particle":"","parse-names":false,"suffix":""},{"dropping-particle":"","family":"Sekiya","given":"Motohiro","non-dropping-particle":"","parse-names":false,"suffix":""},{"dropping-particle":"","family":"Okazaki","given":"Hiroaki","non-dropping-particle":"","parse-names":false,"suffix":""},{"dropping-particle":"","family":"Osuga","given":"Jun-ichi","non-dropping-particle":"","parse-names":false,"suffix":""},{"dropping-particle":"","family":"Honda","given":"Akira","non-dropping-particle":"","parse-names":false,"suffix":""},{"dropping-particle":"","family":"Ishibashi","given":"Shun","non-dropping-particle":"","parse-names":false,"suffix":""}],"container-title":"Journal of Lipid Research","id":"ITEM-1","issue":"5","issued":{"date-parts":[["2015","5","1"]]},"note":"10.1194/jlr.M057406","page":"998-1005","title":"Plasma cholesterol-lowering and transient liver dysfunction in mice lacking squalene synthase in the liver","type":"article-journal","volume":"56"},"uris":["http://www.mendeley.com/documents/?uuid=0368f18c-e724-300a-a3c3-d997f58133f4"]}],"mendeley":{"formattedCitation":"&lt;span style=\"baseline\"&gt;[48]&lt;/span&gt;","plainTextFormattedCitation":"[48]","previouslyFormattedCitation":"&lt;span style=\"baseline\"&gt;[48]&lt;/span&gt;"},"properties":{"noteIndex":0},"schema":"https://github.com/citation-style-language/schema/raw/master/csl-citation.json"}</w:instrText>
      </w:r>
      <w:r w:rsidR="000C1812" w:rsidRPr="00190491">
        <w:rPr>
          <w:rFonts w:cs="Calibri"/>
          <w:lang w:val="en-GB"/>
        </w:rPr>
        <w:fldChar w:fldCharType="separate"/>
      </w:r>
      <w:r w:rsidR="00E6617B" w:rsidRPr="00E6617B">
        <w:rPr>
          <w:rFonts w:cs="Calibri"/>
          <w:noProof/>
          <w:lang w:val="en-GB"/>
        </w:rPr>
        <w:t>[48]</w:t>
      </w:r>
      <w:r w:rsidR="000C1812" w:rsidRPr="00190491">
        <w:rPr>
          <w:rFonts w:cs="Calibri"/>
          <w:lang w:val="en-GB"/>
        </w:rPr>
        <w:fldChar w:fldCharType="end"/>
      </w:r>
      <w:r w:rsidR="00EA15C5" w:rsidRPr="00190491">
        <w:rPr>
          <w:rFonts w:cs="Calibri"/>
          <w:lang w:val="en-GB"/>
        </w:rPr>
        <w:t>.</w:t>
      </w:r>
      <w:r w:rsidR="000C1812" w:rsidRPr="00190491">
        <w:rPr>
          <w:rFonts w:cs="Calibri"/>
          <w:lang w:val="en-GB"/>
        </w:rPr>
        <w:t xml:space="preserve"> </w:t>
      </w:r>
      <w:r w:rsidR="00243419" w:rsidRPr="00190491">
        <w:rPr>
          <w:color w:val="auto"/>
          <w:lang w:val="en-GB"/>
        </w:rPr>
        <w:t xml:space="preserve">Therefore, </w:t>
      </w:r>
      <w:r w:rsidR="00AD77E5">
        <w:rPr>
          <w:color w:val="auto"/>
          <w:lang w:val="en-GB"/>
        </w:rPr>
        <w:t xml:space="preserve">it is possible that </w:t>
      </w:r>
      <w:r w:rsidR="00243419" w:rsidRPr="00190491">
        <w:rPr>
          <w:color w:val="auto"/>
          <w:lang w:val="en-GB"/>
        </w:rPr>
        <w:t xml:space="preserve">breastfeeding may </w:t>
      </w:r>
      <w:r w:rsidR="0010372E" w:rsidRPr="00190491">
        <w:rPr>
          <w:color w:val="auto"/>
          <w:lang w:val="en-GB"/>
        </w:rPr>
        <w:t xml:space="preserve">have positive </w:t>
      </w:r>
      <w:r w:rsidR="00243419" w:rsidRPr="00190491">
        <w:rPr>
          <w:color w:val="auto"/>
          <w:lang w:val="en-GB"/>
        </w:rPr>
        <w:t>influence</w:t>
      </w:r>
      <w:r w:rsidR="0010372E" w:rsidRPr="00190491">
        <w:rPr>
          <w:color w:val="auto"/>
          <w:lang w:val="en-GB"/>
        </w:rPr>
        <w:t>s</w:t>
      </w:r>
      <w:r w:rsidR="00243419" w:rsidRPr="00190491">
        <w:rPr>
          <w:color w:val="auto"/>
          <w:lang w:val="en-GB"/>
        </w:rPr>
        <w:t xml:space="preserve"> on later life events such as </w:t>
      </w:r>
      <w:r w:rsidR="00F5632D" w:rsidRPr="00190491">
        <w:rPr>
          <w:color w:val="auto"/>
          <w:lang w:val="en-GB"/>
        </w:rPr>
        <w:t xml:space="preserve">obesity, </w:t>
      </w:r>
      <w:r w:rsidR="00243419" w:rsidRPr="00190491">
        <w:rPr>
          <w:color w:val="auto"/>
          <w:lang w:val="en-GB"/>
        </w:rPr>
        <w:t xml:space="preserve">heart disease and </w:t>
      </w:r>
      <w:r w:rsidR="00F5632D" w:rsidRPr="00190491">
        <w:rPr>
          <w:color w:val="auto"/>
          <w:lang w:val="en-GB"/>
        </w:rPr>
        <w:t>neurological function</w:t>
      </w:r>
      <w:r w:rsidR="00243419" w:rsidRPr="00190491">
        <w:rPr>
          <w:color w:val="auto"/>
          <w:lang w:val="en-GB"/>
        </w:rPr>
        <w:t xml:space="preserve"> via methylation at these two CpG sites.</w:t>
      </w:r>
    </w:p>
    <w:p w14:paraId="16D4F9C1" w14:textId="77777777" w:rsidR="006A6345" w:rsidRPr="00190491" w:rsidRDefault="00FD1604" w:rsidP="00935ACF">
      <w:pPr>
        <w:pStyle w:val="MDPI31text"/>
        <w:rPr>
          <w:color w:val="auto"/>
          <w:lang w:val="en-GB"/>
        </w:rPr>
      </w:pPr>
      <w:r w:rsidRPr="00190491">
        <w:rPr>
          <w:color w:val="auto"/>
          <w:lang w:val="en-GB"/>
        </w:rPr>
        <w:t xml:space="preserve">The differential methylation at the two CpG sites observed at 10 years of age did not persist in </w:t>
      </w:r>
      <w:r w:rsidR="008E7345">
        <w:rPr>
          <w:color w:val="auto"/>
          <w:lang w:val="en-GB"/>
        </w:rPr>
        <w:t xml:space="preserve">a subset of individuals with DNAm data </w:t>
      </w:r>
      <w:r w:rsidRPr="00190491">
        <w:rPr>
          <w:color w:val="auto"/>
          <w:lang w:val="en-GB"/>
        </w:rPr>
        <w:t xml:space="preserve">at 18 and 26 years. </w:t>
      </w:r>
      <w:r w:rsidR="00935ACF" w:rsidRPr="00190491">
        <w:rPr>
          <w:color w:val="auto"/>
          <w:lang w:val="en-GB"/>
        </w:rPr>
        <w:t xml:space="preserve">Whilst </w:t>
      </w:r>
      <w:r w:rsidR="003A612A" w:rsidRPr="00190491">
        <w:rPr>
          <w:color w:val="auto"/>
          <w:lang w:val="en-GB"/>
        </w:rPr>
        <w:t>the association observed at 10 year</w:t>
      </w:r>
      <w:r w:rsidR="00330D6B" w:rsidRPr="00190491">
        <w:rPr>
          <w:color w:val="auto"/>
          <w:lang w:val="en-GB"/>
        </w:rPr>
        <w:t>s</w:t>
      </w:r>
      <w:r w:rsidR="003A612A" w:rsidRPr="00190491">
        <w:rPr>
          <w:color w:val="auto"/>
          <w:lang w:val="en-GB"/>
        </w:rPr>
        <w:t xml:space="preserve"> </w:t>
      </w:r>
      <w:r w:rsidR="00935ACF" w:rsidRPr="00190491">
        <w:rPr>
          <w:color w:val="auto"/>
          <w:lang w:val="en-GB"/>
        </w:rPr>
        <w:t>may be suggestive of only a short-term effect of breastfeeding on DNAm</w:t>
      </w:r>
      <w:r w:rsidR="009F7995">
        <w:rPr>
          <w:color w:val="auto"/>
          <w:lang w:val="en-GB"/>
        </w:rPr>
        <w:t xml:space="preserve"> across an individual’s lifespan</w:t>
      </w:r>
      <w:r w:rsidR="00330D6B" w:rsidRPr="00190491">
        <w:rPr>
          <w:color w:val="auto"/>
          <w:lang w:val="en-GB"/>
        </w:rPr>
        <w:t>,</w:t>
      </w:r>
      <w:r w:rsidR="00935ACF" w:rsidRPr="00190491">
        <w:rPr>
          <w:color w:val="auto"/>
          <w:lang w:val="en-GB"/>
        </w:rPr>
        <w:t xml:space="preserve"> th</w:t>
      </w:r>
      <w:r w:rsidR="00330D6B" w:rsidRPr="00190491">
        <w:rPr>
          <w:color w:val="auto"/>
          <w:lang w:val="en-GB"/>
        </w:rPr>
        <w:t>is</w:t>
      </w:r>
      <w:r w:rsidR="00935ACF" w:rsidRPr="00190491">
        <w:rPr>
          <w:color w:val="auto"/>
          <w:lang w:val="en-GB"/>
        </w:rPr>
        <w:t xml:space="preserve"> analysis may have been limited by the small sample size at each </w:t>
      </w:r>
      <w:r w:rsidR="00330D6B" w:rsidRPr="00190491">
        <w:rPr>
          <w:color w:val="auto"/>
          <w:lang w:val="en-GB"/>
        </w:rPr>
        <w:t xml:space="preserve">of the later </w:t>
      </w:r>
      <w:r w:rsidR="00935ACF" w:rsidRPr="00190491">
        <w:rPr>
          <w:color w:val="auto"/>
          <w:lang w:val="en-GB"/>
        </w:rPr>
        <w:t>time-point</w:t>
      </w:r>
      <w:r w:rsidR="00330D6B" w:rsidRPr="00190491">
        <w:rPr>
          <w:color w:val="auto"/>
          <w:lang w:val="en-GB"/>
        </w:rPr>
        <w:t>s</w:t>
      </w:r>
      <w:r w:rsidR="00935ACF" w:rsidRPr="00190491">
        <w:rPr>
          <w:color w:val="auto"/>
          <w:lang w:val="en-GB"/>
        </w:rPr>
        <w:t xml:space="preserve">. </w:t>
      </w:r>
    </w:p>
    <w:p w14:paraId="037E12DF" w14:textId="77777777" w:rsidR="00DD113B" w:rsidRPr="00190491" w:rsidRDefault="00DD113B" w:rsidP="00DD113B">
      <w:pPr>
        <w:pStyle w:val="MDPI31text"/>
        <w:rPr>
          <w:color w:val="auto"/>
          <w:lang w:val="en-GB"/>
        </w:rPr>
      </w:pPr>
      <w:r w:rsidRPr="00190491">
        <w:rPr>
          <w:color w:val="auto"/>
          <w:lang w:val="en-GB"/>
        </w:rPr>
        <w:t>By using an exposure definition of breastfeeding duration, it is possible that the results were confounded by other early life feeding modalities. To address this, we used a more stringent definition of exclusive breastfeeding. The significant associations found were replicated</w:t>
      </w:r>
      <w:r w:rsidR="00D22912" w:rsidRPr="00190491">
        <w:rPr>
          <w:color w:val="auto"/>
          <w:lang w:val="en-GB"/>
        </w:rPr>
        <w:t xml:space="preserve"> for this exposure </w:t>
      </w:r>
      <w:r w:rsidR="00813427" w:rsidRPr="00190491">
        <w:rPr>
          <w:color w:val="auto"/>
          <w:lang w:val="en-GB"/>
        </w:rPr>
        <w:t xml:space="preserve">at a shorter duration of </w:t>
      </w:r>
      <w:r w:rsidR="00565BE8">
        <w:rPr>
          <w:color w:val="auto"/>
          <w:lang w:val="en-GB"/>
        </w:rPr>
        <w:t xml:space="preserve">exclusive breastfeeding for </w:t>
      </w:r>
      <w:r w:rsidR="00813427" w:rsidRPr="00190491">
        <w:rPr>
          <w:color w:val="auto"/>
          <w:lang w:val="en-GB"/>
        </w:rPr>
        <w:t>&gt;3 months</w:t>
      </w:r>
      <w:r w:rsidRPr="00190491">
        <w:rPr>
          <w:color w:val="auto"/>
          <w:lang w:val="en-GB"/>
        </w:rPr>
        <w:t xml:space="preserve">, suggesting the associations observed for &gt;6 months breastfeeding </w:t>
      </w:r>
      <w:r w:rsidR="00413D0F">
        <w:rPr>
          <w:color w:val="auto"/>
          <w:lang w:val="en-GB"/>
        </w:rPr>
        <w:t xml:space="preserve">duration </w:t>
      </w:r>
      <w:r w:rsidRPr="00190491">
        <w:rPr>
          <w:color w:val="auto"/>
          <w:lang w:val="en-GB"/>
        </w:rPr>
        <w:t xml:space="preserve">were due to breastfeeding and not confounded by </w:t>
      </w:r>
      <w:r w:rsidR="00DF7301">
        <w:rPr>
          <w:color w:val="auto"/>
          <w:lang w:val="en-GB"/>
        </w:rPr>
        <w:t xml:space="preserve">the </w:t>
      </w:r>
      <w:r w:rsidRPr="00190491">
        <w:rPr>
          <w:color w:val="auto"/>
          <w:lang w:val="en-GB"/>
        </w:rPr>
        <w:t xml:space="preserve">introduction of supplemental feeding or solid food. The lack of difference of methylation at these CpGs in the DNAm profiles of individuals at birth (Guthrie cards) also provides support for a </w:t>
      </w:r>
      <w:r w:rsidR="00AD77E5">
        <w:rPr>
          <w:color w:val="auto"/>
          <w:lang w:val="en-GB"/>
        </w:rPr>
        <w:t xml:space="preserve">potential </w:t>
      </w:r>
      <w:r w:rsidR="007853E7">
        <w:rPr>
          <w:color w:val="auto"/>
          <w:lang w:val="en-GB"/>
        </w:rPr>
        <w:t>true</w:t>
      </w:r>
      <w:r w:rsidR="007853E7" w:rsidRPr="00190491">
        <w:rPr>
          <w:color w:val="auto"/>
          <w:lang w:val="en-GB"/>
        </w:rPr>
        <w:t xml:space="preserve"> </w:t>
      </w:r>
      <w:r w:rsidRPr="00190491">
        <w:rPr>
          <w:color w:val="auto"/>
          <w:lang w:val="en-GB"/>
        </w:rPr>
        <w:t>effect of breastfeeding</w:t>
      </w:r>
      <w:r w:rsidR="00AD77E5">
        <w:rPr>
          <w:color w:val="auto"/>
          <w:lang w:val="en-GB"/>
        </w:rPr>
        <w:t xml:space="preserve"> on DNAm</w:t>
      </w:r>
      <w:r w:rsidRPr="00190491">
        <w:rPr>
          <w:color w:val="auto"/>
          <w:lang w:val="en-GB"/>
        </w:rPr>
        <w:t>.</w:t>
      </w:r>
    </w:p>
    <w:p w14:paraId="16A69981" w14:textId="6B537CBB" w:rsidR="00935ACF" w:rsidRDefault="00DF612D" w:rsidP="00B8014A">
      <w:pPr>
        <w:pStyle w:val="MDPI31text"/>
        <w:rPr>
          <w:lang w:val="en-GB"/>
        </w:rPr>
      </w:pPr>
      <w:r w:rsidRPr="00190491">
        <w:rPr>
          <w:lang w:val="en-GB"/>
        </w:rPr>
        <w:t xml:space="preserve">Whilst our study </w:t>
      </w:r>
      <w:r w:rsidR="004161D8">
        <w:rPr>
          <w:lang w:val="en-GB"/>
        </w:rPr>
        <w:t>detected</w:t>
      </w:r>
      <w:r w:rsidR="004161D8" w:rsidRPr="00190491">
        <w:rPr>
          <w:lang w:val="en-GB"/>
        </w:rPr>
        <w:t xml:space="preserve"> </w:t>
      </w:r>
      <w:r w:rsidRPr="00190491">
        <w:rPr>
          <w:lang w:val="en-GB"/>
        </w:rPr>
        <w:t>an association between DNAm and breastfeeding, it is difficult to determine causality. Given that other factors could influence changes in DNAm, it is difficult to quantify the true contribution of breastfeeding on DNAm. To address this, we adjusted for all known confounders in our EWAS analyses. We further conducted cis-mQTL analyses</w:t>
      </w:r>
      <w:r w:rsidR="00DF7301">
        <w:rPr>
          <w:lang w:val="en-GB"/>
        </w:rPr>
        <w:t>,</w:t>
      </w:r>
      <w:r w:rsidRPr="00190491">
        <w:rPr>
          <w:lang w:val="en-GB"/>
        </w:rPr>
        <w:t xml:space="preserve"> which revealed that changes in DNAm were not affected by genetic variations (SNPs). Therefore, potential mechanisms of breastfeeding driving changes in DNAm may include either the direct effects of nutritional and bioactive factors found in breastmilk, or indirect maternal nurturing behaviours, or both </w:t>
      </w:r>
      <w:r w:rsidRPr="00190491">
        <w:rPr>
          <w:color w:val="auto"/>
          <w:lang w:val="en-GB"/>
        </w:rPr>
        <w:fldChar w:fldCharType="begin" w:fldLock="1"/>
      </w:r>
      <w:r w:rsidR="008253DA">
        <w:rPr>
          <w:color w:val="auto"/>
          <w:lang w:val="en-GB"/>
        </w:rPr>
        <w:instrText>ADDIN CSL_CITATION {"citationItems":[{"id":"ITEM-1","itemData":{"DOI":"10.1542/peds.2017-1890","ISSN":"1098-4275","PMID":"30257918","abstract":": media-1vid110.1542/5804912859001PEDS-VA_2017-1890Video Abstract OBJECTIVES: We sought to determine if variations in maternal care alter DNA methylation in term, healthy, 5-month-old infants. This work was based on landmark studies in animal models demonstrating that nurturing care by dams would alter their newborns' stress responses through epigenetic mechanisms. We used breastfeeding as a proxy for animal maternal behavior. We hypothesized alterations in DNA methylation of the glucocorticoid receptor gene and less hypothalamic stress response in infants of mothers who breastfed their infants versus infants of mothers who did not breastfeed. METHODS: A cohort study of term, healthy infants and their mothers who did (n = 21) or did not (n = 21) breastfeed for the first 5 months was used in this analysis. Cortisol stress reactivity was measured in infant saliva by using a mother-infant interaction procedure and DNA methylation of an important regulatory region of the glucocorticoid receptor gene. Changes in DNA methylation of this gene in humans were compared to homologous regions of the rat gene. DNA samples were prepared from cheek swabs and subjected to quantitative analysis of the extent of methylation by using sensitive sequencing techniques. RESULTS: Breastfeeding was associated with decreased DNA methylation of the glucocorticoid receptor promoter and decreased cortisol reactivity in 5-month-old infants. Decreased DNA methylation occurred in the promoter region involved in regulation of the hypothalamic-pituitary-adrenal and immune system responses. CONCLUSIONS: Maternal care in humans may impact the hypothalamic-pituitary-adrenal stress response through behavioral programming and manifest as offspring epigenetic change. These results explain, in part, some of the positive effects observed in children who are breastfed.","author":[{"dropping-particle":"","family":"Lester","given":"Barry M","non-dropping-particle":"","parse-names":false,"suffix":""},{"dropping-particle":"","family":"Conradt","given":"Elisabeth","non-dropping-particle":"","parse-names":false,"suffix":""},{"dropping-particle":"","family":"LaGasse","given":"Linda L","non-dropping-particle":"","parse-names":false,"suffix":""},{"dropping-particle":"","family":"Tronick","given":"Edward Z","non-dropping-particle":"","parse-names":false,"suffix":""},{"dropping-particle":"","family":"Padbury","given":"James F","non-dropping-particle":"","parse-names":false,"suffix":""},{"dropping-particle":"","family":"Marsit","given":"Carmen J","non-dropping-particle":"","parse-names":false,"suffix":""}],"container-title":"Pediatrics","id":"ITEM-1","issue":"4","issued":{"date-parts":[["2018","10"]]},"language":"eng","page":"e20171890","publisher":"American Academy of Pediatrics","title":"Epigenetic Programming by Maternal Behavior in the Human Infant","type":"article-journal","volume":"142"},"uris":["http://www.mendeley.com/documents/?uuid=222048d8-4257-3885-8ba5-7627ac1ee2f8"]}],"mendeley":{"formattedCitation":"&lt;span style=\"baseline\"&gt;[49]&lt;/span&gt;","plainTextFormattedCitation":"[49]","previouslyFormattedCitation":"&lt;span style=\"baseline\"&gt;[49]&lt;/span&gt;"},"properties":{"noteIndex":0},"schema":"https://github.com/citation-style-language/schema/raw/master/csl-citation.json"}</w:instrText>
      </w:r>
      <w:r w:rsidRPr="00190491">
        <w:rPr>
          <w:color w:val="auto"/>
          <w:lang w:val="en-GB"/>
        </w:rPr>
        <w:fldChar w:fldCharType="separate"/>
      </w:r>
      <w:r w:rsidR="00E6617B" w:rsidRPr="00E6617B">
        <w:rPr>
          <w:noProof/>
          <w:color w:val="auto"/>
          <w:lang w:val="en-GB"/>
        </w:rPr>
        <w:t>[49]</w:t>
      </w:r>
      <w:r w:rsidRPr="00190491">
        <w:rPr>
          <w:color w:val="auto"/>
          <w:lang w:val="en-GB"/>
        </w:rPr>
        <w:fldChar w:fldCharType="end"/>
      </w:r>
      <w:r w:rsidRPr="00190491">
        <w:rPr>
          <w:lang w:val="en-GB"/>
        </w:rPr>
        <w:t xml:space="preserve">. </w:t>
      </w:r>
    </w:p>
    <w:p w14:paraId="105BAEF3" w14:textId="4500F2DC" w:rsidR="00C40720" w:rsidRPr="00190491" w:rsidRDefault="00CF7FD7" w:rsidP="008253DA">
      <w:pPr>
        <w:pStyle w:val="MDPI31text"/>
        <w:rPr>
          <w:color w:val="auto"/>
          <w:lang w:val="en-GB"/>
        </w:rPr>
      </w:pPr>
      <w:r>
        <w:rPr>
          <w:color w:val="auto"/>
          <w:lang w:val="en-GB"/>
        </w:rPr>
        <w:t>As our collective understanding of the role of epigenetics in human disease grows, so does the implications for public health. It has become apparent that</w:t>
      </w:r>
      <w:r w:rsidR="00DF7301">
        <w:rPr>
          <w:color w:val="auto"/>
          <w:lang w:val="en-GB"/>
        </w:rPr>
        <w:t>, based on</w:t>
      </w:r>
      <w:r>
        <w:rPr>
          <w:color w:val="auto"/>
          <w:lang w:val="en-GB"/>
        </w:rPr>
        <w:t xml:space="preserve"> how we live our lives,</w:t>
      </w:r>
      <w:r w:rsidR="00945412">
        <w:rPr>
          <w:color w:val="auto"/>
          <w:lang w:val="en-GB"/>
        </w:rPr>
        <w:t xml:space="preserve"> </w:t>
      </w:r>
      <w:r>
        <w:rPr>
          <w:color w:val="auto"/>
          <w:lang w:val="en-GB"/>
        </w:rPr>
        <w:t xml:space="preserve">environmental exposures </w:t>
      </w:r>
      <w:r w:rsidR="00945412">
        <w:rPr>
          <w:color w:val="auto"/>
          <w:lang w:val="en-GB"/>
        </w:rPr>
        <w:t>and disease ma</w:t>
      </w:r>
      <w:r>
        <w:rPr>
          <w:color w:val="auto"/>
          <w:lang w:val="en-GB"/>
        </w:rPr>
        <w:t xml:space="preserve">y have lasting </w:t>
      </w:r>
      <w:r w:rsidR="00702FE2">
        <w:rPr>
          <w:color w:val="auto"/>
          <w:lang w:val="en-GB"/>
        </w:rPr>
        <w:t>repercussions</w:t>
      </w:r>
      <w:r>
        <w:rPr>
          <w:color w:val="auto"/>
          <w:lang w:val="en-GB"/>
        </w:rPr>
        <w:t xml:space="preserve"> for the health of our children and even grandchildren through epigenetic pro</w:t>
      </w:r>
      <w:r w:rsidR="00D61838">
        <w:rPr>
          <w:color w:val="auto"/>
          <w:lang w:val="en-GB"/>
        </w:rPr>
        <w:t>gramming</w:t>
      </w:r>
      <w:r>
        <w:rPr>
          <w:color w:val="auto"/>
          <w:lang w:val="en-GB"/>
        </w:rPr>
        <w:t xml:space="preserve">. Moreover, early life exposures seem to have a </w:t>
      </w:r>
      <w:r>
        <w:rPr>
          <w:color w:val="auto"/>
          <w:lang w:val="en-GB"/>
        </w:rPr>
        <w:lastRenderedPageBreak/>
        <w:t>strong effect on DNA methylation. C</w:t>
      </w:r>
      <w:r w:rsidR="00DF7301">
        <w:rPr>
          <w:color w:val="auto"/>
          <w:lang w:val="en-GB"/>
        </w:rPr>
        <w:t>onsequently,</w:t>
      </w:r>
      <w:r>
        <w:rPr>
          <w:color w:val="auto"/>
          <w:lang w:val="en-GB"/>
        </w:rPr>
        <w:t xml:space="preserve"> understanding the </w:t>
      </w:r>
      <w:r w:rsidR="00EB27A0">
        <w:rPr>
          <w:color w:val="auto"/>
          <w:lang w:val="en-GB"/>
        </w:rPr>
        <w:t xml:space="preserve">potential </w:t>
      </w:r>
      <w:r>
        <w:rPr>
          <w:color w:val="auto"/>
          <w:lang w:val="en-GB"/>
        </w:rPr>
        <w:t xml:space="preserve">mechanistic role of DNAm </w:t>
      </w:r>
      <w:r w:rsidR="00EB27A0">
        <w:rPr>
          <w:color w:val="auto"/>
          <w:lang w:val="en-GB"/>
        </w:rPr>
        <w:t>in</w:t>
      </w:r>
      <w:r>
        <w:rPr>
          <w:color w:val="auto"/>
          <w:lang w:val="en-GB"/>
        </w:rPr>
        <w:t xml:space="preserve"> the </w:t>
      </w:r>
      <w:r w:rsidR="00945412">
        <w:rPr>
          <w:color w:val="auto"/>
          <w:lang w:val="en-GB"/>
        </w:rPr>
        <w:t>long</w:t>
      </w:r>
      <w:r w:rsidR="00825117">
        <w:rPr>
          <w:color w:val="auto"/>
          <w:lang w:val="en-GB"/>
        </w:rPr>
        <w:t>-</w:t>
      </w:r>
      <w:r w:rsidR="00945412">
        <w:rPr>
          <w:color w:val="auto"/>
          <w:lang w:val="en-GB"/>
        </w:rPr>
        <w:t xml:space="preserve">term </w:t>
      </w:r>
      <w:r>
        <w:rPr>
          <w:color w:val="auto"/>
          <w:lang w:val="en-GB"/>
        </w:rPr>
        <w:t xml:space="preserve">effects of breastfeeding </w:t>
      </w:r>
      <w:r w:rsidR="00945412">
        <w:rPr>
          <w:color w:val="auto"/>
          <w:lang w:val="en-GB"/>
        </w:rPr>
        <w:t xml:space="preserve">is valuable </w:t>
      </w:r>
      <w:r w:rsidR="00C40720">
        <w:rPr>
          <w:color w:val="auto"/>
          <w:lang w:val="en-GB"/>
        </w:rPr>
        <w:t>from a</w:t>
      </w:r>
      <w:r w:rsidR="00945412">
        <w:rPr>
          <w:color w:val="auto"/>
          <w:lang w:val="en-GB"/>
        </w:rPr>
        <w:t xml:space="preserve"> public health</w:t>
      </w:r>
      <w:r w:rsidR="00C40720">
        <w:rPr>
          <w:color w:val="auto"/>
          <w:lang w:val="en-GB"/>
        </w:rPr>
        <w:t xml:space="preserve"> perspective</w:t>
      </w:r>
      <w:r w:rsidR="008253DA">
        <w:rPr>
          <w:color w:val="auto"/>
          <w:lang w:val="en-GB"/>
        </w:rPr>
        <w:t xml:space="preserve"> </w:t>
      </w:r>
      <w:r w:rsidR="009C672C">
        <w:rPr>
          <w:color w:val="auto"/>
          <w:lang w:val="en-GB"/>
        </w:rPr>
        <w:t xml:space="preserve">in the promotion of breastfeeding </w:t>
      </w:r>
      <w:r w:rsidR="008253DA">
        <w:rPr>
          <w:color w:val="auto"/>
          <w:lang w:val="en-GB"/>
        </w:rPr>
        <w:t xml:space="preserve">and associated risk assessment </w:t>
      </w:r>
      <w:r w:rsidR="008253DA">
        <w:rPr>
          <w:color w:val="auto"/>
          <w:lang w:val="en-GB"/>
        </w:rPr>
        <w:fldChar w:fldCharType="begin" w:fldLock="1"/>
      </w:r>
      <w:r w:rsidR="006E4483">
        <w:rPr>
          <w:color w:val="auto"/>
          <w:lang w:val="en-GB"/>
        </w:rPr>
        <w:instrText>ADDIN CSL_CITATION {"citationItems":[{"id":"ITEM-1","itemData":{"DOI":"10.1146/annurev-publhealth-032013-182513","ISSN":"1545-2093","PMID":"24641556","abstract":"Improved understanding of the multilayer regulation of the human genome has led to a greater appreciation of environmental, nutritional, and epigenetic risk factors for human disease. Chromatin remodeling, histone tail modifications, and DNA methylation are dynamic epigenetic changes responsive to external stimuli. Careful interpretation can provide insights for actionable public health through collaboration between population and basic scientists and through integration of multiple data sources. We review key findings in environmental epigenetics both in human population studies and in animal models, and discuss the implications of these results for risk assessment and public health protection. To ultimately succeed in identifying epigenetic mechanisms leading to complex phenotypes and disease, researchers must integrate the various animal models, human clinical approaches, and human population approaches while paying attention to life-stage sensitivity, to generate effective prescriptions for human health evaluation and disease prevention.","author":[{"dropping-particle":"","family":"Rozek","given":"Laura S","non-dropping-particle":"","parse-names":false,"suffix":""},{"dropping-particle":"","family":"Dolinoy","given":"Dana C","non-dropping-particle":"","parse-names":false,"suffix":""},{"dropping-particle":"","family":"Sartor","given":"Maureen A","non-dropping-particle":"","parse-names":false,"suffix":""},{"dropping-particle":"","family":"Omenn","given":"Gilbert S","non-dropping-particle":"","parse-names":false,"suffix":""}],"container-title":"Annual review of public health","id":"ITEM-1","issued":{"date-parts":[["2014"]]},"language":"eng","page":"105-122","title":"Epigenetics: relevance and implications for public health","type":"article-journal","volume":"35"},"uris":["http://www.mendeley.com/documents/?uuid=fcdfbb6c-c086-3036-af73-3fcff1131ab5"]}],"mendeley":{"formattedCitation":"&lt;span style=\"baseline\"&gt;[50]&lt;/span&gt;","plainTextFormattedCitation":"[50]","previouslyFormattedCitation":"&lt;span style=\"baseline\"&gt;[50]&lt;/span&gt;"},"properties":{"noteIndex":0},"schema":"https://github.com/citation-style-language/schema/raw/master/csl-citation.json"}</w:instrText>
      </w:r>
      <w:r w:rsidR="008253DA">
        <w:rPr>
          <w:color w:val="auto"/>
          <w:lang w:val="en-GB"/>
        </w:rPr>
        <w:fldChar w:fldCharType="separate"/>
      </w:r>
      <w:r w:rsidR="008253DA" w:rsidRPr="008253DA">
        <w:rPr>
          <w:noProof/>
          <w:color w:val="auto"/>
          <w:lang w:val="en-GB"/>
        </w:rPr>
        <w:t>[50]</w:t>
      </w:r>
      <w:r w:rsidR="008253DA">
        <w:rPr>
          <w:color w:val="auto"/>
          <w:lang w:val="en-GB"/>
        </w:rPr>
        <w:fldChar w:fldCharType="end"/>
      </w:r>
      <w:r w:rsidR="00C40720">
        <w:rPr>
          <w:color w:val="auto"/>
          <w:lang w:val="en-GB"/>
        </w:rPr>
        <w:t xml:space="preserve">. </w:t>
      </w:r>
      <w:r w:rsidR="00D61838">
        <w:rPr>
          <w:color w:val="auto"/>
          <w:lang w:val="en-GB"/>
        </w:rPr>
        <w:t xml:space="preserve">Our findings </w:t>
      </w:r>
      <w:r w:rsidR="004161D8">
        <w:rPr>
          <w:color w:val="auto"/>
          <w:lang w:val="en-GB"/>
        </w:rPr>
        <w:t>suggest</w:t>
      </w:r>
      <w:r w:rsidR="00D61838">
        <w:rPr>
          <w:color w:val="auto"/>
          <w:lang w:val="en-GB"/>
        </w:rPr>
        <w:t xml:space="preserve"> </w:t>
      </w:r>
      <w:r w:rsidR="00C40720">
        <w:rPr>
          <w:color w:val="auto"/>
          <w:lang w:val="en-GB"/>
        </w:rPr>
        <w:t xml:space="preserve">that breastfeeding </w:t>
      </w:r>
      <w:r w:rsidR="004161D8">
        <w:rPr>
          <w:color w:val="auto"/>
          <w:lang w:val="en-GB"/>
        </w:rPr>
        <w:t xml:space="preserve">may </w:t>
      </w:r>
      <w:r w:rsidR="00C40720">
        <w:rPr>
          <w:color w:val="auto"/>
          <w:lang w:val="en-GB"/>
        </w:rPr>
        <w:t>exert long-term</w:t>
      </w:r>
      <w:r w:rsidR="008253DA">
        <w:rPr>
          <w:color w:val="auto"/>
          <w:lang w:val="en-GB"/>
        </w:rPr>
        <w:t xml:space="preserve"> </w:t>
      </w:r>
      <w:r w:rsidR="00C40720">
        <w:rPr>
          <w:color w:val="auto"/>
          <w:lang w:val="en-GB"/>
        </w:rPr>
        <w:t>effects</w:t>
      </w:r>
      <w:r w:rsidR="008253DA">
        <w:rPr>
          <w:color w:val="auto"/>
          <w:lang w:val="en-GB"/>
        </w:rPr>
        <w:t xml:space="preserve"> on health</w:t>
      </w:r>
      <w:r w:rsidR="00C40720">
        <w:rPr>
          <w:color w:val="auto"/>
          <w:lang w:val="en-GB"/>
        </w:rPr>
        <w:t xml:space="preserve"> </w:t>
      </w:r>
      <w:r w:rsidR="00945412">
        <w:rPr>
          <w:color w:val="auto"/>
          <w:lang w:val="en-GB"/>
        </w:rPr>
        <w:t>and</w:t>
      </w:r>
      <w:r w:rsidR="00DF7301">
        <w:rPr>
          <w:color w:val="auto"/>
          <w:lang w:val="en-GB"/>
        </w:rPr>
        <w:t>, although</w:t>
      </w:r>
      <w:r w:rsidR="00945412">
        <w:rPr>
          <w:color w:val="auto"/>
          <w:lang w:val="en-GB"/>
        </w:rPr>
        <w:t xml:space="preserve"> th</w:t>
      </w:r>
      <w:r w:rsidR="00DF7301">
        <w:rPr>
          <w:color w:val="auto"/>
          <w:lang w:val="en-GB"/>
        </w:rPr>
        <w:t>ese</w:t>
      </w:r>
      <w:r w:rsidR="00945412">
        <w:rPr>
          <w:color w:val="auto"/>
          <w:lang w:val="en-GB"/>
        </w:rPr>
        <w:t xml:space="preserve"> </w:t>
      </w:r>
      <w:r w:rsidR="00DF7301">
        <w:rPr>
          <w:color w:val="auto"/>
          <w:lang w:val="en-GB"/>
        </w:rPr>
        <w:t>changes in DNAm appear small</w:t>
      </w:r>
      <w:r w:rsidR="00945412">
        <w:rPr>
          <w:color w:val="auto"/>
          <w:lang w:val="en-GB"/>
        </w:rPr>
        <w:t>, the</w:t>
      </w:r>
      <w:r w:rsidR="00DF7301">
        <w:rPr>
          <w:color w:val="auto"/>
          <w:lang w:val="en-GB"/>
        </w:rPr>
        <w:t>y</w:t>
      </w:r>
      <w:r w:rsidR="00945412">
        <w:rPr>
          <w:color w:val="auto"/>
          <w:lang w:val="en-GB"/>
        </w:rPr>
        <w:t xml:space="preserve"> may be functionally significant</w:t>
      </w:r>
      <w:r w:rsidR="00702FE2">
        <w:rPr>
          <w:color w:val="auto"/>
          <w:lang w:val="en-GB"/>
        </w:rPr>
        <w:t xml:space="preserve">. </w:t>
      </w:r>
      <w:r w:rsidR="00702FE2" w:rsidRPr="00702FE2">
        <w:rPr>
          <w:color w:val="auto"/>
          <w:lang w:val="en-GB"/>
        </w:rPr>
        <w:t xml:space="preserve">Future research is required to establish: i) the degree of DNAm that can be considered clinically significant; ii) the role of DNAm across cohorts with different demographic characteristics; and iii) the variability in DNAm throughout childhood. </w:t>
      </w:r>
      <w:r w:rsidR="00702FE2" w:rsidRPr="00702FE2">
        <w:rPr>
          <w:color w:val="auto"/>
        </w:rPr>
        <w:annotationRef/>
      </w:r>
      <w:r w:rsidR="00945412">
        <w:rPr>
          <w:color w:val="auto"/>
          <w:lang w:val="en-GB"/>
        </w:rPr>
        <w:t>Further</w:t>
      </w:r>
      <w:r w:rsidR="000B2743">
        <w:rPr>
          <w:color w:val="auto"/>
          <w:lang w:val="en-GB"/>
        </w:rPr>
        <w:t>more</w:t>
      </w:r>
      <w:r w:rsidR="00945412">
        <w:rPr>
          <w:color w:val="auto"/>
          <w:lang w:val="en-GB"/>
        </w:rPr>
        <w:t>,</w:t>
      </w:r>
      <w:r w:rsidR="00C40720">
        <w:rPr>
          <w:color w:val="auto"/>
          <w:lang w:val="en-GB"/>
        </w:rPr>
        <w:t xml:space="preserve"> a more conclusive ‘dose-response’ assessment is important to </w:t>
      </w:r>
      <w:r w:rsidR="000B2743">
        <w:rPr>
          <w:color w:val="auto"/>
          <w:lang w:val="en-GB"/>
        </w:rPr>
        <w:t xml:space="preserve">support </w:t>
      </w:r>
      <w:r w:rsidR="00C40720">
        <w:rPr>
          <w:color w:val="auto"/>
          <w:lang w:val="en-GB"/>
        </w:rPr>
        <w:t xml:space="preserve">the </w:t>
      </w:r>
      <w:r w:rsidR="008253DA">
        <w:rPr>
          <w:color w:val="auto"/>
          <w:lang w:val="en-GB"/>
        </w:rPr>
        <w:t xml:space="preserve">ongoing </w:t>
      </w:r>
      <w:r w:rsidR="00C40720">
        <w:rPr>
          <w:color w:val="auto"/>
          <w:lang w:val="en-GB"/>
        </w:rPr>
        <w:t>development of breastfeeding</w:t>
      </w:r>
      <w:r w:rsidR="008253DA">
        <w:rPr>
          <w:color w:val="auto"/>
          <w:lang w:val="en-GB"/>
        </w:rPr>
        <w:t>/</w:t>
      </w:r>
      <w:r w:rsidR="00C40720">
        <w:rPr>
          <w:color w:val="auto"/>
          <w:lang w:val="en-GB"/>
        </w:rPr>
        <w:t>infant nutrition guidelines</w:t>
      </w:r>
      <w:r w:rsidR="00702FE2">
        <w:rPr>
          <w:color w:val="auto"/>
          <w:lang w:val="en-GB"/>
        </w:rPr>
        <w:t xml:space="preserve">. </w:t>
      </w:r>
      <w:r w:rsidR="00702FE2" w:rsidRPr="00702FE2">
        <w:rPr>
          <w:color w:val="auto"/>
          <w:lang w:val="en-GB"/>
        </w:rPr>
        <w:t>Finally, identifying the key components of breastmilk which may be responsible for these long-term beneficial effects may promote improved engineering of formula feeds in the future</w:t>
      </w:r>
      <w:r w:rsidR="00C40720">
        <w:rPr>
          <w:color w:val="auto"/>
          <w:lang w:val="en-GB"/>
        </w:rPr>
        <w:t>.</w:t>
      </w:r>
    </w:p>
    <w:p w14:paraId="285365E3" w14:textId="52326EC1" w:rsidR="00477ECA" w:rsidRPr="00190491" w:rsidRDefault="00935ACF" w:rsidP="00477ECA">
      <w:pPr>
        <w:pStyle w:val="MDPI31text"/>
        <w:rPr>
          <w:color w:val="auto"/>
          <w:lang w:val="en-GB"/>
        </w:rPr>
      </w:pPr>
      <w:r w:rsidRPr="00190491">
        <w:rPr>
          <w:color w:val="auto"/>
          <w:lang w:val="en-GB"/>
        </w:rPr>
        <w:t>Ther</w:t>
      </w:r>
      <w:r w:rsidR="006A6345" w:rsidRPr="00190491">
        <w:rPr>
          <w:color w:val="auto"/>
          <w:lang w:val="en-GB"/>
        </w:rPr>
        <w:t>e</w:t>
      </w:r>
      <w:r w:rsidRPr="00190491">
        <w:rPr>
          <w:color w:val="auto"/>
          <w:lang w:val="en-GB"/>
        </w:rPr>
        <w:t xml:space="preserve"> </w:t>
      </w:r>
      <w:r w:rsidR="00D45445">
        <w:rPr>
          <w:color w:val="auto"/>
          <w:lang w:val="en-GB"/>
        </w:rPr>
        <w:t xml:space="preserve">were </w:t>
      </w:r>
      <w:r w:rsidRPr="00190491">
        <w:rPr>
          <w:color w:val="auto"/>
          <w:lang w:val="en-GB"/>
        </w:rPr>
        <w:t>limitation</w:t>
      </w:r>
      <w:r w:rsidR="006B37B0" w:rsidRPr="00190491">
        <w:rPr>
          <w:color w:val="auto"/>
          <w:lang w:val="en-GB"/>
        </w:rPr>
        <w:t>s</w:t>
      </w:r>
      <w:r w:rsidRPr="00190491">
        <w:rPr>
          <w:color w:val="auto"/>
          <w:lang w:val="en-GB"/>
        </w:rPr>
        <w:t xml:space="preserve"> to this study. </w:t>
      </w:r>
      <w:r w:rsidR="00D45445">
        <w:rPr>
          <w:color w:val="auto"/>
          <w:lang w:val="en-GB"/>
        </w:rPr>
        <w:t xml:space="preserve">Primarily, </w:t>
      </w:r>
      <w:r w:rsidR="009B3715">
        <w:rPr>
          <w:color w:val="auto"/>
          <w:lang w:val="en-GB"/>
        </w:rPr>
        <w:t xml:space="preserve">power was a significant issue. Whilst two CpG sites were significantly associated with breastfeeding &gt;6 months, the low site-specific power reported limits our confidence that these findings are true and can be replicated. </w:t>
      </w:r>
      <w:r w:rsidR="00D45445">
        <w:rPr>
          <w:color w:val="auto"/>
          <w:lang w:val="en-GB"/>
        </w:rPr>
        <w:t xml:space="preserve">Similarly, </w:t>
      </w:r>
      <w:r w:rsidRPr="00190491">
        <w:rPr>
          <w:color w:val="auto"/>
          <w:lang w:val="en-GB"/>
        </w:rPr>
        <w:t xml:space="preserve">the substantially lower sample size at the 18-year time-point compared to </w:t>
      </w:r>
      <w:r w:rsidR="00C85CB2">
        <w:rPr>
          <w:color w:val="auto"/>
          <w:lang w:val="en-GB"/>
        </w:rPr>
        <w:t xml:space="preserve">at </w:t>
      </w:r>
      <w:r w:rsidRPr="00190491">
        <w:rPr>
          <w:color w:val="auto"/>
          <w:lang w:val="en-GB"/>
        </w:rPr>
        <w:t>10 year</w:t>
      </w:r>
      <w:r w:rsidR="00C85CB2">
        <w:rPr>
          <w:color w:val="auto"/>
          <w:lang w:val="en-GB"/>
        </w:rPr>
        <w:t>s</w:t>
      </w:r>
      <w:r w:rsidR="00D45445">
        <w:rPr>
          <w:color w:val="auto"/>
          <w:lang w:val="en-GB"/>
        </w:rPr>
        <w:t xml:space="preserve"> is likely to have</w:t>
      </w:r>
      <w:r w:rsidR="007054CE" w:rsidRPr="00190491">
        <w:rPr>
          <w:color w:val="auto"/>
          <w:lang w:val="en-GB"/>
        </w:rPr>
        <w:t xml:space="preserve"> </w:t>
      </w:r>
      <w:r w:rsidRPr="00190491">
        <w:rPr>
          <w:color w:val="auto"/>
          <w:lang w:val="en-GB"/>
        </w:rPr>
        <w:t>prevented any significant results for the persistence of DNAm, if present, to be detected.</w:t>
      </w:r>
      <w:r w:rsidR="004161D8">
        <w:rPr>
          <w:color w:val="auto"/>
          <w:lang w:val="en-GB"/>
        </w:rPr>
        <w:t xml:space="preserve"> </w:t>
      </w:r>
      <w:r w:rsidR="00D45445">
        <w:rPr>
          <w:color w:val="auto"/>
          <w:lang w:val="en-GB"/>
        </w:rPr>
        <w:t>Therefore, i</w:t>
      </w:r>
      <w:r w:rsidR="00D37420" w:rsidRPr="00190491">
        <w:rPr>
          <w:color w:val="auto"/>
          <w:lang w:val="en-GB"/>
        </w:rPr>
        <w:t>t is clear that e</w:t>
      </w:r>
      <w:r w:rsidRPr="00190491">
        <w:rPr>
          <w:color w:val="auto"/>
          <w:lang w:val="en-GB"/>
        </w:rPr>
        <w:t xml:space="preserve">xternal replication </w:t>
      </w:r>
      <w:r w:rsidR="00D45445">
        <w:rPr>
          <w:color w:val="auto"/>
          <w:lang w:val="en-GB"/>
        </w:rPr>
        <w:t xml:space="preserve">is required to validate these results. Ideally, future studies should </w:t>
      </w:r>
      <w:r w:rsidR="00D37420" w:rsidRPr="00190491">
        <w:rPr>
          <w:color w:val="auto"/>
          <w:lang w:val="en-GB"/>
        </w:rPr>
        <w:t xml:space="preserve"> meta-analys</w:t>
      </w:r>
      <w:r w:rsidR="00D45445">
        <w:rPr>
          <w:color w:val="auto"/>
          <w:lang w:val="en-GB"/>
        </w:rPr>
        <w:t>e</w:t>
      </w:r>
      <w:r w:rsidR="00D37420" w:rsidRPr="00190491">
        <w:rPr>
          <w:color w:val="auto"/>
          <w:lang w:val="en-GB"/>
        </w:rPr>
        <w:t xml:space="preserve"> </w:t>
      </w:r>
      <w:r w:rsidR="00D45445">
        <w:rPr>
          <w:color w:val="auto"/>
          <w:lang w:val="en-GB"/>
        </w:rPr>
        <w:t xml:space="preserve">data from multiple </w:t>
      </w:r>
      <w:r w:rsidR="00D37420" w:rsidRPr="00190491">
        <w:rPr>
          <w:color w:val="auto"/>
          <w:lang w:val="en-GB"/>
        </w:rPr>
        <w:t>cohorts</w:t>
      </w:r>
      <w:r w:rsidR="00D45445">
        <w:rPr>
          <w:color w:val="auto"/>
          <w:lang w:val="en-GB"/>
        </w:rPr>
        <w:t xml:space="preserve"> in order</w:t>
      </w:r>
      <w:r w:rsidR="00D37420" w:rsidRPr="00190491">
        <w:rPr>
          <w:color w:val="auto"/>
          <w:lang w:val="en-GB"/>
        </w:rPr>
        <w:t xml:space="preserve"> to </w:t>
      </w:r>
      <w:r w:rsidR="00D45445">
        <w:rPr>
          <w:color w:val="auto"/>
          <w:lang w:val="en-GB"/>
        </w:rPr>
        <w:t xml:space="preserve">avoid their studies being hindered by low power and </w:t>
      </w:r>
      <w:r w:rsidR="00D37420" w:rsidRPr="00190491">
        <w:rPr>
          <w:color w:val="auto"/>
          <w:lang w:val="en-GB"/>
        </w:rPr>
        <w:t xml:space="preserve"> sample size. </w:t>
      </w:r>
      <w:r w:rsidR="00477ECA" w:rsidRPr="00190491">
        <w:rPr>
          <w:color w:val="auto"/>
          <w:lang w:val="en-GB"/>
        </w:rPr>
        <w:t xml:space="preserve">Indeed, recently two epigenome-wide association studies have been conducted in </w:t>
      </w:r>
      <w:r w:rsidR="007054CE" w:rsidRPr="00190491">
        <w:rPr>
          <w:color w:val="auto"/>
          <w:lang w:val="en-GB"/>
        </w:rPr>
        <w:t xml:space="preserve">children </w:t>
      </w:r>
      <w:r w:rsidR="00477ECA" w:rsidRPr="00190491">
        <w:rPr>
          <w:color w:val="auto"/>
          <w:lang w:val="en-GB"/>
        </w:rPr>
        <w:t xml:space="preserve">from buccal cells collected around age nine </w:t>
      </w:r>
      <w:r w:rsidR="005C1CA9" w:rsidRPr="00190491">
        <w:rPr>
          <w:color w:val="auto"/>
          <w:lang w:val="en-GB"/>
        </w:rPr>
        <w:fldChar w:fldCharType="begin" w:fldLock="1"/>
      </w:r>
      <w:r w:rsidR="006E4483">
        <w:rPr>
          <w:color w:val="auto"/>
          <w:lang w:val="en-GB"/>
        </w:rPr>
        <w:instrText>ADDIN CSL_CITATION {"citationItems":[{"id":"ITEM-1","itemData":{"DOI":"10.3390/nu11112804","ISSN":"2072-6643","PMID":"31744183","abstract":"Breastfeeding has long-term benefits for children that may be mediated via the epigenome. This pathway has been hypothesized, but the number of empirical studies in humans is small and mostly done by using peripheral blood as the DNA source. We performed an epigenome-wide association study (EWAS) in buccal cells collected around age nine (mean = 9.5) from 1006 twins recruited by the Netherlands Twin Register (NTR). An age-stratified analysis examined if effects attenuate with age (median split at 10 years; n(&lt;10) = 517, mean age = 7.9; n(&gt;10) = 489, mean age = 11.2). We performed replication analyses in two independent cohorts from the NTR (buccal cells) and the Avon Longitudinal Study of Parents and Children (ALSPAC) (peripheral blood), and we tested loci previously associated with breastfeeding in epigenetic studies. Genome-wide DNA methylation was assessed with the Illumina Infinium MethylationEPIC BeadChip (Illumina, San Diego, CA, USA) in the NTR and with the HumanMethylation450 Bead Chip in the ALSPAC. The duration of breastfeeding was dichotomized ('never' vs. 'ever'). In the total sample, no robustly associated epigenome-wide significant CpGs were identified (α = 6.34 × 10(-8)). In the sub-group of children younger than 10 years, four significant CpGs were associated with breastfeeding after adjusting for child and maternal characteristics. In children older than 10 years, methylation differences at these CpGs were smaller and non-significant. The findings did not replicate in the NTR sample (n = 98; mean age = 7.5 years), and no nearby sites were associated with breastfeeding in the ALSPAC study (n = 938; mean age = 7.4). Of the CpG sites previously reported in the literature, three were associated with breastfeeding in children younger than 10 years, thus showing that these CpGs are associated with breastfeeding in buccal and blood cells. Our study is the first to show that breastfeeding is associated with epigenetic variation in buccal cells in children. Further studies are needed to investigate if methylation differences at these loci are caused by breastfeeding or by other unmeasured confounders, as well as what mechanism drives changes in associations with age.","author":[{"dropping-particle":"V","family":"Odintsova","given":"Veronika","non-dropping-particle":"","parse-names":false,"suffix":""},{"dropping-particle":"","family":"Hagenbeek","given":"Fiona A","non-dropping-particle":"","parse-names":false,"suffix":""},{"dropping-particle":"","family":"Suderman","given":"Matthew","non-dropping-particle":"","parse-names":false,"suffix":""},{"dropping-particle":"","family":"Caramaschi","given":"Doretta","non-dropping-particle":"","parse-names":false,"suffix":""},{"dropping-particle":"","family":"Beijsterveldt","given":"Catharina E M","non-dropping-particle":"van","parse-names":false,"suffix":""},{"dropping-particle":"","family":"Kallsen","given":"Noah A","non-dropping-particle":"","parse-names":false,"suffix":""},{"dropping-particle":"","family":"Ehli","given":"Erik A","non-dropping-particle":"","parse-names":false,"suffix":""},{"dropping-particle":"","family":"Davies","given":"Gareth E","non-dropping-particle":"","parse-names":false,"suffix":""},{"dropping-particle":"","family":"Sukhikh","given":"Gennady T","non-dropping-particle":"","parse-names":false,"suffix":""},{"dropping-particle":"","family":"Fanos","given":"Vassilios","non-dropping-particle":"","parse-names":false,"suffix":""},{"dropping-particle":"","family":"Relton","given":"Caroline","non-dropping-particle":"","parse-names":false,"suffix":""},{"dropping-particle":"","family":"Bartels","given":"Meike","non-dropping-particle":"","parse-names":false,"suffix":""},{"dropping-particle":"","family":"Boomsma","given":"Dorret I","non-dropping-particle":"","parse-names":false,"suffix":""},{"dropping-particle":"","family":"Dongen","given":"Jenny","non-dropping-particle":"van","parse-names":false,"suffix":""}],"container-title":"Nutrients","id":"ITEM-1","issue":"11","issued":{"date-parts":[["2019","11","17"]]},"language":"eng","page":"2804","publisher":"MDPI","title":"DNA Methylation Signatures of Breastfeeding in Buccal Cells Collected in Mid-Childhood","type":"article-journal","volume":"11"},"uris":["http://www.mendeley.com/documents/?uuid=36e453ce-1a1d-306c-abde-52acd6b9c42d"]}],"mendeley":{"formattedCitation":"&lt;span style=\"baseline\"&gt;[51]&lt;/span&gt;","plainTextFormattedCitation":"[51]","previouslyFormattedCitation":"&lt;span style=\"baseline\"&gt;[51]&lt;/span&gt;"},"properties":{"noteIndex":0},"schema":"https://github.com/citation-style-language/schema/raw/master/csl-citation.json"}</w:instrText>
      </w:r>
      <w:r w:rsidR="005C1CA9" w:rsidRPr="00190491">
        <w:rPr>
          <w:color w:val="auto"/>
          <w:lang w:val="en-GB"/>
        </w:rPr>
        <w:fldChar w:fldCharType="separate"/>
      </w:r>
      <w:r w:rsidR="008253DA" w:rsidRPr="008253DA">
        <w:rPr>
          <w:noProof/>
          <w:color w:val="auto"/>
          <w:lang w:val="en-GB"/>
        </w:rPr>
        <w:t>[51]</w:t>
      </w:r>
      <w:r w:rsidR="005C1CA9" w:rsidRPr="00190491">
        <w:rPr>
          <w:color w:val="auto"/>
          <w:lang w:val="en-GB"/>
        </w:rPr>
        <w:fldChar w:fldCharType="end"/>
      </w:r>
      <w:r w:rsidR="005C1CA9" w:rsidRPr="00190491">
        <w:rPr>
          <w:color w:val="auto"/>
          <w:lang w:val="en-GB"/>
        </w:rPr>
        <w:t xml:space="preserve"> </w:t>
      </w:r>
      <w:r w:rsidR="00477ECA" w:rsidRPr="00190491">
        <w:rPr>
          <w:color w:val="auto"/>
          <w:lang w:val="en-GB"/>
        </w:rPr>
        <w:t xml:space="preserve">and peripheral blood cell </w:t>
      </w:r>
      <w:r w:rsidR="007054CE" w:rsidRPr="00190491">
        <w:rPr>
          <w:color w:val="auto"/>
          <w:lang w:val="en-GB"/>
        </w:rPr>
        <w:t xml:space="preserve">at </w:t>
      </w:r>
      <w:r w:rsidR="00477ECA" w:rsidRPr="00190491">
        <w:rPr>
          <w:color w:val="auto"/>
          <w:lang w:val="en-GB"/>
        </w:rPr>
        <w:t xml:space="preserve">ages 7 and 15-17 </w:t>
      </w:r>
      <w:r w:rsidR="005C1CA9" w:rsidRPr="00190491">
        <w:rPr>
          <w:color w:val="auto"/>
          <w:lang w:val="en-GB"/>
        </w:rPr>
        <w:fldChar w:fldCharType="begin" w:fldLock="1"/>
      </w:r>
      <w:r w:rsidR="006E4483">
        <w:rPr>
          <w:color w:val="auto"/>
          <w:lang w:val="en-GB"/>
        </w:rPr>
        <w:instrText>ADDIN CSL_CITATION {"citationItems":[{"id":"ITEM-1","itemData":{"DOI":"10.1101/800722","abstract":"Background Breastfeeding is associated with short and long-term health benefits. Long-term effects might be mediated by epigenetic mechanisms, yet a recent systematic review indicated that the literature on this topic is scarce. We performed the first epigenome-wide association study of infant feeding, comparing breastfed vs non-breastfed children. We measured DNA methylation in children from peripheral blood collected in childhood (age 7, N=640) and adolescence (age 15-17, N=709) within the Accessible Resource for Integrated Epigenomic Studies (ARIES) project, part of the larger Avon Longitudinal Study of Parents and Children (ALSPAC) cohort. Cord blood methylation (N=702) was used as a negative control for potential pre-natal residual confounding.Results Two differentially-methylated sites presented directionally-consistent associations with breastfeeding at ages 7 and 15-17, but not at birth. Twelve differentially-methylated regions in relation to breastfeeding were identified, and for three of them there was evidence of directional concordance between ages 7 and 15-17, but not between birth and age 7.Conclusions Our findings indicate that DNA methylation in childhood and adolescence may be predicted by breastfeeding, but further studies with sufficiently large samples for replication are required to identify robust associations.ALSPACAvon Longitudinal Study of Parents and Children.ARIESAccessible Resource for Integrated Epigenomic Studies.DAGdirected acyclic graoph.DMRdifferentially methylated region.DNAdeoxyribonucleic acid.EWASepigenome-wide association study.IQintelligence quotient.","author":[{"dropping-particle":"","family":"Hartwig","given":"Fernando Pires","non-dropping-particle":"","parse-names":false,"suffix":""},{"dropping-particle":"","family":"Smith","given":"George Davey","non-dropping-particle":"","parse-names":false,"suffix":""},{"dropping-particle":"","family":"Simpkin","given":"Andrew J","non-dropping-particle":"","parse-names":false,"suffix":""},{"dropping-particle":"","family":"Victora","given":"Cesar Gomes","non-dropping-particle":"","parse-names":false,"suffix":""},{"dropping-particle":"","family":"Relton","given":"Caroline L","non-dropping-particle":"","parse-names":false,"suffix":""},{"dropping-particle":"","family":"Caramaschi","given":"Doretta","non-dropping-particle":"","parse-names":false,"suffix":""}],"container-title":"bioRxiv","id":"ITEM-1","issued":{"date-parts":[["2019","1","1"]]},"page":"800722","title":"Association between breastfeeding and DNA methylation over the life course: findings from the Avon Longitudinal Study of Parents and Children (ALSPAC)","type":"article-journal"},"uris":["http://www.mendeley.com/documents/?uuid=f77b701f-1cd9-39b3-83a3-d4d22d709465"]}],"mendeley":{"formattedCitation":"&lt;span style=\"baseline\"&gt;[52]&lt;/span&gt;","plainTextFormattedCitation":"[52]","previouslyFormattedCitation":"&lt;span style=\"baseline\"&gt;[52]&lt;/span&gt;"},"properties":{"noteIndex":0},"schema":"https://github.com/citation-style-language/schema/raw/master/csl-citation.json"}</w:instrText>
      </w:r>
      <w:r w:rsidR="005C1CA9" w:rsidRPr="00190491">
        <w:rPr>
          <w:color w:val="auto"/>
          <w:lang w:val="en-GB"/>
        </w:rPr>
        <w:fldChar w:fldCharType="separate"/>
      </w:r>
      <w:r w:rsidR="008253DA" w:rsidRPr="008253DA">
        <w:rPr>
          <w:noProof/>
          <w:color w:val="auto"/>
          <w:lang w:val="en-GB"/>
        </w:rPr>
        <w:t>[52]</w:t>
      </w:r>
      <w:r w:rsidR="005C1CA9" w:rsidRPr="00190491">
        <w:rPr>
          <w:color w:val="auto"/>
          <w:lang w:val="en-GB"/>
        </w:rPr>
        <w:fldChar w:fldCharType="end"/>
      </w:r>
      <w:r w:rsidR="00477ECA" w:rsidRPr="00190491">
        <w:rPr>
          <w:color w:val="auto"/>
          <w:lang w:val="en-GB"/>
        </w:rPr>
        <w:t xml:space="preserve">. Both </w:t>
      </w:r>
      <w:r w:rsidR="00C85CB2">
        <w:rPr>
          <w:color w:val="auto"/>
          <w:lang w:val="en-GB"/>
        </w:rPr>
        <w:t xml:space="preserve">studies </w:t>
      </w:r>
      <w:r w:rsidR="00477ECA" w:rsidRPr="00190491">
        <w:rPr>
          <w:color w:val="auto"/>
          <w:lang w:val="en-GB"/>
        </w:rPr>
        <w:t>report</w:t>
      </w:r>
      <w:r w:rsidR="00C85CB2">
        <w:rPr>
          <w:color w:val="auto"/>
          <w:lang w:val="en-GB"/>
        </w:rPr>
        <w:t>ed</w:t>
      </w:r>
      <w:r w:rsidR="00477ECA" w:rsidRPr="00190491">
        <w:rPr>
          <w:color w:val="auto"/>
          <w:lang w:val="en-GB"/>
        </w:rPr>
        <w:t xml:space="preserve"> some evidence for </w:t>
      </w:r>
      <w:r w:rsidR="007054CE" w:rsidRPr="00190491">
        <w:rPr>
          <w:color w:val="auto"/>
          <w:lang w:val="en-GB"/>
        </w:rPr>
        <w:t xml:space="preserve">the </w:t>
      </w:r>
      <w:r w:rsidR="00477ECA" w:rsidRPr="00190491">
        <w:rPr>
          <w:color w:val="auto"/>
          <w:lang w:val="en-GB"/>
        </w:rPr>
        <w:t>association of breastfeeding with offspring DNA methylation</w:t>
      </w:r>
      <w:r w:rsidR="00FA1136" w:rsidRPr="00190491">
        <w:rPr>
          <w:color w:val="auto"/>
          <w:lang w:val="en-GB"/>
        </w:rPr>
        <w:t xml:space="preserve">. </w:t>
      </w:r>
      <w:r w:rsidR="00A66DD6">
        <w:rPr>
          <w:color w:val="auto"/>
          <w:lang w:val="en-GB"/>
        </w:rPr>
        <w:t>Although n</w:t>
      </w:r>
      <w:r w:rsidR="00FA1136" w:rsidRPr="00190491">
        <w:rPr>
          <w:color w:val="auto"/>
          <w:lang w:val="en-GB"/>
        </w:rPr>
        <w:t>one of the identified DMPs or DMRs overlap with those identified in this study, the differences in tissue, array platform, exposure definition and age of assessment make direct comparisons difficult.</w:t>
      </w:r>
    </w:p>
    <w:p w14:paraId="2278857E" w14:textId="77777777" w:rsidR="00935ACF" w:rsidRPr="00190491" w:rsidRDefault="00935ACF" w:rsidP="00935ACF">
      <w:pPr>
        <w:pStyle w:val="MDPI21heading1"/>
        <w:rPr>
          <w:color w:val="auto"/>
          <w:lang w:val="en-GB"/>
        </w:rPr>
      </w:pPr>
      <w:r w:rsidRPr="00190491">
        <w:rPr>
          <w:color w:val="auto"/>
          <w:lang w:val="en-GB"/>
        </w:rPr>
        <w:t>5. Conclusions</w:t>
      </w:r>
    </w:p>
    <w:p w14:paraId="04A5E5F4" w14:textId="77777777" w:rsidR="00935ACF" w:rsidRPr="00190491" w:rsidRDefault="00935ACF" w:rsidP="00935ACF">
      <w:pPr>
        <w:pStyle w:val="MDPI31text"/>
        <w:rPr>
          <w:color w:val="auto"/>
          <w:sz w:val="24"/>
          <w:lang w:val="en-GB" w:eastAsia="en-US"/>
        </w:rPr>
      </w:pPr>
      <w:r w:rsidRPr="00190491">
        <w:rPr>
          <w:color w:val="auto"/>
          <w:lang w:val="en-GB"/>
        </w:rPr>
        <w:t xml:space="preserve">This </w:t>
      </w:r>
      <w:r w:rsidR="00FA1136" w:rsidRPr="00190491">
        <w:rPr>
          <w:color w:val="auto"/>
          <w:lang w:val="en-GB"/>
        </w:rPr>
        <w:t>study has provided further evidence to support a role for breastfeeding in shaping a child’s epigenome</w:t>
      </w:r>
      <w:r w:rsidRPr="00190491">
        <w:rPr>
          <w:color w:val="auto"/>
          <w:lang w:val="en-GB"/>
        </w:rPr>
        <w:t xml:space="preserve">. We identified two CpG sites which were significantly associated with breastfeeding </w:t>
      </w:r>
      <w:r w:rsidR="00790B5D">
        <w:rPr>
          <w:color w:val="auto"/>
          <w:lang w:val="en-GB"/>
        </w:rPr>
        <w:t xml:space="preserve">duration </w:t>
      </w:r>
      <w:r w:rsidRPr="00190491">
        <w:rPr>
          <w:color w:val="auto"/>
          <w:lang w:val="en-GB"/>
        </w:rPr>
        <w:t>&gt;6 months in 10-year-old children</w:t>
      </w:r>
      <w:r w:rsidR="00330EBE" w:rsidRPr="00190491">
        <w:rPr>
          <w:color w:val="auto"/>
          <w:lang w:val="en-GB"/>
        </w:rPr>
        <w:t>.</w:t>
      </w:r>
      <w:r w:rsidRPr="00190491">
        <w:rPr>
          <w:color w:val="auto"/>
          <w:lang w:val="en-GB"/>
        </w:rPr>
        <w:t xml:space="preserve"> One of these sites, located on </w:t>
      </w:r>
      <w:r w:rsidRPr="00190491">
        <w:rPr>
          <w:i/>
          <w:color w:val="auto"/>
          <w:lang w:val="en-GB"/>
        </w:rPr>
        <w:t>S</w:t>
      </w:r>
      <w:r w:rsidR="00991D93">
        <w:rPr>
          <w:i/>
          <w:color w:val="auto"/>
          <w:lang w:val="en-GB"/>
        </w:rPr>
        <w:t>N</w:t>
      </w:r>
      <w:r w:rsidRPr="00190491">
        <w:rPr>
          <w:i/>
          <w:color w:val="auto"/>
          <w:lang w:val="en-GB"/>
        </w:rPr>
        <w:t>X25</w:t>
      </w:r>
      <w:r w:rsidRPr="00190491">
        <w:rPr>
          <w:color w:val="auto"/>
          <w:lang w:val="en-GB"/>
        </w:rPr>
        <w:t>, may be involved in the regulation of TGF-β signalling and</w:t>
      </w:r>
      <w:r w:rsidR="00C440BC" w:rsidRPr="00190491">
        <w:rPr>
          <w:color w:val="auto"/>
          <w:lang w:val="en-GB"/>
        </w:rPr>
        <w:t>,</w:t>
      </w:r>
      <w:r w:rsidRPr="00190491">
        <w:rPr>
          <w:color w:val="auto"/>
          <w:lang w:val="en-GB"/>
        </w:rPr>
        <w:t xml:space="preserve"> subsequently</w:t>
      </w:r>
      <w:r w:rsidR="00C440BC" w:rsidRPr="00190491">
        <w:rPr>
          <w:color w:val="auto"/>
          <w:lang w:val="en-GB"/>
        </w:rPr>
        <w:t>,</w:t>
      </w:r>
      <w:r w:rsidRPr="00190491">
        <w:rPr>
          <w:color w:val="auto"/>
          <w:lang w:val="en-GB"/>
        </w:rPr>
        <w:t xml:space="preserve"> the </w:t>
      </w:r>
      <w:r w:rsidR="00565BE8">
        <w:rPr>
          <w:color w:val="auto"/>
          <w:lang w:val="en-GB"/>
        </w:rPr>
        <w:t xml:space="preserve">potential </w:t>
      </w:r>
      <w:r w:rsidRPr="00190491">
        <w:rPr>
          <w:color w:val="auto"/>
          <w:lang w:val="en-GB"/>
        </w:rPr>
        <w:t xml:space="preserve">development of </w:t>
      </w:r>
      <w:r w:rsidR="00565BE8">
        <w:rPr>
          <w:color w:val="auto"/>
          <w:lang w:val="en-GB"/>
        </w:rPr>
        <w:t>later life diseases</w:t>
      </w:r>
      <w:r w:rsidRPr="00190491">
        <w:rPr>
          <w:color w:val="auto"/>
          <w:lang w:val="en-GB"/>
        </w:rPr>
        <w:t>. However</w:t>
      </w:r>
      <w:r w:rsidR="00330EBE" w:rsidRPr="00190491">
        <w:rPr>
          <w:color w:val="auto"/>
          <w:lang w:val="en-GB"/>
        </w:rPr>
        <w:t>, these associations did not persist into adulthood.</w:t>
      </w:r>
      <w:r w:rsidR="00FA1136" w:rsidRPr="00190491">
        <w:rPr>
          <w:color w:val="auto"/>
          <w:lang w:val="en-GB"/>
        </w:rPr>
        <w:t xml:space="preserve"> In addition</w:t>
      </w:r>
      <w:r w:rsidR="00EB27A0">
        <w:rPr>
          <w:color w:val="auto"/>
          <w:lang w:val="en-GB"/>
        </w:rPr>
        <w:t>,</w:t>
      </w:r>
      <w:r w:rsidR="00FA1136" w:rsidRPr="00190491">
        <w:rPr>
          <w:color w:val="auto"/>
          <w:lang w:val="en-GB"/>
        </w:rPr>
        <w:t xml:space="preserve"> a single DMR spanning </w:t>
      </w:r>
      <w:r w:rsidR="00FA1136" w:rsidRPr="00991D93">
        <w:rPr>
          <w:i/>
          <w:iCs/>
          <w:color w:val="auto"/>
          <w:lang w:val="en-GB"/>
        </w:rPr>
        <w:t>FDFT1</w:t>
      </w:r>
      <w:r w:rsidR="00FA1136" w:rsidRPr="00190491">
        <w:rPr>
          <w:color w:val="auto"/>
          <w:lang w:val="en-GB"/>
        </w:rPr>
        <w:t>, a gene in the cholesterol biosynthesis pathway, was also associated with breastfeeding duration &gt;3 months.</w:t>
      </w:r>
      <w:r w:rsidR="00330EBE" w:rsidRPr="00190491">
        <w:rPr>
          <w:color w:val="auto"/>
          <w:lang w:val="en-GB"/>
        </w:rPr>
        <w:t xml:space="preserve"> T</w:t>
      </w:r>
      <w:r w:rsidRPr="00190491">
        <w:rPr>
          <w:color w:val="auto"/>
          <w:lang w:val="en-GB"/>
        </w:rPr>
        <w:t xml:space="preserve">hese associations warrant further investigation. </w:t>
      </w:r>
      <w:r w:rsidR="00330EBE" w:rsidRPr="00190491">
        <w:rPr>
          <w:color w:val="auto"/>
          <w:lang w:val="en-GB"/>
        </w:rPr>
        <w:t>A</w:t>
      </w:r>
      <w:r w:rsidR="00FA1136" w:rsidRPr="00190491">
        <w:rPr>
          <w:color w:val="auto"/>
          <w:lang w:val="en-GB"/>
        </w:rPr>
        <w:t xml:space="preserve">s </w:t>
      </w:r>
      <w:r w:rsidR="00A66DD6">
        <w:rPr>
          <w:color w:val="auto"/>
          <w:lang w:val="en-GB"/>
        </w:rPr>
        <w:t>already</w:t>
      </w:r>
      <w:r w:rsidR="00A66DD6" w:rsidRPr="00190491">
        <w:rPr>
          <w:color w:val="auto"/>
          <w:lang w:val="en-GB"/>
        </w:rPr>
        <w:t xml:space="preserve"> </w:t>
      </w:r>
      <w:r w:rsidR="007B11B0" w:rsidRPr="00190491">
        <w:rPr>
          <w:color w:val="auto"/>
          <w:lang w:val="en-GB"/>
        </w:rPr>
        <w:t>implemented for</w:t>
      </w:r>
      <w:r w:rsidR="00FA1136" w:rsidRPr="00190491">
        <w:rPr>
          <w:color w:val="auto"/>
          <w:lang w:val="en-GB"/>
        </w:rPr>
        <w:t xml:space="preserve"> a </w:t>
      </w:r>
      <w:r w:rsidR="007B11B0" w:rsidRPr="00190491">
        <w:rPr>
          <w:color w:val="auto"/>
          <w:lang w:val="en-GB"/>
        </w:rPr>
        <w:t>number</w:t>
      </w:r>
      <w:r w:rsidR="00FA1136" w:rsidRPr="00190491">
        <w:rPr>
          <w:color w:val="auto"/>
          <w:lang w:val="en-GB"/>
        </w:rPr>
        <w:t xml:space="preserve"> of </w:t>
      </w:r>
      <w:r w:rsidR="007B11B0" w:rsidRPr="00190491">
        <w:rPr>
          <w:color w:val="auto"/>
          <w:lang w:val="en-GB"/>
        </w:rPr>
        <w:t xml:space="preserve">EWAS analyses of childhood epigenetics </w:t>
      </w:r>
      <w:r w:rsidR="005C1CA9" w:rsidRPr="00190491">
        <w:rPr>
          <w:color w:val="auto"/>
          <w:lang w:val="en-GB"/>
        </w:rPr>
        <w:fldChar w:fldCharType="begin" w:fldLock="1"/>
      </w:r>
      <w:r w:rsidR="006E4483">
        <w:rPr>
          <w:color w:val="auto"/>
          <w:lang w:val="en-GB"/>
        </w:rPr>
        <w:instrText>ADDIN CSL_CITATION {"citationItems":[{"id":"ITEM-1","itemData":{"DOI":"10.1093/ije/dyx190","ISSN":"1464-3685","PMID":"29025028","author":[{"dropping-particle":"","family":"Felix","given":"Janine F","non-dropping-particle":"","parse-names":false,"suffix":""},{"dropping-particle":"","family":"Joubert","given":"Bonnie R","non-dropping-particle":"","parse-names":false,"suffix":""},{"dropping-particle":"","family":"Baccarelli","given":"Andrea A","non-dropping-particle":"","parse-names":false,"suffix":""},{"dropping-particle":"","family":"Sharp","given":"Gemma C","non-dropping-particle":"","parse-names":false,"suffix":""},{"dropping-particle":"","family":"Almqvist","given":"Catarina","non-dropping-particle":"","parse-names":false,"suffix":""},{"dropping-particle":"","family":"Annesi-Maesano","given":"Isabella","non-dropping-particle":"","parse-names":false,"suffix":""},{"dropping-particle":"","family":"Arshad","given":"Hasan","non-dropping-particle":"","parse-names":false,"suffix":""},{"dropping-particle":"","family":"Baïz","given":"Nour","non-dropping-particle":"","parse-names":false,"suffix":""},{"dropping-particle":"","family":"Bakermans-Kranenburg","given":"Marian J","non-dropping-particle":"","parse-names":false,"suffix":""},{"dropping-particle":"","family":"Bakulski","given":"Kelly M","non-dropping-particle":"","parse-names":false,"suffix":""},{"dropping-particle":"","family":"Binder","given":"Elisabeth B","non-dropping-particle":"","parse-names":false,"suffix":""},{"dropping-particle":"","family":"Bouchard","given":"Luigi","non-dropping-particle":"","parse-names":false,"suffix":""},{"dropping-particle":"V","family":"Breton","given":"Carrie","non-dropping-particle":"","parse-names":false,"suffix":""},{"dropping-particle":"","family":"Brunekreef","given":"Bert","non-dropping-particle":"","parse-names":false,"suffix":""},{"dropping-particle":"","family":"Brunst","given":"Kelly J","non-dropping-particle":"","parse-names":false,"suffix":""},{"dropping-particle":"","family":"Burchard","given":"Esteban G","non-dropping-particle":"","parse-names":false,"suffix":""},{"dropping-particle":"","family":"Bustamante","given":"Mariona","non-dropping-particle":"","parse-names":false,"suffix":""},{"dropping-particle":"","family":"Chatzi","given":"Leda","non-dropping-particle":"","parse-names":false,"suffix":""},{"dropping-particle":"","family":"Cheng Munthe-Kaas","given":"Monica","non-dropping-particle":"","parse-names":false,"suffix":""},{"dropping-particle":"","family":"Corpeleijn","given":"Eva","non-dropping-particle":"","parse-names":false,"suffix":""},{"dropping-particle":"","family":"Czamara","given":"Darina","non-dropping-particle":"","parse-names":false,"suffix":""},{"dropping-particle":"","family":"Dabelea","given":"Dana","non-dropping-particle":"","parse-names":false,"suffix":""},{"dropping-particle":"","family":"Davey Smith","given":"George","non-dropping-particle":"","parse-names":false,"suffix":""},{"dropping-particle":"","family":"Boever","given":"Patrick","non-dropping-particle":"De","parse-names":false,"suffix":""},{"dropping-particle":"","family":"Duijts","given":"Liesbeth","non-dropping-particle":"","parse-names":false,"suffix":""},{"dropping-particle":"","family":"Dwyer","given":"Terence","non-dropping-particle":"","parse-names":false,"suffix":""},{"dropping-particle":"","family":"Eng","given":"Celeste","non-dropping-particle":"","parse-names":false,"suffix":""},{"dropping-particle":"","family":"Eskenazi","given":"Brenda","non-dropping-particle":"","parse-names":false,"suffix":""},{"dropping-particle":"","family":"Everson","given":"Todd M","non-dropping-particle":"","parse-names":false,"suffix":""},{"dropping-particle":"","family":"Falahi","given":"Fahimeh","non-dropping-particle":"","parse-names":false,"suffix":""},{"dropping-particle":"","family":"Fallin","given":"M Daniele","non-dropping-particle":"","parse-names":false,"suffix":""},{"dropping-particle":"","family":"Farchi","given":"Sara","non-dropping-particle":"","parse-names":false,"suffix":""},{"dropping-particle":"","family":"Fernandez","given":"Mariana F","non-dropping-particle":"","parse-names":false,"suffix":""},{"dropping-particle":"","family":"Gao","given":"Lu","non-dropping-particle":"","parse-names":false,"suffix":""},{"dropping-particle":"","family":"Gaunt","given":"Tom R","non-dropping-particle":"","parse-names":false,"suffix":""},{"dropping-particle":"","family":"Ghantous","given":"Akram","non-dropping-particle":"","parse-names":false,"suffix":""},{"dropping-particle":"","family":"Gillman","given":"Matthew W","non-dropping-particle":"","parse-names":false,"suffix":""},{"dropping-particle":"","family":"Gonseth","given":"Semira","non-dropping-particle":"","parse-names":false,"suffix":""},{"dropping-particle":"","family":"Grote","given":"Veit","non-dropping-particle":"","parse-names":false,"suffix":""},{"dropping-particle":"","family":"Gruzieva","given":"Olena","non-dropping-particle":"","parse-names":false,"suffix":""},{"dropping-particle":"","family":"Håberg","given":"Siri E","non-dropping-particle":"","parse-names":false,"suffix":""},{"dropping-particle":"","family":"Herceg","given":"Zdenko","non-dropping-particle":"","parse-names":false,"suffix":""},{"dropping-particle":"","family":"Hivert","given":"Marie-France","non-dropping-particle":"","parse-names":false,"suffix":""},{"dropping-particle":"","family":"Holland","given":"Nina","non-dropping-particle":"","parse-names":false,"suffix":""},{"dropping-particle":"","family":"Holloway","given":"John W","non-dropping-particle":"","parse-names":false,"suffix":""},{"dropping-particle":"","family":"Hoyo","given":"Cathrine","non-dropping-particle":"","parse-names":false,"suffix":""},{"dropping-particle":"","family":"Hu","given":"Donglei","non-dropping-particle":"","parse-names":false,"suffix":""},{"dropping-particle":"","family":"Huang","given":"Rae-Chi","non-dropping-particle":"","parse-names":false,"suffix":""},{"dropping-particle":"","family":"Huen","given":"Karen","non-dropping-particle":"","parse-names":false,"suffix":""},{"dropping-particle":"","family":"Järvelin","given":"Marjo-Riitta","non-dropping-particle":"","parse-names":false,"suffix":""},{"dropping-particle":"","family":"Jima","given":"Dereje D","non-dropping-particle":"","parse-names":false,"suffix":""},{"dropping-particle":"","family":"Just","given":"Allan C","non-dropping-particle":"","parse-names":false,"suffix":""},{"dropping-particle":"","family":"Karagas","given":"Margaret R","non-dropping-particle":"","parse-names":false,"suffix":""},{"dropping-particle":"","family":"Karlsson","given":"Robert","non-dropping-particle":"","parse-names":false,"suffix":""},{"dropping-particle":"","family":"Karmaus","given":"Wilfried","non-dropping-particle":"","parse-names":false,"suffix":""},{"dropping-particle":"","family":"Kechris","given":"Katerina J","non-dropping-particle":"","parse-names":false,"suffix":""},{"dropping-particle":"","family":"Kere","given":"Juha","non-dropping-particle":"","parse-names":false,"suffix":""},{"dropping-particle":"","family":"Kogevinas","given":"Manolis","non-dropping-particle":"","parse-names":false,"suffix":""},{"dropping-particle":"","family":"Koletzko","given":"Berthold","non-dropping-particle":"","parse-names":false,"suffix":""},{"dropping-particle":"","family":"Koppelman","given":"Gerard H","non-dropping-particle":"","parse-names":false,"suffix":""},{"dropping-particle":"","family":"Küpers","given":"Leanne K","non-dropping-particle":"","parse-names":false,"suffix":""},{"dropping-particle":"","family":"Ladd-Acosta","given":"Christine","non-dropping-particle":"","parse-names":false,"suffix":""},{"dropping-particle":"","family":"Lahti","given":"Jari","non-dropping-particle":"","parse-names":false,"suffix":""},{"dropping-particle":"","family":"Lambrechts","given":"Nathalie","non-dropping-particle":"","parse-names":false,"suffix":""},{"dropping-particle":"","family":"Langie","given":"Sabine A S","non-dropping-particle":"","parse-names":false,"suffix":""},{"dropping-particle":"","family":"Lie","given":"Rolv T","non-dropping-particle":"","parse-names":false,"suffix":""},{"dropping-particle":"","family":"Liu","given":"Andrew H","non-dropping-particle":"","parse-names":false,"suffix":""},{"dropping-particle":"","family":"Magnus","given":"Maria C","non-dropping-particle":"","parse-names":false,"suffix":""},{"dropping-particle":"","family":"Magnus","given":"Per","non-dropping-particle":"","parse-names":false,"suffix":""},{"dropping-particle":"","family":"Maguire","given":"Rachel L","non-dropping-particle":"","parse-names":false,"suffix":""},{"dropping-particle":"","family":"Marsit","given":"Carmen J","non-dropping-particle":"","parse-names":false,"suffix":""},{"dropping-particle":"","family":"McArdle","given":"Wendy","non-dropping-particle":"","parse-names":false,"suffix":""},{"dropping-particle":"","family":"Melén","given":"Erik","non-dropping-particle":"","parse-names":false,"suffix":""},{"dropping-particle":"","family":"Melton","given":"Phillip","non-dropping-particle":"","parse-names":false,"suffix":""},{"dropping-particle":"","family":"Murphy","given":"Susan K","non-dropping-particle":"","parse-names":false,"suffix":""},{"dropping-particle":"","family":"Nawrot","given":"Tim S","non-dropping-particle":"","parse-names":false,"suffix":""},{"dropping-particle":"","family":"Nisticò","given":"Lorenza","non-dropping-particle":"","parse-names":false,"suffix":""},{"dropping-particle":"","family":"Nohr","given":"Ellen A","non-dropping-particle":"","parse-names":false,"suffix":""},{"dropping-particle":"","family":"Nordlund","given":"Björn","non-dropping-particle":"","parse-names":false,"suffix":""},{"dropping-particle":"","family":"Nystad","given":"Wenche","non-dropping-particle":"","parse-names":false,"suffix":""},{"dropping-particle":"","family":"Oh","given":"Sam S","non-dropping-particle":"","parse-names":false,"suffix":""},{"dropping-particle":"","family":"Oken","given":"Emily","non-dropping-particle":"","parse-names":false,"suffix":""},{"dropping-particle":"","family":"Page","given":"Christian M","non-dropping-particle":"","parse-names":false,"suffix":""},{"dropping-particle":"","family":"Perron","given":"Patrice","non-dropping-particle":"","parse-names":false,"suffix":""},{"dropping-particle":"","family":"Pershagen","given":"Göran","non-dropping-particle":"","parse-names":false,"suffix":""},{"dropping-particle":"","family":"Pizzi","given":"Costanza","non-dropping-particle":"","parse-names":false,"suffix":""},{"dropping-particle":"","family":"Plusquin","given":"Michelle","non-dropping-particle":"","parse-names":false,"suffix":""},{"dropping-particle":"","family":"Raikkonen","given":"Katri","non-dropping-particle":"","parse-names":false,"suffix":""},{"dropping-particle":"","family":"Reese","given":"Sarah E","non-dropping-particle":"","parse-names":false,"suffix":""},{"dropping-particle":"","family":"Reischl","given":"Eva","non-dropping-particle":"","parse-names":false,"suffix":""},{"dropping-particle":"","family":"Richiardi","given":"Lorenzo","non-dropping-particle":"","parse-names":false,"suffix":""},{"dropping-particle":"","family":"Ring","given":"Susan","non-dropping-particle":"","parse-names":false,"suffix":""},{"dropping-particle":"","family":"Roy","given":"Ritu P","non-dropping-particle":"","parse-names":false,"suffix":""},{"dropping-particle":"","family":"Rzehak","given":"Peter","non-dropping-particle":"","parse-names":false,"suffix":""},{"dropping-particle":"","family":"Schoeters","given":"Greet","non-dropping-particle":"","parse-names":false,"suffix":""},{"dropping-particle":"","family":"Schwartz","given":"David A","non-dropping-particle":"","parse-names":false,"suffix":""},{"dropping-particle":"","family":"Sebert","given":"Sylvain","non-dropping-particle":"","parse-names":false,"suffix":""},{"dropping-particle":"","family":"Snieder","given":"Harold","non-dropping-particle":"","parse-names":false,"suffix":""},{"dropping-particle":"","family":"Sørensen","given":"Thorkild I A","non-dropping-particle":"","parse-names":false,"suffix":""},{"dropping-particle":"","family":"Starling","given":"Anne P","non-dropping-particle":"","parse-names":false,"suffix":""},{"dropping-particle":"","family":"Sunyer","given":"Jordi","non-dropping-particle":"","parse-names":false,"suffix":""},{"dropping-particle":"","family":"Taylor","given":"Jack A","non-dropping-particle":"","parse-names":false,"suffix":""},{"dropping-particle":"","family":"Tiemeier","given":"Henning","non-dropping-particle":"","parse-names":false,"suffix":""},{"dropping-particle":"","family":"Ullemar","given":"Vilhelmina","non-dropping-particle":"","parse-names":false,"suffix":""},{"dropping-particle":"","family":"Vafeiadi","given":"Marina","non-dropping-particle":"","parse-names":false,"suffix":""},{"dropping-particle":"","family":"Ijzendoorn","given":"Marinus H","non-dropping-particle":"Van","parse-names":false,"suffix":""},{"dropping-particle":"","family":"Vonk","given":"Judith M","non-dropping-particle":"","parse-names":false,"suffix":""},{"dropping-particle":"","family":"Vriens","given":"Annette","non-dropping-particle":"","parse-names":false,"suffix":""},{"dropping-particle":"","family":"Vrijheid","given":"Martine","non-dropping-particle":"","parse-names":false,"suffix":""},{"dropping-particle":"","family":"Wang","given":"Pei","non-dropping-particle":"","parse-names":false,"suffix":""},{"dropping-particle":"","family":"Wiemels","given":"Joseph L","non-dropping-particle":"","parse-names":false,"suffix":""},{"dropping-particle":"","family":"Wilcox","given":"Allen J","non-dropping-particle":"","parse-names":false,"suffix":""},{"dropping-particle":"","family":"Wright","given":"Rosalind J","non-dropping-particle":"","parse-names":false,"suffix":""},{"dropping-particle":"","family":"Xu","given":"Cheng-Jian","non-dropping-particle":"","parse-names":false,"suffix":""},{"dropping-particle":"","family":"Xu","given":"Zongli","non-dropping-particle":"","parse-names":false,"suffix":""},{"dropping-particle":"V","family":"Yang","given":"Ivana","non-dropping-particle":"","parse-names":false,"suffix":""},{"dropping-particle":"","family":"Yousefi","given":"Paul","non-dropping-particle":"","parse-names":false,"suffix":""},{"dropping-particle":"","family":"Zhang","given":"Hongmei","non-dropping-particle":"","parse-names":false,"suffix":""},{"dropping-particle":"","family":"Zhang","given":"Weiming","non-dropping-particle":"","parse-names":false,"suffix":""},{"dropping-particle":"","family":"Zhao","given":"Shanshan","non-dropping-particle":"","parse-names":false,"suffix":""},{"dropping-particle":"","family":"Agha","given":"Golareh","non-dropping-particle":"","parse-names":false,"suffix":""},{"dropping-particle":"","family":"Relton","given":"Caroline L","non-dropping-particle":"","parse-names":false,"suffix":""},{"dropping-particle":"V","family":"Jaddoe","given":"Vincent W","non-dropping-particle":"","parse-names":false,"suffix":""},{"dropping-particle":"","family":"London","given":"Stephanie J","non-dropping-particle":"","parse-names":false,"suffix":""}],"container-title":"International journal of epidemiology","id":"ITEM-1","issue":"1","issued":{"date-parts":[["2018","2","1"]]},"language":"eng","page":"22-23u","publisher":"Oxford University Press","title":"Cohort Profile: Pregnancy And Childhood Epigenetics (PACE) Consortium","type":"article-journal","volume":"47"},"uris":["http://www.mendeley.com/documents/?uuid=79a734b0-5486-33b7-a085-1efefad54671"]}],"mendeley":{"formattedCitation":"&lt;span style=\"baseline\"&gt;[53]&lt;/span&gt;","plainTextFormattedCitation":"[53]","previouslyFormattedCitation":"&lt;span style=\"baseline\"&gt;[53]&lt;/span&gt;"},"properties":{"noteIndex":0},"schema":"https://github.com/citation-style-language/schema/raw/master/csl-citation.json"}</w:instrText>
      </w:r>
      <w:r w:rsidR="005C1CA9" w:rsidRPr="00190491">
        <w:rPr>
          <w:color w:val="auto"/>
          <w:lang w:val="en-GB"/>
        </w:rPr>
        <w:fldChar w:fldCharType="separate"/>
      </w:r>
      <w:r w:rsidR="008253DA" w:rsidRPr="008253DA">
        <w:rPr>
          <w:noProof/>
          <w:color w:val="auto"/>
          <w:lang w:val="en-GB"/>
        </w:rPr>
        <w:t>[53]</w:t>
      </w:r>
      <w:r w:rsidR="005C1CA9" w:rsidRPr="00190491">
        <w:rPr>
          <w:color w:val="auto"/>
          <w:lang w:val="en-GB"/>
        </w:rPr>
        <w:fldChar w:fldCharType="end"/>
      </w:r>
      <w:r w:rsidR="007B11B0" w:rsidRPr="00190491">
        <w:rPr>
          <w:color w:val="auto"/>
          <w:lang w:val="en-GB"/>
        </w:rPr>
        <w:t>, a</w:t>
      </w:r>
      <w:r w:rsidRPr="00190491">
        <w:rPr>
          <w:color w:val="auto"/>
          <w:lang w:val="en-GB"/>
        </w:rPr>
        <w:t xml:space="preserve"> single and sufficiently powered multi-cohort analysis may offer the best opportunity to detect associations between breastfeeding and DNA methylation with high confidence. </w:t>
      </w:r>
    </w:p>
    <w:p w14:paraId="6B737770" w14:textId="77777777" w:rsidR="00935ACF" w:rsidRPr="00190491" w:rsidRDefault="00935ACF" w:rsidP="00935ACF">
      <w:pPr>
        <w:pStyle w:val="MDPI61Supplementary"/>
        <w:rPr>
          <w:color w:val="auto"/>
          <w:lang w:val="en-GB"/>
        </w:rPr>
      </w:pPr>
      <w:r w:rsidRPr="00190491">
        <w:rPr>
          <w:b/>
          <w:color w:val="auto"/>
          <w:lang w:val="en-GB"/>
        </w:rPr>
        <w:t>Supplementary Materials:</w:t>
      </w:r>
      <w:r w:rsidRPr="00190491">
        <w:rPr>
          <w:color w:val="auto"/>
          <w:lang w:val="en-GB"/>
        </w:rPr>
        <w:t xml:space="preserve"> The following are available online at www.mdpi.com/xxx/s1, </w:t>
      </w:r>
    </w:p>
    <w:p w14:paraId="47B9ED90" w14:textId="77777777" w:rsidR="00D912A6" w:rsidRPr="00190491" w:rsidRDefault="00AC3DB1" w:rsidP="00D912A6">
      <w:pPr>
        <w:rPr>
          <w:sz w:val="18"/>
          <w:lang w:bidi="en-US"/>
        </w:rPr>
      </w:pPr>
      <w:r w:rsidRPr="00AC3DB1">
        <w:rPr>
          <w:sz w:val="18"/>
          <w:lang w:bidi="en-US"/>
        </w:rPr>
        <w:t>Table S1. Summary of the number of participants included in each analysis in this study</w:t>
      </w:r>
      <w:r>
        <w:rPr>
          <w:sz w:val="18"/>
          <w:lang w:bidi="en-US"/>
        </w:rPr>
        <w:t xml:space="preserve">; </w:t>
      </w:r>
      <w:r w:rsidR="00D912A6" w:rsidRPr="00190491">
        <w:rPr>
          <w:sz w:val="18"/>
          <w:lang w:bidi="en-US"/>
        </w:rPr>
        <w:t>Table S</w:t>
      </w:r>
      <w:r>
        <w:rPr>
          <w:sz w:val="18"/>
          <w:lang w:bidi="en-US"/>
        </w:rPr>
        <w:t>2</w:t>
      </w:r>
      <w:r w:rsidR="00D912A6" w:rsidRPr="00190491">
        <w:rPr>
          <w:sz w:val="18"/>
          <w:lang w:bidi="en-US"/>
        </w:rPr>
        <w:t xml:space="preserve">. </w:t>
      </w:r>
      <w:r w:rsidR="00790B5D">
        <w:rPr>
          <w:sz w:val="18"/>
          <w:lang w:bidi="en-US"/>
        </w:rPr>
        <w:t>B</w:t>
      </w:r>
      <w:r w:rsidR="00D912A6" w:rsidRPr="00190491">
        <w:rPr>
          <w:sz w:val="18"/>
          <w:lang w:bidi="en-US"/>
        </w:rPr>
        <w:t>reastfeeding duration &gt;3 months vs DNA methylation at 10 years (top 10 hits); Table S</w:t>
      </w:r>
      <w:r>
        <w:rPr>
          <w:sz w:val="18"/>
          <w:lang w:bidi="en-US"/>
        </w:rPr>
        <w:t>3</w:t>
      </w:r>
      <w:r w:rsidR="00D912A6" w:rsidRPr="00190491">
        <w:rPr>
          <w:sz w:val="18"/>
          <w:lang w:bidi="en-US"/>
        </w:rPr>
        <w:t>. Cis-mQTL analysis results for cg03592955; Table S</w:t>
      </w:r>
      <w:r>
        <w:rPr>
          <w:sz w:val="18"/>
          <w:lang w:bidi="en-US"/>
        </w:rPr>
        <w:t>4</w:t>
      </w:r>
      <w:r w:rsidR="00D912A6" w:rsidRPr="00190491">
        <w:rPr>
          <w:sz w:val="18"/>
          <w:lang w:bidi="en-US"/>
        </w:rPr>
        <w:t>. Cis-mQTL analysis results for cg08188863; Figure S1: Manhattan plot of EWAS breastfeeding duration &gt;3 months and DNAm in IoW cohort at 10 years; Figure S2: Quantile-Quantile (QQ) plot of EWAS for breastfeeding duration &gt;3 months and DNAm in IoW cohort at 10 years; Figure S3. Manhattan plot for DMR analysis.</w:t>
      </w:r>
    </w:p>
    <w:p w14:paraId="42DB7A1D" w14:textId="77777777" w:rsidR="00D912A6" w:rsidRPr="00565BE8" w:rsidRDefault="00935ACF" w:rsidP="00935ACF">
      <w:pPr>
        <w:pStyle w:val="MDPI62Acknowledgments"/>
        <w:rPr>
          <w:color w:val="auto"/>
          <w:lang w:val="en-GB"/>
        </w:rPr>
      </w:pPr>
      <w:r w:rsidRPr="00190491">
        <w:rPr>
          <w:b/>
          <w:color w:val="auto"/>
          <w:lang w:val="en-GB"/>
        </w:rPr>
        <w:t xml:space="preserve">Author Contributions: </w:t>
      </w:r>
      <w:r w:rsidRPr="00190491">
        <w:rPr>
          <w:color w:val="auto"/>
          <w:lang w:val="en-GB"/>
        </w:rPr>
        <w:t xml:space="preserve">Conceptualization, </w:t>
      </w:r>
      <w:r w:rsidR="00E02154" w:rsidRPr="00190491">
        <w:rPr>
          <w:color w:val="auto"/>
          <w:lang w:val="en-GB"/>
        </w:rPr>
        <w:t>William B Sherwood, Faisal I Rezwan and John W. Holloway</w:t>
      </w:r>
      <w:r w:rsidRPr="00190491">
        <w:rPr>
          <w:color w:val="auto"/>
          <w:lang w:val="en-GB"/>
        </w:rPr>
        <w:t xml:space="preserve">; formal analysis, </w:t>
      </w:r>
      <w:r w:rsidR="00FE0ABC" w:rsidRPr="00190491">
        <w:rPr>
          <w:color w:val="auto"/>
          <w:lang w:val="en-GB"/>
        </w:rPr>
        <w:t>Dilini M. Kothalawala</w:t>
      </w:r>
      <w:r w:rsidR="00A02AB3" w:rsidRPr="00190491">
        <w:rPr>
          <w:color w:val="auto"/>
          <w:lang w:val="en-GB"/>
        </w:rPr>
        <w:t xml:space="preserve">, </w:t>
      </w:r>
      <w:r w:rsidR="00A73949" w:rsidRPr="00190491">
        <w:rPr>
          <w:color w:val="auto"/>
          <w:lang w:val="en-GB"/>
        </w:rPr>
        <w:t>Latha Kadalayil and Faisal I Rezwan</w:t>
      </w:r>
      <w:r w:rsidRPr="00190491">
        <w:rPr>
          <w:color w:val="auto"/>
          <w:lang w:val="en-GB"/>
        </w:rPr>
        <w:t xml:space="preserve">;  </w:t>
      </w:r>
      <w:r w:rsidR="00A02AB3" w:rsidRPr="00190491">
        <w:rPr>
          <w:color w:val="auto"/>
          <w:lang w:val="en-GB"/>
        </w:rPr>
        <w:t>Cohort assessment and data generation John W Holloway, Susan Ewart, Hongmei Zhang, Wilfried Karmaus, S. Hasan Arshad</w:t>
      </w:r>
      <w:r w:rsidRPr="00190491">
        <w:rPr>
          <w:color w:val="auto"/>
          <w:lang w:val="en-GB"/>
        </w:rPr>
        <w:t xml:space="preserve">; writing—original draft preparation, </w:t>
      </w:r>
      <w:r w:rsidR="00A73949" w:rsidRPr="00190491">
        <w:rPr>
          <w:color w:val="auto"/>
          <w:lang w:val="en-GB"/>
        </w:rPr>
        <w:t>William B. Sherwood and Faisal I Rezwan</w:t>
      </w:r>
      <w:r w:rsidRPr="00190491">
        <w:rPr>
          <w:color w:val="auto"/>
          <w:lang w:val="en-GB"/>
        </w:rPr>
        <w:t xml:space="preserve">; writing—review and editing, </w:t>
      </w:r>
      <w:r w:rsidR="00FE0ABC" w:rsidRPr="00190491">
        <w:rPr>
          <w:color w:val="auto"/>
          <w:lang w:val="en-GB"/>
        </w:rPr>
        <w:t>Dilini M. Kothalawala</w:t>
      </w:r>
      <w:r w:rsidR="00A73949" w:rsidRPr="00190491">
        <w:rPr>
          <w:color w:val="auto"/>
          <w:lang w:val="en-GB"/>
        </w:rPr>
        <w:t>, Latha Kadalayil, Faisal I Rezwan</w:t>
      </w:r>
      <w:r w:rsidR="00FE0ABC" w:rsidRPr="00190491">
        <w:rPr>
          <w:color w:val="auto"/>
          <w:lang w:val="en-GB"/>
        </w:rPr>
        <w:t xml:space="preserve"> and</w:t>
      </w:r>
      <w:r w:rsidR="00A73949" w:rsidRPr="00190491">
        <w:rPr>
          <w:color w:val="auto"/>
          <w:lang w:val="en-GB"/>
        </w:rPr>
        <w:t xml:space="preserve"> John W. Holloway</w:t>
      </w:r>
      <w:r w:rsidRPr="00190491">
        <w:rPr>
          <w:color w:val="auto"/>
          <w:lang w:val="en-GB"/>
        </w:rPr>
        <w:t>;</w:t>
      </w:r>
      <w:r w:rsidR="00143E9F" w:rsidRPr="00190491">
        <w:rPr>
          <w:color w:val="auto"/>
          <w:lang w:val="en-GB"/>
        </w:rPr>
        <w:t xml:space="preserve"> </w:t>
      </w:r>
      <w:r w:rsidRPr="00190491">
        <w:rPr>
          <w:color w:val="auto"/>
          <w:lang w:val="en-GB"/>
        </w:rPr>
        <w:t xml:space="preserve">supervision, </w:t>
      </w:r>
      <w:r w:rsidR="00A73949" w:rsidRPr="00190491">
        <w:rPr>
          <w:color w:val="auto"/>
          <w:lang w:val="en-GB"/>
        </w:rPr>
        <w:t>Faisal I Rezwan and John W. Holloway</w:t>
      </w:r>
      <w:r w:rsidRPr="00190491">
        <w:rPr>
          <w:color w:val="auto"/>
          <w:lang w:val="en-GB"/>
        </w:rPr>
        <w:t>.; project administration</w:t>
      </w:r>
      <w:r w:rsidR="00143E9F" w:rsidRPr="00190491">
        <w:rPr>
          <w:color w:val="auto"/>
          <w:lang w:val="en-GB"/>
        </w:rPr>
        <w:t xml:space="preserve">, Dilini M. Kothalawala; </w:t>
      </w:r>
      <w:r w:rsidR="00A02AB3" w:rsidRPr="00190491">
        <w:rPr>
          <w:color w:val="auto"/>
          <w:lang w:val="en-GB"/>
        </w:rPr>
        <w:t>and</w:t>
      </w:r>
      <w:r w:rsidRPr="00190491">
        <w:rPr>
          <w:color w:val="auto"/>
          <w:lang w:val="en-GB"/>
        </w:rPr>
        <w:t xml:space="preserve"> funding acquisition</w:t>
      </w:r>
      <w:r w:rsidR="00517F9F">
        <w:rPr>
          <w:color w:val="auto"/>
          <w:lang w:val="en-GB"/>
        </w:rPr>
        <w:t xml:space="preserve"> and cohort management</w:t>
      </w:r>
      <w:r w:rsidRPr="00190491">
        <w:rPr>
          <w:color w:val="auto"/>
          <w:lang w:val="en-GB"/>
        </w:rPr>
        <w:t xml:space="preserve">, </w:t>
      </w:r>
      <w:r w:rsidR="00A02AB3" w:rsidRPr="00190491">
        <w:rPr>
          <w:color w:val="auto"/>
          <w:lang w:val="en-GB"/>
        </w:rPr>
        <w:t xml:space="preserve">John W Holloway, Susan </w:t>
      </w:r>
      <w:r w:rsidR="00A02AB3" w:rsidRPr="00565BE8">
        <w:rPr>
          <w:color w:val="auto"/>
          <w:lang w:val="en-GB"/>
        </w:rPr>
        <w:lastRenderedPageBreak/>
        <w:t>Ewart, Hongmei Zhang, Wilfried Karmaus, S. Hasan Arshad</w:t>
      </w:r>
      <w:r w:rsidRPr="00565BE8">
        <w:rPr>
          <w:color w:val="auto"/>
          <w:lang w:val="en-GB"/>
        </w:rPr>
        <w:t>. All authors have read and agreed to the published version of the manuscript.</w:t>
      </w:r>
    </w:p>
    <w:p w14:paraId="78E88B57" w14:textId="77777777" w:rsidR="00935ACF" w:rsidRPr="00565BE8" w:rsidRDefault="00935ACF" w:rsidP="00935ACF">
      <w:pPr>
        <w:pStyle w:val="MDPI62Acknowledgments"/>
        <w:rPr>
          <w:color w:val="auto"/>
          <w:lang w:val="en-GB"/>
        </w:rPr>
      </w:pPr>
      <w:r w:rsidRPr="00565BE8">
        <w:rPr>
          <w:b/>
          <w:color w:val="auto"/>
          <w:lang w:val="en-GB"/>
        </w:rPr>
        <w:t xml:space="preserve">Funding: </w:t>
      </w:r>
      <w:r w:rsidR="00D912A6" w:rsidRPr="00565BE8">
        <w:rPr>
          <w:color w:val="auto"/>
          <w:lang w:val="en-GB"/>
        </w:rPr>
        <w:t xml:space="preserve">This research was funded by </w:t>
      </w:r>
      <w:r w:rsidRPr="00565BE8">
        <w:rPr>
          <w:color w:val="auto"/>
          <w:lang w:val="en-GB"/>
        </w:rPr>
        <w:t>the National Institutes of Health USA (Grant no. R01 HL082925, R01 AI091905, R01 AI121226, and R01 HL132321) and Asthma UK (Grant no. 364)</w:t>
      </w:r>
      <w:r w:rsidR="00C440BC" w:rsidRPr="00565BE8">
        <w:rPr>
          <w:color w:val="auto"/>
          <w:lang w:val="en-GB"/>
        </w:rPr>
        <w:t xml:space="preserve"> which supported the assessment and methylation analysis of the Isle of Wight Birth Cohort</w:t>
      </w:r>
      <w:r w:rsidRPr="00565BE8">
        <w:rPr>
          <w:color w:val="auto"/>
          <w:lang w:val="en-GB"/>
        </w:rPr>
        <w:t>. DMK was supported by the NIHR Southampton Biomedical Research Centre</w:t>
      </w:r>
      <w:r w:rsidR="00D912A6" w:rsidRPr="00565BE8">
        <w:rPr>
          <w:color w:val="auto"/>
          <w:lang w:val="en-GB"/>
        </w:rPr>
        <w:t xml:space="preserve"> and a University of Southampton Presidential Research Studentship</w:t>
      </w:r>
      <w:r w:rsidRPr="00565BE8">
        <w:rPr>
          <w:color w:val="auto"/>
          <w:lang w:val="en-GB"/>
        </w:rPr>
        <w:t xml:space="preserve">. </w:t>
      </w:r>
    </w:p>
    <w:p w14:paraId="0C367C86" w14:textId="77777777" w:rsidR="00935ACF" w:rsidRPr="00190491" w:rsidRDefault="00935ACF" w:rsidP="00A02AB3">
      <w:pPr>
        <w:pStyle w:val="MDPI62Acknowledgments"/>
        <w:rPr>
          <w:color w:val="auto"/>
          <w:lang w:val="en-GB"/>
        </w:rPr>
      </w:pPr>
      <w:r w:rsidRPr="00565BE8">
        <w:rPr>
          <w:b/>
          <w:color w:val="auto"/>
          <w:lang w:val="en-GB"/>
        </w:rPr>
        <w:t>Acknowledgments:</w:t>
      </w:r>
      <w:r w:rsidRPr="00565BE8">
        <w:rPr>
          <w:color w:val="auto"/>
          <w:lang w:val="en-GB"/>
        </w:rPr>
        <w:t xml:space="preserve"> </w:t>
      </w:r>
      <w:r w:rsidR="00A02AB3" w:rsidRPr="00565BE8">
        <w:rPr>
          <w:color w:val="auto"/>
          <w:lang w:val="en-GB"/>
        </w:rPr>
        <w:t xml:space="preserve"> We would like to acknowledge the help of all the staff at The David Hide Asthma and Allergy</w:t>
      </w:r>
      <w:r w:rsidR="00E34A15" w:rsidRPr="00565BE8">
        <w:rPr>
          <w:color w:val="auto"/>
          <w:lang w:val="en-GB"/>
        </w:rPr>
        <w:t xml:space="preserve"> </w:t>
      </w:r>
      <w:r w:rsidR="00A02AB3" w:rsidRPr="008012C2">
        <w:rPr>
          <w:color w:val="auto"/>
          <w:lang w:val="en-GB"/>
        </w:rPr>
        <w:t>Research Centre in undertaking</w:t>
      </w:r>
      <w:r w:rsidR="00A02AB3" w:rsidRPr="00190491">
        <w:rPr>
          <w:color w:val="auto"/>
          <w:lang w:val="en-GB"/>
        </w:rPr>
        <w:t xml:space="preserve"> the assessments of the Isle of Wight birth cohort and Nikki Graham for technical support. Our sincere thanks to the participants and their families who helped us with this project over the last three</w:t>
      </w:r>
      <w:r w:rsidR="00E34A15" w:rsidRPr="00190491">
        <w:rPr>
          <w:color w:val="auto"/>
          <w:lang w:val="en-GB"/>
        </w:rPr>
        <w:t xml:space="preserve"> </w:t>
      </w:r>
      <w:r w:rsidR="00A02AB3" w:rsidRPr="00190491">
        <w:rPr>
          <w:color w:val="auto"/>
          <w:lang w:val="en-GB"/>
        </w:rPr>
        <w:t>decades.</w:t>
      </w:r>
    </w:p>
    <w:p w14:paraId="2153D428" w14:textId="77777777" w:rsidR="00BB0F15" w:rsidRDefault="00935ACF" w:rsidP="00935ACF">
      <w:pPr>
        <w:pStyle w:val="MDPI64CoI"/>
        <w:rPr>
          <w:color w:val="auto"/>
          <w:lang w:val="en-GB"/>
        </w:rPr>
      </w:pPr>
      <w:r w:rsidRPr="00190491">
        <w:rPr>
          <w:b/>
          <w:color w:val="auto"/>
          <w:lang w:val="en-GB"/>
        </w:rPr>
        <w:t>Conflicts of Interest:</w:t>
      </w:r>
      <w:r w:rsidRPr="00190491">
        <w:rPr>
          <w:color w:val="auto"/>
          <w:lang w:val="en-GB"/>
        </w:rPr>
        <w:t xml:space="preserve"> The authors declare no conflict of interest.</w:t>
      </w:r>
      <w:r w:rsidR="00E34A15" w:rsidRPr="00190491">
        <w:rPr>
          <w:color w:val="auto"/>
          <w:lang w:val="en-GB"/>
        </w:rPr>
        <w:t xml:space="preserve"> </w:t>
      </w:r>
      <w:r w:rsidRPr="00190491">
        <w:rPr>
          <w:color w:val="auto"/>
          <w:lang w:val="en-GB"/>
        </w:rPr>
        <w:t>The funders had no role in the design of the study; in the collection, analyses, or interpretation of data; in the writing of the manuscript, or in the decision to publish the resul</w:t>
      </w:r>
      <w:r w:rsidR="00BB0F15" w:rsidRPr="00190491">
        <w:rPr>
          <w:color w:val="auto"/>
          <w:lang w:val="en-GB"/>
        </w:rPr>
        <w:t>ts.</w:t>
      </w:r>
    </w:p>
    <w:p w14:paraId="27FED434" w14:textId="77777777" w:rsidR="00970460" w:rsidRPr="00190491" w:rsidRDefault="00970460" w:rsidP="00970460">
      <w:pPr>
        <w:pStyle w:val="MDPI21heading1"/>
        <w:rPr>
          <w:color w:val="auto"/>
          <w:szCs w:val="20"/>
          <w:lang w:val="en-GB"/>
        </w:rPr>
      </w:pPr>
      <w:r w:rsidRPr="00190491">
        <w:rPr>
          <w:color w:val="auto"/>
          <w:szCs w:val="20"/>
          <w:lang w:val="en-GB"/>
        </w:rPr>
        <w:t>References</w:t>
      </w:r>
    </w:p>
    <w:p w14:paraId="761FA847" w14:textId="77777777" w:rsidR="006E4483" w:rsidRPr="006E4483" w:rsidRDefault="00BB0F15" w:rsidP="006E4483">
      <w:pPr>
        <w:widowControl w:val="0"/>
        <w:autoSpaceDE w:val="0"/>
        <w:autoSpaceDN w:val="0"/>
        <w:adjustRightInd w:val="0"/>
        <w:spacing w:line="240" w:lineRule="atLeast"/>
        <w:ind w:left="640" w:hanging="640"/>
      </w:pPr>
      <w:r w:rsidRPr="00190491">
        <w:fldChar w:fldCharType="begin" w:fldLock="1"/>
      </w:r>
      <w:r w:rsidRPr="00190491">
        <w:instrText xml:space="preserve">ADDIN Mendeley Bibliography CSL_BIBLIOGRAPHY </w:instrText>
      </w:r>
      <w:r w:rsidRPr="00190491">
        <w:fldChar w:fldCharType="separate"/>
      </w:r>
      <w:r w:rsidR="006E4483" w:rsidRPr="006E4483">
        <w:t>[1]</w:t>
      </w:r>
      <w:r w:rsidR="006E4483" w:rsidRPr="006E4483">
        <w:tab/>
        <w:t xml:space="preserve">Binns, C.; Lee, M.; Low, W. Y. The Long-Term Public Health Benefits of Breastfeeding. </w:t>
      </w:r>
      <w:r w:rsidR="006E4483" w:rsidRPr="006E4483">
        <w:rPr>
          <w:i/>
          <w:iCs/>
        </w:rPr>
        <w:t>Asia Pacific J. Public Heal.</w:t>
      </w:r>
      <w:r w:rsidR="006E4483" w:rsidRPr="006E4483">
        <w:t xml:space="preserve">, </w:t>
      </w:r>
      <w:r w:rsidR="006E4483" w:rsidRPr="006E4483">
        <w:rPr>
          <w:b/>
          <w:bCs/>
        </w:rPr>
        <w:t>2016</w:t>
      </w:r>
      <w:r w:rsidR="006E4483" w:rsidRPr="006E4483">
        <w:t xml:space="preserve">, </w:t>
      </w:r>
      <w:r w:rsidR="006E4483" w:rsidRPr="006E4483">
        <w:rPr>
          <w:i/>
          <w:iCs/>
        </w:rPr>
        <w:t>28</w:t>
      </w:r>
      <w:r w:rsidR="006E4483" w:rsidRPr="006E4483">
        <w:t xml:space="preserve"> (1), 7–14. https://doi.org/10.1177/1010539515624964.</w:t>
      </w:r>
    </w:p>
    <w:p w14:paraId="3787A062" w14:textId="77777777" w:rsidR="006E4483" w:rsidRPr="006E4483" w:rsidRDefault="006E4483" w:rsidP="006E4483">
      <w:pPr>
        <w:widowControl w:val="0"/>
        <w:autoSpaceDE w:val="0"/>
        <w:autoSpaceDN w:val="0"/>
        <w:adjustRightInd w:val="0"/>
        <w:spacing w:line="240" w:lineRule="atLeast"/>
        <w:ind w:left="640" w:hanging="640"/>
      </w:pPr>
      <w:r w:rsidRPr="006E4483">
        <w:t>[2]</w:t>
      </w:r>
      <w:r w:rsidRPr="006E4483">
        <w:tab/>
        <w:t>WHO. Essential Nutrition Actions: Improving Maternal, Newborn, Infant and Young Child Health and Nutrition. World Health Organization 2013.</w:t>
      </w:r>
    </w:p>
    <w:p w14:paraId="69209B5A" w14:textId="77777777" w:rsidR="006E4483" w:rsidRPr="006E4483" w:rsidRDefault="006E4483" w:rsidP="006E4483">
      <w:pPr>
        <w:widowControl w:val="0"/>
        <w:autoSpaceDE w:val="0"/>
        <w:autoSpaceDN w:val="0"/>
        <w:adjustRightInd w:val="0"/>
        <w:spacing w:line="240" w:lineRule="atLeast"/>
        <w:ind w:left="640" w:hanging="640"/>
      </w:pPr>
      <w:r w:rsidRPr="006E4483">
        <w:t>[3]</w:t>
      </w:r>
      <w:r w:rsidRPr="006E4483">
        <w:tab/>
        <w:t xml:space="preserve">Sankar, M. J.; Sinha, B.; Chowdhury, R.; Bhandari, N.; Taneja, S.; Martines, J.; Bahl, R. Optimal Breastfeeding Practices and Infant and Child Mortality: A Systematic Review and Meta-Analysis. </w:t>
      </w:r>
      <w:r w:rsidRPr="006E4483">
        <w:rPr>
          <w:i/>
          <w:iCs/>
        </w:rPr>
        <w:t>Acta Paediatr.</w:t>
      </w:r>
      <w:r w:rsidRPr="006E4483">
        <w:t xml:space="preserve">, </w:t>
      </w:r>
      <w:r w:rsidRPr="006E4483">
        <w:rPr>
          <w:b/>
          <w:bCs/>
        </w:rPr>
        <w:t>2015</w:t>
      </w:r>
      <w:r w:rsidRPr="006E4483">
        <w:t xml:space="preserve">, </w:t>
      </w:r>
      <w:r w:rsidRPr="006E4483">
        <w:rPr>
          <w:i/>
          <w:iCs/>
        </w:rPr>
        <w:t>104</w:t>
      </w:r>
      <w:r w:rsidRPr="006E4483">
        <w:t>, 3–13. https://doi.org/10.1111/apa.13147.</w:t>
      </w:r>
    </w:p>
    <w:p w14:paraId="22F4BE0A" w14:textId="77777777" w:rsidR="006E4483" w:rsidRPr="006E4483" w:rsidRDefault="006E4483" w:rsidP="006E4483">
      <w:pPr>
        <w:widowControl w:val="0"/>
        <w:autoSpaceDE w:val="0"/>
        <w:autoSpaceDN w:val="0"/>
        <w:adjustRightInd w:val="0"/>
        <w:spacing w:line="240" w:lineRule="atLeast"/>
        <w:ind w:left="640" w:hanging="640"/>
      </w:pPr>
      <w:r w:rsidRPr="006E4483">
        <w:t>[4]</w:t>
      </w:r>
      <w:r w:rsidRPr="006E4483">
        <w:tab/>
        <w:t>Horta, B.; Victora, C. G. Short-Term Effects of Breastfeeding: A Systematic Review of the Benefits of Breastfeeding on Diarrhoea and Pneumonia Mortality. World Health Organization 2013.</w:t>
      </w:r>
    </w:p>
    <w:p w14:paraId="222B4027" w14:textId="77777777" w:rsidR="006E4483" w:rsidRPr="006E4483" w:rsidRDefault="006E4483" w:rsidP="006E4483">
      <w:pPr>
        <w:widowControl w:val="0"/>
        <w:autoSpaceDE w:val="0"/>
        <w:autoSpaceDN w:val="0"/>
        <w:adjustRightInd w:val="0"/>
        <w:spacing w:line="240" w:lineRule="atLeast"/>
        <w:ind w:left="640" w:hanging="640"/>
      </w:pPr>
      <w:r w:rsidRPr="006E4483">
        <w:t>[5]</w:t>
      </w:r>
      <w:r w:rsidRPr="006E4483">
        <w:tab/>
        <w:t xml:space="preserve">Robinson, S. M. Infant Nutrition and Lifelong Health: Current Perspectives and Future Challenges. </w:t>
      </w:r>
      <w:r w:rsidRPr="006E4483">
        <w:rPr>
          <w:i/>
          <w:iCs/>
        </w:rPr>
        <w:t>J. Dev. Orig. Health Dis.</w:t>
      </w:r>
      <w:r w:rsidRPr="006E4483">
        <w:t xml:space="preserve">, </w:t>
      </w:r>
      <w:r w:rsidRPr="006E4483">
        <w:rPr>
          <w:b/>
          <w:bCs/>
        </w:rPr>
        <w:t>2015</w:t>
      </w:r>
      <w:r w:rsidRPr="006E4483">
        <w:t xml:space="preserve">, </w:t>
      </w:r>
      <w:r w:rsidRPr="006E4483">
        <w:rPr>
          <w:i/>
          <w:iCs/>
        </w:rPr>
        <w:t>6</w:t>
      </w:r>
      <w:r w:rsidRPr="006E4483">
        <w:t xml:space="preserve"> (05), 384–389. https://doi.org/10.1017/s2040174415001257.</w:t>
      </w:r>
    </w:p>
    <w:p w14:paraId="7048ECAF" w14:textId="77777777" w:rsidR="006E4483" w:rsidRPr="006E4483" w:rsidRDefault="006E4483" w:rsidP="006E4483">
      <w:pPr>
        <w:widowControl w:val="0"/>
        <w:autoSpaceDE w:val="0"/>
        <w:autoSpaceDN w:val="0"/>
        <w:adjustRightInd w:val="0"/>
        <w:spacing w:line="240" w:lineRule="atLeast"/>
        <w:ind w:left="640" w:hanging="640"/>
      </w:pPr>
      <w:r w:rsidRPr="006E4483">
        <w:t>[6]</w:t>
      </w:r>
      <w:r w:rsidRPr="006E4483">
        <w:tab/>
        <w:t xml:space="preserve">Horta, B. L.; Mola, C. L. de; Victora, C. G. Long-Term Consequences of Breastfeeding on Cholesterol, Obesity, Systolic Blood Pressure and Type 2 Diabetes: A Systematic Review and Meta-Analysis. </w:t>
      </w:r>
      <w:r w:rsidRPr="006E4483">
        <w:rPr>
          <w:i/>
          <w:iCs/>
        </w:rPr>
        <w:t>Acta Paediatr.</w:t>
      </w:r>
      <w:r w:rsidRPr="006E4483">
        <w:t xml:space="preserve">, </w:t>
      </w:r>
      <w:r w:rsidRPr="006E4483">
        <w:rPr>
          <w:b/>
          <w:bCs/>
        </w:rPr>
        <w:t>2015</w:t>
      </w:r>
      <w:r w:rsidRPr="006E4483">
        <w:t xml:space="preserve">, </w:t>
      </w:r>
      <w:r w:rsidRPr="006E4483">
        <w:rPr>
          <w:i/>
          <w:iCs/>
        </w:rPr>
        <w:t>104</w:t>
      </w:r>
      <w:r w:rsidRPr="006E4483">
        <w:t>, 30–37. https://doi.org/10.1111/apa.13133.</w:t>
      </w:r>
    </w:p>
    <w:p w14:paraId="38ACF195" w14:textId="77777777" w:rsidR="006E4483" w:rsidRPr="006E4483" w:rsidRDefault="006E4483" w:rsidP="006E4483">
      <w:pPr>
        <w:widowControl w:val="0"/>
        <w:autoSpaceDE w:val="0"/>
        <w:autoSpaceDN w:val="0"/>
        <w:adjustRightInd w:val="0"/>
        <w:spacing w:line="240" w:lineRule="atLeast"/>
        <w:ind w:left="640" w:hanging="640"/>
      </w:pPr>
      <w:r w:rsidRPr="006E4483">
        <w:t>[7]</w:t>
      </w:r>
      <w:r w:rsidRPr="006E4483">
        <w:tab/>
        <w:t xml:space="preserve">Amitay, E. L.; Keinan-Boker, L. Breastfeeding and Childhood Leukemia Incidence. </w:t>
      </w:r>
      <w:r w:rsidRPr="006E4483">
        <w:rPr>
          <w:i/>
          <w:iCs/>
        </w:rPr>
        <w:t>JAMA Pediatr.</w:t>
      </w:r>
      <w:r w:rsidRPr="006E4483">
        <w:t xml:space="preserve">, </w:t>
      </w:r>
      <w:r w:rsidRPr="006E4483">
        <w:rPr>
          <w:b/>
          <w:bCs/>
        </w:rPr>
        <w:t>2015</w:t>
      </w:r>
      <w:r w:rsidRPr="006E4483">
        <w:t xml:space="preserve">, </w:t>
      </w:r>
      <w:r w:rsidRPr="006E4483">
        <w:rPr>
          <w:i/>
          <w:iCs/>
        </w:rPr>
        <w:t>169</w:t>
      </w:r>
      <w:r w:rsidRPr="006E4483">
        <w:t xml:space="preserve"> (6), e151025. https://doi.org/10.1001/jamapediatrics.2015.1025.</w:t>
      </w:r>
    </w:p>
    <w:p w14:paraId="5DBCAC48" w14:textId="77777777" w:rsidR="006E4483" w:rsidRPr="006E4483" w:rsidRDefault="006E4483" w:rsidP="006E4483">
      <w:pPr>
        <w:widowControl w:val="0"/>
        <w:autoSpaceDE w:val="0"/>
        <w:autoSpaceDN w:val="0"/>
        <w:adjustRightInd w:val="0"/>
        <w:spacing w:line="240" w:lineRule="atLeast"/>
        <w:ind w:left="640" w:hanging="640"/>
      </w:pPr>
      <w:r w:rsidRPr="006E4483">
        <w:t>[8]</w:t>
      </w:r>
      <w:r w:rsidRPr="006E4483">
        <w:tab/>
        <w:t xml:space="preserve">Miliku, K.; Azad, M. B. Breastfeeding and the Developmental Origins of Asthma: Current Evidence, Possible Mechanisms, and Future Research Priorities. </w:t>
      </w:r>
      <w:r w:rsidRPr="006E4483">
        <w:rPr>
          <w:i/>
          <w:iCs/>
        </w:rPr>
        <w:t>Nutrients</w:t>
      </w:r>
      <w:r w:rsidRPr="006E4483">
        <w:t xml:space="preserve">, </w:t>
      </w:r>
      <w:r w:rsidRPr="006E4483">
        <w:rPr>
          <w:b/>
          <w:bCs/>
        </w:rPr>
        <w:t>2018</w:t>
      </w:r>
      <w:r w:rsidRPr="006E4483">
        <w:t xml:space="preserve">, </w:t>
      </w:r>
      <w:r w:rsidRPr="006E4483">
        <w:rPr>
          <w:i/>
          <w:iCs/>
        </w:rPr>
        <w:t>10</w:t>
      </w:r>
      <w:r w:rsidRPr="006E4483">
        <w:t xml:space="preserve"> (8), 995. https://doi.org/10.3390/nu10080995.</w:t>
      </w:r>
    </w:p>
    <w:p w14:paraId="2A2A271D" w14:textId="77777777" w:rsidR="006E4483" w:rsidRPr="006E4483" w:rsidRDefault="006E4483" w:rsidP="006E4483">
      <w:pPr>
        <w:widowControl w:val="0"/>
        <w:autoSpaceDE w:val="0"/>
        <w:autoSpaceDN w:val="0"/>
        <w:adjustRightInd w:val="0"/>
        <w:spacing w:line="240" w:lineRule="atLeast"/>
        <w:ind w:left="640" w:hanging="640"/>
      </w:pPr>
      <w:r w:rsidRPr="006E4483">
        <w:t>[9]</w:t>
      </w:r>
      <w:r w:rsidRPr="006E4483">
        <w:tab/>
        <w:t xml:space="preserve">Ballard, O.; Morrow, A. L. Human Milk Composition: Nutrients and Bioactive Factors. </w:t>
      </w:r>
      <w:r w:rsidRPr="006E4483">
        <w:rPr>
          <w:i/>
          <w:iCs/>
        </w:rPr>
        <w:t>Pediatr. Clin. North Am.</w:t>
      </w:r>
      <w:r w:rsidRPr="006E4483">
        <w:t xml:space="preserve">, </w:t>
      </w:r>
      <w:r w:rsidRPr="006E4483">
        <w:rPr>
          <w:b/>
          <w:bCs/>
        </w:rPr>
        <w:t>2013</w:t>
      </w:r>
      <w:r w:rsidRPr="006E4483">
        <w:t xml:space="preserve">, </w:t>
      </w:r>
      <w:r w:rsidRPr="006E4483">
        <w:rPr>
          <w:i/>
          <w:iCs/>
        </w:rPr>
        <w:t>60</w:t>
      </w:r>
      <w:r w:rsidRPr="006E4483">
        <w:t xml:space="preserve"> (1), 49–74. https://doi.org/10.1016/j.pcl.2012.10.002.</w:t>
      </w:r>
    </w:p>
    <w:p w14:paraId="2E2B5F06" w14:textId="77777777" w:rsidR="006E4483" w:rsidRPr="006E4483" w:rsidRDefault="006E4483" w:rsidP="006E4483">
      <w:pPr>
        <w:widowControl w:val="0"/>
        <w:autoSpaceDE w:val="0"/>
        <w:autoSpaceDN w:val="0"/>
        <w:adjustRightInd w:val="0"/>
        <w:spacing w:line="240" w:lineRule="atLeast"/>
        <w:ind w:left="640" w:hanging="640"/>
      </w:pPr>
      <w:r w:rsidRPr="006E4483">
        <w:t>[10]</w:t>
      </w:r>
      <w:r w:rsidRPr="006E4483">
        <w:tab/>
        <w:t xml:space="preserve">Marincola, F. C.; Dessì, A.; Corbu, S.; Reali, A.; Fanos, V. Clinical Impact of Human Breast Milk Metabolomics. </w:t>
      </w:r>
      <w:r w:rsidRPr="006E4483">
        <w:rPr>
          <w:i/>
          <w:iCs/>
        </w:rPr>
        <w:t>Clin. Chim. Acta</w:t>
      </w:r>
      <w:r w:rsidRPr="006E4483">
        <w:t xml:space="preserve">, </w:t>
      </w:r>
      <w:r w:rsidRPr="006E4483">
        <w:rPr>
          <w:b/>
          <w:bCs/>
        </w:rPr>
        <w:t>2015</w:t>
      </w:r>
      <w:r w:rsidRPr="006E4483">
        <w:t xml:space="preserve">, </w:t>
      </w:r>
      <w:r w:rsidRPr="006E4483">
        <w:rPr>
          <w:i/>
          <w:iCs/>
        </w:rPr>
        <w:t>451</w:t>
      </w:r>
      <w:r w:rsidRPr="006E4483">
        <w:t>, 103–106. https://doi.org/10.1016/j.cca.2015.02.021.</w:t>
      </w:r>
    </w:p>
    <w:p w14:paraId="50E93AB3" w14:textId="77777777" w:rsidR="006E4483" w:rsidRPr="006E4483" w:rsidRDefault="006E4483" w:rsidP="006E4483">
      <w:pPr>
        <w:widowControl w:val="0"/>
        <w:autoSpaceDE w:val="0"/>
        <w:autoSpaceDN w:val="0"/>
        <w:adjustRightInd w:val="0"/>
        <w:spacing w:line="240" w:lineRule="atLeast"/>
        <w:ind w:left="640" w:hanging="640"/>
      </w:pPr>
      <w:r w:rsidRPr="006E4483">
        <w:t>[11]</w:t>
      </w:r>
      <w:r w:rsidRPr="006E4483">
        <w:tab/>
        <w:t xml:space="preserve">Pannaraj, P. S.; Li, F.; Cerini, C.; Bender, J. M.; Yang, S.; Rollie, A.; Adisetiyo, H.; Zabih, S.; Lincez, P. J.; Bittinger, K.; et al. Association Between Breast Milk Bacterial Communities and Establishment and Development of the Infant Gut Microbiome. </w:t>
      </w:r>
      <w:r w:rsidRPr="006E4483">
        <w:rPr>
          <w:i/>
          <w:iCs/>
        </w:rPr>
        <w:t>JAMA Pediatr.</w:t>
      </w:r>
      <w:r w:rsidRPr="006E4483">
        <w:t xml:space="preserve">, </w:t>
      </w:r>
      <w:r w:rsidRPr="006E4483">
        <w:rPr>
          <w:b/>
          <w:bCs/>
        </w:rPr>
        <w:t>2017</w:t>
      </w:r>
      <w:r w:rsidRPr="006E4483">
        <w:t xml:space="preserve">, </w:t>
      </w:r>
      <w:r w:rsidRPr="006E4483">
        <w:rPr>
          <w:i/>
          <w:iCs/>
        </w:rPr>
        <w:t>171</w:t>
      </w:r>
      <w:r w:rsidRPr="006E4483">
        <w:t xml:space="preserve"> (7), 647. https://doi.org/10.1001/jamapediatrics.2017.0378.</w:t>
      </w:r>
    </w:p>
    <w:p w14:paraId="1E7DD6D9" w14:textId="77777777" w:rsidR="006E4483" w:rsidRPr="006E4483" w:rsidRDefault="006E4483" w:rsidP="006E4483">
      <w:pPr>
        <w:widowControl w:val="0"/>
        <w:autoSpaceDE w:val="0"/>
        <w:autoSpaceDN w:val="0"/>
        <w:adjustRightInd w:val="0"/>
        <w:spacing w:line="240" w:lineRule="atLeast"/>
        <w:ind w:left="640" w:hanging="640"/>
      </w:pPr>
      <w:r w:rsidRPr="006E4483">
        <w:t>[12]</w:t>
      </w:r>
      <w:r w:rsidRPr="006E4483">
        <w:tab/>
        <w:t xml:space="preserve">Hoile, S. P.; Clarke-Harris, R.; Huang, R.-C.; Calder, P. C.; Mori, T. A.; Beilin, L. J.; Lillycrop, K. A.; Burdge, G. C. Supplementation with N-3 Long-Chain Polyunsaturated Fatty Acids or Olive Oil in Men and Women with Renal Disease Induces Differential Changes in the DNA Methylation of FADS2 and ELOVL5 in Peripheral Blood Mononuclear Cells. </w:t>
      </w:r>
      <w:r w:rsidRPr="006E4483">
        <w:rPr>
          <w:i/>
          <w:iCs/>
        </w:rPr>
        <w:t>PLoS One</w:t>
      </w:r>
      <w:r w:rsidRPr="006E4483">
        <w:t xml:space="preserve">, </w:t>
      </w:r>
      <w:r w:rsidRPr="006E4483">
        <w:rPr>
          <w:b/>
          <w:bCs/>
        </w:rPr>
        <w:t>2014</w:t>
      </w:r>
      <w:r w:rsidRPr="006E4483">
        <w:t xml:space="preserve">, </w:t>
      </w:r>
      <w:r w:rsidRPr="006E4483">
        <w:rPr>
          <w:i/>
          <w:iCs/>
        </w:rPr>
        <w:t>9</w:t>
      </w:r>
      <w:r w:rsidRPr="006E4483">
        <w:t xml:space="preserve"> (10), e109896. https://doi.org/10.1371/journal.pone.0109896.</w:t>
      </w:r>
    </w:p>
    <w:p w14:paraId="5CA7F2EF" w14:textId="77777777" w:rsidR="006E4483" w:rsidRPr="006E4483" w:rsidRDefault="006E4483" w:rsidP="006E4483">
      <w:pPr>
        <w:widowControl w:val="0"/>
        <w:autoSpaceDE w:val="0"/>
        <w:autoSpaceDN w:val="0"/>
        <w:adjustRightInd w:val="0"/>
        <w:spacing w:line="240" w:lineRule="atLeast"/>
        <w:ind w:left="640" w:hanging="640"/>
      </w:pPr>
      <w:r w:rsidRPr="006E4483">
        <w:t>[13]</w:t>
      </w:r>
      <w:r w:rsidRPr="006E4483">
        <w:tab/>
        <w:t xml:space="preserve">Canani, R. B.; Costanzo, M. Di; Leone, L.; Bedogni, G.; Brambilla, P.; Cianfarani, S.; Nobili, V.; Pietrobelli, A.; Agostoni, C. Epigenetic Mechanisms Elicited by Nutrition in Early Life. </w:t>
      </w:r>
      <w:r w:rsidRPr="006E4483">
        <w:rPr>
          <w:i/>
          <w:iCs/>
        </w:rPr>
        <w:t>Nutr. Res. Rev.</w:t>
      </w:r>
      <w:r w:rsidRPr="006E4483">
        <w:t xml:space="preserve">, </w:t>
      </w:r>
      <w:r w:rsidRPr="006E4483">
        <w:rPr>
          <w:b/>
          <w:bCs/>
        </w:rPr>
        <w:t>2011</w:t>
      </w:r>
      <w:r w:rsidRPr="006E4483">
        <w:t xml:space="preserve">, </w:t>
      </w:r>
      <w:r w:rsidRPr="006E4483">
        <w:rPr>
          <w:i/>
          <w:iCs/>
        </w:rPr>
        <w:t>24</w:t>
      </w:r>
      <w:r w:rsidRPr="006E4483">
        <w:t xml:space="preserve"> (02), 198–205. https://doi.org/10.1017/s0954422411000102.</w:t>
      </w:r>
    </w:p>
    <w:p w14:paraId="321FAC31" w14:textId="77777777" w:rsidR="006E4483" w:rsidRPr="006E4483" w:rsidRDefault="006E4483" w:rsidP="006E4483">
      <w:pPr>
        <w:widowControl w:val="0"/>
        <w:autoSpaceDE w:val="0"/>
        <w:autoSpaceDN w:val="0"/>
        <w:adjustRightInd w:val="0"/>
        <w:spacing w:line="240" w:lineRule="atLeast"/>
        <w:ind w:left="640" w:hanging="640"/>
      </w:pPr>
      <w:r w:rsidRPr="006E4483">
        <w:lastRenderedPageBreak/>
        <w:t>[14]</w:t>
      </w:r>
      <w:r w:rsidRPr="006E4483">
        <w:tab/>
        <w:t xml:space="preserve">Choi, S.-W.; Friso, S. Epigenetics: A New Bridge between Nutrition and Health. </w:t>
      </w:r>
      <w:r w:rsidRPr="006E4483">
        <w:rPr>
          <w:i/>
          <w:iCs/>
        </w:rPr>
        <w:t>Adv. Nutr.</w:t>
      </w:r>
      <w:r w:rsidRPr="006E4483">
        <w:t xml:space="preserve">, </w:t>
      </w:r>
      <w:r w:rsidRPr="006E4483">
        <w:rPr>
          <w:b/>
          <w:bCs/>
        </w:rPr>
        <w:t>2010</w:t>
      </w:r>
      <w:r w:rsidRPr="006E4483">
        <w:t xml:space="preserve">, </w:t>
      </w:r>
      <w:r w:rsidRPr="006E4483">
        <w:rPr>
          <w:i/>
          <w:iCs/>
        </w:rPr>
        <w:t>1</w:t>
      </w:r>
      <w:r w:rsidRPr="006E4483">
        <w:t xml:space="preserve"> (1), 8–16. https://doi.org/10.3945/an.110.1004.</w:t>
      </w:r>
    </w:p>
    <w:p w14:paraId="041DA6D3" w14:textId="77777777" w:rsidR="006E4483" w:rsidRPr="006E4483" w:rsidRDefault="006E4483" w:rsidP="006E4483">
      <w:pPr>
        <w:widowControl w:val="0"/>
        <w:autoSpaceDE w:val="0"/>
        <w:autoSpaceDN w:val="0"/>
        <w:adjustRightInd w:val="0"/>
        <w:spacing w:line="240" w:lineRule="atLeast"/>
        <w:ind w:left="640" w:hanging="640"/>
      </w:pPr>
      <w:r w:rsidRPr="006E4483">
        <w:t>[15]</w:t>
      </w:r>
      <w:r w:rsidRPr="006E4483">
        <w:tab/>
        <w:t xml:space="preserve">Peter, C. J.; Fischer, L. K.; Kundakovic, M.; Garg, P.; Jakovcevski, M.; Dincer, A.; Amaral, A. C.; Ginns, E. I.; Galdzicka, M.; Bryce, C. P.; et al. DNA Methylation Signatures of Early Childhood Malnutrition Associated With Impairments in Attention and Cognition. </w:t>
      </w:r>
      <w:r w:rsidRPr="006E4483">
        <w:rPr>
          <w:i/>
          <w:iCs/>
        </w:rPr>
        <w:t>Biol. Psychiatry</w:t>
      </w:r>
      <w:r w:rsidRPr="006E4483">
        <w:t xml:space="preserve">, </w:t>
      </w:r>
      <w:r w:rsidRPr="006E4483">
        <w:rPr>
          <w:b/>
          <w:bCs/>
        </w:rPr>
        <w:t>2016</w:t>
      </w:r>
      <w:r w:rsidRPr="006E4483">
        <w:t xml:space="preserve">, </w:t>
      </w:r>
      <w:r w:rsidRPr="006E4483">
        <w:rPr>
          <w:i/>
          <w:iCs/>
        </w:rPr>
        <w:t>80</w:t>
      </w:r>
      <w:r w:rsidRPr="006E4483">
        <w:t xml:space="preserve"> (10), 765–774. https://doi.org/10.1016/j.biopsych.2016.03.2100.</w:t>
      </w:r>
    </w:p>
    <w:p w14:paraId="0095AA06" w14:textId="77777777" w:rsidR="006E4483" w:rsidRPr="006E4483" w:rsidRDefault="006E4483" w:rsidP="006E4483">
      <w:pPr>
        <w:widowControl w:val="0"/>
        <w:autoSpaceDE w:val="0"/>
        <w:autoSpaceDN w:val="0"/>
        <w:adjustRightInd w:val="0"/>
        <w:spacing w:line="240" w:lineRule="atLeast"/>
        <w:ind w:left="640" w:hanging="640"/>
      </w:pPr>
      <w:r w:rsidRPr="006E4483">
        <w:t>[16]</w:t>
      </w:r>
      <w:r w:rsidRPr="006E4483">
        <w:tab/>
        <w:t xml:space="preserve">Paparo, L.; Nocerino, R.; Bruno, C.; Di Scala, C.; Cosenza, L.; Bedogni, G.; Di Costanzo, M.; Mennini, M.; D’Argenio, V.; Salvatore, F.; et al. Randomized Controlled Trial on the Influence of Dietary Intervention on Epigenetic Mechanisms in Children with Cow’s Milk Allergy: The EPICMA Study. </w:t>
      </w:r>
      <w:r w:rsidRPr="006E4483">
        <w:rPr>
          <w:i/>
          <w:iCs/>
        </w:rPr>
        <w:t>Sci. Rep.</w:t>
      </w:r>
      <w:r w:rsidRPr="006E4483">
        <w:t xml:space="preserve">, </w:t>
      </w:r>
      <w:r w:rsidRPr="006E4483">
        <w:rPr>
          <w:b/>
          <w:bCs/>
        </w:rPr>
        <w:t>2019</w:t>
      </w:r>
      <w:r w:rsidRPr="006E4483">
        <w:t xml:space="preserve">, </w:t>
      </w:r>
      <w:r w:rsidRPr="006E4483">
        <w:rPr>
          <w:i/>
          <w:iCs/>
        </w:rPr>
        <w:t>9</w:t>
      </w:r>
      <w:r w:rsidRPr="006E4483">
        <w:t xml:space="preserve"> (1), 2828. https://doi.org/10.1038/s41598-019-38738-w.</w:t>
      </w:r>
    </w:p>
    <w:p w14:paraId="08A85298" w14:textId="77777777" w:rsidR="006E4483" w:rsidRPr="006E4483" w:rsidRDefault="006E4483" w:rsidP="006E4483">
      <w:pPr>
        <w:widowControl w:val="0"/>
        <w:autoSpaceDE w:val="0"/>
        <w:autoSpaceDN w:val="0"/>
        <w:adjustRightInd w:val="0"/>
        <w:spacing w:line="240" w:lineRule="atLeast"/>
        <w:ind w:left="640" w:hanging="640"/>
      </w:pPr>
      <w:r w:rsidRPr="006E4483">
        <w:t>[17]</w:t>
      </w:r>
      <w:r w:rsidRPr="006E4483">
        <w:tab/>
        <w:t xml:space="preserve">Verduci, E.; Banderali, G.; Barberi, S.; Radaelli, G.; Lops, A.; Betti, F.; Riva, E.; Giovannini, M. Epigenetic Effects of Human Breast Milk. </w:t>
      </w:r>
      <w:r w:rsidRPr="006E4483">
        <w:rPr>
          <w:i/>
          <w:iCs/>
        </w:rPr>
        <w:t>Nutrients</w:t>
      </w:r>
      <w:r w:rsidRPr="006E4483">
        <w:t xml:space="preserve">, </w:t>
      </w:r>
      <w:r w:rsidRPr="006E4483">
        <w:rPr>
          <w:b/>
          <w:bCs/>
        </w:rPr>
        <w:t>2014</w:t>
      </w:r>
      <w:r w:rsidRPr="006E4483">
        <w:t xml:space="preserve">, </w:t>
      </w:r>
      <w:r w:rsidRPr="006E4483">
        <w:rPr>
          <w:i/>
          <w:iCs/>
        </w:rPr>
        <w:t>6</w:t>
      </w:r>
      <w:r w:rsidRPr="006E4483">
        <w:t xml:space="preserve"> (4), 1711–1724. https://doi.org/10.3390/nu6041711.</w:t>
      </w:r>
    </w:p>
    <w:p w14:paraId="3C753D5A" w14:textId="77777777" w:rsidR="006E4483" w:rsidRPr="006E4483" w:rsidRDefault="006E4483" w:rsidP="006E4483">
      <w:pPr>
        <w:widowControl w:val="0"/>
        <w:autoSpaceDE w:val="0"/>
        <w:autoSpaceDN w:val="0"/>
        <w:adjustRightInd w:val="0"/>
        <w:spacing w:line="240" w:lineRule="atLeast"/>
        <w:ind w:left="640" w:hanging="640"/>
      </w:pPr>
      <w:r w:rsidRPr="006E4483">
        <w:t>[18]</w:t>
      </w:r>
      <w:r w:rsidRPr="006E4483">
        <w:tab/>
        <w:t xml:space="preserve">Hartwig, F. P.; Loret de Mola, C.; Davies, N. M.; Victora, C. G.; Relton, C. L. Breastfeeding Effects on DNA Methylation in the Offspring: A Systematic Literature Review. </w:t>
      </w:r>
      <w:r w:rsidRPr="006E4483">
        <w:rPr>
          <w:i/>
          <w:iCs/>
        </w:rPr>
        <w:t>PLoS One</w:t>
      </w:r>
      <w:r w:rsidRPr="006E4483">
        <w:t xml:space="preserve">, </w:t>
      </w:r>
      <w:r w:rsidRPr="006E4483">
        <w:rPr>
          <w:b/>
          <w:bCs/>
        </w:rPr>
        <w:t>2017</w:t>
      </w:r>
      <w:r w:rsidRPr="006E4483">
        <w:t xml:space="preserve">, </w:t>
      </w:r>
      <w:r w:rsidRPr="006E4483">
        <w:rPr>
          <w:i/>
          <w:iCs/>
        </w:rPr>
        <w:t>12</w:t>
      </w:r>
      <w:r w:rsidRPr="006E4483">
        <w:t xml:space="preserve"> (3), e0173070-.</w:t>
      </w:r>
    </w:p>
    <w:p w14:paraId="78BF8A82" w14:textId="77777777" w:rsidR="006E4483" w:rsidRPr="006E4483" w:rsidRDefault="006E4483" w:rsidP="006E4483">
      <w:pPr>
        <w:widowControl w:val="0"/>
        <w:autoSpaceDE w:val="0"/>
        <w:autoSpaceDN w:val="0"/>
        <w:adjustRightInd w:val="0"/>
        <w:spacing w:line="240" w:lineRule="atLeast"/>
        <w:ind w:left="640" w:hanging="640"/>
      </w:pPr>
      <w:r w:rsidRPr="006E4483">
        <w:t>[19]</w:t>
      </w:r>
      <w:r w:rsidRPr="006E4483">
        <w:tab/>
        <w:t xml:space="preserve">Rossnerova, A.; Tulupova, E.; Tabashidze, N.; Schmuczerova, J.; Dostal, M.; Rossner, P.; Gmuender, H.; Sram, R. J. Factors Affecting the 27K DNA Methylation Pattern in Asthmatic and Healthy Children from Locations with Various Environments. </w:t>
      </w:r>
      <w:r w:rsidRPr="006E4483">
        <w:rPr>
          <w:i/>
          <w:iCs/>
        </w:rPr>
        <w:t>Mutat. Res.</w:t>
      </w:r>
      <w:r w:rsidRPr="006E4483">
        <w:t xml:space="preserve">, </w:t>
      </w:r>
      <w:r w:rsidRPr="006E4483">
        <w:rPr>
          <w:b/>
          <w:bCs/>
        </w:rPr>
        <w:t>2013</w:t>
      </w:r>
      <w:r w:rsidRPr="006E4483">
        <w:t xml:space="preserve">, </w:t>
      </w:r>
      <w:r w:rsidRPr="006E4483">
        <w:rPr>
          <w:i/>
          <w:iCs/>
        </w:rPr>
        <w:t>741</w:t>
      </w:r>
      <w:r w:rsidRPr="006E4483">
        <w:t>–</w:t>
      </w:r>
      <w:r w:rsidRPr="006E4483">
        <w:rPr>
          <w:i/>
          <w:iCs/>
        </w:rPr>
        <w:t>742</w:t>
      </w:r>
      <w:r w:rsidRPr="006E4483">
        <w:t>, 18–26. https://doi.org/10.1016/j.mrfmmm.2013.02.003.</w:t>
      </w:r>
    </w:p>
    <w:p w14:paraId="67319975" w14:textId="77777777" w:rsidR="006E4483" w:rsidRPr="006E4483" w:rsidRDefault="006E4483" w:rsidP="006E4483">
      <w:pPr>
        <w:widowControl w:val="0"/>
        <w:autoSpaceDE w:val="0"/>
        <w:autoSpaceDN w:val="0"/>
        <w:adjustRightInd w:val="0"/>
        <w:spacing w:line="240" w:lineRule="atLeast"/>
        <w:ind w:left="640" w:hanging="640"/>
      </w:pPr>
      <w:r w:rsidRPr="006E4483">
        <w:t>[20]</w:t>
      </w:r>
      <w:r w:rsidRPr="006E4483">
        <w:tab/>
        <w:t xml:space="preserve">Obermann-Borst, S. A.; Eilers, P. H. C.; Tobi, E. W.; Jong, F. H. de; Slagboom, P. E.; Heijmans, B. T.; Steegers-Theunissen, R. P. M. Duration of Breastfeeding and Gender Are Associated with Methylation of the LEPTIN Gene in Very Young Children. </w:t>
      </w:r>
      <w:r w:rsidRPr="006E4483">
        <w:rPr>
          <w:i/>
          <w:iCs/>
        </w:rPr>
        <w:t>Pediatr. Res.</w:t>
      </w:r>
      <w:r w:rsidRPr="006E4483">
        <w:t xml:space="preserve">, </w:t>
      </w:r>
      <w:r w:rsidRPr="006E4483">
        <w:rPr>
          <w:b/>
          <w:bCs/>
        </w:rPr>
        <w:t>2013</w:t>
      </w:r>
      <w:r w:rsidRPr="006E4483">
        <w:t xml:space="preserve">, </w:t>
      </w:r>
      <w:r w:rsidRPr="006E4483">
        <w:rPr>
          <w:i/>
          <w:iCs/>
        </w:rPr>
        <w:t>74</w:t>
      </w:r>
      <w:r w:rsidRPr="006E4483">
        <w:t xml:space="preserve"> (3), 344–349. https://doi.org/10.1038/pr.2013.95.</w:t>
      </w:r>
    </w:p>
    <w:p w14:paraId="74D8FDA2" w14:textId="77777777" w:rsidR="006E4483" w:rsidRPr="006E4483" w:rsidRDefault="006E4483" w:rsidP="006E4483">
      <w:pPr>
        <w:widowControl w:val="0"/>
        <w:autoSpaceDE w:val="0"/>
        <w:autoSpaceDN w:val="0"/>
        <w:adjustRightInd w:val="0"/>
        <w:spacing w:line="240" w:lineRule="atLeast"/>
        <w:ind w:left="640" w:hanging="640"/>
      </w:pPr>
      <w:r w:rsidRPr="006E4483">
        <w:t>[21]</w:t>
      </w:r>
      <w:r w:rsidRPr="006E4483">
        <w:tab/>
        <w:t xml:space="preserve">Pauwels, S.; Symons, L.; Vanautgaerden, E.-L.; Ghosh, M.; Duca, R. C.; Bekaert, B.; Freson, K.; Huybrechts, I.; Langie, S. A. S.; Koppen, G.; et al. The Influence of the Duration of Breastfeeding on the Infant’s Metabolic Epigenome. </w:t>
      </w:r>
      <w:r w:rsidRPr="006E4483">
        <w:rPr>
          <w:i/>
          <w:iCs/>
        </w:rPr>
        <w:t>Nutrients</w:t>
      </w:r>
      <w:r w:rsidRPr="006E4483">
        <w:t xml:space="preserve">, </w:t>
      </w:r>
      <w:r w:rsidRPr="006E4483">
        <w:rPr>
          <w:b/>
          <w:bCs/>
        </w:rPr>
        <w:t>2019</w:t>
      </w:r>
      <w:r w:rsidRPr="006E4483">
        <w:t xml:space="preserve">, </w:t>
      </w:r>
      <w:r w:rsidRPr="006E4483">
        <w:rPr>
          <w:i/>
          <w:iCs/>
        </w:rPr>
        <w:t>11</w:t>
      </w:r>
      <w:r w:rsidRPr="006E4483">
        <w:t xml:space="preserve"> (6), 1408. https://doi.org/10.3390/nu11061408.</w:t>
      </w:r>
    </w:p>
    <w:p w14:paraId="438731C7" w14:textId="77777777" w:rsidR="006E4483" w:rsidRPr="006E4483" w:rsidRDefault="006E4483" w:rsidP="006E4483">
      <w:pPr>
        <w:widowControl w:val="0"/>
        <w:autoSpaceDE w:val="0"/>
        <w:autoSpaceDN w:val="0"/>
        <w:adjustRightInd w:val="0"/>
        <w:spacing w:line="240" w:lineRule="atLeast"/>
        <w:ind w:left="640" w:hanging="640"/>
      </w:pPr>
      <w:r w:rsidRPr="006E4483">
        <w:t>[22]</w:t>
      </w:r>
      <w:r w:rsidRPr="006E4483">
        <w:tab/>
        <w:t xml:space="preserve">McDade, T. W.; Ryan, C.; Jones, M. J.; MacIsaac, J. L.; Morin, A. M.; Meyer, J. M.; Borja, J. B.; Miller, G. E.; Kobor, M. S.; Kuzawa, C. W. Social and Physical Environments Early in Development Predict DNA Methylation of Inflammatory Genes in Young Adulthood. </w:t>
      </w:r>
      <w:r w:rsidRPr="006E4483">
        <w:rPr>
          <w:i/>
          <w:iCs/>
        </w:rPr>
        <w:t>Proc. Natl. Acad. Sci. U. S. A.</w:t>
      </w:r>
      <w:r w:rsidRPr="006E4483">
        <w:t xml:space="preserve">, </w:t>
      </w:r>
      <w:r w:rsidRPr="006E4483">
        <w:rPr>
          <w:b/>
          <w:bCs/>
        </w:rPr>
        <w:t>2017</w:t>
      </w:r>
      <w:r w:rsidRPr="006E4483">
        <w:t xml:space="preserve">, </w:t>
      </w:r>
      <w:r w:rsidRPr="006E4483">
        <w:rPr>
          <w:i/>
          <w:iCs/>
        </w:rPr>
        <w:t>114</w:t>
      </w:r>
      <w:r w:rsidRPr="006E4483">
        <w:t xml:space="preserve"> (29), 7611–7616. https://doi.org/10.1073/pnas.1620661114.</w:t>
      </w:r>
    </w:p>
    <w:p w14:paraId="348D77EF" w14:textId="77777777" w:rsidR="006E4483" w:rsidRPr="006E4483" w:rsidRDefault="006E4483" w:rsidP="006E4483">
      <w:pPr>
        <w:widowControl w:val="0"/>
        <w:autoSpaceDE w:val="0"/>
        <w:autoSpaceDN w:val="0"/>
        <w:adjustRightInd w:val="0"/>
        <w:spacing w:line="240" w:lineRule="atLeast"/>
        <w:ind w:left="640" w:hanging="640"/>
      </w:pPr>
      <w:r w:rsidRPr="006E4483">
        <w:t>[23]</w:t>
      </w:r>
      <w:r w:rsidRPr="006E4483">
        <w:tab/>
        <w:t xml:space="preserve">Sherwood, W. B.; Bion, V.; Lockett, G. A.; Ziyab, A. H.; Soto-Ramírez, N.; Mukherjee, N.; Kurukulaaratchy, R. J.; Ewart, S.; Zhang, H.; Arshad, S. H.; et al. Duration of Breastfeeding Is Associated with Leptin (LEP) DNA Methylation Profiles and BMI in 10-Year-Old Children. </w:t>
      </w:r>
      <w:r w:rsidRPr="006E4483">
        <w:rPr>
          <w:i/>
          <w:iCs/>
        </w:rPr>
        <w:t>Clin. Epigenetics</w:t>
      </w:r>
      <w:r w:rsidRPr="006E4483">
        <w:t xml:space="preserve">, </w:t>
      </w:r>
      <w:r w:rsidRPr="006E4483">
        <w:rPr>
          <w:b/>
          <w:bCs/>
        </w:rPr>
        <w:t>2019</w:t>
      </w:r>
      <w:r w:rsidRPr="006E4483">
        <w:t xml:space="preserve">, </w:t>
      </w:r>
      <w:r w:rsidRPr="006E4483">
        <w:rPr>
          <w:i/>
          <w:iCs/>
        </w:rPr>
        <w:t>11</w:t>
      </w:r>
      <w:r w:rsidRPr="006E4483">
        <w:t xml:space="preserve"> (1), 128. https://doi.org/10.1186/s13148-019-0727-9.</w:t>
      </w:r>
    </w:p>
    <w:p w14:paraId="323EE118" w14:textId="77777777" w:rsidR="006E4483" w:rsidRPr="006E4483" w:rsidRDefault="006E4483" w:rsidP="006E4483">
      <w:pPr>
        <w:widowControl w:val="0"/>
        <w:autoSpaceDE w:val="0"/>
        <w:autoSpaceDN w:val="0"/>
        <w:adjustRightInd w:val="0"/>
        <w:spacing w:line="240" w:lineRule="atLeast"/>
        <w:ind w:left="640" w:hanging="640"/>
      </w:pPr>
      <w:r w:rsidRPr="006E4483">
        <w:t>[24]</w:t>
      </w:r>
      <w:r w:rsidRPr="006E4483">
        <w:tab/>
        <w:t xml:space="preserve">Arshad, S. H.; Holloway, J. W.; Karmaus, W.; Zhang, H.; Ewart, S.; Mansfield, L.; Matthews, S.; Hodgekiss, C.; Roberts, G.; Kurukulaaratchy, R. Cohort Profile: The Isle Of Wight Whole Population Birth Cohort (IOWBC). </w:t>
      </w:r>
      <w:r w:rsidRPr="006E4483">
        <w:rPr>
          <w:i/>
          <w:iCs/>
        </w:rPr>
        <w:t>Int. J. Epidemiol.</w:t>
      </w:r>
      <w:r w:rsidRPr="006E4483">
        <w:t xml:space="preserve">, </w:t>
      </w:r>
      <w:r w:rsidRPr="006E4483">
        <w:rPr>
          <w:b/>
          <w:bCs/>
        </w:rPr>
        <w:t>2018</w:t>
      </w:r>
      <w:r w:rsidRPr="006E4483">
        <w:t>. https://doi.org/10.1093/ije/dyy023.</w:t>
      </w:r>
    </w:p>
    <w:p w14:paraId="314E2452" w14:textId="77777777" w:rsidR="006E4483" w:rsidRPr="006E4483" w:rsidRDefault="006E4483" w:rsidP="006E4483">
      <w:pPr>
        <w:widowControl w:val="0"/>
        <w:autoSpaceDE w:val="0"/>
        <w:autoSpaceDN w:val="0"/>
        <w:adjustRightInd w:val="0"/>
        <w:spacing w:line="240" w:lineRule="atLeast"/>
        <w:ind w:left="640" w:hanging="640"/>
      </w:pPr>
      <w:r w:rsidRPr="006E4483">
        <w:t>[25]</w:t>
      </w:r>
      <w:r w:rsidRPr="006E4483">
        <w:tab/>
        <w:t xml:space="preserve">Arshad, S. H.; Karmaus, W.; Zhang, H.; Holloway, J. W. Multigenerational Cohorts in Patients with Asthma and Allergy. </w:t>
      </w:r>
      <w:r w:rsidRPr="006E4483">
        <w:rPr>
          <w:i/>
          <w:iCs/>
        </w:rPr>
        <w:t>J. Allergy Clin. Immunol.</w:t>
      </w:r>
      <w:r w:rsidRPr="006E4483">
        <w:t xml:space="preserve">, </w:t>
      </w:r>
      <w:r w:rsidRPr="006E4483">
        <w:rPr>
          <w:b/>
          <w:bCs/>
        </w:rPr>
        <w:t>2017</w:t>
      </w:r>
      <w:r w:rsidRPr="006E4483">
        <w:t xml:space="preserve">, </w:t>
      </w:r>
      <w:r w:rsidRPr="006E4483">
        <w:rPr>
          <w:i/>
          <w:iCs/>
        </w:rPr>
        <w:t>139</w:t>
      </w:r>
      <w:r w:rsidRPr="006E4483">
        <w:t xml:space="preserve"> (2), 415–421. https://doi.org/10.1016/j.jaci.2016.12.002.</w:t>
      </w:r>
    </w:p>
    <w:p w14:paraId="1DD42606" w14:textId="77777777" w:rsidR="006E4483" w:rsidRPr="006E4483" w:rsidRDefault="006E4483" w:rsidP="006E4483">
      <w:pPr>
        <w:widowControl w:val="0"/>
        <w:autoSpaceDE w:val="0"/>
        <w:autoSpaceDN w:val="0"/>
        <w:adjustRightInd w:val="0"/>
        <w:spacing w:line="240" w:lineRule="atLeast"/>
        <w:ind w:left="640" w:hanging="640"/>
      </w:pPr>
      <w:r w:rsidRPr="006E4483">
        <w:t>[26]</w:t>
      </w:r>
      <w:r w:rsidRPr="006E4483">
        <w:tab/>
        <w:t xml:space="preserve">Arshad, S. H.; Hide, D. W. Effect of Environmental Factors on the Development of Allergic Disorders in Infancy. </w:t>
      </w:r>
      <w:r w:rsidRPr="006E4483">
        <w:rPr>
          <w:i/>
          <w:iCs/>
        </w:rPr>
        <w:t>J. Allergy Clin. Immunol.</w:t>
      </w:r>
      <w:r w:rsidRPr="006E4483">
        <w:t xml:space="preserve">, </w:t>
      </w:r>
      <w:r w:rsidRPr="006E4483">
        <w:rPr>
          <w:b/>
          <w:bCs/>
        </w:rPr>
        <w:t>1992</w:t>
      </w:r>
      <w:r w:rsidRPr="006E4483">
        <w:t xml:space="preserve">, </w:t>
      </w:r>
      <w:r w:rsidRPr="006E4483">
        <w:rPr>
          <w:i/>
          <w:iCs/>
        </w:rPr>
        <w:t>90</w:t>
      </w:r>
      <w:r w:rsidRPr="006E4483">
        <w:t xml:space="preserve"> (2), 235–241.</w:t>
      </w:r>
    </w:p>
    <w:p w14:paraId="6EC36B8D" w14:textId="77777777" w:rsidR="006E4483" w:rsidRPr="006E4483" w:rsidRDefault="006E4483" w:rsidP="006E4483">
      <w:pPr>
        <w:widowControl w:val="0"/>
        <w:autoSpaceDE w:val="0"/>
        <w:autoSpaceDN w:val="0"/>
        <w:adjustRightInd w:val="0"/>
        <w:spacing w:line="240" w:lineRule="atLeast"/>
        <w:ind w:left="640" w:hanging="640"/>
      </w:pPr>
      <w:r w:rsidRPr="006E4483">
        <w:t>[27]</w:t>
      </w:r>
      <w:r w:rsidRPr="006E4483">
        <w:tab/>
        <w:t xml:space="preserve">Lehne, B.; Drong, A. W.; Loh, M.; Zhang, W.; Scott, W. R.; Tan, S.-T.; Afzal, U.; Scott, J.; Jarvelin, M.-R.; Elliott, P.; et al. A Coherent Approach for Analysis of the Illumina HumanMethylation450 BeadChip Improves Data Quality and Performance in Epigenome-Wide Association Studies. </w:t>
      </w:r>
      <w:r w:rsidRPr="006E4483">
        <w:rPr>
          <w:i/>
          <w:iCs/>
        </w:rPr>
        <w:t>Genome Biol.</w:t>
      </w:r>
      <w:r w:rsidRPr="006E4483">
        <w:t xml:space="preserve">, </w:t>
      </w:r>
      <w:r w:rsidRPr="006E4483">
        <w:rPr>
          <w:b/>
          <w:bCs/>
        </w:rPr>
        <w:t>2015</w:t>
      </w:r>
      <w:r w:rsidRPr="006E4483">
        <w:t xml:space="preserve">, </w:t>
      </w:r>
      <w:r w:rsidRPr="006E4483">
        <w:rPr>
          <w:i/>
          <w:iCs/>
        </w:rPr>
        <w:t>16</w:t>
      </w:r>
      <w:r w:rsidRPr="006E4483">
        <w:t xml:space="preserve"> (1). https://doi.org/10.1186/s13059-015-0600-x.</w:t>
      </w:r>
    </w:p>
    <w:p w14:paraId="5A01E2FA" w14:textId="77777777" w:rsidR="006E4483" w:rsidRPr="006E4483" w:rsidRDefault="006E4483" w:rsidP="006E4483">
      <w:pPr>
        <w:widowControl w:val="0"/>
        <w:autoSpaceDE w:val="0"/>
        <w:autoSpaceDN w:val="0"/>
        <w:adjustRightInd w:val="0"/>
        <w:spacing w:line="240" w:lineRule="atLeast"/>
        <w:ind w:left="640" w:hanging="640"/>
      </w:pPr>
      <w:r w:rsidRPr="006E4483">
        <w:t>[28]</w:t>
      </w:r>
      <w:r w:rsidRPr="006E4483">
        <w:tab/>
        <w:t xml:space="preserve">Johnson, W. E.; Li, C.; Rabinovic, A. Adjusting Batch Effects in Microarray Expression Data Using Empirical Bayes Methods. </w:t>
      </w:r>
      <w:r w:rsidRPr="006E4483">
        <w:rPr>
          <w:i/>
          <w:iCs/>
        </w:rPr>
        <w:t>Biostatistics</w:t>
      </w:r>
      <w:r w:rsidRPr="006E4483">
        <w:t xml:space="preserve">, </w:t>
      </w:r>
      <w:r w:rsidRPr="006E4483">
        <w:rPr>
          <w:b/>
          <w:bCs/>
        </w:rPr>
        <w:t>2006</w:t>
      </w:r>
      <w:r w:rsidRPr="006E4483">
        <w:t xml:space="preserve">, </w:t>
      </w:r>
      <w:r w:rsidRPr="006E4483">
        <w:rPr>
          <w:i/>
          <w:iCs/>
        </w:rPr>
        <w:t>8</w:t>
      </w:r>
      <w:r w:rsidRPr="006E4483">
        <w:t xml:space="preserve"> (1), 118–127. https://doi.org/10.1093/biostatistics/kxj037.</w:t>
      </w:r>
    </w:p>
    <w:p w14:paraId="156D7A3F" w14:textId="77777777" w:rsidR="006E4483" w:rsidRPr="006E4483" w:rsidRDefault="006E4483" w:rsidP="006E4483">
      <w:pPr>
        <w:widowControl w:val="0"/>
        <w:autoSpaceDE w:val="0"/>
        <w:autoSpaceDN w:val="0"/>
        <w:adjustRightInd w:val="0"/>
        <w:spacing w:line="240" w:lineRule="atLeast"/>
        <w:ind w:left="640" w:hanging="640"/>
      </w:pPr>
      <w:r w:rsidRPr="006E4483">
        <w:lastRenderedPageBreak/>
        <w:t>[29]</w:t>
      </w:r>
      <w:r w:rsidRPr="006E4483">
        <w:tab/>
        <w:t xml:space="preserve">McCartney, D. L.; Walker, R. M.; Morris, S. W.; McIntosh, A. M.; Porteous, D. J.; Evans, K. L. Identification of Polymorphic and Off-Target Probe Binding Sites on the Illumina Infinium MethylationEPIC BeadChip. </w:t>
      </w:r>
      <w:r w:rsidRPr="006E4483">
        <w:rPr>
          <w:i/>
          <w:iCs/>
        </w:rPr>
        <w:t>Genomics Data</w:t>
      </w:r>
      <w:r w:rsidRPr="006E4483">
        <w:t xml:space="preserve">, </w:t>
      </w:r>
      <w:r w:rsidRPr="006E4483">
        <w:rPr>
          <w:b/>
          <w:bCs/>
        </w:rPr>
        <w:t>2016</w:t>
      </w:r>
      <w:r w:rsidRPr="006E4483">
        <w:t xml:space="preserve">, </w:t>
      </w:r>
      <w:r w:rsidRPr="006E4483">
        <w:rPr>
          <w:i/>
          <w:iCs/>
        </w:rPr>
        <w:t>9</w:t>
      </w:r>
      <w:r w:rsidRPr="006E4483">
        <w:t>, 22–24. https://doi.org/10.1016/J.GDATA.2016.05.012.</w:t>
      </w:r>
    </w:p>
    <w:p w14:paraId="23F78C2B" w14:textId="77777777" w:rsidR="006E4483" w:rsidRPr="006E4483" w:rsidRDefault="006E4483" w:rsidP="006E4483">
      <w:pPr>
        <w:widowControl w:val="0"/>
        <w:autoSpaceDE w:val="0"/>
        <w:autoSpaceDN w:val="0"/>
        <w:adjustRightInd w:val="0"/>
        <w:spacing w:line="240" w:lineRule="atLeast"/>
        <w:ind w:left="640" w:hanging="640"/>
      </w:pPr>
      <w:r w:rsidRPr="006E4483">
        <w:t>[30]</w:t>
      </w:r>
      <w:r w:rsidRPr="006E4483">
        <w:tab/>
        <w:t xml:space="preserve">McCarthy, S. A Reference Panel of 64 ,976 Haplotypes for Genotype Imputation. </w:t>
      </w:r>
      <w:r w:rsidRPr="006E4483">
        <w:rPr>
          <w:b/>
          <w:bCs/>
        </w:rPr>
        <w:t>2016</w:t>
      </w:r>
      <w:r w:rsidRPr="006E4483">
        <w:t xml:space="preserve">, </w:t>
      </w:r>
      <w:r w:rsidRPr="006E4483">
        <w:rPr>
          <w:i/>
          <w:iCs/>
        </w:rPr>
        <w:t>48</w:t>
      </w:r>
      <w:r w:rsidRPr="006E4483">
        <w:t xml:space="preserve"> (10), 1279–1283. https://doi.org/10.1038/ng.3643.A.</w:t>
      </w:r>
    </w:p>
    <w:p w14:paraId="6AC919D2" w14:textId="77777777" w:rsidR="006E4483" w:rsidRPr="006E4483" w:rsidRDefault="006E4483" w:rsidP="006E4483">
      <w:pPr>
        <w:widowControl w:val="0"/>
        <w:autoSpaceDE w:val="0"/>
        <w:autoSpaceDN w:val="0"/>
        <w:adjustRightInd w:val="0"/>
        <w:spacing w:line="240" w:lineRule="atLeast"/>
        <w:ind w:left="640" w:hanging="640"/>
      </w:pPr>
      <w:r w:rsidRPr="006E4483">
        <w:t>[31]</w:t>
      </w:r>
      <w:r w:rsidRPr="006E4483">
        <w:tab/>
        <w:t xml:space="preserve">Loh, P.; Danecek, P.; Palamara, P. F.; Fuchsberger, C.; Reshef, A.; Finucane, H. K.; Schoenherr, S.; Forer, L.; Mccarthy, S.; Abecasis, G. R.; et al. Reference-Based Phasing Using the Haplotype Reference Consortium Panel. </w:t>
      </w:r>
      <w:r w:rsidRPr="006E4483">
        <w:rPr>
          <w:i/>
          <w:iCs/>
        </w:rPr>
        <w:t>Nat. Genet.</w:t>
      </w:r>
      <w:r w:rsidRPr="006E4483">
        <w:t xml:space="preserve">, </w:t>
      </w:r>
      <w:r w:rsidRPr="006E4483">
        <w:rPr>
          <w:b/>
          <w:bCs/>
        </w:rPr>
        <w:t>2016</w:t>
      </w:r>
      <w:r w:rsidRPr="006E4483">
        <w:t xml:space="preserve">, </w:t>
      </w:r>
      <w:r w:rsidRPr="006E4483">
        <w:rPr>
          <w:i/>
          <w:iCs/>
        </w:rPr>
        <w:t>48</w:t>
      </w:r>
      <w:r w:rsidRPr="006E4483">
        <w:t xml:space="preserve"> (11), 1443–1448. https://doi.org/10.1038/ng.3679.Reference-based.</w:t>
      </w:r>
    </w:p>
    <w:p w14:paraId="3FF08314" w14:textId="77777777" w:rsidR="006E4483" w:rsidRPr="006E4483" w:rsidRDefault="006E4483" w:rsidP="006E4483">
      <w:pPr>
        <w:widowControl w:val="0"/>
        <w:autoSpaceDE w:val="0"/>
        <w:autoSpaceDN w:val="0"/>
        <w:adjustRightInd w:val="0"/>
        <w:spacing w:line="240" w:lineRule="atLeast"/>
        <w:ind w:left="640" w:hanging="640"/>
      </w:pPr>
      <w:r w:rsidRPr="006E4483">
        <w:t>[32]</w:t>
      </w:r>
      <w:r w:rsidRPr="006E4483">
        <w:tab/>
        <w:t xml:space="preserve">Durbin, R. Efficient Haplotype Matching and Storage Using the Positional Burrows-Wheeler Transform (PBWT). </w:t>
      </w:r>
      <w:r w:rsidRPr="006E4483">
        <w:rPr>
          <w:i/>
          <w:iCs/>
        </w:rPr>
        <w:t>Bioinformatics</w:t>
      </w:r>
      <w:r w:rsidRPr="006E4483">
        <w:t xml:space="preserve">, </w:t>
      </w:r>
      <w:r w:rsidRPr="006E4483">
        <w:rPr>
          <w:b/>
          <w:bCs/>
        </w:rPr>
        <w:t>2014</w:t>
      </w:r>
      <w:r w:rsidRPr="006E4483">
        <w:t xml:space="preserve">, </w:t>
      </w:r>
      <w:r w:rsidRPr="006E4483">
        <w:rPr>
          <w:i/>
          <w:iCs/>
        </w:rPr>
        <w:t>30</w:t>
      </w:r>
      <w:r w:rsidRPr="006E4483">
        <w:t xml:space="preserve"> (9), 1266–1272. https://doi.org/10.1093/bioinformatics/btu014.</w:t>
      </w:r>
    </w:p>
    <w:p w14:paraId="08E15E6D" w14:textId="77777777" w:rsidR="006E4483" w:rsidRPr="006E4483" w:rsidRDefault="006E4483" w:rsidP="006E4483">
      <w:pPr>
        <w:widowControl w:val="0"/>
        <w:autoSpaceDE w:val="0"/>
        <w:autoSpaceDN w:val="0"/>
        <w:adjustRightInd w:val="0"/>
        <w:spacing w:line="240" w:lineRule="atLeast"/>
        <w:ind w:left="640" w:hanging="640"/>
      </w:pPr>
      <w:r w:rsidRPr="006E4483">
        <w:t>[33]</w:t>
      </w:r>
      <w:r w:rsidRPr="006E4483">
        <w:tab/>
        <w:t xml:space="preserve">Aryee, M. J.; Jaffe, A. E.; Corrada-Bravo, H.; Ladd-Acosta, C.; Feinberg, A. P.; Hansen, K. D.; Irizarry, R. A. Minfi: A Flexible and Comprehensive Bioconductor Package for the Analysis of Infinium DNA Methylation Microarrays. </w:t>
      </w:r>
      <w:r w:rsidRPr="006E4483">
        <w:rPr>
          <w:i/>
          <w:iCs/>
        </w:rPr>
        <w:t>Bioinformatics</w:t>
      </w:r>
      <w:r w:rsidRPr="006E4483">
        <w:t xml:space="preserve">, </w:t>
      </w:r>
      <w:r w:rsidRPr="006E4483">
        <w:rPr>
          <w:b/>
          <w:bCs/>
        </w:rPr>
        <w:t>2014</w:t>
      </w:r>
      <w:r w:rsidRPr="006E4483">
        <w:t xml:space="preserve">, </w:t>
      </w:r>
      <w:r w:rsidRPr="006E4483">
        <w:rPr>
          <w:i/>
          <w:iCs/>
        </w:rPr>
        <w:t>30</w:t>
      </w:r>
      <w:r w:rsidRPr="006E4483">
        <w:t xml:space="preserve"> (10), 1363–1369. https://doi.org/10.1093/bioinformatics/btu049.</w:t>
      </w:r>
    </w:p>
    <w:p w14:paraId="48F02C00" w14:textId="77777777" w:rsidR="006E4483" w:rsidRPr="006E4483" w:rsidRDefault="006E4483" w:rsidP="006E4483">
      <w:pPr>
        <w:widowControl w:val="0"/>
        <w:autoSpaceDE w:val="0"/>
        <w:autoSpaceDN w:val="0"/>
        <w:adjustRightInd w:val="0"/>
        <w:spacing w:line="240" w:lineRule="atLeast"/>
        <w:ind w:left="640" w:hanging="640"/>
      </w:pPr>
      <w:r w:rsidRPr="006E4483">
        <w:t>[34]</w:t>
      </w:r>
      <w:r w:rsidRPr="006E4483">
        <w:tab/>
        <w:t xml:space="preserve">Houseman, E.; Accomando, W. P.; Koestler, D. C.; Christensen, B. C.; Marsit, C. J.; Nelson, H. H.; Wiencke, J. K.; Kelsey, K. T. DNA Methylation Arrays as Surrogate Measures of Cell Mixture Distribution. </w:t>
      </w:r>
      <w:r w:rsidRPr="006E4483">
        <w:rPr>
          <w:i/>
          <w:iCs/>
        </w:rPr>
        <w:t>BMC Bioinformatics</w:t>
      </w:r>
      <w:r w:rsidRPr="006E4483">
        <w:t xml:space="preserve">, </w:t>
      </w:r>
      <w:r w:rsidRPr="006E4483">
        <w:rPr>
          <w:b/>
          <w:bCs/>
        </w:rPr>
        <w:t>2012</w:t>
      </w:r>
      <w:r w:rsidRPr="006E4483">
        <w:t xml:space="preserve">, </w:t>
      </w:r>
      <w:r w:rsidRPr="006E4483">
        <w:rPr>
          <w:i/>
          <w:iCs/>
        </w:rPr>
        <w:t>13</w:t>
      </w:r>
      <w:r w:rsidRPr="006E4483">
        <w:t xml:space="preserve"> (1), 86. https://doi.org/10.1186/1471-2105-13-86.</w:t>
      </w:r>
    </w:p>
    <w:p w14:paraId="40D4E2E0" w14:textId="77777777" w:rsidR="006E4483" w:rsidRPr="006E4483" w:rsidRDefault="006E4483" w:rsidP="006E4483">
      <w:pPr>
        <w:widowControl w:val="0"/>
        <w:autoSpaceDE w:val="0"/>
        <w:autoSpaceDN w:val="0"/>
        <w:adjustRightInd w:val="0"/>
        <w:spacing w:line="240" w:lineRule="atLeast"/>
        <w:ind w:left="640" w:hanging="640"/>
      </w:pPr>
      <w:r w:rsidRPr="006E4483">
        <w:t>[35]</w:t>
      </w:r>
      <w:r w:rsidRPr="006E4483">
        <w:tab/>
        <w:t xml:space="preserve">Benjamini, Y.; Hochberg, Y. Controlling the False Discovery Rate: A Practical and Powerful Approach to Multiple Testing. </w:t>
      </w:r>
      <w:r w:rsidRPr="006E4483">
        <w:rPr>
          <w:i/>
          <w:iCs/>
        </w:rPr>
        <w:t>J. R. Stat. Soc. Ser. B</w:t>
      </w:r>
      <w:r w:rsidRPr="006E4483">
        <w:t xml:space="preserve">, </w:t>
      </w:r>
      <w:r w:rsidRPr="006E4483">
        <w:rPr>
          <w:b/>
          <w:bCs/>
        </w:rPr>
        <w:t>1995</w:t>
      </w:r>
      <w:r w:rsidRPr="006E4483">
        <w:t xml:space="preserve">, </w:t>
      </w:r>
      <w:r w:rsidRPr="006E4483">
        <w:rPr>
          <w:i/>
          <w:iCs/>
        </w:rPr>
        <w:t>57</w:t>
      </w:r>
      <w:r w:rsidRPr="006E4483">
        <w:t xml:space="preserve"> (1), 289–300.</w:t>
      </w:r>
    </w:p>
    <w:p w14:paraId="42109446" w14:textId="77777777" w:rsidR="006E4483" w:rsidRPr="006E4483" w:rsidRDefault="006E4483" w:rsidP="006E4483">
      <w:pPr>
        <w:widowControl w:val="0"/>
        <w:autoSpaceDE w:val="0"/>
        <w:autoSpaceDN w:val="0"/>
        <w:adjustRightInd w:val="0"/>
        <w:spacing w:line="240" w:lineRule="atLeast"/>
        <w:ind w:left="640" w:hanging="640"/>
      </w:pPr>
      <w:r w:rsidRPr="006E4483">
        <w:t>[36]</w:t>
      </w:r>
      <w:r w:rsidRPr="006E4483">
        <w:tab/>
        <w:t xml:space="preserve">Pedersen, B. S.; Schwartz, D. A.; Yang, I. V.; Kechris, K. J. Comb-p: Software for Combining, Analyzing, Grouping and Correcting Spatially Correlated P-Values. </w:t>
      </w:r>
      <w:r w:rsidRPr="006E4483">
        <w:rPr>
          <w:i/>
          <w:iCs/>
        </w:rPr>
        <w:t>Bioinformatics</w:t>
      </w:r>
      <w:r w:rsidRPr="006E4483">
        <w:t xml:space="preserve">, </w:t>
      </w:r>
      <w:r w:rsidRPr="006E4483">
        <w:rPr>
          <w:b/>
          <w:bCs/>
        </w:rPr>
        <w:t>2012</w:t>
      </w:r>
      <w:r w:rsidRPr="006E4483">
        <w:t xml:space="preserve">, </w:t>
      </w:r>
      <w:r w:rsidRPr="006E4483">
        <w:rPr>
          <w:i/>
          <w:iCs/>
        </w:rPr>
        <w:t>28</w:t>
      </w:r>
      <w:r w:rsidRPr="006E4483">
        <w:t xml:space="preserve"> (22), 2986–2988. https://doi.org/10.1093/bioinformatics/bts545.</w:t>
      </w:r>
    </w:p>
    <w:p w14:paraId="111526A9" w14:textId="77777777" w:rsidR="006E4483" w:rsidRPr="006E4483" w:rsidRDefault="006E4483" w:rsidP="006E4483">
      <w:pPr>
        <w:widowControl w:val="0"/>
        <w:autoSpaceDE w:val="0"/>
        <w:autoSpaceDN w:val="0"/>
        <w:adjustRightInd w:val="0"/>
        <w:spacing w:line="240" w:lineRule="atLeast"/>
        <w:ind w:left="640" w:hanging="640"/>
      </w:pPr>
      <w:r w:rsidRPr="006E4483">
        <w:t>[37]</w:t>
      </w:r>
      <w:r w:rsidRPr="006E4483">
        <w:tab/>
        <w:t xml:space="preserve">Pan, H.; Holbrook, J. D.; Karnani, N.; Kwoh, C. K. Gene, Environment and Methylation (GEM): A Tool Suite to Efficiently Navigate Large Scale Epigenome Wide Association Studies and Integrate Genotype and Interaction between Genotype and Environment. </w:t>
      </w:r>
      <w:r w:rsidRPr="006E4483">
        <w:rPr>
          <w:i/>
          <w:iCs/>
        </w:rPr>
        <w:t>BMC Bioinformatics</w:t>
      </w:r>
      <w:r w:rsidRPr="006E4483">
        <w:t xml:space="preserve">, </w:t>
      </w:r>
      <w:r w:rsidRPr="006E4483">
        <w:rPr>
          <w:b/>
          <w:bCs/>
        </w:rPr>
        <w:t>2016</w:t>
      </w:r>
      <w:r w:rsidRPr="006E4483">
        <w:t xml:space="preserve">, </w:t>
      </w:r>
      <w:r w:rsidRPr="006E4483">
        <w:rPr>
          <w:i/>
          <w:iCs/>
        </w:rPr>
        <w:t>17</w:t>
      </w:r>
      <w:r w:rsidRPr="006E4483">
        <w:t xml:space="preserve"> (1), 299. https://doi.org/10.1186/s12859-016-1161-z.</w:t>
      </w:r>
    </w:p>
    <w:p w14:paraId="7378E414" w14:textId="77777777" w:rsidR="006E4483" w:rsidRPr="006E4483" w:rsidRDefault="006E4483" w:rsidP="006E4483">
      <w:pPr>
        <w:widowControl w:val="0"/>
        <w:autoSpaceDE w:val="0"/>
        <w:autoSpaceDN w:val="0"/>
        <w:adjustRightInd w:val="0"/>
        <w:spacing w:line="240" w:lineRule="atLeast"/>
        <w:ind w:left="640" w:hanging="640"/>
      </w:pPr>
      <w:r w:rsidRPr="006E4483">
        <w:t>[38]</w:t>
      </w:r>
      <w:r w:rsidRPr="006E4483">
        <w:tab/>
        <w:t xml:space="preserve">Mansell, G.; Gorrie-Stone, T. J.; Bao, Y.; Kumari, M.; Schalkwyk, L. S.; Mill, J.; Hannon, E. Guidance for DNA Methylation Studies: Statistical Insights from the Illumina EPIC Array. </w:t>
      </w:r>
      <w:r w:rsidRPr="006E4483">
        <w:rPr>
          <w:i/>
          <w:iCs/>
        </w:rPr>
        <w:t>BMC Genomics</w:t>
      </w:r>
      <w:r w:rsidRPr="006E4483">
        <w:t xml:space="preserve">, </w:t>
      </w:r>
      <w:r w:rsidRPr="006E4483">
        <w:rPr>
          <w:b/>
          <w:bCs/>
        </w:rPr>
        <w:t>2019</w:t>
      </w:r>
      <w:r w:rsidRPr="006E4483">
        <w:t xml:space="preserve">, </w:t>
      </w:r>
      <w:r w:rsidRPr="006E4483">
        <w:rPr>
          <w:i/>
          <w:iCs/>
        </w:rPr>
        <w:t>20</w:t>
      </w:r>
      <w:r w:rsidRPr="006E4483">
        <w:t xml:space="preserve"> (1), 366. https://doi.org/10.1186/s12864-019-5761-7.</w:t>
      </w:r>
    </w:p>
    <w:p w14:paraId="7FD2C66D" w14:textId="77777777" w:rsidR="006E4483" w:rsidRPr="006E4483" w:rsidRDefault="006E4483" w:rsidP="006E4483">
      <w:pPr>
        <w:widowControl w:val="0"/>
        <w:autoSpaceDE w:val="0"/>
        <w:autoSpaceDN w:val="0"/>
        <w:adjustRightInd w:val="0"/>
        <w:spacing w:line="240" w:lineRule="atLeast"/>
        <w:ind w:left="640" w:hanging="640"/>
      </w:pPr>
      <w:r w:rsidRPr="006E4483">
        <w:t>[39]</w:t>
      </w:r>
      <w:r w:rsidRPr="006E4483">
        <w:tab/>
        <w:t xml:space="preserve">Hao, X.; Wang, Y.; Ren, F.; Zhu, S.; Ren, Y.; Jia, B.; Li, Y.-P.; Shi, Y.; Chang, Z. SNX25 Regulates TGF-β Signaling by Enhancing the Receptor Degradation. </w:t>
      </w:r>
      <w:r w:rsidRPr="006E4483">
        <w:rPr>
          <w:i/>
          <w:iCs/>
        </w:rPr>
        <w:t>Cell. Signal.</w:t>
      </w:r>
      <w:r w:rsidRPr="006E4483">
        <w:t xml:space="preserve">, </w:t>
      </w:r>
      <w:r w:rsidRPr="006E4483">
        <w:rPr>
          <w:b/>
          <w:bCs/>
        </w:rPr>
        <w:t>2011</w:t>
      </w:r>
      <w:r w:rsidRPr="006E4483">
        <w:t xml:space="preserve">, </w:t>
      </w:r>
      <w:r w:rsidRPr="006E4483">
        <w:rPr>
          <w:i/>
          <w:iCs/>
        </w:rPr>
        <w:t>23</w:t>
      </w:r>
      <w:r w:rsidRPr="006E4483">
        <w:t xml:space="preserve"> (5), 935–946. https://doi.org/10.1016/J.CELLSIG.2011.01.022.</w:t>
      </w:r>
    </w:p>
    <w:p w14:paraId="54134AD8" w14:textId="77777777" w:rsidR="006E4483" w:rsidRPr="006E4483" w:rsidRDefault="006E4483" w:rsidP="006E4483">
      <w:pPr>
        <w:widowControl w:val="0"/>
        <w:autoSpaceDE w:val="0"/>
        <w:autoSpaceDN w:val="0"/>
        <w:adjustRightInd w:val="0"/>
        <w:spacing w:line="240" w:lineRule="atLeast"/>
        <w:ind w:left="640" w:hanging="640"/>
      </w:pPr>
      <w:r w:rsidRPr="006E4483">
        <w:t>[40]</w:t>
      </w:r>
      <w:r w:rsidRPr="006E4483">
        <w:tab/>
        <w:t xml:space="preserve">Hanson, L. Å. Session 1: Feeding and Infant Development Breast-Feeding and Immune Function. </w:t>
      </w:r>
      <w:r w:rsidRPr="006E4483">
        <w:rPr>
          <w:i/>
          <w:iCs/>
        </w:rPr>
        <w:t>Proc. Nutr. Soc.</w:t>
      </w:r>
      <w:r w:rsidRPr="006E4483">
        <w:t xml:space="preserve">, </w:t>
      </w:r>
      <w:r w:rsidRPr="006E4483">
        <w:rPr>
          <w:b/>
          <w:bCs/>
        </w:rPr>
        <w:t>2007</w:t>
      </w:r>
      <w:r w:rsidRPr="006E4483">
        <w:t xml:space="preserve">, </w:t>
      </w:r>
      <w:r w:rsidRPr="006E4483">
        <w:rPr>
          <w:i/>
          <w:iCs/>
        </w:rPr>
        <w:t>66</w:t>
      </w:r>
      <w:r w:rsidRPr="006E4483">
        <w:t xml:space="preserve"> (3), 384–396. https://doi.org/10.1017/S0029665107005654.</w:t>
      </w:r>
    </w:p>
    <w:p w14:paraId="032B1511" w14:textId="77777777" w:rsidR="006E4483" w:rsidRPr="006E4483" w:rsidRDefault="006E4483" w:rsidP="006E4483">
      <w:pPr>
        <w:widowControl w:val="0"/>
        <w:autoSpaceDE w:val="0"/>
        <w:autoSpaceDN w:val="0"/>
        <w:adjustRightInd w:val="0"/>
        <w:spacing w:line="240" w:lineRule="atLeast"/>
        <w:ind w:left="640" w:hanging="640"/>
      </w:pPr>
      <w:r w:rsidRPr="006E4483">
        <w:t>[41]</w:t>
      </w:r>
      <w:r w:rsidRPr="006E4483">
        <w:tab/>
        <w:t xml:space="preserve">Tirado-Rodriguez, B.; Ortega, E.; Segura-Medina, P.; Huerta-Yepez, S. TGF-β: An Important Mediator of Allergic Disease and a Molecule with Dual Activity in Cancer Development. </w:t>
      </w:r>
      <w:r w:rsidRPr="006E4483">
        <w:rPr>
          <w:i/>
          <w:iCs/>
        </w:rPr>
        <w:t>J. Immunol. Res.</w:t>
      </w:r>
      <w:r w:rsidRPr="006E4483">
        <w:t xml:space="preserve">, </w:t>
      </w:r>
      <w:r w:rsidRPr="006E4483">
        <w:rPr>
          <w:b/>
          <w:bCs/>
        </w:rPr>
        <w:t>2014</w:t>
      </w:r>
      <w:r w:rsidRPr="006E4483">
        <w:t xml:space="preserve">, </w:t>
      </w:r>
      <w:r w:rsidRPr="006E4483">
        <w:rPr>
          <w:i/>
          <w:iCs/>
        </w:rPr>
        <w:t>2014</w:t>
      </w:r>
      <w:r w:rsidRPr="006E4483">
        <w:t>, 1–15. https://doi.org/10.1155/2014/318481.</w:t>
      </w:r>
    </w:p>
    <w:p w14:paraId="26D3E36D" w14:textId="77777777" w:rsidR="006E4483" w:rsidRPr="006E4483" w:rsidRDefault="006E4483" w:rsidP="006E4483">
      <w:pPr>
        <w:widowControl w:val="0"/>
        <w:autoSpaceDE w:val="0"/>
        <w:autoSpaceDN w:val="0"/>
        <w:adjustRightInd w:val="0"/>
        <w:spacing w:line="240" w:lineRule="atLeast"/>
        <w:ind w:left="640" w:hanging="640"/>
      </w:pPr>
      <w:r w:rsidRPr="006E4483">
        <w:t>[42]</w:t>
      </w:r>
      <w:r w:rsidRPr="006E4483">
        <w:tab/>
        <w:t xml:space="preserve">Du, Y.; Zou, Y.; Yu, W.; Shi, R.; Zhang, M.; Yang, W.; Duan, J.; Deng, Y.; Wang, X.; Lü, Y. Expression Pattern of Sorting Nexin 25 in Temporal Lobe Epilepsy: A Study on Patients and Pilocarpine-Induced Rats. </w:t>
      </w:r>
      <w:r w:rsidRPr="006E4483">
        <w:rPr>
          <w:i/>
          <w:iCs/>
        </w:rPr>
        <w:t>Brain Res.</w:t>
      </w:r>
      <w:r w:rsidRPr="006E4483">
        <w:t xml:space="preserve">, </w:t>
      </w:r>
      <w:r w:rsidRPr="006E4483">
        <w:rPr>
          <w:b/>
          <w:bCs/>
        </w:rPr>
        <w:t>2013</w:t>
      </w:r>
      <w:r w:rsidRPr="006E4483">
        <w:t xml:space="preserve">, </w:t>
      </w:r>
      <w:r w:rsidRPr="006E4483">
        <w:rPr>
          <w:i/>
          <w:iCs/>
        </w:rPr>
        <w:t>1509</w:t>
      </w:r>
      <w:r w:rsidRPr="006E4483">
        <w:t>, 79–85. https://doi.org/10.1016/J.BRAINRES.2013.03.005.</w:t>
      </w:r>
    </w:p>
    <w:p w14:paraId="29C8938F" w14:textId="77777777" w:rsidR="006E4483" w:rsidRPr="006E4483" w:rsidRDefault="006E4483" w:rsidP="006E4483">
      <w:pPr>
        <w:widowControl w:val="0"/>
        <w:autoSpaceDE w:val="0"/>
        <w:autoSpaceDN w:val="0"/>
        <w:adjustRightInd w:val="0"/>
        <w:spacing w:line="240" w:lineRule="atLeast"/>
        <w:ind w:left="640" w:hanging="640"/>
      </w:pPr>
      <w:r w:rsidRPr="006E4483">
        <w:t>[43]</w:t>
      </w:r>
      <w:r w:rsidRPr="006E4483">
        <w:tab/>
        <w:t xml:space="preserve">Heinemann, U.; Kaufer, D.; Friedman, A. Blood-Brain Barrier Dysfunction, TGFβ Signaling, and Astrocyte Dysfunction in Epilepsy. </w:t>
      </w:r>
      <w:r w:rsidRPr="006E4483">
        <w:rPr>
          <w:i/>
          <w:iCs/>
        </w:rPr>
        <w:t>Glia</w:t>
      </w:r>
      <w:r w:rsidRPr="006E4483">
        <w:t xml:space="preserve">, </w:t>
      </w:r>
      <w:r w:rsidRPr="006E4483">
        <w:rPr>
          <w:b/>
          <w:bCs/>
        </w:rPr>
        <w:t>2012</w:t>
      </w:r>
      <w:r w:rsidRPr="006E4483">
        <w:t xml:space="preserve">, </w:t>
      </w:r>
      <w:r w:rsidRPr="006E4483">
        <w:rPr>
          <w:i/>
          <w:iCs/>
        </w:rPr>
        <w:t>60</w:t>
      </w:r>
      <w:r w:rsidRPr="006E4483">
        <w:t xml:space="preserve"> (8), 1251–1257. https://doi.org/10.1002/glia.22311.</w:t>
      </w:r>
    </w:p>
    <w:p w14:paraId="0ED19FF5" w14:textId="77777777" w:rsidR="006E4483" w:rsidRPr="006E4483" w:rsidRDefault="006E4483" w:rsidP="006E4483">
      <w:pPr>
        <w:widowControl w:val="0"/>
        <w:autoSpaceDE w:val="0"/>
        <w:autoSpaceDN w:val="0"/>
        <w:adjustRightInd w:val="0"/>
        <w:spacing w:line="240" w:lineRule="atLeast"/>
        <w:ind w:left="640" w:hanging="640"/>
      </w:pPr>
      <w:r w:rsidRPr="006E4483">
        <w:t>[44]</w:t>
      </w:r>
      <w:r w:rsidRPr="006E4483">
        <w:tab/>
        <w:t xml:space="preserve">Sun, Y.; Vestergaard, M.; Christensen, J.; Olsen, J. Breastfeeding and Risk of Epilepsy in Childhood: A Birth Cohort Study. </w:t>
      </w:r>
      <w:r w:rsidRPr="006E4483">
        <w:rPr>
          <w:i/>
          <w:iCs/>
        </w:rPr>
        <w:t>J. Pediatr.</w:t>
      </w:r>
      <w:r w:rsidRPr="006E4483">
        <w:t xml:space="preserve">, </w:t>
      </w:r>
      <w:r w:rsidRPr="006E4483">
        <w:rPr>
          <w:b/>
          <w:bCs/>
        </w:rPr>
        <w:t>2011</w:t>
      </w:r>
      <w:r w:rsidRPr="006E4483">
        <w:t xml:space="preserve">, </w:t>
      </w:r>
      <w:r w:rsidRPr="006E4483">
        <w:rPr>
          <w:i/>
          <w:iCs/>
        </w:rPr>
        <w:t>158</w:t>
      </w:r>
      <w:r w:rsidRPr="006E4483">
        <w:t xml:space="preserve"> (6), 924–929. https://doi.org/10.1016/j.jpeds.2010.11.035.</w:t>
      </w:r>
    </w:p>
    <w:p w14:paraId="1AF226AA" w14:textId="77777777" w:rsidR="006E4483" w:rsidRPr="006E4483" w:rsidRDefault="006E4483" w:rsidP="006E4483">
      <w:pPr>
        <w:widowControl w:val="0"/>
        <w:autoSpaceDE w:val="0"/>
        <w:autoSpaceDN w:val="0"/>
        <w:adjustRightInd w:val="0"/>
        <w:spacing w:line="240" w:lineRule="atLeast"/>
        <w:ind w:left="640" w:hanging="640"/>
      </w:pPr>
      <w:r w:rsidRPr="006E4483">
        <w:t>[45]</w:t>
      </w:r>
      <w:r w:rsidRPr="006E4483">
        <w:tab/>
        <w:t xml:space="preserve">Peltola, P.; Pihlajamäki, J.; Koutnikova, H.; Ruotsalainen, E.; Salmenniemi, U.; Vauhkonen, I.; </w:t>
      </w:r>
      <w:r w:rsidRPr="006E4483">
        <w:lastRenderedPageBreak/>
        <w:t xml:space="preserve">Kainulainen, S.; Gylling, H.; Miettinen, T. A.; Auwerx, J.; et al. Visceral Obesity Is Associated with High Levels of Serum Squalene. </w:t>
      </w:r>
      <w:r w:rsidRPr="006E4483">
        <w:rPr>
          <w:i/>
          <w:iCs/>
        </w:rPr>
        <w:t>Obesity</w:t>
      </w:r>
      <w:r w:rsidRPr="006E4483">
        <w:t xml:space="preserve">, </w:t>
      </w:r>
      <w:r w:rsidRPr="006E4483">
        <w:rPr>
          <w:b/>
          <w:bCs/>
        </w:rPr>
        <w:t>2006</w:t>
      </w:r>
      <w:r w:rsidRPr="006E4483">
        <w:t xml:space="preserve">, </w:t>
      </w:r>
      <w:r w:rsidRPr="006E4483">
        <w:rPr>
          <w:i/>
          <w:iCs/>
        </w:rPr>
        <w:t>14</w:t>
      </w:r>
      <w:r w:rsidRPr="006E4483">
        <w:t xml:space="preserve"> (7), 1155–1163. https://doi.org/10.1038/oby.2006.132.</w:t>
      </w:r>
    </w:p>
    <w:p w14:paraId="56C2051F" w14:textId="77777777" w:rsidR="006E4483" w:rsidRPr="006E4483" w:rsidRDefault="006E4483" w:rsidP="006E4483">
      <w:pPr>
        <w:widowControl w:val="0"/>
        <w:autoSpaceDE w:val="0"/>
        <w:autoSpaceDN w:val="0"/>
        <w:adjustRightInd w:val="0"/>
        <w:spacing w:line="240" w:lineRule="atLeast"/>
        <w:ind w:left="640" w:hanging="640"/>
      </w:pPr>
      <w:r w:rsidRPr="006E4483">
        <w:t>[46]</w:t>
      </w:r>
      <w:r w:rsidRPr="006E4483">
        <w:tab/>
        <w:t xml:space="preserve">Chen, Y.; Chen, X.; Luo, G.; Zhang, X.; Lu, F.; Qiao, L.; He, W.; Li, G.; Zhang, Y. Discovery of Potential Inhibitors of Squalene Synthase from Traditional Chinese Medicine Based on Virtual Screening and In Vitro Evaluation of Lipid-Lowering Effect. </w:t>
      </w:r>
      <w:r w:rsidRPr="006E4483">
        <w:rPr>
          <w:i/>
          <w:iCs/>
        </w:rPr>
        <w:t>Molecules</w:t>
      </w:r>
      <w:r w:rsidRPr="006E4483">
        <w:t xml:space="preserve">, </w:t>
      </w:r>
      <w:r w:rsidRPr="006E4483">
        <w:rPr>
          <w:b/>
          <w:bCs/>
        </w:rPr>
        <w:t>2018</w:t>
      </w:r>
      <w:r w:rsidRPr="006E4483">
        <w:t xml:space="preserve">, </w:t>
      </w:r>
      <w:r w:rsidRPr="006E4483">
        <w:rPr>
          <w:i/>
          <w:iCs/>
        </w:rPr>
        <w:t>23</w:t>
      </w:r>
      <w:r w:rsidRPr="006E4483">
        <w:t xml:space="preserve"> (5), 1040. https://doi.org/10.3390/molecules23051040.</w:t>
      </w:r>
    </w:p>
    <w:p w14:paraId="6C4B6D65" w14:textId="77777777" w:rsidR="006E4483" w:rsidRPr="006E4483" w:rsidRDefault="006E4483" w:rsidP="006E4483">
      <w:pPr>
        <w:widowControl w:val="0"/>
        <w:autoSpaceDE w:val="0"/>
        <w:autoSpaceDN w:val="0"/>
        <w:adjustRightInd w:val="0"/>
        <w:spacing w:line="240" w:lineRule="atLeast"/>
        <w:ind w:left="640" w:hanging="640"/>
      </w:pPr>
      <w:r w:rsidRPr="006E4483">
        <w:t>[47]</w:t>
      </w:r>
      <w:r w:rsidRPr="006E4483">
        <w:tab/>
        <w:t xml:space="preserve">Tozawa, R.; Ishibashi, S.; Osuga, J.; Yagyu, H.; Oka, T.; Chen, Z.; Ohashi, K.; Perrey, S.; Shionoiri, F.; Yahagi, N.; et al. Embryonic Lethality and Defective Neural Tube Closure in Mice Lacking Squalene Synthase. </w:t>
      </w:r>
      <w:r w:rsidRPr="006E4483">
        <w:rPr>
          <w:i/>
          <w:iCs/>
        </w:rPr>
        <w:t>J. Biol. Chem.</w:t>
      </w:r>
      <w:r w:rsidRPr="006E4483">
        <w:t xml:space="preserve">, </w:t>
      </w:r>
      <w:r w:rsidRPr="006E4483">
        <w:rPr>
          <w:b/>
          <w:bCs/>
        </w:rPr>
        <w:t>1999</w:t>
      </w:r>
      <w:r w:rsidRPr="006E4483">
        <w:t xml:space="preserve">, </w:t>
      </w:r>
      <w:r w:rsidRPr="006E4483">
        <w:rPr>
          <w:i/>
          <w:iCs/>
        </w:rPr>
        <w:t>274</w:t>
      </w:r>
      <w:r w:rsidRPr="006E4483">
        <w:t xml:space="preserve"> (43), 30843–30848. https://doi.org/10.1074/jbc.274.43.30843.</w:t>
      </w:r>
    </w:p>
    <w:p w14:paraId="24B0B48E" w14:textId="77777777" w:rsidR="006E4483" w:rsidRPr="006E4483" w:rsidRDefault="006E4483" w:rsidP="006E4483">
      <w:pPr>
        <w:widowControl w:val="0"/>
        <w:autoSpaceDE w:val="0"/>
        <w:autoSpaceDN w:val="0"/>
        <w:adjustRightInd w:val="0"/>
        <w:spacing w:line="240" w:lineRule="atLeast"/>
        <w:ind w:left="640" w:hanging="640"/>
      </w:pPr>
      <w:r w:rsidRPr="006E4483">
        <w:t>[48]</w:t>
      </w:r>
      <w:r w:rsidRPr="006E4483">
        <w:tab/>
        <w:t xml:space="preserve">Nagashima, S.; Yagyu, H.; Tozawa, R.; Tazoe, F.; Takahashi, M.; Kitamine, T.; Yamamuro, D.; Sakai, K.; Sekiya, M.; Okazaki, H.; et al. Plasma Cholesterol-Lowering and Transient Liver Dysfunction in Mice Lacking Squalene Synthase in the Liver. </w:t>
      </w:r>
      <w:r w:rsidRPr="006E4483">
        <w:rPr>
          <w:i/>
          <w:iCs/>
        </w:rPr>
        <w:t>J. Lipid Res.</w:t>
      </w:r>
      <w:r w:rsidRPr="006E4483">
        <w:t xml:space="preserve">, </w:t>
      </w:r>
      <w:r w:rsidRPr="006E4483">
        <w:rPr>
          <w:b/>
          <w:bCs/>
        </w:rPr>
        <w:t>2015</w:t>
      </w:r>
      <w:r w:rsidRPr="006E4483">
        <w:t xml:space="preserve">, </w:t>
      </w:r>
      <w:r w:rsidRPr="006E4483">
        <w:rPr>
          <w:i/>
          <w:iCs/>
        </w:rPr>
        <w:t>56</w:t>
      </w:r>
      <w:r w:rsidRPr="006E4483">
        <w:t xml:space="preserve"> (5), 998–1005. https://doi.org/10.1194/jlr.M057406.</w:t>
      </w:r>
    </w:p>
    <w:p w14:paraId="2A0B5E9D" w14:textId="77777777" w:rsidR="006E4483" w:rsidRPr="006E4483" w:rsidRDefault="006E4483" w:rsidP="006E4483">
      <w:pPr>
        <w:widowControl w:val="0"/>
        <w:autoSpaceDE w:val="0"/>
        <w:autoSpaceDN w:val="0"/>
        <w:adjustRightInd w:val="0"/>
        <w:spacing w:line="240" w:lineRule="atLeast"/>
        <w:ind w:left="640" w:hanging="640"/>
      </w:pPr>
      <w:r w:rsidRPr="006E4483">
        <w:t>[49]</w:t>
      </w:r>
      <w:r w:rsidRPr="006E4483">
        <w:tab/>
        <w:t xml:space="preserve">Lester, B. M.; Conradt, E.; LaGasse, L. L.; Tronick, E. Z.; Padbury, J. F.; Marsit, C. J. Epigenetic Programming by Maternal Behavior in the Human Infant. </w:t>
      </w:r>
      <w:r w:rsidRPr="006E4483">
        <w:rPr>
          <w:i/>
          <w:iCs/>
        </w:rPr>
        <w:t>Pediatrics</w:t>
      </w:r>
      <w:r w:rsidRPr="006E4483">
        <w:t xml:space="preserve">, </w:t>
      </w:r>
      <w:r w:rsidRPr="006E4483">
        <w:rPr>
          <w:b/>
          <w:bCs/>
        </w:rPr>
        <w:t>2018</w:t>
      </w:r>
      <w:r w:rsidRPr="006E4483">
        <w:t xml:space="preserve">, </w:t>
      </w:r>
      <w:r w:rsidRPr="006E4483">
        <w:rPr>
          <w:i/>
          <w:iCs/>
        </w:rPr>
        <w:t>142</w:t>
      </w:r>
      <w:r w:rsidRPr="006E4483">
        <w:t xml:space="preserve"> (4), e20171890. https://doi.org/10.1542/peds.2017-1890.</w:t>
      </w:r>
    </w:p>
    <w:p w14:paraId="11397B43" w14:textId="77777777" w:rsidR="006E4483" w:rsidRPr="006E4483" w:rsidRDefault="006E4483" w:rsidP="006E4483">
      <w:pPr>
        <w:widowControl w:val="0"/>
        <w:autoSpaceDE w:val="0"/>
        <w:autoSpaceDN w:val="0"/>
        <w:adjustRightInd w:val="0"/>
        <w:spacing w:line="240" w:lineRule="atLeast"/>
        <w:ind w:left="640" w:hanging="640"/>
      </w:pPr>
      <w:r w:rsidRPr="006E4483">
        <w:t>[50]</w:t>
      </w:r>
      <w:r w:rsidRPr="006E4483">
        <w:tab/>
        <w:t xml:space="preserve">Rozek, L. S.; Dolinoy, D. C.; Sartor, M. A.; Omenn, G. S. Epigenetics: Relevance and Implications for Public Health. </w:t>
      </w:r>
      <w:r w:rsidRPr="006E4483">
        <w:rPr>
          <w:i/>
          <w:iCs/>
        </w:rPr>
        <w:t>Annu. Rev. Public Health</w:t>
      </w:r>
      <w:r w:rsidRPr="006E4483">
        <w:t xml:space="preserve">, </w:t>
      </w:r>
      <w:r w:rsidRPr="006E4483">
        <w:rPr>
          <w:b/>
          <w:bCs/>
        </w:rPr>
        <w:t>2014</w:t>
      </w:r>
      <w:r w:rsidRPr="006E4483">
        <w:t xml:space="preserve">, </w:t>
      </w:r>
      <w:r w:rsidRPr="006E4483">
        <w:rPr>
          <w:i/>
          <w:iCs/>
        </w:rPr>
        <w:t>35</w:t>
      </w:r>
      <w:r w:rsidRPr="006E4483">
        <w:t>, 105–122. https://doi.org/10.1146/annurev-publhealth-032013-182513.</w:t>
      </w:r>
    </w:p>
    <w:p w14:paraId="653A8517" w14:textId="77777777" w:rsidR="006E4483" w:rsidRPr="006E4483" w:rsidRDefault="006E4483" w:rsidP="006E4483">
      <w:pPr>
        <w:widowControl w:val="0"/>
        <w:autoSpaceDE w:val="0"/>
        <w:autoSpaceDN w:val="0"/>
        <w:adjustRightInd w:val="0"/>
        <w:spacing w:line="240" w:lineRule="atLeast"/>
        <w:ind w:left="640" w:hanging="640"/>
      </w:pPr>
      <w:r w:rsidRPr="006E4483">
        <w:t>[51]</w:t>
      </w:r>
      <w:r w:rsidRPr="006E4483">
        <w:tab/>
        <w:t xml:space="preserve">Odintsova, V. V; Hagenbeek, F. A.; Suderman, M.; Caramaschi, D.; van Beijsterveldt, C. E. M.; Kallsen, N. A.; Ehli, E. A.; Davies, G. E.; Sukhikh, G. T.; Fanos, V.; et al. DNA Methylation Signatures of Breastfeeding in Buccal Cells Collected in Mid-Childhood. </w:t>
      </w:r>
      <w:r w:rsidRPr="006E4483">
        <w:rPr>
          <w:i/>
          <w:iCs/>
        </w:rPr>
        <w:t>Nutrients</w:t>
      </w:r>
      <w:r w:rsidRPr="006E4483">
        <w:t xml:space="preserve">, </w:t>
      </w:r>
      <w:r w:rsidRPr="006E4483">
        <w:rPr>
          <w:b/>
          <w:bCs/>
        </w:rPr>
        <w:t>2019</w:t>
      </w:r>
      <w:r w:rsidRPr="006E4483">
        <w:t xml:space="preserve">, </w:t>
      </w:r>
      <w:r w:rsidRPr="006E4483">
        <w:rPr>
          <w:i/>
          <w:iCs/>
        </w:rPr>
        <w:t>11</w:t>
      </w:r>
      <w:r w:rsidRPr="006E4483">
        <w:t xml:space="preserve"> (11), 2804. https://doi.org/10.3390/nu11112804.</w:t>
      </w:r>
    </w:p>
    <w:p w14:paraId="1110B5B3" w14:textId="77777777" w:rsidR="006E4483" w:rsidRPr="006E4483" w:rsidRDefault="006E4483" w:rsidP="006E4483">
      <w:pPr>
        <w:widowControl w:val="0"/>
        <w:autoSpaceDE w:val="0"/>
        <w:autoSpaceDN w:val="0"/>
        <w:adjustRightInd w:val="0"/>
        <w:spacing w:line="240" w:lineRule="atLeast"/>
        <w:ind w:left="640" w:hanging="640"/>
      </w:pPr>
      <w:r w:rsidRPr="006E4483">
        <w:t>[52]</w:t>
      </w:r>
      <w:r w:rsidRPr="006E4483">
        <w:tab/>
        <w:t xml:space="preserve">Hartwig, F. P.; Smith, G. D.; Simpkin, A. J.; Victora, C. G.; Relton, C. L.; Caramaschi, D. Association between Breastfeeding and DNA Methylation over the Life Course: Findings from the Avon Longitudinal Study of Parents and Children (ALSPAC). </w:t>
      </w:r>
      <w:r w:rsidRPr="006E4483">
        <w:rPr>
          <w:i/>
          <w:iCs/>
        </w:rPr>
        <w:t>bioRxiv</w:t>
      </w:r>
      <w:r w:rsidRPr="006E4483">
        <w:t xml:space="preserve">, </w:t>
      </w:r>
      <w:r w:rsidRPr="006E4483">
        <w:rPr>
          <w:b/>
          <w:bCs/>
        </w:rPr>
        <w:t>2019</w:t>
      </w:r>
      <w:r w:rsidRPr="006E4483">
        <w:t>, 800722. https://doi.org/10.1101/800722.</w:t>
      </w:r>
    </w:p>
    <w:p w14:paraId="49174E8C" w14:textId="77777777" w:rsidR="006E4483" w:rsidRPr="006E4483" w:rsidRDefault="006E4483" w:rsidP="006E4483">
      <w:pPr>
        <w:widowControl w:val="0"/>
        <w:autoSpaceDE w:val="0"/>
        <w:autoSpaceDN w:val="0"/>
        <w:adjustRightInd w:val="0"/>
        <w:spacing w:line="240" w:lineRule="atLeast"/>
        <w:ind w:left="640" w:hanging="640"/>
      </w:pPr>
      <w:r w:rsidRPr="006E4483">
        <w:t>[53]</w:t>
      </w:r>
      <w:r w:rsidRPr="006E4483">
        <w:tab/>
        <w:t xml:space="preserve">Felix, J. F.; Joubert, B. R.; Baccarelli, A. A.; Sharp, G. C.; Almqvist, C.; Annesi-Maesano, I.; Arshad, H.; Baïz, N.; Bakermans-Kranenburg, M. J.; Bakulski, K. M.; et al. Cohort Profile: Pregnancy And Childhood Epigenetics (PACE) Consortium. </w:t>
      </w:r>
      <w:r w:rsidRPr="006E4483">
        <w:rPr>
          <w:i/>
          <w:iCs/>
        </w:rPr>
        <w:t>Int. J. Epidemiol.</w:t>
      </w:r>
      <w:r w:rsidRPr="006E4483">
        <w:t xml:space="preserve">, </w:t>
      </w:r>
      <w:r w:rsidRPr="006E4483">
        <w:rPr>
          <w:b/>
          <w:bCs/>
        </w:rPr>
        <w:t>2018</w:t>
      </w:r>
      <w:r w:rsidRPr="006E4483">
        <w:t xml:space="preserve">, </w:t>
      </w:r>
      <w:r w:rsidRPr="006E4483">
        <w:rPr>
          <w:i/>
          <w:iCs/>
        </w:rPr>
        <w:t>47</w:t>
      </w:r>
      <w:r w:rsidRPr="006E4483">
        <w:t xml:space="preserve"> (1), 22-23u. https://doi.org/10.1093/ije/dyx190.</w:t>
      </w:r>
    </w:p>
    <w:p w14:paraId="1E2D2562" w14:textId="77777777" w:rsidR="00BB0F15" w:rsidRPr="00190491" w:rsidRDefault="00BB0F15" w:rsidP="006E4483">
      <w:pPr>
        <w:widowControl w:val="0"/>
        <w:autoSpaceDE w:val="0"/>
        <w:autoSpaceDN w:val="0"/>
        <w:adjustRightInd w:val="0"/>
        <w:spacing w:line="240" w:lineRule="atLeast"/>
        <w:ind w:left="640" w:hanging="640"/>
      </w:pPr>
      <w:r w:rsidRPr="00190491">
        <w:fldChar w:fldCharType="end"/>
      </w:r>
    </w:p>
    <w:sectPr w:rsidR="00BB0F15" w:rsidRPr="00190491" w:rsidSect="009E6C5C">
      <w:headerReference w:type="default" r:id="rId12"/>
      <w:footerReference w:type="default" r:id="rId13"/>
      <w:headerReference w:type="first" r:id="rId14"/>
      <w:footerReference w:type="first" r:id="rId15"/>
      <w:pgSz w:w="11900" w:h="16840"/>
      <w:pgMar w:top="1440" w:right="1440" w:bottom="1440" w:left="1440" w:header="1020" w:footer="850" w:gutter="0"/>
      <w:lnNumType w:countBy="1" w:restart="continuous"/>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F0FF3" w16cex:dateUtc="2020-05-07T21:53:00Z"/>
  <w16cex:commentExtensible w16cex:durableId="225F1167" w16cex:dateUtc="2020-05-07T21:59:00Z"/>
  <w16cex:commentExtensible w16cex:durableId="225F11D3" w16cex:dateUtc="2020-05-07T22:01:00Z"/>
  <w16cex:commentExtensible w16cex:durableId="225F10F4" w16cex:dateUtc="2020-05-07T21:57:00Z"/>
  <w16cex:commentExtensible w16cex:durableId="225F1068" w16cex:dateUtc="2020-05-07T21:55:00Z"/>
  <w16cex:commentExtensible w16cex:durableId="225F102C" w16cex:dateUtc="2020-05-07T21: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8BDCC" w14:textId="77777777" w:rsidR="00102231" w:rsidRDefault="00102231" w:rsidP="005143F8">
      <w:r>
        <w:separator/>
      </w:r>
    </w:p>
  </w:endnote>
  <w:endnote w:type="continuationSeparator" w:id="0">
    <w:p w14:paraId="49D1556B" w14:textId="77777777" w:rsidR="00102231" w:rsidRDefault="00102231" w:rsidP="005143F8">
      <w:r>
        <w:continuationSeparator/>
      </w:r>
    </w:p>
  </w:endnote>
  <w:endnote w:type="continuationNotice" w:id="1">
    <w:p w14:paraId="29467AB0" w14:textId="77777777" w:rsidR="00102231" w:rsidRDefault="00102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artika">
    <w:altName w:val="Bell MT"/>
    <w:charset w:val="00"/>
    <w:family w:val="roman"/>
    <w:pitch w:val="variable"/>
    <w:sig w:usb0="008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sig w:usb0="00000003" w:usb1="00000000" w:usb2="00000000" w:usb3="00000000" w:csb0="00000001" w:csb1="00000000"/>
  </w:font>
  <w:font w:name="Dax-Medium">
    <w:altName w:val="Times New Roman"/>
    <w:charset w:val="00"/>
    <w:family w:val="auto"/>
    <w:pitch w:val="variable"/>
    <w:sig w:usb0="00000083"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56182" w14:textId="2E666471" w:rsidR="009902EF" w:rsidRPr="00AB298A" w:rsidRDefault="009902EF" w:rsidP="00AB298A">
    <w:pPr>
      <w:pStyle w:val="Footer"/>
      <w:jc w:val="right"/>
      <w:rPr>
        <w:rFonts w:cstheme="minorHAnsi"/>
      </w:rPr>
    </w:pPr>
    <w:r w:rsidRPr="00AB298A">
      <w:rPr>
        <w:rFonts w:cstheme="minorHAnsi"/>
      </w:rPr>
      <w:t xml:space="preserve">Page </w:t>
    </w:r>
    <w:r w:rsidRPr="00AB298A">
      <w:rPr>
        <w:rFonts w:cstheme="minorHAnsi"/>
      </w:rPr>
      <w:fldChar w:fldCharType="begin"/>
    </w:r>
    <w:r w:rsidRPr="00AB298A">
      <w:rPr>
        <w:rFonts w:cstheme="minorHAnsi"/>
      </w:rPr>
      <w:instrText xml:space="preserve"> PAGE </w:instrText>
    </w:r>
    <w:r w:rsidRPr="00AB298A">
      <w:rPr>
        <w:rFonts w:cstheme="minorHAnsi"/>
      </w:rPr>
      <w:fldChar w:fldCharType="separate"/>
    </w:r>
    <w:r w:rsidR="00F74FD4">
      <w:rPr>
        <w:rFonts w:cstheme="minorHAnsi"/>
      </w:rPr>
      <w:t>13</w:t>
    </w:r>
    <w:r w:rsidRPr="00AB298A">
      <w:rPr>
        <w:rFonts w:cstheme="minorHAnsi"/>
      </w:rPr>
      <w:fldChar w:fldCharType="end"/>
    </w:r>
    <w:r w:rsidRPr="00AB298A">
      <w:rPr>
        <w:rFonts w:cstheme="minorHAnsi"/>
      </w:rPr>
      <w:t xml:space="preserve"> of </w:t>
    </w:r>
    <w:r w:rsidRPr="00AB298A">
      <w:rPr>
        <w:rFonts w:cstheme="minorHAnsi"/>
      </w:rPr>
      <w:fldChar w:fldCharType="begin"/>
    </w:r>
    <w:r w:rsidRPr="00AB298A">
      <w:rPr>
        <w:rFonts w:cstheme="minorHAnsi"/>
      </w:rPr>
      <w:instrText xml:space="preserve"> NUMPAGES </w:instrText>
    </w:r>
    <w:r w:rsidRPr="00AB298A">
      <w:rPr>
        <w:rFonts w:cstheme="minorHAnsi"/>
      </w:rPr>
      <w:fldChar w:fldCharType="separate"/>
    </w:r>
    <w:r w:rsidR="00F74FD4">
      <w:rPr>
        <w:rFonts w:cstheme="minorHAnsi"/>
      </w:rPr>
      <w:t>13</w:t>
    </w:r>
    <w:r w:rsidRPr="00AB298A">
      <w:rPr>
        <w:rFonts w:cstheme="min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A3C8A" w14:textId="77777777" w:rsidR="009902EF" w:rsidRPr="009E6C5C" w:rsidRDefault="009902EF" w:rsidP="009E6C5C">
    <w:pPr>
      <w:pStyle w:val="MDPIfooterfirstpage"/>
      <w:spacing w:line="240" w:lineRule="auto"/>
      <w:jc w:val="both"/>
      <w:rPr>
        <w:lang w:val="fr-CH"/>
      </w:rPr>
    </w:pPr>
    <w:r w:rsidRPr="009231ED">
      <w:rPr>
        <w:i/>
        <w:szCs w:val="16"/>
      </w:rPr>
      <w:t>Int. J. Environ. Res. Public Health</w:t>
    </w:r>
    <w:r w:rsidRPr="009231ED">
      <w:rPr>
        <w:szCs w:val="16"/>
      </w:rPr>
      <w:t xml:space="preserve"> </w:t>
    </w:r>
    <w:r w:rsidRPr="00AE348C">
      <w:rPr>
        <w:b/>
        <w:szCs w:val="16"/>
      </w:rPr>
      <w:t>20</w:t>
    </w:r>
    <w:r>
      <w:rPr>
        <w:b/>
        <w:szCs w:val="16"/>
      </w:rPr>
      <w:t>20</w:t>
    </w:r>
    <w:r w:rsidRPr="00AE348C">
      <w:rPr>
        <w:szCs w:val="16"/>
      </w:rPr>
      <w:t xml:space="preserve">, </w:t>
    </w:r>
    <w:r w:rsidRPr="00AE348C">
      <w:rPr>
        <w:i/>
        <w:szCs w:val="16"/>
      </w:rPr>
      <w:t>1</w:t>
    </w:r>
    <w:r>
      <w:rPr>
        <w:i/>
        <w:szCs w:val="16"/>
      </w:rPr>
      <w:t>7</w:t>
    </w:r>
    <w:r w:rsidRPr="00AE348C">
      <w:rPr>
        <w:szCs w:val="16"/>
      </w:rPr>
      <w:t xml:space="preserve">, </w:t>
    </w:r>
    <w:r>
      <w:rPr>
        <w:szCs w:val="16"/>
      </w:rPr>
      <w:t>x; doi: FOR PEER REVIEW</w:t>
    </w:r>
    <w:r w:rsidRPr="008B308E">
      <w:rPr>
        <w:lang w:val="fr-CH"/>
      </w:rPr>
      <w:tab/>
      <w:t>www.mdpi.com/journal/</w:t>
    </w:r>
    <w:r>
      <w:t>ijerph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26044" w14:textId="77777777" w:rsidR="00102231" w:rsidRDefault="00102231" w:rsidP="005143F8">
      <w:r>
        <w:separator/>
      </w:r>
    </w:p>
  </w:footnote>
  <w:footnote w:type="continuationSeparator" w:id="0">
    <w:p w14:paraId="5C63CD78" w14:textId="77777777" w:rsidR="00102231" w:rsidRDefault="00102231" w:rsidP="005143F8">
      <w:r>
        <w:continuationSeparator/>
      </w:r>
    </w:p>
  </w:footnote>
  <w:footnote w:type="continuationNotice" w:id="1">
    <w:p w14:paraId="36E59B77" w14:textId="77777777" w:rsidR="00102231" w:rsidRDefault="0010223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02B3E" w14:textId="0FDB15E7" w:rsidR="009902EF" w:rsidRPr="00305CED" w:rsidRDefault="009902EF" w:rsidP="009E6C5C">
    <w:pPr>
      <w:tabs>
        <w:tab w:val="right" w:pos="8844"/>
      </w:tabs>
      <w:adjustRightInd w:val="0"/>
      <w:snapToGrid w:val="0"/>
      <w:spacing w:after="240" w:line="240" w:lineRule="auto"/>
      <w:rPr>
        <w:sz w:val="16"/>
      </w:rPr>
    </w:pPr>
    <w:r>
      <w:rPr>
        <w:i/>
        <w:sz w:val="16"/>
      </w:rPr>
      <w:t xml:space="preserve">Int. J. Environ. Res. Public Health </w:t>
    </w:r>
    <w:r w:rsidRPr="00AE348C">
      <w:rPr>
        <w:b/>
        <w:sz w:val="16"/>
      </w:rPr>
      <w:t>20</w:t>
    </w:r>
    <w:r>
      <w:rPr>
        <w:b/>
        <w:sz w:val="16"/>
      </w:rPr>
      <w:t>20</w:t>
    </w:r>
    <w:r w:rsidRPr="00AE348C">
      <w:rPr>
        <w:sz w:val="16"/>
      </w:rPr>
      <w:t xml:space="preserve">, </w:t>
    </w:r>
    <w:r w:rsidRPr="00AE348C">
      <w:rPr>
        <w:i/>
        <w:sz w:val="16"/>
      </w:rPr>
      <w:t>1</w:t>
    </w:r>
    <w:r>
      <w:rPr>
        <w:i/>
        <w:sz w:val="16"/>
      </w:rPr>
      <w:t>7</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F74FD4">
      <w:rPr>
        <w:sz w:val="16"/>
      </w:rPr>
      <w:t>13</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F74FD4">
      <w:rPr>
        <w:sz w:val="16"/>
      </w:rPr>
      <w:t>13</w:t>
    </w:r>
    <w:r>
      <w:rPr>
        <w:sz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DC64D" w14:textId="77777777" w:rsidR="009902EF" w:rsidRDefault="009902EF" w:rsidP="009E6C5C">
    <w:pPr>
      <w:pStyle w:val="MDPIheaderjournallogo"/>
    </w:pPr>
    <w:r w:rsidRPr="00C860AA">
      <w:rPr>
        <w:i w:val="0"/>
        <w:noProof/>
        <w:szCs w:val="16"/>
        <w:lang w:val="en-GB" w:eastAsia="en-GB"/>
      </w:rPr>
      <mc:AlternateContent>
        <mc:Choice Requires="wps">
          <w:drawing>
            <wp:anchor distT="45720" distB="45720" distL="114300" distR="114300" simplePos="0" relativeHeight="251660288" behindDoc="1" locked="0" layoutInCell="1" allowOverlap="1" wp14:anchorId="64E7870B" wp14:editId="2134A7D6">
              <wp:simplePos x="0" y="0"/>
              <wp:positionH relativeFrom="page">
                <wp:posOffset>6029960</wp:posOffset>
              </wp:positionH>
              <wp:positionV relativeFrom="page">
                <wp:posOffset>647700</wp:posOffset>
              </wp:positionV>
              <wp:extent cx="540385" cy="709295"/>
              <wp:effectExtent l="0" t="0" r="190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7B6A603F" w14:textId="77777777" w:rsidR="009902EF" w:rsidRDefault="009902EF" w:rsidP="009E6C5C">
                          <w:pPr>
                            <w:pStyle w:val="MDPIheaderjournallogo"/>
                            <w:jc w:val="center"/>
                            <w:textboxTightWrap w:val="allLines"/>
                            <w:rPr>
                              <w:i w:val="0"/>
                              <w:szCs w:val="16"/>
                            </w:rPr>
                          </w:pPr>
                          <w:r w:rsidRPr="0046726B">
                            <w:rPr>
                              <w:i w:val="0"/>
                              <w:noProof/>
                              <w:szCs w:val="16"/>
                              <w:lang w:val="en-GB" w:eastAsia="en-GB"/>
                            </w:rPr>
                            <w:drawing>
                              <wp:inline distT="0" distB="0" distL="0" distR="0" wp14:anchorId="5454B2A9" wp14:editId="5056D7FB">
                                <wp:extent cx="541020" cy="358140"/>
                                <wp:effectExtent l="0" t="0" r="0" b="3810"/>
                                <wp:docPr id="5" name="Picture 5"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E56F902" id="_x0000_t202" coordsize="21600,21600" o:spt="202" path="m,l,21600r21600,l21600,xe">
              <v:stroke joinstyle="miter"/>
              <v:path gradientshapeok="t" o:connecttype="rect"/>
            </v:shapetype>
            <v:shape id="Text Box 6" o:spid="_x0000_s1026" type="#_x0000_t202" style="position:absolute;left:0;text-align:left;margin-left:474.8pt;margin-top:51pt;width:42.55pt;height:55.85pt;z-index:-25165619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" stroked="f">
              <v:textbox inset="0,0,0,0">
                <w:txbxContent>
                  <w:p w:rsidR="009902EF" w:rsidRDefault="009902EF" w:rsidP="009E6C5C">
                    <w:pPr>
                      <w:pStyle w:val="MDPIheaderjournallogo"/>
                      <w:jc w:val="center"/>
                      <w:textboxTightWrap w:val="allLines"/>
                      <w:rPr>
                        <w:i w:val="0"/>
                        <w:szCs w:val="16"/>
                      </w:rPr>
                    </w:pPr>
                    <w:r w:rsidRPr="0046726B">
                      <w:rPr>
                        <w:i w:val="0"/>
                        <w:noProof/>
                        <w:szCs w:val="16"/>
                        <w:lang w:val="en-GB" w:eastAsia="en-GB"/>
                      </w:rPr>
                      <w:drawing>
                        <wp:inline distT="0" distB="0" distL="0" distR="0" wp14:anchorId="25240577" wp14:editId="71F25D00">
                          <wp:extent cx="541020" cy="358140"/>
                          <wp:effectExtent l="0" t="0" r="0" b="3810"/>
                          <wp:docPr id="5" name="Picture 5"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v:textbox>
              <w10:wrap anchorx="page" anchory="page"/>
            </v:shape>
          </w:pict>
        </mc:Fallback>
      </mc:AlternateContent>
    </w:r>
    <w:r w:rsidRPr="00A04686">
      <w:rPr>
        <w:noProof/>
        <w:lang w:val="en-GB" w:eastAsia="en-GB"/>
      </w:rPr>
      <w:drawing>
        <wp:inline distT="0" distB="0" distL="0" distR="0" wp14:anchorId="7C17735D" wp14:editId="2AB1A096">
          <wp:extent cx="1828800" cy="434340"/>
          <wp:effectExtent l="0" t="0" r="0" b="3810"/>
          <wp:docPr id="3" name="Picture 3" descr="C:\Users\home\Desktop\logos\png\ijer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ijerph-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0" cy="4343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FFEC82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2519D0"/>
    <w:multiLevelType w:val="hybridMultilevel"/>
    <w:tmpl w:val="A6EAEF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31639A"/>
    <w:multiLevelType w:val="multilevel"/>
    <w:tmpl w:val="8B98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A5614"/>
    <w:multiLevelType w:val="hybridMultilevel"/>
    <w:tmpl w:val="E4E82F4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04793F"/>
    <w:multiLevelType w:val="hybridMultilevel"/>
    <w:tmpl w:val="8D905D1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3C5ADE"/>
    <w:multiLevelType w:val="hybridMultilevel"/>
    <w:tmpl w:val="D32A84EA"/>
    <w:lvl w:ilvl="0" w:tplc="66346C5E">
      <w:start w:val="2"/>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8B12BD"/>
    <w:multiLevelType w:val="hybridMultilevel"/>
    <w:tmpl w:val="9CB2CFE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9"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372A7EC6"/>
    <w:multiLevelType w:val="hybridMultilevel"/>
    <w:tmpl w:val="FAB228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192524"/>
    <w:multiLevelType w:val="hybridMultilevel"/>
    <w:tmpl w:val="ECDA10F8"/>
    <w:lvl w:ilvl="0" w:tplc="189EE1D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0B505B"/>
    <w:multiLevelType w:val="hybridMultilevel"/>
    <w:tmpl w:val="6928A52E"/>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3184CD2"/>
    <w:multiLevelType w:val="hybridMultilevel"/>
    <w:tmpl w:val="646635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EF2523"/>
    <w:multiLevelType w:val="hybridMultilevel"/>
    <w:tmpl w:val="1124FFE0"/>
    <w:lvl w:ilvl="0" w:tplc="9EEEBC66">
      <w:start w:val="1"/>
      <w:numFmt w:val="bullet"/>
      <w:lvlText w:val="-"/>
      <w:lvlJc w:val="left"/>
      <w:pPr>
        <w:ind w:left="1800" w:hanging="360"/>
      </w:pPr>
      <w:rPr>
        <w:rFonts w:ascii="Calibri" w:eastAsiaTheme="minorHAns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673C370A"/>
    <w:multiLevelType w:val="hybridMultilevel"/>
    <w:tmpl w:val="7026F350"/>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6" w15:restartNumberingAfterBreak="0">
    <w:nsid w:val="6DB20A64"/>
    <w:multiLevelType w:val="hybridMultilevel"/>
    <w:tmpl w:val="FAD8DF3A"/>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7" w15:restartNumberingAfterBreak="0">
    <w:nsid w:val="702A4BDC"/>
    <w:multiLevelType w:val="hybridMultilevel"/>
    <w:tmpl w:val="F8D6E140"/>
    <w:lvl w:ilvl="0" w:tplc="A56E1034">
      <w:start w:val="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
  </w:num>
  <w:num w:numId="4">
    <w:abstractNumId w:val="13"/>
  </w:num>
  <w:num w:numId="5">
    <w:abstractNumId w:val="1"/>
  </w:num>
  <w:num w:numId="6">
    <w:abstractNumId w:val="4"/>
  </w:num>
  <w:num w:numId="7">
    <w:abstractNumId w:val="10"/>
  </w:num>
  <w:num w:numId="8">
    <w:abstractNumId w:val="14"/>
  </w:num>
  <w:num w:numId="9">
    <w:abstractNumId w:val="3"/>
  </w:num>
  <w:num w:numId="10">
    <w:abstractNumId w:val="2"/>
  </w:num>
  <w:num w:numId="11">
    <w:abstractNumId w:val="17"/>
  </w:num>
  <w:num w:numId="12">
    <w:abstractNumId w:val="0"/>
  </w:num>
  <w:num w:numId="13">
    <w:abstractNumId w:val="12"/>
  </w:num>
  <w:num w:numId="14">
    <w:abstractNumId w:val="12"/>
  </w:num>
  <w:num w:numId="15">
    <w:abstractNumId w:val="15"/>
  </w:num>
  <w:num w:numId="16">
    <w:abstractNumId w:val="16"/>
  </w:num>
  <w:num w:numId="17">
    <w:abstractNumId w:val="8"/>
  </w:num>
  <w:num w:numId="18">
    <w:abstractNumId w:val="9"/>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d5xrsxt1drtxzesxr5prvs8p2fdfvs9rdsw&quot;&gt;Asthma references-Converted&lt;record-ids&gt;&lt;item&gt;5716&lt;/item&gt;&lt;/record-ids&gt;&lt;/item&gt;&lt;/Libraries&gt;"/>
  </w:docVars>
  <w:rsids>
    <w:rsidRoot w:val="005143F8"/>
    <w:rsid w:val="000038C4"/>
    <w:rsid w:val="0000423C"/>
    <w:rsid w:val="00004BE1"/>
    <w:rsid w:val="00004EEA"/>
    <w:rsid w:val="000103FF"/>
    <w:rsid w:val="00012C03"/>
    <w:rsid w:val="00013433"/>
    <w:rsid w:val="00013466"/>
    <w:rsid w:val="00016CA2"/>
    <w:rsid w:val="000206DD"/>
    <w:rsid w:val="000212FB"/>
    <w:rsid w:val="00022AD9"/>
    <w:rsid w:val="00022DF0"/>
    <w:rsid w:val="00023E51"/>
    <w:rsid w:val="00025F2A"/>
    <w:rsid w:val="00030267"/>
    <w:rsid w:val="000308ED"/>
    <w:rsid w:val="000373AB"/>
    <w:rsid w:val="00040A53"/>
    <w:rsid w:val="000445F9"/>
    <w:rsid w:val="000466EC"/>
    <w:rsid w:val="00052148"/>
    <w:rsid w:val="00053756"/>
    <w:rsid w:val="00053CF0"/>
    <w:rsid w:val="000548C4"/>
    <w:rsid w:val="000567FA"/>
    <w:rsid w:val="000707E9"/>
    <w:rsid w:val="00071C24"/>
    <w:rsid w:val="0007262A"/>
    <w:rsid w:val="0007290A"/>
    <w:rsid w:val="00073213"/>
    <w:rsid w:val="00074A5F"/>
    <w:rsid w:val="00077F8E"/>
    <w:rsid w:val="00080228"/>
    <w:rsid w:val="00081093"/>
    <w:rsid w:val="000822D4"/>
    <w:rsid w:val="000824A0"/>
    <w:rsid w:val="00082CCA"/>
    <w:rsid w:val="000845D3"/>
    <w:rsid w:val="00085BA1"/>
    <w:rsid w:val="00086DB6"/>
    <w:rsid w:val="00091F33"/>
    <w:rsid w:val="000943DE"/>
    <w:rsid w:val="00095249"/>
    <w:rsid w:val="000953AE"/>
    <w:rsid w:val="000970FD"/>
    <w:rsid w:val="00097982"/>
    <w:rsid w:val="00097E33"/>
    <w:rsid w:val="000A2079"/>
    <w:rsid w:val="000A243A"/>
    <w:rsid w:val="000A4465"/>
    <w:rsid w:val="000A71B8"/>
    <w:rsid w:val="000B13ED"/>
    <w:rsid w:val="000B2743"/>
    <w:rsid w:val="000B41D0"/>
    <w:rsid w:val="000B760E"/>
    <w:rsid w:val="000C0928"/>
    <w:rsid w:val="000C0ED5"/>
    <w:rsid w:val="000C1812"/>
    <w:rsid w:val="000C21DB"/>
    <w:rsid w:val="000C689E"/>
    <w:rsid w:val="000C773B"/>
    <w:rsid w:val="000D2E9A"/>
    <w:rsid w:val="000D4063"/>
    <w:rsid w:val="000D427B"/>
    <w:rsid w:val="000E20A9"/>
    <w:rsid w:val="000E3654"/>
    <w:rsid w:val="000E4A8C"/>
    <w:rsid w:val="000F09AF"/>
    <w:rsid w:val="000F1CE9"/>
    <w:rsid w:val="000F2F0A"/>
    <w:rsid w:val="000F318E"/>
    <w:rsid w:val="000F37F3"/>
    <w:rsid w:val="000F4030"/>
    <w:rsid w:val="000F4CB1"/>
    <w:rsid w:val="000F6146"/>
    <w:rsid w:val="000F7983"/>
    <w:rsid w:val="00100051"/>
    <w:rsid w:val="00102231"/>
    <w:rsid w:val="00102302"/>
    <w:rsid w:val="00102486"/>
    <w:rsid w:val="0010349E"/>
    <w:rsid w:val="0010372E"/>
    <w:rsid w:val="00112711"/>
    <w:rsid w:val="00116C1A"/>
    <w:rsid w:val="0012032A"/>
    <w:rsid w:val="00120AE3"/>
    <w:rsid w:val="00120DE9"/>
    <w:rsid w:val="00120EE3"/>
    <w:rsid w:val="00121740"/>
    <w:rsid w:val="00124C4F"/>
    <w:rsid w:val="00124CB2"/>
    <w:rsid w:val="00125D21"/>
    <w:rsid w:val="001310D8"/>
    <w:rsid w:val="00131B86"/>
    <w:rsid w:val="0014026C"/>
    <w:rsid w:val="0014039A"/>
    <w:rsid w:val="00143E9F"/>
    <w:rsid w:val="00146938"/>
    <w:rsid w:val="00151077"/>
    <w:rsid w:val="0015148E"/>
    <w:rsid w:val="00154CCD"/>
    <w:rsid w:val="00160880"/>
    <w:rsid w:val="00160F17"/>
    <w:rsid w:val="00162230"/>
    <w:rsid w:val="00163851"/>
    <w:rsid w:val="001662DF"/>
    <w:rsid w:val="001662EC"/>
    <w:rsid w:val="00172CE0"/>
    <w:rsid w:val="00172E02"/>
    <w:rsid w:val="001733E2"/>
    <w:rsid w:val="00181B20"/>
    <w:rsid w:val="00182005"/>
    <w:rsid w:val="00190491"/>
    <w:rsid w:val="001907E1"/>
    <w:rsid w:val="0019233D"/>
    <w:rsid w:val="00192F9B"/>
    <w:rsid w:val="00194122"/>
    <w:rsid w:val="0019703F"/>
    <w:rsid w:val="001A044B"/>
    <w:rsid w:val="001A3643"/>
    <w:rsid w:val="001A5ADD"/>
    <w:rsid w:val="001A5C5B"/>
    <w:rsid w:val="001A6F38"/>
    <w:rsid w:val="001B0948"/>
    <w:rsid w:val="001B240F"/>
    <w:rsid w:val="001B2465"/>
    <w:rsid w:val="001B487B"/>
    <w:rsid w:val="001B4C39"/>
    <w:rsid w:val="001B57D9"/>
    <w:rsid w:val="001B6AA7"/>
    <w:rsid w:val="001C1FE5"/>
    <w:rsid w:val="001C32EA"/>
    <w:rsid w:val="001C42B8"/>
    <w:rsid w:val="001C647C"/>
    <w:rsid w:val="001D1A9D"/>
    <w:rsid w:val="001D28BB"/>
    <w:rsid w:val="001D2979"/>
    <w:rsid w:val="001D3BC7"/>
    <w:rsid w:val="001D5860"/>
    <w:rsid w:val="001D6AD7"/>
    <w:rsid w:val="001D6EF1"/>
    <w:rsid w:val="001E04E5"/>
    <w:rsid w:val="001E23A6"/>
    <w:rsid w:val="001E2DCF"/>
    <w:rsid w:val="001E469B"/>
    <w:rsid w:val="001E734F"/>
    <w:rsid w:val="001F1C77"/>
    <w:rsid w:val="001F2890"/>
    <w:rsid w:val="001F4C53"/>
    <w:rsid w:val="001F6479"/>
    <w:rsid w:val="001F7A59"/>
    <w:rsid w:val="00202866"/>
    <w:rsid w:val="00203890"/>
    <w:rsid w:val="0020476B"/>
    <w:rsid w:val="00204B0F"/>
    <w:rsid w:val="002064F9"/>
    <w:rsid w:val="00207ECF"/>
    <w:rsid w:val="00207F8B"/>
    <w:rsid w:val="00211188"/>
    <w:rsid w:val="00212997"/>
    <w:rsid w:val="002168E0"/>
    <w:rsid w:val="00217115"/>
    <w:rsid w:val="0022078B"/>
    <w:rsid w:val="00220989"/>
    <w:rsid w:val="00222641"/>
    <w:rsid w:val="00222E68"/>
    <w:rsid w:val="0022554E"/>
    <w:rsid w:val="00226139"/>
    <w:rsid w:val="00230A43"/>
    <w:rsid w:val="0023196E"/>
    <w:rsid w:val="00234AE8"/>
    <w:rsid w:val="0023618F"/>
    <w:rsid w:val="00236BBC"/>
    <w:rsid w:val="00237A87"/>
    <w:rsid w:val="002425D8"/>
    <w:rsid w:val="00243419"/>
    <w:rsid w:val="00244296"/>
    <w:rsid w:val="00252FA8"/>
    <w:rsid w:val="00261F45"/>
    <w:rsid w:val="00262341"/>
    <w:rsid w:val="00262658"/>
    <w:rsid w:val="00262C21"/>
    <w:rsid w:val="00263C61"/>
    <w:rsid w:val="00265502"/>
    <w:rsid w:val="00267B88"/>
    <w:rsid w:val="002730AF"/>
    <w:rsid w:val="002732F3"/>
    <w:rsid w:val="00273BB9"/>
    <w:rsid w:val="00285250"/>
    <w:rsid w:val="00286FC4"/>
    <w:rsid w:val="00287149"/>
    <w:rsid w:val="00291827"/>
    <w:rsid w:val="0029657D"/>
    <w:rsid w:val="002A3B12"/>
    <w:rsid w:val="002A58A5"/>
    <w:rsid w:val="002B14EC"/>
    <w:rsid w:val="002B6940"/>
    <w:rsid w:val="002C38A9"/>
    <w:rsid w:val="002C45C8"/>
    <w:rsid w:val="002D26C7"/>
    <w:rsid w:val="002D3007"/>
    <w:rsid w:val="002D30AC"/>
    <w:rsid w:val="002D382D"/>
    <w:rsid w:val="002D5391"/>
    <w:rsid w:val="002D74AC"/>
    <w:rsid w:val="002E5CD1"/>
    <w:rsid w:val="002F1EB9"/>
    <w:rsid w:val="002F2B58"/>
    <w:rsid w:val="002F4906"/>
    <w:rsid w:val="002F4ABF"/>
    <w:rsid w:val="002F6968"/>
    <w:rsid w:val="00303888"/>
    <w:rsid w:val="003061DA"/>
    <w:rsid w:val="00311C11"/>
    <w:rsid w:val="00311CC6"/>
    <w:rsid w:val="003153D3"/>
    <w:rsid w:val="00315735"/>
    <w:rsid w:val="00316635"/>
    <w:rsid w:val="0032497F"/>
    <w:rsid w:val="003259A0"/>
    <w:rsid w:val="003276FE"/>
    <w:rsid w:val="003279C9"/>
    <w:rsid w:val="0033029C"/>
    <w:rsid w:val="00330D6B"/>
    <w:rsid w:val="00330EBE"/>
    <w:rsid w:val="00330F48"/>
    <w:rsid w:val="00331E74"/>
    <w:rsid w:val="00332E77"/>
    <w:rsid w:val="00333863"/>
    <w:rsid w:val="00333D7D"/>
    <w:rsid w:val="0033652D"/>
    <w:rsid w:val="003369F3"/>
    <w:rsid w:val="003406B9"/>
    <w:rsid w:val="00341AD0"/>
    <w:rsid w:val="00342F28"/>
    <w:rsid w:val="0034328E"/>
    <w:rsid w:val="00344010"/>
    <w:rsid w:val="00345713"/>
    <w:rsid w:val="00351573"/>
    <w:rsid w:val="00353F77"/>
    <w:rsid w:val="00357A81"/>
    <w:rsid w:val="003604FC"/>
    <w:rsid w:val="003618EB"/>
    <w:rsid w:val="00362714"/>
    <w:rsid w:val="003659CB"/>
    <w:rsid w:val="003707FC"/>
    <w:rsid w:val="003725A9"/>
    <w:rsid w:val="0037744D"/>
    <w:rsid w:val="00377E3F"/>
    <w:rsid w:val="00382225"/>
    <w:rsid w:val="00382D06"/>
    <w:rsid w:val="00384F3B"/>
    <w:rsid w:val="00385535"/>
    <w:rsid w:val="0039408E"/>
    <w:rsid w:val="00395495"/>
    <w:rsid w:val="00395ACF"/>
    <w:rsid w:val="003A1C8F"/>
    <w:rsid w:val="003A2A7A"/>
    <w:rsid w:val="003A2D59"/>
    <w:rsid w:val="003A612A"/>
    <w:rsid w:val="003A7F81"/>
    <w:rsid w:val="003B0AE0"/>
    <w:rsid w:val="003B321C"/>
    <w:rsid w:val="003B4150"/>
    <w:rsid w:val="003C00F2"/>
    <w:rsid w:val="003C09BD"/>
    <w:rsid w:val="003C0BB7"/>
    <w:rsid w:val="003C3EFB"/>
    <w:rsid w:val="003C5EA9"/>
    <w:rsid w:val="003C650B"/>
    <w:rsid w:val="003C6FE7"/>
    <w:rsid w:val="003D04C3"/>
    <w:rsid w:val="003D2931"/>
    <w:rsid w:val="003D324B"/>
    <w:rsid w:val="003D4F17"/>
    <w:rsid w:val="003D6127"/>
    <w:rsid w:val="003E3C79"/>
    <w:rsid w:val="003E76BC"/>
    <w:rsid w:val="003F27DE"/>
    <w:rsid w:val="003F30D8"/>
    <w:rsid w:val="003F47DC"/>
    <w:rsid w:val="003F7A0B"/>
    <w:rsid w:val="0040740D"/>
    <w:rsid w:val="004074FA"/>
    <w:rsid w:val="00407E16"/>
    <w:rsid w:val="00410151"/>
    <w:rsid w:val="004116BF"/>
    <w:rsid w:val="00413170"/>
    <w:rsid w:val="00413D0F"/>
    <w:rsid w:val="00414338"/>
    <w:rsid w:val="004161D8"/>
    <w:rsid w:val="00423041"/>
    <w:rsid w:val="00423EE5"/>
    <w:rsid w:val="00424D82"/>
    <w:rsid w:val="00424F2E"/>
    <w:rsid w:val="0043140E"/>
    <w:rsid w:val="00432125"/>
    <w:rsid w:val="004326AD"/>
    <w:rsid w:val="004327F4"/>
    <w:rsid w:val="00436225"/>
    <w:rsid w:val="004372D4"/>
    <w:rsid w:val="00441231"/>
    <w:rsid w:val="004442E9"/>
    <w:rsid w:val="004476E4"/>
    <w:rsid w:val="0045648F"/>
    <w:rsid w:val="004566A9"/>
    <w:rsid w:val="00457194"/>
    <w:rsid w:val="00461EF6"/>
    <w:rsid w:val="00471D75"/>
    <w:rsid w:val="00475288"/>
    <w:rsid w:val="00476A4B"/>
    <w:rsid w:val="00477ECA"/>
    <w:rsid w:val="00480ABE"/>
    <w:rsid w:val="004835C5"/>
    <w:rsid w:val="00483A63"/>
    <w:rsid w:val="00486839"/>
    <w:rsid w:val="00486B76"/>
    <w:rsid w:val="00497DDC"/>
    <w:rsid w:val="004A311E"/>
    <w:rsid w:val="004A40BF"/>
    <w:rsid w:val="004B1592"/>
    <w:rsid w:val="004B1E20"/>
    <w:rsid w:val="004B5B6C"/>
    <w:rsid w:val="004B70C9"/>
    <w:rsid w:val="004B7609"/>
    <w:rsid w:val="004C3CB2"/>
    <w:rsid w:val="004C673F"/>
    <w:rsid w:val="004D049A"/>
    <w:rsid w:val="004D4DF5"/>
    <w:rsid w:val="004E1E17"/>
    <w:rsid w:val="004E4394"/>
    <w:rsid w:val="004E4701"/>
    <w:rsid w:val="004F1E97"/>
    <w:rsid w:val="004F4764"/>
    <w:rsid w:val="004F4941"/>
    <w:rsid w:val="00500BF9"/>
    <w:rsid w:val="0050272F"/>
    <w:rsid w:val="005036E7"/>
    <w:rsid w:val="00503FD6"/>
    <w:rsid w:val="005079BB"/>
    <w:rsid w:val="005127F4"/>
    <w:rsid w:val="005131CE"/>
    <w:rsid w:val="0051411A"/>
    <w:rsid w:val="005143F8"/>
    <w:rsid w:val="0051534E"/>
    <w:rsid w:val="005169E2"/>
    <w:rsid w:val="00517F9F"/>
    <w:rsid w:val="00520B37"/>
    <w:rsid w:val="00525E4D"/>
    <w:rsid w:val="00527D4E"/>
    <w:rsid w:val="00530749"/>
    <w:rsid w:val="00530868"/>
    <w:rsid w:val="00534BDD"/>
    <w:rsid w:val="00535151"/>
    <w:rsid w:val="0054263A"/>
    <w:rsid w:val="00545E50"/>
    <w:rsid w:val="005502BE"/>
    <w:rsid w:val="00556A9F"/>
    <w:rsid w:val="00561220"/>
    <w:rsid w:val="005621FB"/>
    <w:rsid w:val="00564687"/>
    <w:rsid w:val="00564A58"/>
    <w:rsid w:val="00565369"/>
    <w:rsid w:val="0056537B"/>
    <w:rsid w:val="0056584E"/>
    <w:rsid w:val="00565BE8"/>
    <w:rsid w:val="00566CDB"/>
    <w:rsid w:val="005673FD"/>
    <w:rsid w:val="00572885"/>
    <w:rsid w:val="00574D76"/>
    <w:rsid w:val="00584CEF"/>
    <w:rsid w:val="00585C2B"/>
    <w:rsid w:val="005922AE"/>
    <w:rsid w:val="00592606"/>
    <w:rsid w:val="005967D8"/>
    <w:rsid w:val="005968FD"/>
    <w:rsid w:val="005978F9"/>
    <w:rsid w:val="005A0DF5"/>
    <w:rsid w:val="005A2783"/>
    <w:rsid w:val="005A36B4"/>
    <w:rsid w:val="005A74D8"/>
    <w:rsid w:val="005A76E5"/>
    <w:rsid w:val="005A7FA1"/>
    <w:rsid w:val="005B0F97"/>
    <w:rsid w:val="005B3E45"/>
    <w:rsid w:val="005B54C0"/>
    <w:rsid w:val="005B68E3"/>
    <w:rsid w:val="005C077C"/>
    <w:rsid w:val="005C1CA9"/>
    <w:rsid w:val="005C480A"/>
    <w:rsid w:val="005C4F72"/>
    <w:rsid w:val="005C52F0"/>
    <w:rsid w:val="005D07D2"/>
    <w:rsid w:val="005D54B0"/>
    <w:rsid w:val="005D573F"/>
    <w:rsid w:val="005D70C3"/>
    <w:rsid w:val="005D7CD4"/>
    <w:rsid w:val="005E127B"/>
    <w:rsid w:val="005E141D"/>
    <w:rsid w:val="005E551A"/>
    <w:rsid w:val="005E5DF7"/>
    <w:rsid w:val="005E79C0"/>
    <w:rsid w:val="005E7A3E"/>
    <w:rsid w:val="005F1307"/>
    <w:rsid w:val="005F145A"/>
    <w:rsid w:val="005F4B7F"/>
    <w:rsid w:val="005F513B"/>
    <w:rsid w:val="005F6CE0"/>
    <w:rsid w:val="005F6EB0"/>
    <w:rsid w:val="006010A6"/>
    <w:rsid w:val="0060523D"/>
    <w:rsid w:val="0060623F"/>
    <w:rsid w:val="0060733A"/>
    <w:rsid w:val="006127B2"/>
    <w:rsid w:val="00620B80"/>
    <w:rsid w:val="006221C0"/>
    <w:rsid w:val="00624DFB"/>
    <w:rsid w:val="006251EB"/>
    <w:rsid w:val="00625E5A"/>
    <w:rsid w:val="00627E15"/>
    <w:rsid w:val="006365AA"/>
    <w:rsid w:val="00636A58"/>
    <w:rsid w:val="00637970"/>
    <w:rsid w:val="00640A6D"/>
    <w:rsid w:val="00653595"/>
    <w:rsid w:val="00654F04"/>
    <w:rsid w:val="00655C54"/>
    <w:rsid w:val="00663218"/>
    <w:rsid w:val="00663D05"/>
    <w:rsid w:val="00665A4B"/>
    <w:rsid w:val="006660BD"/>
    <w:rsid w:val="00673709"/>
    <w:rsid w:val="0067443C"/>
    <w:rsid w:val="00676EDD"/>
    <w:rsid w:val="00680620"/>
    <w:rsid w:val="006824FE"/>
    <w:rsid w:val="00682654"/>
    <w:rsid w:val="00687789"/>
    <w:rsid w:val="0069515F"/>
    <w:rsid w:val="006967AA"/>
    <w:rsid w:val="006A1ACB"/>
    <w:rsid w:val="006A6345"/>
    <w:rsid w:val="006B0FF4"/>
    <w:rsid w:val="006B37B0"/>
    <w:rsid w:val="006B48F8"/>
    <w:rsid w:val="006B7857"/>
    <w:rsid w:val="006C15AA"/>
    <w:rsid w:val="006C1EB0"/>
    <w:rsid w:val="006C77BD"/>
    <w:rsid w:val="006D051D"/>
    <w:rsid w:val="006D0839"/>
    <w:rsid w:val="006D1975"/>
    <w:rsid w:val="006D4C63"/>
    <w:rsid w:val="006D7747"/>
    <w:rsid w:val="006E111B"/>
    <w:rsid w:val="006E1ABF"/>
    <w:rsid w:val="006E2B6C"/>
    <w:rsid w:val="006E4483"/>
    <w:rsid w:val="006E4B96"/>
    <w:rsid w:val="006E6C4E"/>
    <w:rsid w:val="006F26FB"/>
    <w:rsid w:val="006F5D78"/>
    <w:rsid w:val="006F6D12"/>
    <w:rsid w:val="00700418"/>
    <w:rsid w:val="00701026"/>
    <w:rsid w:val="0070104C"/>
    <w:rsid w:val="00702FE2"/>
    <w:rsid w:val="007054CE"/>
    <w:rsid w:val="00710444"/>
    <w:rsid w:val="00710813"/>
    <w:rsid w:val="007118F1"/>
    <w:rsid w:val="00714C0D"/>
    <w:rsid w:val="00715534"/>
    <w:rsid w:val="007165CE"/>
    <w:rsid w:val="007169D9"/>
    <w:rsid w:val="00721C34"/>
    <w:rsid w:val="00725060"/>
    <w:rsid w:val="00730295"/>
    <w:rsid w:val="00732C1B"/>
    <w:rsid w:val="00732C7C"/>
    <w:rsid w:val="0073306F"/>
    <w:rsid w:val="00733993"/>
    <w:rsid w:val="00733F94"/>
    <w:rsid w:val="00734482"/>
    <w:rsid w:val="00736F94"/>
    <w:rsid w:val="00742C0B"/>
    <w:rsid w:val="00742C0C"/>
    <w:rsid w:val="00747593"/>
    <w:rsid w:val="00754ED6"/>
    <w:rsid w:val="007555AF"/>
    <w:rsid w:val="0075729C"/>
    <w:rsid w:val="00761DCA"/>
    <w:rsid w:val="00764262"/>
    <w:rsid w:val="00765084"/>
    <w:rsid w:val="007653F8"/>
    <w:rsid w:val="00766423"/>
    <w:rsid w:val="00771485"/>
    <w:rsid w:val="0077166B"/>
    <w:rsid w:val="007772D2"/>
    <w:rsid w:val="007802B1"/>
    <w:rsid w:val="007831FB"/>
    <w:rsid w:val="007853E7"/>
    <w:rsid w:val="00790097"/>
    <w:rsid w:val="00790B5D"/>
    <w:rsid w:val="00791C95"/>
    <w:rsid w:val="00792CB4"/>
    <w:rsid w:val="00794E8E"/>
    <w:rsid w:val="0079742A"/>
    <w:rsid w:val="007A4503"/>
    <w:rsid w:val="007B11B0"/>
    <w:rsid w:val="007B24E8"/>
    <w:rsid w:val="007B751E"/>
    <w:rsid w:val="007C0EB1"/>
    <w:rsid w:val="007C1C8D"/>
    <w:rsid w:val="007C3218"/>
    <w:rsid w:val="007D5435"/>
    <w:rsid w:val="007D6170"/>
    <w:rsid w:val="007E0ACC"/>
    <w:rsid w:val="007E667B"/>
    <w:rsid w:val="007F1520"/>
    <w:rsid w:val="008004C0"/>
    <w:rsid w:val="008012C2"/>
    <w:rsid w:val="00802389"/>
    <w:rsid w:val="008057B6"/>
    <w:rsid w:val="0080625A"/>
    <w:rsid w:val="0080642C"/>
    <w:rsid w:val="008071E9"/>
    <w:rsid w:val="00807243"/>
    <w:rsid w:val="0081188A"/>
    <w:rsid w:val="00811F63"/>
    <w:rsid w:val="00812951"/>
    <w:rsid w:val="00813427"/>
    <w:rsid w:val="0081402F"/>
    <w:rsid w:val="00814291"/>
    <w:rsid w:val="00814435"/>
    <w:rsid w:val="00822367"/>
    <w:rsid w:val="00824B22"/>
    <w:rsid w:val="00825117"/>
    <w:rsid w:val="008253DA"/>
    <w:rsid w:val="0082722D"/>
    <w:rsid w:val="00830961"/>
    <w:rsid w:val="00834E82"/>
    <w:rsid w:val="00834F94"/>
    <w:rsid w:val="00840131"/>
    <w:rsid w:val="008407B1"/>
    <w:rsid w:val="0084158C"/>
    <w:rsid w:val="0084433A"/>
    <w:rsid w:val="0084551B"/>
    <w:rsid w:val="00845A38"/>
    <w:rsid w:val="00845E8A"/>
    <w:rsid w:val="008477E8"/>
    <w:rsid w:val="00855443"/>
    <w:rsid w:val="00857BBB"/>
    <w:rsid w:val="00862396"/>
    <w:rsid w:val="00863AC5"/>
    <w:rsid w:val="00863BEB"/>
    <w:rsid w:val="00863F76"/>
    <w:rsid w:val="00864524"/>
    <w:rsid w:val="0086544A"/>
    <w:rsid w:val="00867110"/>
    <w:rsid w:val="00870AF5"/>
    <w:rsid w:val="00871EA2"/>
    <w:rsid w:val="00874DBF"/>
    <w:rsid w:val="0088008A"/>
    <w:rsid w:val="0088097F"/>
    <w:rsid w:val="008833D1"/>
    <w:rsid w:val="0088622E"/>
    <w:rsid w:val="00886CD2"/>
    <w:rsid w:val="00887EE1"/>
    <w:rsid w:val="00887EE9"/>
    <w:rsid w:val="00891682"/>
    <w:rsid w:val="00892324"/>
    <w:rsid w:val="00895734"/>
    <w:rsid w:val="00896643"/>
    <w:rsid w:val="0089778C"/>
    <w:rsid w:val="008A299D"/>
    <w:rsid w:val="008A35E3"/>
    <w:rsid w:val="008A5050"/>
    <w:rsid w:val="008A64E7"/>
    <w:rsid w:val="008B2323"/>
    <w:rsid w:val="008B2D1E"/>
    <w:rsid w:val="008B53FF"/>
    <w:rsid w:val="008B70E0"/>
    <w:rsid w:val="008C5311"/>
    <w:rsid w:val="008C6E1D"/>
    <w:rsid w:val="008D17E4"/>
    <w:rsid w:val="008D2829"/>
    <w:rsid w:val="008D2C26"/>
    <w:rsid w:val="008D3511"/>
    <w:rsid w:val="008D613C"/>
    <w:rsid w:val="008E7345"/>
    <w:rsid w:val="008F10A1"/>
    <w:rsid w:val="008F45BD"/>
    <w:rsid w:val="008F674B"/>
    <w:rsid w:val="009004C3"/>
    <w:rsid w:val="00902508"/>
    <w:rsid w:val="00902A28"/>
    <w:rsid w:val="00902E7E"/>
    <w:rsid w:val="00906C2E"/>
    <w:rsid w:val="00910C97"/>
    <w:rsid w:val="0091183F"/>
    <w:rsid w:val="00912A83"/>
    <w:rsid w:val="00913524"/>
    <w:rsid w:val="00914FD1"/>
    <w:rsid w:val="009169DF"/>
    <w:rsid w:val="0091757E"/>
    <w:rsid w:val="00921622"/>
    <w:rsid w:val="00923561"/>
    <w:rsid w:val="00926F6B"/>
    <w:rsid w:val="00927C19"/>
    <w:rsid w:val="00930181"/>
    <w:rsid w:val="00931911"/>
    <w:rsid w:val="00932952"/>
    <w:rsid w:val="00933D4C"/>
    <w:rsid w:val="00935ACF"/>
    <w:rsid w:val="00941943"/>
    <w:rsid w:val="00945412"/>
    <w:rsid w:val="00953676"/>
    <w:rsid w:val="009635E3"/>
    <w:rsid w:val="00964D50"/>
    <w:rsid w:val="00970460"/>
    <w:rsid w:val="009726D6"/>
    <w:rsid w:val="00973683"/>
    <w:rsid w:val="009736D3"/>
    <w:rsid w:val="0097417D"/>
    <w:rsid w:val="00974EEB"/>
    <w:rsid w:val="00980AB6"/>
    <w:rsid w:val="0098390A"/>
    <w:rsid w:val="009902EF"/>
    <w:rsid w:val="00990E0A"/>
    <w:rsid w:val="00991D93"/>
    <w:rsid w:val="00991E3C"/>
    <w:rsid w:val="009B051C"/>
    <w:rsid w:val="009B11E4"/>
    <w:rsid w:val="009B177F"/>
    <w:rsid w:val="009B1D4D"/>
    <w:rsid w:val="009B2B2D"/>
    <w:rsid w:val="009B3715"/>
    <w:rsid w:val="009B5D74"/>
    <w:rsid w:val="009B615B"/>
    <w:rsid w:val="009C05D4"/>
    <w:rsid w:val="009C0969"/>
    <w:rsid w:val="009C0D08"/>
    <w:rsid w:val="009C0F7E"/>
    <w:rsid w:val="009C1A28"/>
    <w:rsid w:val="009C226F"/>
    <w:rsid w:val="009C23D3"/>
    <w:rsid w:val="009C2984"/>
    <w:rsid w:val="009C3A13"/>
    <w:rsid w:val="009C4CB0"/>
    <w:rsid w:val="009C558D"/>
    <w:rsid w:val="009C672C"/>
    <w:rsid w:val="009D0357"/>
    <w:rsid w:val="009D29A1"/>
    <w:rsid w:val="009D2F1D"/>
    <w:rsid w:val="009D5D82"/>
    <w:rsid w:val="009E6C5C"/>
    <w:rsid w:val="009F0FDE"/>
    <w:rsid w:val="009F3EA3"/>
    <w:rsid w:val="009F57A7"/>
    <w:rsid w:val="009F5A2F"/>
    <w:rsid w:val="009F6066"/>
    <w:rsid w:val="009F667A"/>
    <w:rsid w:val="009F7995"/>
    <w:rsid w:val="00A015FF"/>
    <w:rsid w:val="00A02AB3"/>
    <w:rsid w:val="00A062E1"/>
    <w:rsid w:val="00A165A0"/>
    <w:rsid w:val="00A1764A"/>
    <w:rsid w:val="00A22BDD"/>
    <w:rsid w:val="00A23C19"/>
    <w:rsid w:val="00A24181"/>
    <w:rsid w:val="00A24DF5"/>
    <w:rsid w:val="00A3209C"/>
    <w:rsid w:val="00A3434F"/>
    <w:rsid w:val="00A413F5"/>
    <w:rsid w:val="00A4247F"/>
    <w:rsid w:val="00A43B18"/>
    <w:rsid w:val="00A44C1A"/>
    <w:rsid w:val="00A45C52"/>
    <w:rsid w:val="00A502CB"/>
    <w:rsid w:val="00A50DBC"/>
    <w:rsid w:val="00A5223B"/>
    <w:rsid w:val="00A52A2D"/>
    <w:rsid w:val="00A52DDB"/>
    <w:rsid w:val="00A53DC5"/>
    <w:rsid w:val="00A55809"/>
    <w:rsid w:val="00A57BC3"/>
    <w:rsid w:val="00A601CC"/>
    <w:rsid w:val="00A60613"/>
    <w:rsid w:val="00A60E39"/>
    <w:rsid w:val="00A61047"/>
    <w:rsid w:val="00A6191E"/>
    <w:rsid w:val="00A644C7"/>
    <w:rsid w:val="00A64E89"/>
    <w:rsid w:val="00A65A22"/>
    <w:rsid w:val="00A66DD6"/>
    <w:rsid w:val="00A678A9"/>
    <w:rsid w:val="00A723A2"/>
    <w:rsid w:val="00A72AB0"/>
    <w:rsid w:val="00A73083"/>
    <w:rsid w:val="00A73949"/>
    <w:rsid w:val="00A74241"/>
    <w:rsid w:val="00A77B20"/>
    <w:rsid w:val="00A80616"/>
    <w:rsid w:val="00A834F9"/>
    <w:rsid w:val="00A84663"/>
    <w:rsid w:val="00A87427"/>
    <w:rsid w:val="00A91F0E"/>
    <w:rsid w:val="00A92D60"/>
    <w:rsid w:val="00A94CE2"/>
    <w:rsid w:val="00A9509E"/>
    <w:rsid w:val="00A958AA"/>
    <w:rsid w:val="00A95E2C"/>
    <w:rsid w:val="00A97E41"/>
    <w:rsid w:val="00AA10A8"/>
    <w:rsid w:val="00AA34C4"/>
    <w:rsid w:val="00AA3FC1"/>
    <w:rsid w:val="00AA5ADE"/>
    <w:rsid w:val="00AA7E5B"/>
    <w:rsid w:val="00AB298A"/>
    <w:rsid w:val="00AB2BC6"/>
    <w:rsid w:val="00AB6240"/>
    <w:rsid w:val="00AB7A47"/>
    <w:rsid w:val="00AC145D"/>
    <w:rsid w:val="00AC1E79"/>
    <w:rsid w:val="00AC3A04"/>
    <w:rsid w:val="00AC3DB1"/>
    <w:rsid w:val="00AC7EC0"/>
    <w:rsid w:val="00AD21E1"/>
    <w:rsid w:val="00AD2DC7"/>
    <w:rsid w:val="00AD497C"/>
    <w:rsid w:val="00AD77E5"/>
    <w:rsid w:val="00AE1389"/>
    <w:rsid w:val="00AE23B4"/>
    <w:rsid w:val="00AE57E9"/>
    <w:rsid w:val="00AE6E74"/>
    <w:rsid w:val="00AF0693"/>
    <w:rsid w:val="00AF3E82"/>
    <w:rsid w:val="00AF5225"/>
    <w:rsid w:val="00B00B1C"/>
    <w:rsid w:val="00B0230A"/>
    <w:rsid w:val="00B04359"/>
    <w:rsid w:val="00B0480F"/>
    <w:rsid w:val="00B04EF0"/>
    <w:rsid w:val="00B149F3"/>
    <w:rsid w:val="00B15B99"/>
    <w:rsid w:val="00B15D92"/>
    <w:rsid w:val="00B16660"/>
    <w:rsid w:val="00B202DB"/>
    <w:rsid w:val="00B23821"/>
    <w:rsid w:val="00B24E8D"/>
    <w:rsid w:val="00B25A27"/>
    <w:rsid w:val="00B26C38"/>
    <w:rsid w:val="00B26D7D"/>
    <w:rsid w:val="00B26E3F"/>
    <w:rsid w:val="00B27BBE"/>
    <w:rsid w:val="00B33F07"/>
    <w:rsid w:val="00B3577F"/>
    <w:rsid w:val="00B36ECA"/>
    <w:rsid w:val="00B407DF"/>
    <w:rsid w:val="00B42AB7"/>
    <w:rsid w:val="00B442B4"/>
    <w:rsid w:val="00B4641F"/>
    <w:rsid w:val="00B50057"/>
    <w:rsid w:val="00B50A85"/>
    <w:rsid w:val="00B55E62"/>
    <w:rsid w:val="00B65A36"/>
    <w:rsid w:val="00B8014A"/>
    <w:rsid w:val="00B80FD0"/>
    <w:rsid w:val="00B81704"/>
    <w:rsid w:val="00B83D6A"/>
    <w:rsid w:val="00B85F6F"/>
    <w:rsid w:val="00B870EA"/>
    <w:rsid w:val="00B949F1"/>
    <w:rsid w:val="00B97392"/>
    <w:rsid w:val="00BA17F9"/>
    <w:rsid w:val="00BB0F15"/>
    <w:rsid w:val="00BB2099"/>
    <w:rsid w:val="00BB37A7"/>
    <w:rsid w:val="00BB6222"/>
    <w:rsid w:val="00BB7142"/>
    <w:rsid w:val="00BB71AF"/>
    <w:rsid w:val="00BC4C10"/>
    <w:rsid w:val="00BD32BF"/>
    <w:rsid w:val="00BD5695"/>
    <w:rsid w:val="00BE09D5"/>
    <w:rsid w:val="00BE49F1"/>
    <w:rsid w:val="00BE4BE1"/>
    <w:rsid w:val="00BE5979"/>
    <w:rsid w:val="00BF17E7"/>
    <w:rsid w:val="00C041A1"/>
    <w:rsid w:val="00C075C1"/>
    <w:rsid w:val="00C1082E"/>
    <w:rsid w:val="00C12A47"/>
    <w:rsid w:val="00C14320"/>
    <w:rsid w:val="00C16C18"/>
    <w:rsid w:val="00C17110"/>
    <w:rsid w:val="00C23FE8"/>
    <w:rsid w:val="00C25A26"/>
    <w:rsid w:val="00C27606"/>
    <w:rsid w:val="00C30701"/>
    <w:rsid w:val="00C34860"/>
    <w:rsid w:val="00C348AB"/>
    <w:rsid w:val="00C3522B"/>
    <w:rsid w:val="00C353C4"/>
    <w:rsid w:val="00C40720"/>
    <w:rsid w:val="00C42092"/>
    <w:rsid w:val="00C42C2F"/>
    <w:rsid w:val="00C440BC"/>
    <w:rsid w:val="00C449DC"/>
    <w:rsid w:val="00C46BE7"/>
    <w:rsid w:val="00C50AB5"/>
    <w:rsid w:val="00C51313"/>
    <w:rsid w:val="00C55D8F"/>
    <w:rsid w:val="00C57732"/>
    <w:rsid w:val="00C60D75"/>
    <w:rsid w:val="00C6220A"/>
    <w:rsid w:val="00C64A2B"/>
    <w:rsid w:val="00C66CA6"/>
    <w:rsid w:val="00C706F6"/>
    <w:rsid w:val="00C70D91"/>
    <w:rsid w:val="00C7245D"/>
    <w:rsid w:val="00C743BC"/>
    <w:rsid w:val="00C7550B"/>
    <w:rsid w:val="00C77F17"/>
    <w:rsid w:val="00C85CB2"/>
    <w:rsid w:val="00C911E9"/>
    <w:rsid w:val="00C918DD"/>
    <w:rsid w:val="00C94C4A"/>
    <w:rsid w:val="00C97A2E"/>
    <w:rsid w:val="00CA09B4"/>
    <w:rsid w:val="00CA435C"/>
    <w:rsid w:val="00CA6305"/>
    <w:rsid w:val="00CA70E9"/>
    <w:rsid w:val="00CA7E22"/>
    <w:rsid w:val="00CB159D"/>
    <w:rsid w:val="00CB33D5"/>
    <w:rsid w:val="00CB4716"/>
    <w:rsid w:val="00CB488B"/>
    <w:rsid w:val="00CB70AD"/>
    <w:rsid w:val="00CC022F"/>
    <w:rsid w:val="00CC02B8"/>
    <w:rsid w:val="00CC085B"/>
    <w:rsid w:val="00CC0FDF"/>
    <w:rsid w:val="00CC17FC"/>
    <w:rsid w:val="00CC2405"/>
    <w:rsid w:val="00CC2E0A"/>
    <w:rsid w:val="00CC3696"/>
    <w:rsid w:val="00CC4C8D"/>
    <w:rsid w:val="00CC62E4"/>
    <w:rsid w:val="00CC6DC9"/>
    <w:rsid w:val="00CC7BA7"/>
    <w:rsid w:val="00CD0546"/>
    <w:rsid w:val="00CD205F"/>
    <w:rsid w:val="00CD35C7"/>
    <w:rsid w:val="00CD443C"/>
    <w:rsid w:val="00CE17BD"/>
    <w:rsid w:val="00CE40B5"/>
    <w:rsid w:val="00CF1505"/>
    <w:rsid w:val="00CF33AF"/>
    <w:rsid w:val="00CF7134"/>
    <w:rsid w:val="00CF79B9"/>
    <w:rsid w:val="00CF7FD7"/>
    <w:rsid w:val="00D001AA"/>
    <w:rsid w:val="00D01D2A"/>
    <w:rsid w:val="00D01DB1"/>
    <w:rsid w:val="00D02AC6"/>
    <w:rsid w:val="00D03AD3"/>
    <w:rsid w:val="00D05E55"/>
    <w:rsid w:val="00D05F31"/>
    <w:rsid w:val="00D10642"/>
    <w:rsid w:val="00D147A3"/>
    <w:rsid w:val="00D20F62"/>
    <w:rsid w:val="00D22912"/>
    <w:rsid w:val="00D22F44"/>
    <w:rsid w:val="00D26082"/>
    <w:rsid w:val="00D26DC5"/>
    <w:rsid w:val="00D3429B"/>
    <w:rsid w:val="00D37420"/>
    <w:rsid w:val="00D40069"/>
    <w:rsid w:val="00D408C3"/>
    <w:rsid w:val="00D45445"/>
    <w:rsid w:val="00D4753E"/>
    <w:rsid w:val="00D50365"/>
    <w:rsid w:val="00D50F87"/>
    <w:rsid w:val="00D53B3F"/>
    <w:rsid w:val="00D54BCC"/>
    <w:rsid w:val="00D61838"/>
    <w:rsid w:val="00D61C72"/>
    <w:rsid w:val="00D62DD7"/>
    <w:rsid w:val="00D67D1B"/>
    <w:rsid w:val="00D70445"/>
    <w:rsid w:val="00D72AD8"/>
    <w:rsid w:val="00D72B7B"/>
    <w:rsid w:val="00D745EA"/>
    <w:rsid w:val="00D757FA"/>
    <w:rsid w:val="00D75CAD"/>
    <w:rsid w:val="00D76044"/>
    <w:rsid w:val="00D76F4C"/>
    <w:rsid w:val="00D81774"/>
    <w:rsid w:val="00D8466E"/>
    <w:rsid w:val="00D84F84"/>
    <w:rsid w:val="00D86A6C"/>
    <w:rsid w:val="00D87D07"/>
    <w:rsid w:val="00D910A7"/>
    <w:rsid w:val="00D912A6"/>
    <w:rsid w:val="00D95E9B"/>
    <w:rsid w:val="00D95FEE"/>
    <w:rsid w:val="00D975E5"/>
    <w:rsid w:val="00D97BE8"/>
    <w:rsid w:val="00DA0761"/>
    <w:rsid w:val="00DA0F93"/>
    <w:rsid w:val="00DA1604"/>
    <w:rsid w:val="00DA43A9"/>
    <w:rsid w:val="00DA5BC0"/>
    <w:rsid w:val="00DA6017"/>
    <w:rsid w:val="00DA6E83"/>
    <w:rsid w:val="00DA71B5"/>
    <w:rsid w:val="00DB010A"/>
    <w:rsid w:val="00DB16C5"/>
    <w:rsid w:val="00DB4CD8"/>
    <w:rsid w:val="00DB5BDA"/>
    <w:rsid w:val="00DB5C6F"/>
    <w:rsid w:val="00DB768B"/>
    <w:rsid w:val="00DC11AC"/>
    <w:rsid w:val="00DC3471"/>
    <w:rsid w:val="00DC69B6"/>
    <w:rsid w:val="00DC7C74"/>
    <w:rsid w:val="00DD113B"/>
    <w:rsid w:val="00DD3C20"/>
    <w:rsid w:val="00DD407E"/>
    <w:rsid w:val="00DD55E1"/>
    <w:rsid w:val="00DD5C0C"/>
    <w:rsid w:val="00DD63CB"/>
    <w:rsid w:val="00DE0240"/>
    <w:rsid w:val="00DE08DA"/>
    <w:rsid w:val="00DE1FD8"/>
    <w:rsid w:val="00DE2E12"/>
    <w:rsid w:val="00DE67F3"/>
    <w:rsid w:val="00DE6A6D"/>
    <w:rsid w:val="00DF2390"/>
    <w:rsid w:val="00DF30C2"/>
    <w:rsid w:val="00DF3C20"/>
    <w:rsid w:val="00DF612D"/>
    <w:rsid w:val="00DF7301"/>
    <w:rsid w:val="00DF732D"/>
    <w:rsid w:val="00DF7494"/>
    <w:rsid w:val="00E02154"/>
    <w:rsid w:val="00E02A2B"/>
    <w:rsid w:val="00E03DB2"/>
    <w:rsid w:val="00E06BF8"/>
    <w:rsid w:val="00E07842"/>
    <w:rsid w:val="00E1053A"/>
    <w:rsid w:val="00E10BE9"/>
    <w:rsid w:val="00E169AA"/>
    <w:rsid w:val="00E2072F"/>
    <w:rsid w:val="00E27FC4"/>
    <w:rsid w:val="00E3067C"/>
    <w:rsid w:val="00E308C1"/>
    <w:rsid w:val="00E34A15"/>
    <w:rsid w:val="00E35D85"/>
    <w:rsid w:val="00E361EC"/>
    <w:rsid w:val="00E3643B"/>
    <w:rsid w:val="00E3675A"/>
    <w:rsid w:val="00E432C1"/>
    <w:rsid w:val="00E43B28"/>
    <w:rsid w:val="00E4479A"/>
    <w:rsid w:val="00E447FB"/>
    <w:rsid w:val="00E4634D"/>
    <w:rsid w:val="00E47B59"/>
    <w:rsid w:val="00E5058E"/>
    <w:rsid w:val="00E5264D"/>
    <w:rsid w:val="00E56246"/>
    <w:rsid w:val="00E56DB9"/>
    <w:rsid w:val="00E60E5F"/>
    <w:rsid w:val="00E60E6D"/>
    <w:rsid w:val="00E62709"/>
    <w:rsid w:val="00E63ED3"/>
    <w:rsid w:val="00E6617B"/>
    <w:rsid w:val="00E721D4"/>
    <w:rsid w:val="00E831B2"/>
    <w:rsid w:val="00E94B89"/>
    <w:rsid w:val="00E94FF8"/>
    <w:rsid w:val="00EA15C5"/>
    <w:rsid w:val="00EA62F3"/>
    <w:rsid w:val="00EB27A0"/>
    <w:rsid w:val="00EB6058"/>
    <w:rsid w:val="00EC04F2"/>
    <w:rsid w:val="00EC0717"/>
    <w:rsid w:val="00EC3B29"/>
    <w:rsid w:val="00EC6814"/>
    <w:rsid w:val="00EC685F"/>
    <w:rsid w:val="00ED5DA1"/>
    <w:rsid w:val="00ED7973"/>
    <w:rsid w:val="00EE52F4"/>
    <w:rsid w:val="00EE5D0F"/>
    <w:rsid w:val="00EE6154"/>
    <w:rsid w:val="00EE7052"/>
    <w:rsid w:val="00EF16E0"/>
    <w:rsid w:val="00EF3643"/>
    <w:rsid w:val="00EF41E7"/>
    <w:rsid w:val="00EF7DEA"/>
    <w:rsid w:val="00F03BF0"/>
    <w:rsid w:val="00F04A5C"/>
    <w:rsid w:val="00F04B16"/>
    <w:rsid w:val="00F0668A"/>
    <w:rsid w:val="00F10F0B"/>
    <w:rsid w:val="00F11166"/>
    <w:rsid w:val="00F11918"/>
    <w:rsid w:val="00F1284C"/>
    <w:rsid w:val="00F15476"/>
    <w:rsid w:val="00F22F8D"/>
    <w:rsid w:val="00F237C4"/>
    <w:rsid w:val="00F24ADC"/>
    <w:rsid w:val="00F24C77"/>
    <w:rsid w:val="00F30A19"/>
    <w:rsid w:val="00F31BDD"/>
    <w:rsid w:val="00F3270E"/>
    <w:rsid w:val="00F36085"/>
    <w:rsid w:val="00F3626F"/>
    <w:rsid w:val="00F36A1C"/>
    <w:rsid w:val="00F42329"/>
    <w:rsid w:val="00F42408"/>
    <w:rsid w:val="00F4292F"/>
    <w:rsid w:val="00F42DB0"/>
    <w:rsid w:val="00F449A1"/>
    <w:rsid w:val="00F47976"/>
    <w:rsid w:val="00F508CF"/>
    <w:rsid w:val="00F51CED"/>
    <w:rsid w:val="00F5296E"/>
    <w:rsid w:val="00F557C1"/>
    <w:rsid w:val="00F5632D"/>
    <w:rsid w:val="00F62C36"/>
    <w:rsid w:val="00F63637"/>
    <w:rsid w:val="00F656BB"/>
    <w:rsid w:val="00F70A7A"/>
    <w:rsid w:val="00F7213D"/>
    <w:rsid w:val="00F74FD4"/>
    <w:rsid w:val="00F80955"/>
    <w:rsid w:val="00F81350"/>
    <w:rsid w:val="00F8350A"/>
    <w:rsid w:val="00F85CD8"/>
    <w:rsid w:val="00F90072"/>
    <w:rsid w:val="00F901EC"/>
    <w:rsid w:val="00F904A0"/>
    <w:rsid w:val="00F9481D"/>
    <w:rsid w:val="00F94C67"/>
    <w:rsid w:val="00F94D16"/>
    <w:rsid w:val="00F95980"/>
    <w:rsid w:val="00F95C97"/>
    <w:rsid w:val="00FA1136"/>
    <w:rsid w:val="00FA1748"/>
    <w:rsid w:val="00FA34CD"/>
    <w:rsid w:val="00FA4D01"/>
    <w:rsid w:val="00FB1695"/>
    <w:rsid w:val="00FB46D3"/>
    <w:rsid w:val="00FB5872"/>
    <w:rsid w:val="00FB6A19"/>
    <w:rsid w:val="00FC4D4E"/>
    <w:rsid w:val="00FC7768"/>
    <w:rsid w:val="00FD1604"/>
    <w:rsid w:val="00FD1CB9"/>
    <w:rsid w:val="00FD2DDF"/>
    <w:rsid w:val="00FD4309"/>
    <w:rsid w:val="00FD671B"/>
    <w:rsid w:val="00FD7DEA"/>
    <w:rsid w:val="00FE0AB1"/>
    <w:rsid w:val="00FE0ABC"/>
    <w:rsid w:val="00FE2C9C"/>
    <w:rsid w:val="00FE30B9"/>
    <w:rsid w:val="00FE338F"/>
    <w:rsid w:val="00FE6EC1"/>
    <w:rsid w:val="00FF1643"/>
    <w:rsid w:val="00FF19F0"/>
    <w:rsid w:val="00FF5DB1"/>
    <w:rsid w:val="00FF66D5"/>
  </w:rsids>
  <m:mathPr>
    <m:mathFont m:val="Cambria Math"/>
    <m:brkBin m:val="before"/>
    <m:brkBinSub m:val="--"/>
    <m:smallFrac m:val="0"/>
    <m:dispDef/>
    <m:lMargin m:val="0"/>
    <m:rMargin m:val="0"/>
    <m:defJc m:val="centerGroup"/>
    <m:wrapIndent m:val="1440"/>
    <m:intLim m:val="subSup"/>
    <m:naryLim m:val="undOvr"/>
  </m:mathPr>
  <w:themeFontLang w:val="en-GB"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6EF9E5"/>
  <w15:chartTrackingRefBased/>
  <w15:docId w15:val="{BD8B8084-8CBF-483A-BE1F-E87BD19DA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C5C"/>
    <w:pPr>
      <w:spacing w:line="260" w:lineRule="atLeast"/>
      <w:jc w:val="both"/>
    </w:pPr>
    <w:rPr>
      <w:rFonts w:ascii="Palatino Linotype" w:eastAsiaTheme="minorEastAsia" w:hAnsi="Palatino Linotype" w:cs="Times New Roman"/>
      <w:noProof/>
      <w:color w:val="000000"/>
      <w:sz w:val="20"/>
      <w:szCs w:val="20"/>
      <w:lang w:val="en-US" w:eastAsia="zh-CN"/>
    </w:rPr>
  </w:style>
  <w:style w:type="paragraph" w:styleId="Heading1">
    <w:name w:val="heading 1"/>
    <w:aliases w:val="x"/>
    <w:basedOn w:val="Normal"/>
    <w:next w:val="Normal"/>
    <w:link w:val="Heading1Char"/>
    <w:qFormat/>
    <w:rsid w:val="009E6C5C"/>
    <w:pPr>
      <w:spacing w:before="240"/>
      <w:outlineLvl w:val="0"/>
    </w:pPr>
    <w:rPr>
      <w:rFonts w:ascii="Arial" w:hAnsi="Arial"/>
      <w:b/>
      <w:u w:val="single"/>
    </w:rPr>
  </w:style>
  <w:style w:type="paragraph" w:styleId="Heading2">
    <w:name w:val="heading 2"/>
    <w:basedOn w:val="Normal"/>
    <w:next w:val="Normal"/>
    <w:link w:val="Heading2Char"/>
    <w:qFormat/>
    <w:rsid w:val="009E6C5C"/>
    <w:pPr>
      <w:spacing w:before="120"/>
      <w:outlineLvl w:val="1"/>
    </w:pPr>
    <w:rPr>
      <w:rFonts w:ascii="Arial" w:hAnsi="Arial" w:cstheme="majorBidi"/>
      <w:b/>
    </w:rPr>
  </w:style>
  <w:style w:type="paragraph" w:styleId="Heading3">
    <w:name w:val="heading 3"/>
    <w:basedOn w:val="Normal"/>
    <w:next w:val="Normal"/>
    <w:link w:val="Heading3Char"/>
    <w:qFormat/>
    <w:rsid w:val="009E6C5C"/>
    <w:pPr>
      <w:ind w:left="360"/>
      <w:outlineLvl w:val="2"/>
    </w:pPr>
    <w:rPr>
      <w:b/>
    </w:rPr>
  </w:style>
  <w:style w:type="paragraph" w:styleId="Heading4">
    <w:name w:val="heading 4"/>
    <w:basedOn w:val="Normal"/>
    <w:next w:val="Normal"/>
    <w:link w:val="Heading4Char"/>
    <w:qFormat/>
    <w:rsid w:val="009E6C5C"/>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9E6C5C"/>
    <w:pPr>
      <w:ind w:left="706"/>
      <w:outlineLvl w:val="4"/>
    </w:pPr>
    <w:rPr>
      <w:b/>
    </w:rPr>
  </w:style>
  <w:style w:type="paragraph" w:styleId="Heading6">
    <w:name w:val="heading 6"/>
    <w:basedOn w:val="Normal"/>
    <w:next w:val="Normal"/>
    <w:link w:val="Heading6Char"/>
    <w:qFormat/>
    <w:rsid w:val="009E6C5C"/>
    <w:pPr>
      <w:ind w:left="706"/>
      <w:outlineLvl w:val="5"/>
    </w:pPr>
    <w:rPr>
      <w:rFonts w:cstheme="majorBidi"/>
      <w:u w:val="single"/>
    </w:rPr>
  </w:style>
  <w:style w:type="paragraph" w:styleId="Heading7">
    <w:name w:val="heading 7"/>
    <w:basedOn w:val="Normal"/>
    <w:next w:val="Normal"/>
    <w:link w:val="Heading7Char"/>
    <w:qFormat/>
    <w:rsid w:val="009E6C5C"/>
    <w:pPr>
      <w:ind w:left="706"/>
      <w:outlineLvl w:val="6"/>
    </w:pPr>
    <w:rPr>
      <w:i/>
    </w:rPr>
  </w:style>
  <w:style w:type="paragraph" w:styleId="Heading8">
    <w:name w:val="heading 8"/>
    <w:basedOn w:val="Normal"/>
    <w:next w:val="Normal"/>
    <w:link w:val="Heading8Char"/>
    <w:qFormat/>
    <w:rsid w:val="009E6C5C"/>
    <w:pPr>
      <w:ind w:left="706"/>
      <w:outlineLvl w:val="7"/>
    </w:pPr>
    <w:rPr>
      <w:rFonts w:cstheme="majorBidi"/>
      <w:i/>
    </w:rPr>
  </w:style>
  <w:style w:type="paragraph" w:styleId="Heading9">
    <w:name w:val="heading 9"/>
    <w:basedOn w:val="Normal"/>
    <w:next w:val="Normal"/>
    <w:link w:val="Heading9Char"/>
    <w:qFormat/>
    <w:rsid w:val="009E6C5C"/>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E6C5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basedOn w:val="DefaultParagraphFont"/>
    <w:link w:val="Header"/>
    <w:uiPriority w:val="99"/>
    <w:rsid w:val="009E6C5C"/>
    <w:rPr>
      <w:rFonts w:ascii="Palatino Linotype" w:eastAsiaTheme="minorEastAsia" w:hAnsi="Palatino Linotype" w:cs="Times New Roman"/>
      <w:noProof/>
      <w:color w:val="000000"/>
      <w:sz w:val="20"/>
      <w:szCs w:val="18"/>
      <w:lang w:val="en-US" w:eastAsia="zh-CN"/>
    </w:rPr>
  </w:style>
  <w:style w:type="paragraph" w:styleId="Footer">
    <w:name w:val="footer"/>
    <w:basedOn w:val="Normal"/>
    <w:link w:val="FooterChar"/>
    <w:uiPriority w:val="99"/>
    <w:rsid w:val="009E6C5C"/>
    <w:pPr>
      <w:tabs>
        <w:tab w:val="center" w:pos="4153"/>
        <w:tab w:val="right" w:pos="8306"/>
      </w:tabs>
      <w:snapToGrid w:val="0"/>
      <w:spacing w:line="240" w:lineRule="atLeast"/>
    </w:pPr>
    <w:rPr>
      <w:szCs w:val="18"/>
    </w:rPr>
  </w:style>
  <w:style w:type="character" w:customStyle="1" w:styleId="FooterChar">
    <w:name w:val="Footer Char"/>
    <w:basedOn w:val="DefaultParagraphFont"/>
    <w:link w:val="Footer"/>
    <w:uiPriority w:val="99"/>
    <w:rsid w:val="009E6C5C"/>
    <w:rPr>
      <w:rFonts w:ascii="Palatino Linotype" w:eastAsiaTheme="minorEastAsia" w:hAnsi="Palatino Linotype" w:cs="Times New Roman"/>
      <w:noProof/>
      <w:color w:val="000000"/>
      <w:sz w:val="20"/>
      <w:szCs w:val="18"/>
      <w:lang w:val="en-US" w:eastAsia="zh-CN"/>
    </w:rPr>
  </w:style>
  <w:style w:type="paragraph" w:styleId="ListParagraph">
    <w:name w:val="List Paragraph"/>
    <w:basedOn w:val="Normal"/>
    <w:uiPriority w:val="34"/>
    <w:qFormat/>
    <w:rsid w:val="009E6C5C"/>
    <w:pPr>
      <w:ind w:firstLineChars="200" w:firstLine="420"/>
    </w:pPr>
  </w:style>
  <w:style w:type="paragraph" w:styleId="BalloonText">
    <w:name w:val="Balloon Text"/>
    <w:basedOn w:val="Normal"/>
    <w:link w:val="BalloonTextChar"/>
    <w:uiPriority w:val="99"/>
    <w:rsid w:val="009E6C5C"/>
    <w:rPr>
      <w:rFonts w:cs="Tahoma"/>
      <w:szCs w:val="18"/>
    </w:rPr>
  </w:style>
  <w:style w:type="character" w:customStyle="1" w:styleId="BalloonTextChar">
    <w:name w:val="Balloon Text Char"/>
    <w:basedOn w:val="DefaultParagraphFont"/>
    <w:link w:val="BalloonText"/>
    <w:uiPriority w:val="99"/>
    <w:rsid w:val="009E6C5C"/>
    <w:rPr>
      <w:rFonts w:ascii="Palatino Linotype" w:eastAsiaTheme="minorEastAsia" w:hAnsi="Palatino Linotype" w:cs="Tahoma"/>
      <w:noProof/>
      <w:color w:val="000000"/>
      <w:sz w:val="20"/>
      <w:szCs w:val="18"/>
      <w:lang w:val="en-US" w:eastAsia="zh-CN"/>
    </w:rPr>
  </w:style>
  <w:style w:type="character" w:styleId="Hyperlink">
    <w:name w:val="Hyperlink"/>
    <w:uiPriority w:val="99"/>
    <w:rsid w:val="009E6C5C"/>
    <w:rPr>
      <w:color w:val="0000FF"/>
      <w:u w:val="single"/>
    </w:rPr>
  </w:style>
  <w:style w:type="character" w:customStyle="1" w:styleId="UnresolvedMention1">
    <w:name w:val="Unresolved Mention1"/>
    <w:basedOn w:val="DefaultParagraphFont"/>
    <w:uiPriority w:val="99"/>
    <w:semiHidden/>
    <w:unhideWhenUsed/>
    <w:rsid w:val="00B36ECA"/>
    <w:rPr>
      <w:color w:val="605E5C"/>
      <w:shd w:val="clear" w:color="auto" w:fill="E1DFDD"/>
    </w:rPr>
  </w:style>
  <w:style w:type="character" w:styleId="FollowedHyperlink">
    <w:name w:val="FollowedHyperlink"/>
    <w:basedOn w:val="DefaultParagraphFont"/>
    <w:rsid w:val="009E6C5C"/>
    <w:rPr>
      <w:color w:val="954F72" w:themeColor="followedHyperlink"/>
      <w:u w:val="single"/>
    </w:rPr>
  </w:style>
  <w:style w:type="table" w:styleId="TableGrid">
    <w:name w:val="Table Grid"/>
    <w:basedOn w:val="TableNormal"/>
    <w:uiPriority w:val="59"/>
    <w:rsid w:val="009E6C5C"/>
    <w:pPr>
      <w:spacing w:line="260" w:lineRule="atLeast"/>
      <w:jc w:val="both"/>
    </w:pPr>
    <w:rPr>
      <w:rFonts w:ascii="Palatino Linotype" w:eastAsiaTheme="minorEastAsia" w:hAnsi="Palatino Linotype" w:cs="Times New Roman"/>
      <w:color w:val="000000"/>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9E6C5C"/>
    <w:rPr>
      <w:sz w:val="21"/>
      <w:szCs w:val="21"/>
    </w:rPr>
  </w:style>
  <w:style w:type="paragraph" w:styleId="CommentText">
    <w:name w:val="annotation text"/>
    <w:basedOn w:val="Normal"/>
    <w:link w:val="CommentTextChar"/>
    <w:rsid w:val="009E6C5C"/>
  </w:style>
  <w:style w:type="character" w:customStyle="1" w:styleId="CommentTextChar">
    <w:name w:val="Comment Text Char"/>
    <w:basedOn w:val="DefaultParagraphFont"/>
    <w:link w:val="CommentText"/>
    <w:rsid w:val="009E6C5C"/>
    <w:rPr>
      <w:rFonts w:ascii="Palatino Linotype" w:eastAsiaTheme="minorEastAsia" w:hAnsi="Palatino Linotype" w:cs="Times New Roman"/>
      <w:noProof/>
      <w:color w:val="000000"/>
      <w:sz w:val="20"/>
      <w:szCs w:val="20"/>
      <w:lang w:val="en-US" w:eastAsia="zh-CN"/>
    </w:rPr>
  </w:style>
  <w:style w:type="paragraph" w:styleId="CommentSubject">
    <w:name w:val="annotation subject"/>
    <w:basedOn w:val="CommentText"/>
    <w:next w:val="CommentText"/>
    <w:link w:val="CommentSubjectChar"/>
    <w:rsid w:val="009E6C5C"/>
    <w:rPr>
      <w:b/>
      <w:bCs/>
    </w:rPr>
  </w:style>
  <w:style w:type="character" w:customStyle="1" w:styleId="CommentSubjectChar">
    <w:name w:val="Comment Subject Char"/>
    <w:basedOn w:val="CommentTextChar"/>
    <w:link w:val="CommentSubject"/>
    <w:rsid w:val="009E6C5C"/>
    <w:rPr>
      <w:rFonts w:ascii="Palatino Linotype" w:eastAsiaTheme="minorEastAsia" w:hAnsi="Palatino Linotype" w:cs="Times New Roman"/>
      <w:b/>
      <w:bCs/>
      <w:noProof/>
      <w:color w:val="000000"/>
      <w:sz w:val="20"/>
      <w:szCs w:val="20"/>
      <w:lang w:val="en-US" w:eastAsia="zh-CN"/>
    </w:rPr>
  </w:style>
  <w:style w:type="character" w:customStyle="1" w:styleId="Heading1Char">
    <w:name w:val="Heading 1 Char"/>
    <w:aliases w:val="x Char"/>
    <w:basedOn w:val="DefaultParagraphFont"/>
    <w:link w:val="Heading1"/>
    <w:rsid w:val="009E6C5C"/>
    <w:rPr>
      <w:rFonts w:ascii="Arial" w:eastAsiaTheme="minorEastAsia" w:hAnsi="Arial" w:cs="Times New Roman"/>
      <w:b/>
      <w:noProof/>
      <w:color w:val="000000"/>
      <w:sz w:val="20"/>
      <w:szCs w:val="20"/>
      <w:u w:val="single"/>
      <w:lang w:val="en-US" w:eastAsia="zh-CN"/>
    </w:rPr>
  </w:style>
  <w:style w:type="paragraph" w:customStyle="1" w:styleId="Title1">
    <w:name w:val="Title1"/>
    <w:basedOn w:val="Normal"/>
    <w:rsid w:val="00316635"/>
    <w:pPr>
      <w:spacing w:before="100" w:beforeAutospacing="1" w:after="100" w:afterAutospacing="1"/>
    </w:pPr>
  </w:style>
  <w:style w:type="paragraph" w:customStyle="1" w:styleId="desc">
    <w:name w:val="desc"/>
    <w:basedOn w:val="Normal"/>
    <w:rsid w:val="00316635"/>
    <w:pPr>
      <w:spacing w:before="100" w:beforeAutospacing="1" w:after="100" w:afterAutospacing="1"/>
    </w:pPr>
  </w:style>
  <w:style w:type="paragraph" w:customStyle="1" w:styleId="details">
    <w:name w:val="details"/>
    <w:basedOn w:val="Normal"/>
    <w:rsid w:val="00316635"/>
    <w:pPr>
      <w:spacing w:before="100" w:beforeAutospacing="1" w:after="100" w:afterAutospacing="1"/>
    </w:pPr>
  </w:style>
  <w:style w:type="character" w:customStyle="1" w:styleId="jrnl">
    <w:name w:val="jrnl"/>
    <w:basedOn w:val="DefaultParagraphFont"/>
    <w:rsid w:val="00316635"/>
  </w:style>
  <w:style w:type="paragraph" w:customStyle="1" w:styleId="links">
    <w:name w:val="links"/>
    <w:basedOn w:val="Normal"/>
    <w:rsid w:val="00316635"/>
    <w:pPr>
      <w:spacing w:before="100" w:beforeAutospacing="1" w:after="100" w:afterAutospacing="1"/>
    </w:pPr>
  </w:style>
  <w:style w:type="paragraph" w:styleId="Bibliography">
    <w:name w:val="Bibliography"/>
    <w:basedOn w:val="Normal"/>
    <w:next w:val="Normal"/>
    <w:uiPriority w:val="37"/>
    <w:unhideWhenUsed/>
    <w:rsid w:val="009E6C5C"/>
  </w:style>
  <w:style w:type="paragraph" w:styleId="Revision">
    <w:name w:val="Revision"/>
    <w:hidden/>
    <w:uiPriority w:val="99"/>
    <w:semiHidden/>
    <w:rsid w:val="004326AD"/>
  </w:style>
  <w:style w:type="character" w:customStyle="1" w:styleId="id-label">
    <w:name w:val="id-label"/>
    <w:basedOn w:val="DefaultParagraphFont"/>
    <w:rsid w:val="00385535"/>
  </w:style>
  <w:style w:type="character" w:styleId="Strong">
    <w:name w:val="Strong"/>
    <w:basedOn w:val="DefaultParagraphFont"/>
    <w:uiPriority w:val="22"/>
    <w:qFormat/>
    <w:rsid w:val="00385535"/>
    <w:rPr>
      <w:b/>
      <w:bCs/>
    </w:rPr>
  </w:style>
  <w:style w:type="character" w:styleId="Emphasis">
    <w:name w:val="Emphasis"/>
    <w:basedOn w:val="DefaultParagraphFont"/>
    <w:uiPriority w:val="20"/>
    <w:qFormat/>
    <w:rsid w:val="005A7FA1"/>
    <w:rPr>
      <w:i/>
      <w:iCs/>
    </w:rPr>
  </w:style>
  <w:style w:type="paragraph" w:customStyle="1" w:styleId="MDPI13authornames">
    <w:name w:val="MDPI_1.3_authornames"/>
    <w:next w:val="MDPI14history"/>
    <w:qFormat/>
    <w:rsid w:val="009E6C5C"/>
    <w:pPr>
      <w:adjustRightInd w:val="0"/>
      <w:snapToGrid w:val="0"/>
      <w:spacing w:after="120" w:line="260" w:lineRule="atLeast"/>
    </w:pPr>
    <w:rPr>
      <w:rFonts w:ascii="Palatino Linotype" w:eastAsia="Times New Roman" w:hAnsi="Palatino Linotype" w:cs="Times New Roman"/>
      <w:b/>
      <w:color w:val="000000"/>
      <w:sz w:val="20"/>
      <w:szCs w:val="22"/>
      <w:lang w:val="en-US" w:eastAsia="de-DE" w:bidi="en-US"/>
    </w:rPr>
  </w:style>
  <w:style w:type="paragraph" w:customStyle="1" w:styleId="MDPI12title">
    <w:name w:val="MDPI_1.2_title"/>
    <w:next w:val="MDPI13authornames"/>
    <w:qFormat/>
    <w:rsid w:val="009E6C5C"/>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62Acknowledgments">
    <w:name w:val="MDPI_6.2_Acknowledgments"/>
    <w:qFormat/>
    <w:rsid w:val="009E6C5C"/>
    <w:pPr>
      <w:adjustRightInd w:val="0"/>
      <w:snapToGrid w:val="0"/>
      <w:spacing w:before="12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51figurecaption">
    <w:name w:val="MDPI_5.1_figure_caption"/>
    <w:qFormat/>
    <w:rsid w:val="009E6C5C"/>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customStyle="1" w:styleId="MDPI61Supplementary">
    <w:name w:val="MDPI_6.1_Supplementary"/>
    <w:qFormat/>
    <w:rsid w:val="009E6C5C"/>
    <w:pPr>
      <w:spacing w:before="240" w:line="260" w:lineRule="atLeast"/>
      <w:jc w:val="both"/>
    </w:pPr>
    <w:rPr>
      <w:rFonts w:ascii="Palatino Linotype" w:eastAsia="Times New Roman" w:hAnsi="Palatino Linotype" w:cs="Times New Roman"/>
      <w:snapToGrid w:val="0"/>
      <w:color w:val="000000"/>
      <w:sz w:val="18"/>
      <w:szCs w:val="20"/>
      <w:lang w:val="en-US" w:bidi="en-US"/>
    </w:rPr>
  </w:style>
  <w:style w:type="paragraph" w:customStyle="1" w:styleId="MDPI64CoI">
    <w:name w:val="MDPI_6.4_CoI"/>
    <w:qFormat/>
    <w:rsid w:val="009E6C5C"/>
    <w:pPr>
      <w:adjustRightInd w:val="0"/>
      <w:snapToGrid w:val="0"/>
      <w:spacing w:before="120" w:after="120" w:line="26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31text">
    <w:name w:val="MDPI_3.1_text"/>
    <w:qFormat/>
    <w:rsid w:val="009E6C5C"/>
    <w:pPr>
      <w:adjustRightInd w:val="0"/>
      <w:snapToGrid w:val="0"/>
      <w:spacing w:line="260" w:lineRule="atLeast"/>
      <w:ind w:firstLine="425"/>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21heading1">
    <w:name w:val="MDPI_2.1_heading1"/>
    <w:qFormat/>
    <w:rsid w:val="009E6C5C"/>
    <w:pPr>
      <w:adjustRightInd w:val="0"/>
      <w:snapToGrid w:val="0"/>
      <w:spacing w:before="240" w:after="120" w:line="260" w:lineRule="atLeast"/>
      <w:jc w:val="both"/>
      <w:outlineLvl w:val="0"/>
    </w:pPr>
    <w:rPr>
      <w:rFonts w:ascii="Palatino Linotype" w:eastAsia="Times New Roman" w:hAnsi="Palatino Linotype" w:cs="Times New Roman"/>
      <w:b/>
      <w:snapToGrid w:val="0"/>
      <w:color w:val="000000"/>
      <w:sz w:val="20"/>
      <w:szCs w:val="22"/>
      <w:lang w:val="en-US" w:eastAsia="de-DE" w:bidi="en-US"/>
    </w:rPr>
  </w:style>
  <w:style w:type="paragraph" w:customStyle="1" w:styleId="MDPI33textspaceafter">
    <w:name w:val="MDPI_3.3_text_space_after"/>
    <w:qFormat/>
    <w:rsid w:val="009E6C5C"/>
    <w:pPr>
      <w:spacing w:after="240" w:line="260" w:lineRule="atLeast"/>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19line">
    <w:name w:val="MDPI_1.9_line"/>
    <w:qFormat/>
    <w:rsid w:val="009E6C5C"/>
    <w:pPr>
      <w:pBdr>
        <w:bottom w:val="single" w:sz="6" w:space="1" w:color="auto"/>
      </w:pBdr>
      <w:spacing w:line="260" w:lineRule="atLeast"/>
      <w:jc w:val="both"/>
    </w:pPr>
    <w:rPr>
      <w:rFonts w:ascii="Palatino Linotype" w:eastAsia="Times New Roman" w:hAnsi="Palatino Linotype"/>
      <w:color w:val="000000"/>
      <w:sz w:val="20"/>
      <w:lang w:val="en-US" w:eastAsia="de-DE" w:bidi="en-US"/>
    </w:rPr>
  </w:style>
  <w:style w:type="paragraph" w:customStyle="1" w:styleId="MDPI18keywords">
    <w:name w:val="MDPI_1.8_keywords"/>
    <w:next w:val="Normal"/>
    <w:qFormat/>
    <w:rsid w:val="009E6C5C"/>
    <w:pPr>
      <w:adjustRightInd w:val="0"/>
      <w:snapToGrid w:val="0"/>
      <w:spacing w:before="240" w:line="260" w:lineRule="atLeast"/>
      <w:ind w:left="113"/>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17abstract">
    <w:name w:val="MDPI_1.7_abstract"/>
    <w:next w:val="Normal"/>
    <w:qFormat/>
    <w:rsid w:val="009E6C5C"/>
    <w:pPr>
      <w:adjustRightInd w:val="0"/>
      <w:snapToGrid w:val="0"/>
      <w:spacing w:before="240" w:line="260" w:lineRule="atLeast"/>
      <w:ind w:left="113"/>
      <w:jc w:val="both"/>
    </w:pPr>
    <w:rPr>
      <w:rFonts w:ascii="Palatino Linotype" w:eastAsia="Times New Roman" w:hAnsi="Palatino Linotype" w:cs="Times New Roman"/>
      <w:color w:val="000000"/>
      <w:sz w:val="20"/>
      <w:szCs w:val="22"/>
      <w:lang w:val="en-US" w:eastAsia="de-DE" w:bidi="en-US"/>
    </w:rPr>
  </w:style>
  <w:style w:type="paragraph" w:customStyle="1" w:styleId="MDPI11articletype">
    <w:name w:val="MDPI_1.1_article_type"/>
    <w:next w:val="MDPI12title"/>
    <w:qFormat/>
    <w:rsid w:val="009E6C5C"/>
    <w:pPr>
      <w:adjustRightInd w:val="0"/>
      <w:snapToGrid w:val="0"/>
      <w:spacing w:before="240"/>
    </w:pPr>
    <w:rPr>
      <w:rFonts w:ascii="Palatino Linotype" w:eastAsia="Times New Roman" w:hAnsi="Palatino Linotype" w:cs="Times New Roman"/>
      <w:i/>
      <w:snapToGrid w:val="0"/>
      <w:color w:val="000000"/>
      <w:sz w:val="20"/>
      <w:szCs w:val="22"/>
      <w:lang w:val="en-US" w:eastAsia="de-DE" w:bidi="en-US"/>
    </w:rPr>
  </w:style>
  <w:style w:type="paragraph" w:customStyle="1" w:styleId="MDPI14history">
    <w:name w:val="MDPI_1.4_history"/>
    <w:basedOn w:val="MDPI62Acknowledgments"/>
    <w:next w:val="Normal"/>
    <w:qFormat/>
    <w:rsid w:val="009E6C5C"/>
    <w:pPr>
      <w:ind w:left="113"/>
      <w:jc w:val="left"/>
    </w:pPr>
    <w:rPr>
      <w:snapToGrid/>
    </w:rPr>
  </w:style>
  <w:style w:type="character" w:styleId="LineNumber">
    <w:name w:val="line number"/>
    <w:basedOn w:val="DefaultParagraphFont"/>
    <w:uiPriority w:val="99"/>
    <w:rsid w:val="009E6C5C"/>
  </w:style>
  <w:style w:type="paragraph" w:customStyle="1" w:styleId="MDPIheaderjournallogo">
    <w:name w:val="MDPI_header_journal_logo"/>
    <w:qFormat/>
    <w:rsid w:val="009E6C5C"/>
    <w:pPr>
      <w:adjustRightInd w:val="0"/>
      <w:snapToGrid w:val="0"/>
      <w:spacing w:line="260" w:lineRule="atLeast"/>
      <w:jc w:val="both"/>
    </w:pPr>
    <w:rPr>
      <w:rFonts w:ascii="Palatino Linotype" w:eastAsia="Times New Roman" w:hAnsi="Palatino Linotype" w:cs="Times New Roman"/>
      <w:i/>
      <w:color w:val="000000"/>
      <w:szCs w:val="22"/>
      <w:lang w:val="en-US" w:eastAsia="de-CH"/>
    </w:rPr>
  </w:style>
  <w:style w:type="paragraph" w:styleId="NormalWeb">
    <w:name w:val="Normal (Web)"/>
    <w:basedOn w:val="Normal"/>
    <w:uiPriority w:val="99"/>
    <w:rsid w:val="009E6C5C"/>
    <w:rPr>
      <w:szCs w:val="24"/>
    </w:rPr>
  </w:style>
  <w:style w:type="table" w:customStyle="1" w:styleId="TableGrid1">
    <w:name w:val="Table Grid1"/>
    <w:basedOn w:val="TableNormal"/>
    <w:next w:val="TableGrid"/>
    <w:uiPriority w:val="39"/>
    <w:rsid w:val="001C647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title">
    <w:name w:val="ref-title"/>
    <w:basedOn w:val="DefaultParagraphFont"/>
    <w:rsid w:val="00330D6B"/>
  </w:style>
  <w:style w:type="character" w:customStyle="1" w:styleId="ref-journal">
    <w:name w:val="ref-journal"/>
    <w:basedOn w:val="DefaultParagraphFont"/>
    <w:rsid w:val="00330D6B"/>
  </w:style>
  <w:style w:type="character" w:customStyle="1" w:styleId="ref-vol">
    <w:name w:val="ref-vol"/>
    <w:basedOn w:val="DefaultParagraphFont"/>
    <w:rsid w:val="00330D6B"/>
  </w:style>
  <w:style w:type="character" w:customStyle="1" w:styleId="highwire-citation-authors">
    <w:name w:val="highwire-citation-authors"/>
    <w:basedOn w:val="DefaultParagraphFont"/>
    <w:rsid w:val="00477ECA"/>
  </w:style>
  <w:style w:type="character" w:customStyle="1" w:styleId="highwire-citation-author">
    <w:name w:val="highwire-citation-author"/>
    <w:basedOn w:val="DefaultParagraphFont"/>
    <w:rsid w:val="00477ECA"/>
  </w:style>
  <w:style w:type="character" w:customStyle="1" w:styleId="nlm-given-names">
    <w:name w:val="nlm-given-names"/>
    <w:basedOn w:val="DefaultParagraphFont"/>
    <w:rsid w:val="00477ECA"/>
  </w:style>
  <w:style w:type="character" w:customStyle="1" w:styleId="nlm-surname">
    <w:name w:val="nlm-surname"/>
    <w:basedOn w:val="DefaultParagraphFont"/>
    <w:rsid w:val="00477ECA"/>
  </w:style>
  <w:style w:type="character" w:customStyle="1" w:styleId="highwire-cite-metadata-journal">
    <w:name w:val="highwire-cite-metadata-journal"/>
    <w:basedOn w:val="DefaultParagraphFont"/>
    <w:rsid w:val="00477ECA"/>
  </w:style>
  <w:style w:type="character" w:customStyle="1" w:styleId="highwire-cite-metadata-pages">
    <w:name w:val="highwire-cite-metadata-pages"/>
    <w:basedOn w:val="DefaultParagraphFont"/>
    <w:rsid w:val="00477ECA"/>
  </w:style>
  <w:style w:type="character" w:customStyle="1" w:styleId="highwire-cite-metadata-doi">
    <w:name w:val="highwire-cite-metadata-doi"/>
    <w:basedOn w:val="DefaultParagraphFont"/>
    <w:rsid w:val="00477ECA"/>
  </w:style>
  <w:style w:type="character" w:customStyle="1" w:styleId="doilabel">
    <w:name w:val="doi_label"/>
    <w:basedOn w:val="DefaultParagraphFont"/>
    <w:rsid w:val="00477ECA"/>
  </w:style>
  <w:style w:type="character" w:customStyle="1" w:styleId="label">
    <w:name w:val="label"/>
    <w:basedOn w:val="DefaultParagraphFont"/>
    <w:rsid w:val="00477ECA"/>
  </w:style>
  <w:style w:type="character" w:customStyle="1" w:styleId="selectable">
    <w:name w:val="selectable"/>
    <w:basedOn w:val="DefaultParagraphFont"/>
    <w:rsid w:val="00C42C2F"/>
  </w:style>
  <w:style w:type="character" w:customStyle="1" w:styleId="apple-converted-space">
    <w:name w:val="apple-converted-space"/>
    <w:basedOn w:val="DefaultParagraphFont"/>
    <w:rsid w:val="009E6C5C"/>
  </w:style>
  <w:style w:type="paragraph" w:customStyle="1" w:styleId="asdsad">
    <w:name w:val="asdsad"/>
    <w:qFormat/>
    <w:rsid w:val="009E6C5C"/>
    <w:pPr>
      <w:adjustRightInd w:val="0"/>
      <w:snapToGrid w:val="0"/>
    </w:pPr>
    <w:rPr>
      <w:rFonts w:ascii="Palatino Linotype" w:eastAsia="Times New Roman" w:hAnsi="Palatino Linotype"/>
      <w:snapToGrid w:val="0"/>
      <w:color w:val="000000"/>
      <w:sz w:val="20"/>
      <w:szCs w:val="20"/>
      <w:lang w:val="en-US" w:eastAsia="de-DE" w:bidi="en-US"/>
    </w:rPr>
  </w:style>
  <w:style w:type="paragraph" w:styleId="BodyText">
    <w:name w:val="Body Text"/>
    <w:link w:val="BodyTextChar"/>
    <w:rsid w:val="009E6C5C"/>
    <w:pPr>
      <w:spacing w:after="120" w:line="340" w:lineRule="atLeast"/>
      <w:jc w:val="both"/>
    </w:pPr>
    <w:rPr>
      <w:rFonts w:ascii="Palatino Linotype" w:eastAsiaTheme="minorEastAsia" w:hAnsi="Palatino Linotype" w:cs="Times New Roman"/>
      <w:color w:val="000000"/>
      <w:szCs w:val="20"/>
      <w:lang w:val="en-US" w:eastAsia="de-DE"/>
    </w:rPr>
  </w:style>
  <w:style w:type="character" w:customStyle="1" w:styleId="BodyTextChar">
    <w:name w:val="Body Text Char"/>
    <w:basedOn w:val="DefaultParagraphFont"/>
    <w:link w:val="BodyText"/>
    <w:rsid w:val="009E6C5C"/>
    <w:rPr>
      <w:rFonts w:ascii="Palatino Linotype" w:eastAsiaTheme="minorEastAsia" w:hAnsi="Palatino Linotype" w:cs="Times New Roman"/>
      <w:color w:val="000000"/>
      <w:szCs w:val="20"/>
      <w:lang w:val="en-US" w:eastAsia="de-DE"/>
    </w:rPr>
  </w:style>
  <w:style w:type="paragraph" w:styleId="Caption">
    <w:name w:val="caption"/>
    <w:basedOn w:val="Normal"/>
    <w:next w:val="Normal"/>
    <w:qFormat/>
    <w:rsid w:val="009E6C5C"/>
    <w:pPr>
      <w:ind w:left="850" w:hanging="850"/>
      <w:jc w:val="center"/>
    </w:pPr>
    <w:rPr>
      <w:b/>
      <w:bCs/>
      <w:szCs w:val="24"/>
      <w:lang w:eastAsia="en-US"/>
    </w:rPr>
  </w:style>
  <w:style w:type="character" w:styleId="EndnoteReference">
    <w:name w:val="endnote reference"/>
    <w:basedOn w:val="DefaultParagraphFont"/>
    <w:rsid w:val="009E6C5C"/>
    <w:rPr>
      <w:vertAlign w:val="superscript"/>
    </w:rPr>
  </w:style>
  <w:style w:type="paragraph" w:styleId="EndnoteText">
    <w:name w:val="endnote text"/>
    <w:basedOn w:val="Normal"/>
    <w:link w:val="EndnoteTextChar"/>
    <w:semiHidden/>
    <w:unhideWhenUsed/>
    <w:rsid w:val="009E6C5C"/>
    <w:pPr>
      <w:spacing w:line="240" w:lineRule="auto"/>
    </w:pPr>
  </w:style>
  <w:style w:type="character" w:customStyle="1" w:styleId="EndnoteTextChar">
    <w:name w:val="Endnote Text Char"/>
    <w:basedOn w:val="DefaultParagraphFont"/>
    <w:link w:val="EndnoteText"/>
    <w:semiHidden/>
    <w:rsid w:val="009E6C5C"/>
    <w:rPr>
      <w:rFonts w:ascii="Palatino Linotype" w:eastAsiaTheme="minorEastAsia" w:hAnsi="Palatino Linotype" w:cs="Times New Roman"/>
      <w:noProof/>
      <w:color w:val="000000"/>
      <w:sz w:val="20"/>
      <w:szCs w:val="20"/>
      <w:lang w:val="en-US" w:eastAsia="zh-CN"/>
    </w:rPr>
  </w:style>
  <w:style w:type="paragraph" w:styleId="FootnoteText">
    <w:name w:val="footnote text"/>
    <w:basedOn w:val="Normal"/>
    <w:link w:val="FootnoteTextChar"/>
    <w:semiHidden/>
    <w:unhideWhenUsed/>
    <w:rsid w:val="009E6C5C"/>
    <w:pPr>
      <w:spacing w:line="240" w:lineRule="auto"/>
    </w:pPr>
  </w:style>
  <w:style w:type="character" w:customStyle="1" w:styleId="FootnoteTextChar">
    <w:name w:val="Footnote Text Char"/>
    <w:basedOn w:val="DefaultParagraphFont"/>
    <w:link w:val="FootnoteText"/>
    <w:semiHidden/>
    <w:rsid w:val="009E6C5C"/>
    <w:rPr>
      <w:rFonts w:ascii="Palatino Linotype" w:eastAsiaTheme="minorEastAsia" w:hAnsi="Palatino Linotype" w:cs="Times New Roman"/>
      <w:noProof/>
      <w:color w:val="000000"/>
      <w:sz w:val="20"/>
      <w:szCs w:val="20"/>
      <w:lang w:val="en-US" w:eastAsia="zh-CN"/>
    </w:rPr>
  </w:style>
  <w:style w:type="character" w:customStyle="1" w:styleId="Heading2Char">
    <w:name w:val="Heading 2 Char"/>
    <w:basedOn w:val="DefaultParagraphFont"/>
    <w:link w:val="Heading2"/>
    <w:rsid w:val="009E6C5C"/>
    <w:rPr>
      <w:rFonts w:ascii="Arial" w:eastAsiaTheme="minorEastAsia" w:hAnsi="Arial" w:cstheme="majorBidi"/>
      <w:b/>
      <w:noProof/>
      <w:color w:val="000000"/>
      <w:sz w:val="20"/>
      <w:szCs w:val="20"/>
      <w:lang w:val="en-US" w:eastAsia="zh-CN"/>
    </w:rPr>
  </w:style>
  <w:style w:type="character" w:customStyle="1" w:styleId="Heading3Char">
    <w:name w:val="Heading 3 Char"/>
    <w:basedOn w:val="DefaultParagraphFont"/>
    <w:link w:val="Heading3"/>
    <w:rsid w:val="009E6C5C"/>
    <w:rPr>
      <w:rFonts w:ascii="Palatino Linotype" w:eastAsiaTheme="minorEastAsia" w:hAnsi="Palatino Linotype" w:cs="Times New Roman"/>
      <w:b/>
      <w:noProof/>
      <w:color w:val="000000"/>
      <w:sz w:val="20"/>
      <w:szCs w:val="20"/>
      <w:lang w:val="en-US" w:eastAsia="zh-CN"/>
    </w:rPr>
  </w:style>
  <w:style w:type="character" w:customStyle="1" w:styleId="Heading4Char">
    <w:name w:val="Heading 4 Char"/>
    <w:basedOn w:val="DefaultParagraphFont"/>
    <w:link w:val="Heading4"/>
    <w:rsid w:val="009E6C5C"/>
    <w:rPr>
      <w:rFonts w:ascii="Arial" w:eastAsiaTheme="minorEastAsia" w:hAnsi="Arial" w:cstheme="majorBidi"/>
      <w:b/>
      <w:noProof/>
      <w:color w:val="000000"/>
      <w:sz w:val="20"/>
      <w:szCs w:val="20"/>
      <w:lang w:val="en-US" w:eastAsia="zh-CN"/>
    </w:rPr>
  </w:style>
  <w:style w:type="character" w:customStyle="1" w:styleId="Heading5Char">
    <w:name w:val="Heading 5 Char"/>
    <w:basedOn w:val="DefaultParagraphFont"/>
    <w:link w:val="Heading5"/>
    <w:rsid w:val="009E6C5C"/>
    <w:rPr>
      <w:rFonts w:ascii="Palatino Linotype" w:eastAsiaTheme="minorEastAsia" w:hAnsi="Palatino Linotype" w:cs="Times New Roman"/>
      <w:b/>
      <w:noProof/>
      <w:color w:val="000000"/>
      <w:sz w:val="20"/>
      <w:szCs w:val="20"/>
      <w:lang w:val="en-US" w:eastAsia="zh-CN"/>
    </w:rPr>
  </w:style>
  <w:style w:type="character" w:customStyle="1" w:styleId="Heading6Char">
    <w:name w:val="Heading 6 Char"/>
    <w:basedOn w:val="DefaultParagraphFont"/>
    <w:link w:val="Heading6"/>
    <w:rsid w:val="009E6C5C"/>
    <w:rPr>
      <w:rFonts w:ascii="Palatino Linotype" w:eastAsiaTheme="minorEastAsia" w:hAnsi="Palatino Linotype" w:cstheme="majorBidi"/>
      <w:noProof/>
      <w:color w:val="000000"/>
      <w:sz w:val="20"/>
      <w:szCs w:val="20"/>
      <w:u w:val="single"/>
      <w:lang w:val="en-US" w:eastAsia="zh-CN"/>
    </w:rPr>
  </w:style>
  <w:style w:type="character" w:customStyle="1" w:styleId="Heading7Char">
    <w:name w:val="Heading 7 Char"/>
    <w:basedOn w:val="DefaultParagraphFont"/>
    <w:link w:val="Heading7"/>
    <w:rsid w:val="009E6C5C"/>
    <w:rPr>
      <w:rFonts w:ascii="Palatino Linotype" w:eastAsiaTheme="minorEastAsia" w:hAnsi="Palatino Linotype" w:cs="Times New Roman"/>
      <w:i/>
      <w:noProof/>
      <w:color w:val="000000"/>
      <w:sz w:val="20"/>
      <w:szCs w:val="20"/>
      <w:lang w:val="en-US" w:eastAsia="zh-CN"/>
    </w:rPr>
  </w:style>
  <w:style w:type="character" w:customStyle="1" w:styleId="Heading8Char">
    <w:name w:val="Heading 8 Char"/>
    <w:basedOn w:val="DefaultParagraphFont"/>
    <w:link w:val="Heading8"/>
    <w:rsid w:val="009E6C5C"/>
    <w:rPr>
      <w:rFonts w:ascii="Palatino Linotype" w:eastAsiaTheme="minorEastAsia" w:hAnsi="Palatino Linotype" w:cstheme="majorBidi"/>
      <w:i/>
      <w:noProof/>
      <w:color w:val="000000"/>
      <w:sz w:val="20"/>
      <w:szCs w:val="20"/>
      <w:lang w:val="en-US" w:eastAsia="zh-CN"/>
    </w:rPr>
  </w:style>
  <w:style w:type="character" w:customStyle="1" w:styleId="Heading9Char">
    <w:name w:val="Heading 9 Char"/>
    <w:basedOn w:val="DefaultParagraphFont"/>
    <w:link w:val="Heading9"/>
    <w:rsid w:val="009E6C5C"/>
    <w:rPr>
      <w:rFonts w:ascii="Palatino Linotype" w:eastAsiaTheme="minorEastAsia" w:hAnsi="Palatino Linotype" w:cstheme="majorBidi"/>
      <w:i/>
      <w:noProof/>
      <w:color w:val="000000"/>
      <w:sz w:val="20"/>
      <w:szCs w:val="20"/>
      <w:lang w:val="en-US" w:eastAsia="zh-CN"/>
    </w:rPr>
  </w:style>
  <w:style w:type="paragraph" w:styleId="List">
    <w:name w:val="List"/>
    <w:basedOn w:val="Normal"/>
    <w:rsid w:val="009E6C5C"/>
    <w:pPr>
      <w:ind w:left="200" w:hangingChars="200" w:hanging="200"/>
      <w:contextualSpacing/>
    </w:pPr>
  </w:style>
  <w:style w:type="paragraph" w:styleId="ListBullet">
    <w:name w:val="List Bullet"/>
    <w:basedOn w:val="Normal"/>
    <w:rsid w:val="009E6C5C"/>
    <w:pPr>
      <w:tabs>
        <w:tab w:val="num" w:pos="360"/>
      </w:tabs>
      <w:ind w:left="200" w:hangingChars="200" w:hanging="200"/>
      <w:contextualSpacing/>
    </w:pPr>
  </w:style>
  <w:style w:type="paragraph" w:customStyle="1" w:styleId="M1stheader">
    <w:name w:val="M_1stheader"/>
    <w:basedOn w:val="Normal"/>
    <w:rsid w:val="009E6C5C"/>
    <w:pPr>
      <w:tabs>
        <w:tab w:val="center" w:pos="4320"/>
        <w:tab w:val="right" w:pos="8640"/>
      </w:tabs>
      <w:ind w:right="360"/>
      <w:outlineLvl w:val="0"/>
    </w:pPr>
    <w:rPr>
      <w:i/>
    </w:rPr>
  </w:style>
  <w:style w:type="paragraph" w:customStyle="1" w:styleId="Mdeck4text">
    <w:name w:val="M_deck_4_text"/>
    <w:qFormat/>
    <w:rsid w:val="009E6C5C"/>
    <w:pPr>
      <w:kinsoku w:val="0"/>
      <w:overflowPunct w:val="0"/>
      <w:autoSpaceDE w:val="0"/>
      <w:autoSpaceDN w:val="0"/>
      <w:adjustRightInd w:val="0"/>
      <w:snapToGrid w:val="0"/>
      <w:spacing w:line="320" w:lineRule="atLeast"/>
      <w:ind w:firstLine="425"/>
      <w:jc w:val="both"/>
    </w:pPr>
    <w:rPr>
      <w:rFonts w:ascii="Minion Pro" w:eastAsia="Times New Roman" w:hAnsi="Minion Pro" w:cs="Times New Roman"/>
      <w:snapToGrid w:val="0"/>
      <w:color w:val="000000"/>
      <w:szCs w:val="20"/>
      <w:lang w:val="en-US" w:eastAsia="de-DE" w:bidi="en-US"/>
    </w:rPr>
  </w:style>
  <w:style w:type="paragraph" w:customStyle="1" w:styleId="Mabstract">
    <w:name w:val="M_abstract"/>
    <w:basedOn w:val="Mdeck4text"/>
    <w:next w:val="Normal"/>
    <w:rsid w:val="009E6C5C"/>
    <w:pPr>
      <w:spacing w:before="240"/>
      <w:ind w:left="113" w:right="505" w:firstLine="0"/>
    </w:pPr>
  </w:style>
  <w:style w:type="paragraph" w:customStyle="1" w:styleId="MAcknow">
    <w:name w:val="M_Acknow"/>
    <w:basedOn w:val="Normal"/>
    <w:rsid w:val="009E6C5C"/>
    <w:pPr>
      <w:spacing w:before="120" w:line="240" w:lineRule="atLeast"/>
    </w:pPr>
    <w:rPr>
      <w:rFonts w:ascii="Minion Pro" w:hAnsi="Minion Pro"/>
      <w:color w:val="000000" w:themeColor="text1"/>
    </w:rPr>
  </w:style>
  <w:style w:type="paragraph" w:customStyle="1" w:styleId="MAcknowledgments">
    <w:name w:val="M_Acknowledgments"/>
    <w:qFormat/>
    <w:rsid w:val="009E6C5C"/>
    <w:pPr>
      <w:spacing w:after="120" w:line="240" w:lineRule="atLeast"/>
      <w:jc w:val="both"/>
    </w:pPr>
    <w:rPr>
      <w:rFonts w:ascii="Minion Pro" w:eastAsiaTheme="minorEastAsia" w:hAnsi="Minion Pro" w:cs="Times New Roman"/>
      <w:color w:val="000000"/>
      <w:szCs w:val="20"/>
      <w:lang w:val="de-DE" w:eastAsia="zh-CN"/>
    </w:rPr>
  </w:style>
  <w:style w:type="paragraph" w:customStyle="1" w:styleId="Maddress">
    <w:name w:val="M_address"/>
    <w:basedOn w:val="Normal"/>
    <w:rsid w:val="009E6C5C"/>
    <w:pPr>
      <w:spacing w:before="240"/>
    </w:pPr>
  </w:style>
  <w:style w:type="paragraph" w:customStyle="1" w:styleId="Mauthor">
    <w:name w:val="M_author"/>
    <w:basedOn w:val="Normal"/>
    <w:rsid w:val="009E6C5C"/>
    <w:pPr>
      <w:spacing w:before="240" w:after="240" w:line="340" w:lineRule="exact"/>
    </w:pPr>
    <w:rPr>
      <w:b/>
      <w:lang w:val="it-IT"/>
    </w:rPr>
  </w:style>
  <w:style w:type="paragraph" w:customStyle="1" w:styleId="MCaption">
    <w:name w:val="M_Caption"/>
    <w:basedOn w:val="Normal"/>
    <w:rsid w:val="009E6C5C"/>
    <w:pPr>
      <w:spacing w:before="240" w:after="240"/>
      <w:jc w:val="center"/>
    </w:pPr>
  </w:style>
  <w:style w:type="paragraph" w:customStyle="1" w:styleId="Mdeck8references">
    <w:name w:val="M_deck_8_references"/>
    <w:qFormat/>
    <w:rsid w:val="009E6C5C"/>
    <w:pPr>
      <w:numPr>
        <w:numId w:val="14"/>
      </w:numPr>
      <w:kinsoku w:val="0"/>
      <w:overflowPunct w:val="0"/>
      <w:autoSpaceDE w:val="0"/>
      <w:autoSpaceDN w:val="0"/>
      <w:adjustRightInd w:val="0"/>
      <w:snapToGrid w:val="0"/>
      <w:spacing w:line="260" w:lineRule="atLeast"/>
      <w:jc w:val="both"/>
    </w:pPr>
    <w:rPr>
      <w:rFonts w:ascii="Palatino Linotype" w:eastAsia="Times New Roman" w:hAnsi="Palatino Linotype" w:cs="Times New Roman"/>
      <w:snapToGrid w:val="0"/>
      <w:color w:val="000000"/>
      <w:szCs w:val="20"/>
      <w:lang w:val="en-US" w:eastAsia="de-DE" w:bidi="en-US"/>
    </w:rPr>
  </w:style>
  <w:style w:type="paragraph" w:customStyle="1" w:styleId="MCopyright">
    <w:name w:val="M_Copyright"/>
    <w:basedOn w:val="Mdeck8references"/>
    <w:qFormat/>
    <w:rsid w:val="009E6C5C"/>
    <w:pPr>
      <w:tabs>
        <w:tab w:val="center" w:pos="4536"/>
        <w:tab w:val="right" w:pos="9072"/>
      </w:tabs>
      <w:spacing w:before="400"/>
      <w:ind w:left="0" w:firstLine="0"/>
    </w:pPr>
  </w:style>
  <w:style w:type="paragraph" w:customStyle="1" w:styleId="Mdeck1articletitle">
    <w:name w:val="M_deck_1_article_title"/>
    <w:next w:val="Normal"/>
    <w:qFormat/>
    <w:rsid w:val="009E6C5C"/>
    <w:pPr>
      <w:kinsoku w:val="0"/>
      <w:overflowPunct w:val="0"/>
      <w:autoSpaceDE w:val="0"/>
      <w:autoSpaceDN w:val="0"/>
      <w:adjustRightInd w:val="0"/>
      <w:snapToGrid w:val="0"/>
      <w:spacing w:after="240" w:line="400" w:lineRule="exact"/>
      <w:jc w:val="both"/>
    </w:pPr>
    <w:rPr>
      <w:rFonts w:ascii="Minion Pro" w:eastAsia="Times New Roman" w:hAnsi="Minion Pro" w:cs="Times New Roman"/>
      <w:b/>
      <w:snapToGrid w:val="0"/>
      <w:color w:val="000000"/>
      <w:sz w:val="36"/>
      <w:szCs w:val="20"/>
      <w:lang w:val="en-US" w:eastAsia="de-DE" w:bidi="en-US"/>
    </w:rPr>
  </w:style>
  <w:style w:type="paragraph" w:customStyle="1" w:styleId="Mdeck1articletype">
    <w:name w:val="M_deck_1_article_type"/>
    <w:basedOn w:val="Mdeck4text"/>
    <w:next w:val="Mdeck1articletitle"/>
    <w:qFormat/>
    <w:rsid w:val="009E6C5C"/>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9E6C5C"/>
    <w:pPr>
      <w:widowControl w:val="0"/>
      <w:kinsoku w:val="0"/>
      <w:overflowPunct w:val="0"/>
      <w:autoSpaceDE w:val="0"/>
      <w:autoSpaceDN w:val="0"/>
      <w:adjustRightInd w:val="0"/>
      <w:snapToGrid w:val="0"/>
      <w:spacing w:line="340" w:lineRule="atLeast"/>
      <w:ind w:left="311" w:hanging="198"/>
      <w:jc w:val="both"/>
    </w:pPr>
    <w:rPr>
      <w:rFonts w:ascii="Palatino Linotype" w:eastAsia="Times New Roman" w:hAnsi="Palatino Linotype" w:cs="Times New Roman"/>
      <w:snapToGrid w:val="0"/>
      <w:color w:val="000000"/>
      <w:szCs w:val="20"/>
      <w:lang w:val="en-US" w:eastAsia="de-DE" w:bidi="en-US"/>
    </w:rPr>
  </w:style>
  <w:style w:type="paragraph" w:customStyle="1" w:styleId="Mdeck2authorcorrespondence">
    <w:name w:val="M_deck_2_author_correspondence"/>
    <w:qFormat/>
    <w:rsid w:val="009E6C5C"/>
    <w:pPr>
      <w:kinsoku w:val="0"/>
      <w:overflowPunct w:val="0"/>
      <w:autoSpaceDE w:val="0"/>
      <w:autoSpaceDN w:val="0"/>
      <w:adjustRightInd w:val="0"/>
      <w:snapToGrid w:val="0"/>
      <w:spacing w:line="200" w:lineRule="atLeast"/>
      <w:ind w:left="311" w:hanging="198"/>
      <w:jc w:val="both"/>
    </w:pPr>
    <w:rPr>
      <w:rFonts w:ascii="Palatino Linotype" w:eastAsia="Times New Roman" w:hAnsi="Palatino Linotype" w:cs="Times New Roman"/>
      <w:snapToGrid w:val="0"/>
      <w:color w:val="000000"/>
      <w:sz w:val="20"/>
      <w:szCs w:val="20"/>
      <w:lang w:val="en-US" w:eastAsia="de-DE" w:bidi="en-US"/>
    </w:rPr>
  </w:style>
  <w:style w:type="paragraph" w:customStyle="1" w:styleId="Mdeck2authorname">
    <w:name w:val="M_deck_2_author_name"/>
    <w:next w:val="Normal"/>
    <w:qFormat/>
    <w:rsid w:val="009E6C5C"/>
    <w:pPr>
      <w:kinsoku w:val="0"/>
      <w:overflowPunct w:val="0"/>
      <w:autoSpaceDE w:val="0"/>
      <w:autoSpaceDN w:val="0"/>
      <w:adjustRightInd w:val="0"/>
      <w:snapToGrid w:val="0"/>
      <w:spacing w:before="240" w:after="120" w:line="320" w:lineRule="atLeast"/>
      <w:jc w:val="both"/>
    </w:pPr>
    <w:rPr>
      <w:rFonts w:ascii="Palatino Linotype" w:eastAsia="Times New Roman" w:hAnsi="Palatino Linotype" w:cs="Times New Roman"/>
      <w:b/>
      <w:snapToGrid w:val="0"/>
      <w:color w:val="000000"/>
      <w:sz w:val="22"/>
      <w:szCs w:val="20"/>
      <w:lang w:val="en-US" w:eastAsia="de-DE" w:bidi="en-US"/>
    </w:rPr>
  </w:style>
  <w:style w:type="paragraph" w:customStyle="1" w:styleId="Mdeck3abstract">
    <w:name w:val="M_deck_3_abstract"/>
    <w:basedOn w:val="Mdeck4text"/>
    <w:next w:val="Normal"/>
    <w:qFormat/>
    <w:rsid w:val="009E6C5C"/>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9E6C5C"/>
    <w:pPr>
      <w:spacing w:before="240"/>
      <w:ind w:left="113" w:firstLine="0"/>
    </w:pPr>
  </w:style>
  <w:style w:type="paragraph" w:customStyle="1" w:styleId="Mdeck3publcationhistory">
    <w:name w:val="M_deck_3_publcation_history"/>
    <w:next w:val="Normal"/>
    <w:qFormat/>
    <w:rsid w:val="009E6C5C"/>
    <w:pPr>
      <w:widowControl w:val="0"/>
      <w:kinsoku w:val="0"/>
      <w:overflowPunct w:val="0"/>
      <w:autoSpaceDE w:val="0"/>
      <w:autoSpaceDN w:val="0"/>
      <w:adjustRightInd w:val="0"/>
      <w:snapToGrid w:val="0"/>
      <w:spacing w:before="240" w:line="340" w:lineRule="atLeast"/>
      <w:ind w:left="113"/>
      <w:jc w:val="both"/>
    </w:pPr>
    <w:rPr>
      <w:rFonts w:ascii="Palatino Linotype" w:eastAsia="Times New Roman" w:hAnsi="Palatino Linotype" w:cs="Times New Roman"/>
      <w:i/>
      <w:snapToGrid w:val="0"/>
      <w:color w:val="000000"/>
      <w:szCs w:val="20"/>
      <w:lang w:val="en-US" w:eastAsia="de-DE" w:bidi="en-US"/>
    </w:rPr>
  </w:style>
  <w:style w:type="paragraph" w:customStyle="1" w:styleId="MHeading3">
    <w:name w:val="M_Heading3"/>
    <w:basedOn w:val="Mdeck4text"/>
    <w:qFormat/>
    <w:rsid w:val="009E6C5C"/>
    <w:pPr>
      <w:spacing w:before="240" w:after="120"/>
    </w:pPr>
  </w:style>
  <w:style w:type="paragraph" w:customStyle="1" w:styleId="Mdeck4heading1">
    <w:name w:val="M_deck_4_heading_1"/>
    <w:basedOn w:val="MHeading3"/>
    <w:next w:val="Normal"/>
    <w:qFormat/>
    <w:rsid w:val="009E6C5C"/>
    <w:pPr>
      <w:spacing w:line="340" w:lineRule="atLeast"/>
      <w:outlineLvl w:val="0"/>
    </w:pPr>
    <w:rPr>
      <w:b/>
      <w:snapToGrid/>
    </w:rPr>
  </w:style>
  <w:style w:type="paragraph" w:customStyle="1" w:styleId="Mdeck4heading2">
    <w:name w:val="M_deck_4_heading_2"/>
    <w:basedOn w:val="MHeading3"/>
    <w:next w:val="Normal"/>
    <w:qFormat/>
    <w:rsid w:val="009E6C5C"/>
    <w:pPr>
      <w:outlineLvl w:val="1"/>
    </w:pPr>
    <w:rPr>
      <w:i/>
      <w:snapToGrid/>
    </w:rPr>
  </w:style>
  <w:style w:type="paragraph" w:customStyle="1" w:styleId="Mdeck4heading3">
    <w:name w:val="M_deck_4_heading_3"/>
    <w:basedOn w:val="Mdeck4text"/>
    <w:next w:val="Normal"/>
    <w:qFormat/>
    <w:rsid w:val="009E6C5C"/>
    <w:pPr>
      <w:spacing w:before="240" w:after="120" w:line="340" w:lineRule="atLeast"/>
      <w:ind w:firstLineChars="50" w:firstLine="50"/>
      <w:outlineLvl w:val="2"/>
    </w:pPr>
    <w:rPr>
      <w:snapToGrid/>
    </w:rPr>
  </w:style>
  <w:style w:type="paragraph" w:customStyle="1" w:styleId="Mdeck4ref-citation">
    <w:name w:val="M_deck_4_ref-citation"/>
    <w:basedOn w:val="BodyText"/>
    <w:qFormat/>
    <w:rsid w:val="009E6C5C"/>
    <w:pPr>
      <w:kinsoku w:val="0"/>
      <w:overflowPunct w:val="0"/>
      <w:autoSpaceDE w:val="0"/>
      <w:autoSpaceDN w:val="0"/>
      <w:adjustRightInd w:val="0"/>
      <w:snapToGrid w:val="0"/>
      <w:spacing w:line="320" w:lineRule="atLeast"/>
      <w:ind w:firstLine="425"/>
    </w:pPr>
    <w:rPr>
      <w:rFonts w:eastAsia="Times New Roman"/>
      <w:snapToGrid w:val="0"/>
      <w:sz w:val="20"/>
      <w:lang w:bidi="en-US"/>
    </w:rPr>
  </w:style>
  <w:style w:type="paragraph" w:customStyle="1" w:styleId="Mdeck4ref-citation-red">
    <w:name w:val="M_deck_4_ref-citation-red"/>
    <w:basedOn w:val="BodyText"/>
    <w:qFormat/>
    <w:rsid w:val="009E6C5C"/>
    <w:pPr>
      <w:kinsoku w:val="0"/>
      <w:overflowPunct w:val="0"/>
      <w:autoSpaceDE w:val="0"/>
      <w:autoSpaceDN w:val="0"/>
      <w:adjustRightInd w:val="0"/>
      <w:snapToGrid w:val="0"/>
      <w:spacing w:line="320" w:lineRule="atLeast"/>
      <w:ind w:firstLine="425"/>
    </w:pPr>
    <w:rPr>
      <w:rFonts w:eastAsia="Times New Roman"/>
      <w:snapToGrid w:val="0"/>
      <w:sz w:val="18"/>
      <w:lang w:bidi="en-US"/>
    </w:rPr>
  </w:style>
  <w:style w:type="paragraph" w:customStyle="1" w:styleId="Mdeck4text2nd">
    <w:name w:val="M_deck_4_text_2nd"/>
    <w:qFormat/>
    <w:rsid w:val="009E6C5C"/>
    <w:pPr>
      <w:adjustRightInd w:val="0"/>
      <w:snapToGrid w:val="0"/>
      <w:spacing w:line="260" w:lineRule="atLeast"/>
      <w:ind w:left="850" w:hanging="425"/>
      <w:jc w:val="both"/>
    </w:pPr>
    <w:rPr>
      <w:rFonts w:ascii="Palatino Linotype" w:eastAsia="Times New Roman" w:hAnsi="Palatino Linotype" w:cs="Times New Roman"/>
      <w:snapToGrid w:val="0"/>
      <w:color w:val="000000"/>
      <w:sz w:val="20"/>
      <w:szCs w:val="20"/>
      <w:lang w:val="en-US" w:eastAsia="de-DE" w:bidi="en-US"/>
    </w:rPr>
  </w:style>
  <w:style w:type="paragraph" w:customStyle="1" w:styleId="Mdeck4textbulletlist">
    <w:name w:val="M_deck_4_text_bullet_list"/>
    <w:basedOn w:val="Mdeck4text"/>
    <w:qFormat/>
    <w:rsid w:val="009E6C5C"/>
    <w:pPr>
      <w:numPr>
        <w:numId w:val="15"/>
      </w:numPr>
      <w:spacing w:before="120" w:after="120" w:line="340" w:lineRule="atLeast"/>
    </w:pPr>
    <w:rPr>
      <w:snapToGrid/>
    </w:rPr>
  </w:style>
  <w:style w:type="paragraph" w:customStyle="1" w:styleId="Mdeck4textfirstlinezero">
    <w:name w:val="M_deck_4_text_firstline_zero"/>
    <w:basedOn w:val="Mdeck4text"/>
    <w:next w:val="Mdeck4text"/>
    <w:qFormat/>
    <w:rsid w:val="009E6C5C"/>
    <w:pPr>
      <w:ind w:firstLine="0"/>
    </w:pPr>
    <w:rPr>
      <w:szCs w:val="24"/>
    </w:rPr>
  </w:style>
  <w:style w:type="paragraph" w:customStyle="1" w:styleId="MFigure">
    <w:name w:val="M_Figure"/>
    <w:qFormat/>
    <w:rsid w:val="009E6C5C"/>
    <w:pPr>
      <w:spacing w:line="260" w:lineRule="atLeast"/>
      <w:jc w:val="center"/>
    </w:pPr>
    <w:rPr>
      <w:rFonts w:ascii="Minion Pro" w:eastAsia="Times New Roman" w:hAnsi="Minion Pro" w:cs="Times New Roman"/>
      <w:color w:val="000000" w:themeColor="text1"/>
      <w:szCs w:val="20"/>
      <w:lang w:val="en-US" w:eastAsia="zh-CN"/>
    </w:rPr>
  </w:style>
  <w:style w:type="paragraph" w:customStyle="1" w:styleId="Mdeck4textlist">
    <w:name w:val="M_deck_4_text_list"/>
    <w:basedOn w:val="MFigure"/>
    <w:qFormat/>
    <w:rsid w:val="009E6C5C"/>
    <w:rPr>
      <w:i/>
    </w:rPr>
  </w:style>
  <w:style w:type="paragraph" w:customStyle="1" w:styleId="Mdeck4textlrindent">
    <w:name w:val="M_deck_4_text_lr_indent"/>
    <w:basedOn w:val="Mdeck4text"/>
    <w:qFormat/>
    <w:rsid w:val="009E6C5C"/>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9E6C5C"/>
    <w:pPr>
      <w:numPr>
        <w:numId w:val="16"/>
      </w:numPr>
      <w:spacing w:before="120" w:after="120" w:line="340" w:lineRule="atLeast"/>
    </w:pPr>
    <w:rPr>
      <w:snapToGrid/>
    </w:rPr>
  </w:style>
  <w:style w:type="paragraph" w:customStyle="1" w:styleId="Mdeck5tablebody">
    <w:name w:val="M_deck_5_table_body"/>
    <w:qFormat/>
    <w:rsid w:val="009E6C5C"/>
    <w:pPr>
      <w:kinsoku w:val="0"/>
      <w:overflowPunct w:val="0"/>
      <w:autoSpaceDE w:val="0"/>
      <w:autoSpaceDN w:val="0"/>
      <w:adjustRightInd w:val="0"/>
      <w:snapToGrid w:val="0"/>
      <w:spacing w:line="260" w:lineRule="atLeast"/>
      <w:jc w:val="center"/>
    </w:pPr>
    <w:rPr>
      <w:rFonts w:ascii="Minion Pro" w:eastAsia="Times New Roman" w:hAnsi="Minion Pro" w:cs="Times New Roman"/>
      <w:snapToGrid w:val="0"/>
      <w:color w:val="000000"/>
      <w:sz w:val="20"/>
      <w:szCs w:val="20"/>
      <w:lang w:val="en-US" w:eastAsia="de-DE" w:bidi="en-US"/>
    </w:rPr>
  </w:style>
  <w:style w:type="table" w:customStyle="1" w:styleId="Mdeck5tablebodythreelines">
    <w:name w:val="M_deck_5_table_body_three_lines"/>
    <w:basedOn w:val="TableNormal"/>
    <w:uiPriority w:val="99"/>
    <w:rsid w:val="009E6C5C"/>
    <w:pPr>
      <w:adjustRightInd w:val="0"/>
      <w:snapToGrid w:val="0"/>
      <w:spacing w:line="300" w:lineRule="exact"/>
      <w:jc w:val="center"/>
    </w:pPr>
    <w:rPr>
      <w:rFonts w:ascii="Palatino Linotype" w:eastAsiaTheme="minorEastAsia" w:hAnsi="Palatino Linotype" w:cs="Times New Roman"/>
      <w:color w:val="000000"/>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9E6C5C"/>
    <w:pPr>
      <w:kinsoku w:val="0"/>
      <w:overflowPunct w:val="0"/>
      <w:autoSpaceDE w:val="0"/>
      <w:autoSpaceDN w:val="0"/>
      <w:adjustRightInd w:val="0"/>
      <w:snapToGrid w:val="0"/>
      <w:spacing w:after="120" w:line="260" w:lineRule="atLeast"/>
      <w:jc w:val="both"/>
    </w:pPr>
    <w:rPr>
      <w:rFonts w:ascii="Palatino Linotype" w:eastAsia="Times New Roman" w:hAnsi="Palatino Linotype" w:cs="Times New Roman"/>
      <w:snapToGrid w:val="0"/>
      <w:color w:val="000000"/>
      <w:sz w:val="20"/>
      <w:szCs w:val="20"/>
      <w:lang w:val="en-US" w:eastAsia="de-DE" w:bidi="en-US"/>
    </w:rPr>
  </w:style>
  <w:style w:type="paragraph" w:customStyle="1" w:styleId="Mdeck5tablefooter">
    <w:name w:val="M_deck_5_table_footer"/>
    <w:basedOn w:val="Mdeck5tablecaption"/>
    <w:next w:val="Mdeck4text"/>
    <w:qFormat/>
    <w:rsid w:val="009E6C5C"/>
    <w:pPr>
      <w:spacing w:line="300" w:lineRule="exact"/>
    </w:pPr>
  </w:style>
  <w:style w:type="paragraph" w:customStyle="1" w:styleId="Mdeck5tableheader">
    <w:name w:val="M_deck_5_table_header"/>
    <w:basedOn w:val="Mdeck5tablefooter"/>
    <w:rsid w:val="009E6C5C"/>
  </w:style>
  <w:style w:type="paragraph" w:customStyle="1" w:styleId="Mdeck6figurebody">
    <w:name w:val="M_deck_6_figure_body"/>
    <w:qFormat/>
    <w:rsid w:val="009E6C5C"/>
    <w:pPr>
      <w:widowControl w:val="0"/>
      <w:kinsoku w:val="0"/>
      <w:overflowPunct w:val="0"/>
      <w:autoSpaceDE w:val="0"/>
      <w:autoSpaceDN w:val="0"/>
      <w:adjustRightInd w:val="0"/>
      <w:snapToGrid w:val="0"/>
      <w:spacing w:line="340" w:lineRule="atLeast"/>
      <w:jc w:val="center"/>
    </w:pPr>
    <w:rPr>
      <w:rFonts w:ascii="Palatino Linotype" w:eastAsia="Times New Roman" w:hAnsi="Palatino Linotype" w:cs="Times New Roman"/>
      <w:snapToGrid w:val="0"/>
      <w:color w:val="000000"/>
      <w:szCs w:val="20"/>
      <w:lang w:val="en-US" w:eastAsia="de-DE" w:bidi="en-US"/>
    </w:rPr>
  </w:style>
  <w:style w:type="paragraph" w:customStyle="1" w:styleId="Mdeck6figurecaption">
    <w:name w:val="M_deck_6_figure_caption"/>
    <w:next w:val="Mdeck4text"/>
    <w:qFormat/>
    <w:rsid w:val="009E6C5C"/>
    <w:pPr>
      <w:adjustRightInd w:val="0"/>
      <w:snapToGrid w:val="0"/>
      <w:spacing w:before="120" w:line="260" w:lineRule="atLeast"/>
      <w:jc w:val="both"/>
    </w:pPr>
    <w:rPr>
      <w:rFonts w:ascii="Palatino Linotype" w:eastAsia="Times New Roman" w:hAnsi="Palatino Linotype" w:cs="Times New Roman"/>
      <w:snapToGrid w:val="0"/>
      <w:color w:val="000000"/>
      <w:sz w:val="20"/>
      <w:szCs w:val="20"/>
      <w:lang w:val="en-US" w:eastAsia="de-DE" w:bidi="en-US"/>
    </w:rPr>
  </w:style>
  <w:style w:type="paragraph" w:customStyle="1" w:styleId="Mdeck7equation">
    <w:name w:val="M_deck_7_equation"/>
    <w:basedOn w:val="Mdeck4text"/>
    <w:qFormat/>
    <w:rsid w:val="009E6C5C"/>
    <w:pPr>
      <w:spacing w:before="120" w:after="120"/>
      <w:ind w:left="709" w:firstLine="0"/>
      <w:jc w:val="center"/>
    </w:pPr>
    <w:rPr>
      <w:i/>
      <w:snapToGrid/>
      <w:szCs w:val="24"/>
      <w:lang w:eastAsia="en-US"/>
    </w:rPr>
  </w:style>
  <w:style w:type="paragraph" w:customStyle="1" w:styleId="Mfooter">
    <w:name w:val="M_footer"/>
    <w:qFormat/>
    <w:rsid w:val="009E6C5C"/>
    <w:pPr>
      <w:spacing w:before="120" w:line="260" w:lineRule="atLeast"/>
      <w:jc w:val="center"/>
    </w:pPr>
    <w:rPr>
      <w:rFonts w:ascii="Minion Pro" w:eastAsiaTheme="minorEastAsia" w:hAnsi="Minion Pro" w:cs="Times New Roman"/>
      <w:color w:val="000000"/>
      <w:szCs w:val="20"/>
      <w:lang w:val="de-DE" w:eastAsia="zh-CN"/>
    </w:rPr>
  </w:style>
  <w:style w:type="paragraph" w:customStyle="1" w:styleId="Mfooterfirstpage">
    <w:name w:val="M_footer_firstpage"/>
    <w:basedOn w:val="Mfooter"/>
    <w:qFormat/>
    <w:rsid w:val="009E6C5C"/>
    <w:pPr>
      <w:tabs>
        <w:tab w:val="right" w:pos="8845"/>
      </w:tabs>
      <w:spacing w:line="160" w:lineRule="exact"/>
    </w:pPr>
  </w:style>
  <w:style w:type="paragraph" w:customStyle="1" w:styleId="MHeader">
    <w:name w:val="M_Header"/>
    <w:basedOn w:val="Normal"/>
    <w:rsid w:val="009E6C5C"/>
    <w:pPr>
      <w:spacing w:after="240"/>
      <w:ind w:left="425"/>
    </w:pPr>
    <w:rPr>
      <w:rFonts w:ascii="Minion Pro" w:hAnsi="Minion Pro"/>
    </w:rPr>
  </w:style>
  <w:style w:type="paragraph" w:customStyle="1" w:styleId="Mheaderjournallogo">
    <w:name w:val="M_header_journal_logo"/>
    <w:qFormat/>
    <w:rsid w:val="009E6C5C"/>
    <w:pPr>
      <w:spacing w:line="260" w:lineRule="atLeast"/>
      <w:jc w:val="both"/>
    </w:pPr>
    <w:rPr>
      <w:rFonts w:ascii="Minion Pro" w:eastAsiaTheme="minorEastAsia" w:hAnsi="Minion Pro" w:cs="Times New Roman"/>
      <w:color w:val="000000"/>
      <w:szCs w:val="20"/>
      <w:lang w:val="de-DE" w:eastAsia="zh-CN"/>
    </w:rPr>
  </w:style>
  <w:style w:type="paragraph" w:customStyle="1" w:styleId="Mheadermdpilogo">
    <w:name w:val="M_header_mdpi_logo"/>
    <w:qFormat/>
    <w:rsid w:val="009E6C5C"/>
    <w:pPr>
      <w:spacing w:line="260" w:lineRule="atLeast"/>
      <w:jc w:val="right"/>
    </w:pPr>
    <w:rPr>
      <w:rFonts w:ascii="Minion Pro" w:eastAsiaTheme="minorEastAsia" w:hAnsi="Minion Pro" w:cs="Times New Roman"/>
      <w:color w:val="000000"/>
      <w:szCs w:val="20"/>
      <w:lang w:val="de-DE" w:eastAsia="zh-CN"/>
    </w:rPr>
  </w:style>
  <w:style w:type="paragraph" w:customStyle="1" w:styleId="MHeading1">
    <w:name w:val="M_Heading1"/>
    <w:basedOn w:val="MHeading3"/>
    <w:qFormat/>
    <w:rsid w:val="009E6C5C"/>
    <w:rPr>
      <w:b/>
    </w:rPr>
  </w:style>
  <w:style w:type="paragraph" w:customStyle="1" w:styleId="MHeading2">
    <w:name w:val="M_Heading2"/>
    <w:basedOn w:val="MHeading3"/>
    <w:qFormat/>
    <w:rsid w:val="009E6C5C"/>
    <w:rPr>
      <w:i/>
    </w:rPr>
  </w:style>
  <w:style w:type="paragraph" w:customStyle="1" w:styleId="MISSN">
    <w:name w:val="M_ISSN"/>
    <w:basedOn w:val="Normal"/>
    <w:rsid w:val="009E6C5C"/>
    <w:pPr>
      <w:spacing w:after="520"/>
      <w:jc w:val="right"/>
    </w:pPr>
  </w:style>
  <w:style w:type="paragraph" w:customStyle="1" w:styleId="Mline1">
    <w:name w:val="M_line1"/>
    <w:basedOn w:val="Mdeck4text"/>
    <w:next w:val="Normal"/>
    <w:qFormat/>
    <w:rsid w:val="009E6C5C"/>
    <w:pPr>
      <w:ind w:firstLine="0"/>
    </w:pPr>
  </w:style>
  <w:style w:type="paragraph" w:customStyle="1" w:styleId="Mline2">
    <w:name w:val="M_line2"/>
    <w:basedOn w:val="Mdeck4text"/>
    <w:qFormat/>
    <w:rsid w:val="009E6C5C"/>
    <w:pPr>
      <w:pBdr>
        <w:bottom w:val="single" w:sz="6" w:space="1" w:color="auto"/>
      </w:pBdr>
      <w:spacing w:after="480"/>
    </w:pPr>
  </w:style>
  <w:style w:type="paragraph" w:customStyle="1" w:styleId="MLogo">
    <w:name w:val="M_Logo"/>
    <w:basedOn w:val="Normal"/>
    <w:rsid w:val="009E6C5C"/>
    <w:pPr>
      <w:spacing w:before="140"/>
      <w:jc w:val="right"/>
    </w:pPr>
    <w:rPr>
      <w:b/>
      <w:i/>
      <w:sz w:val="64"/>
    </w:rPr>
  </w:style>
  <w:style w:type="paragraph" w:customStyle="1" w:styleId="Mreceived">
    <w:name w:val="M_received"/>
    <w:basedOn w:val="Maddress"/>
    <w:rsid w:val="009E6C5C"/>
    <w:rPr>
      <w:i/>
    </w:rPr>
  </w:style>
  <w:style w:type="paragraph" w:customStyle="1" w:styleId="MRefer">
    <w:name w:val="M_Refer"/>
    <w:basedOn w:val="Normal"/>
    <w:rsid w:val="009E6C5C"/>
    <w:pPr>
      <w:ind w:left="461" w:hanging="461"/>
    </w:pPr>
  </w:style>
  <w:style w:type="paragraph" w:customStyle="1" w:styleId="Mtable">
    <w:name w:val="M_table"/>
    <w:basedOn w:val="Normal"/>
    <w:rsid w:val="009E6C5C"/>
    <w:pPr>
      <w:keepNext/>
      <w:tabs>
        <w:tab w:val="left" w:pos="284"/>
      </w:tabs>
    </w:pPr>
  </w:style>
  <w:style w:type="paragraph" w:customStyle="1" w:styleId="MTablecaption">
    <w:name w:val="M_Tablecaption"/>
    <w:basedOn w:val="MCaption"/>
    <w:rsid w:val="009E6C5C"/>
    <w:pPr>
      <w:spacing w:after="0"/>
    </w:pPr>
  </w:style>
  <w:style w:type="paragraph" w:customStyle="1" w:styleId="MText">
    <w:name w:val="M_Text"/>
    <w:basedOn w:val="Normal"/>
    <w:rsid w:val="009E6C5C"/>
    <w:pPr>
      <w:ind w:firstLine="288"/>
    </w:pPr>
  </w:style>
  <w:style w:type="paragraph" w:customStyle="1" w:styleId="MTitel">
    <w:name w:val="M_Titel"/>
    <w:basedOn w:val="Normal"/>
    <w:rsid w:val="009E6C5C"/>
    <w:pPr>
      <w:spacing w:before="240"/>
    </w:pPr>
    <w:rPr>
      <w:b/>
      <w:sz w:val="36"/>
      <w:lang w:val="en-GB"/>
    </w:rPr>
  </w:style>
  <w:style w:type="paragraph" w:customStyle="1" w:styleId="MDPI15academiceditor">
    <w:name w:val="MDPI_1.5_academic_editor"/>
    <w:qFormat/>
    <w:rsid w:val="009E6C5C"/>
    <w:pPr>
      <w:adjustRightInd w:val="0"/>
      <w:snapToGrid w:val="0"/>
      <w:spacing w:line="260" w:lineRule="atLeast"/>
      <w:ind w:left="113"/>
    </w:pPr>
    <w:rPr>
      <w:rFonts w:ascii="Palatino Linotype" w:eastAsia="Times New Roman" w:hAnsi="Palatino Linotype" w:cs="Times New Roman"/>
      <w:color w:val="000000"/>
      <w:sz w:val="18"/>
      <w:szCs w:val="22"/>
      <w:lang w:val="en-US" w:eastAsia="de-DE" w:bidi="en-US"/>
    </w:rPr>
  </w:style>
  <w:style w:type="paragraph" w:customStyle="1" w:styleId="MDPI16affiliation">
    <w:name w:val="MDPI_1.6_affiliation"/>
    <w:qFormat/>
    <w:rsid w:val="009E6C5C"/>
    <w:pPr>
      <w:adjustRightInd w:val="0"/>
      <w:snapToGrid w:val="0"/>
      <w:spacing w:line="26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MDPI19classification">
    <w:name w:val="MDPI_1.9_classification"/>
    <w:qFormat/>
    <w:rsid w:val="009E6C5C"/>
    <w:pPr>
      <w:spacing w:before="240" w:line="260" w:lineRule="atLeast"/>
      <w:ind w:left="113"/>
      <w:jc w:val="both"/>
    </w:pPr>
    <w:rPr>
      <w:rFonts w:ascii="Palatino Linotype" w:eastAsia="Times New Roman" w:hAnsi="Palatino Linotype" w:cs="Times New Roman"/>
      <w:b/>
      <w:color w:val="000000"/>
      <w:sz w:val="20"/>
      <w:szCs w:val="22"/>
      <w:lang w:val="en-US" w:eastAsia="de-DE" w:bidi="en-US"/>
    </w:rPr>
  </w:style>
  <w:style w:type="paragraph" w:customStyle="1" w:styleId="MDPI22heading2">
    <w:name w:val="MDPI_2.2_heading2"/>
    <w:qFormat/>
    <w:rsid w:val="009E6C5C"/>
    <w:pPr>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szCs w:val="22"/>
      <w:lang w:val="en-US" w:eastAsia="de-DE" w:bidi="en-US"/>
    </w:rPr>
  </w:style>
  <w:style w:type="paragraph" w:customStyle="1" w:styleId="MDPI23heading3">
    <w:name w:val="MDPI_2.3_heading3"/>
    <w:qFormat/>
    <w:rsid w:val="009E6C5C"/>
    <w:pPr>
      <w:adjustRightInd w:val="0"/>
      <w:snapToGrid w:val="0"/>
      <w:spacing w:before="240" w:after="120" w:line="260" w:lineRule="atLeast"/>
      <w:outlineLvl w:val="2"/>
    </w:pPr>
    <w:rPr>
      <w:rFonts w:ascii="Palatino Linotype" w:eastAsia="Times New Roman" w:hAnsi="Palatino Linotype" w:cs="Times New Roman"/>
      <w:snapToGrid w:val="0"/>
      <w:color w:val="000000"/>
      <w:sz w:val="20"/>
      <w:szCs w:val="22"/>
      <w:lang w:val="en-US" w:eastAsia="de-DE" w:bidi="en-US"/>
    </w:rPr>
  </w:style>
  <w:style w:type="paragraph" w:customStyle="1" w:styleId="MDPI32textnoindent">
    <w:name w:val="MDPI_3.2_text_no_indent"/>
    <w:qFormat/>
    <w:rsid w:val="009E6C5C"/>
    <w:pPr>
      <w:adjustRightInd w:val="0"/>
      <w:snapToGrid w:val="0"/>
      <w:spacing w:line="260" w:lineRule="atLeast"/>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34textspacebefore">
    <w:name w:val="MDPI_3.4_text_space_before"/>
    <w:qFormat/>
    <w:rsid w:val="009E6C5C"/>
    <w:pPr>
      <w:spacing w:before="240" w:line="260" w:lineRule="atLeast"/>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35textbeforelist">
    <w:name w:val="MDPI_3.5_text_before_list"/>
    <w:qFormat/>
    <w:rsid w:val="009E6C5C"/>
    <w:pPr>
      <w:spacing w:after="120" w:line="260" w:lineRule="atLeast"/>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36textafterlist">
    <w:name w:val="MDPI_3.6_text_after_list"/>
    <w:qFormat/>
    <w:rsid w:val="009E6C5C"/>
    <w:pPr>
      <w:spacing w:before="120" w:line="260" w:lineRule="atLeast"/>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37itemize">
    <w:name w:val="MDPI_3.7_itemize"/>
    <w:qFormat/>
    <w:rsid w:val="009E6C5C"/>
    <w:pPr>
      <w:numPr>
        <w:numId w:val="17"/>
      </w:numPr>
      <w:spacing w:line="260" w:lineRule="atLeast"/>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38bullet">
    <w:name w:val="MDPI_3.8_bullet"/>
    <w:qFormat/>
    <w:rsid w:val="009E6C5C"/>
    <w:pPr>
      <w:numPr>
        <w:numId w:val="18"/>
      </w:numPr>
      <w:adjustRightInd w:val="0"/>
      <w:snapToGrid w:val="0"/>
      <w:spacing w:line="260" w:lineRule="atLeast"/>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39equation">
    <w:name w:val="MDPI_3.9_equation"/>
    <w:qFormat/>
    <w:rsid w:val="009E6C5C"/>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szCs w:val="22"/>
      <w:lang w:val="en-US" w:eastAsia="de-DE" w:bidi="en-US"/>
    </w:rPr>
  </w:style>
  <w:style w:type="paragraph" w:customStyle="1" w:styleId="MDPI3aequationnumber">
    <w:name w:val="MDPI_3.a_equation_number"/>
    <w:qFormat/>
    <w:rsid w:val="009E6C5C"/>
    <w:pPr>
      <w:spacing w:before="120" w:after="120"/>
      <w:jc w:val="right"/>
    </w:pPr>
    <w:rPr>
      <w:rFonts w:ascii="Palatino Linotype" w:eastAsia="Times New Roman" w:hAnsi="Palatino Linotype" w:cs="Times New Roman"/>
      <w:snapToGrid w:val="0"/>
      <w:color w:val="000000"/>
      <w:sz w:val="20"/>
      <w:szCs w:val="22"/>
      <w:lang w:val="en-US" w:eastAsia="de-DE" w:bidi="en-US"/>
    </w:rPr>
  </w:style>
  <w:style w:type="paragraph" w:customStyle="1" w:styleId="MDPI411onetablecaption">
    <w:name w:val="MDPI_4.1.1_one_table_caption"/>
    <w:qFormat/>
    <w:rsid w:val="009E6C5C"/>
    <w:pPr>
      <w:adjustRightInd w:val="0"/>
      <w:snapToGrid w:val="0"/>
      <w:spacing w:before="240" w:after="120" w:line="260" w:lineRule="atLeast"/>
      <w:jc w:val="center"/>
    </w:pPr>
    <w:rPr>
      <w:rFonts w:ascii="Palatino Linotype" w:eastAsiaTheme="minorEastAsia" w:hAnsi="Palatino Linotype"/>
      <w:noProof/>
      <w:color w:val="000000"/>
      <w:sz w:val="18"/>
      <w:szCs w:val="22"/>
      <w:lang w:val="en-US" w:eastAsia="zh-CN" w:bidi="en-US"/>
    </w:rPr>
  </w:style>
  <w:style w:type="paragraph" w:customStyle="1" w:styleId="MDPI41tablecaption">
    <w:name w:val="MDPI_4.1_table_caption"/>
    <w:qFormat/>
    <w:rsid w:val="009E6C5C"/>
    <w:pPr>
      <w:adjustRightInd w:val="0"/>
      <w:snapToGrid w:val="0"/>
      <w:spacing w:before="240" w:after="120" w:line="260" w:lineRule="atLeast"/>
      <w:ind w:left="425" w:right="425"/>
      <w:jc w:val="both"/>
    </w:pPr>
    <w:rPr>
      <w:rFonts w:ascii="Palatino Linotype" w:eastAsia="Times New Roman" w:hAnsi="Palatino Linotype"/>
      <w:color w:val="000000"/>
      <w:sz w:val="18"/>
      <w:szCs w:val="22"/>
      <w:lang w:val="en-US" w:eastAsia="de-DE" w:bidi="en-US"/>
    </w:rPr>
  </w:style>
  <w:style w:type="table" w:customStyle="1" w:styleId="MDPI41threelinetable">
    <w:name w:val="MDPI_4.1_three_line_table"/>
    <w:basedOn w:val="TableNormal"/>
    <w:uiPriority w:val="99"/>
    <w:rsid w:val="009E6C5C"/>
    <w:pPr>
      <w:adjustRightInd w:val="0"/>
      <w:snapToGrid w:val="0"/>
      <w:jc w:val="center"/>
    </w:pPr>
    <w:rPr>
      <w:rFonts w:ascii="Palatino Linotype" w:eastAsiaTheme="minorEastAsia" w:hAnsi="Palatino Linotype" w:cs="Times New Roman"/>
      <w:color w:val="000000"/>
      <w:sz w:val="20"/>
      <w:szCs w:val="2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3tablefooter">
    <w:name w:val="MDPI_4.3_table_footer"/>
    <w:next w:val="MDPI31text"/>
    <w:qFormat/>
    <w:rsid w:val="009E6C5C"/>
    <w:pPr>
      <w:adjustRightInd w:val="0"/>
      <w:snapToGrid w:val="0"/>
      <w:spacing w:after="240" w:line="260" w:lineRule="atLeast"/>
      <w:jc w:val="both"/>
    </w:pPr>
    <w:rPr>
      <w:rFonts w:ascii="Palatino Linotype" w:eastAsia="Times New Roman" w:hAnsi="Palatino Linotype"/>
      <w:color w:val="000000"/>
      <w:sz w:val="18"/>
      <w:szCs w:val="22"/>
      <w:lang w:val="en-US" w:eastAsia="de-DE" w:bidi="en-US"/>
    </w:rPr>
  </w:style>
  <w:style w:type="paragraph" w:customStyle="1" w:styleId="MDPI511onefigurecaption">
    <w:name w:val="MDPI_5.1.1_one_figure_caption"/>
    <w:qFormat/>
    <w:rsid w:val="009E6C5C"/>
    <w:pPr>
      <w:adjustRightInd w:val="0"/>
      <w:snapToGrid w:val="0"/>
      <w:spacing w:before="240" w:after="120" w:line="260" w:lineRule="atLeast"/>
      <w:jc w:val="center"/>
    </w:pPr>
    <w:rPr>
      <w:rFonts w:ascii="Palatino Linotype" w:eastAsiaTheme="minorEastAsia" w:hAnsi="Palatino Linotype" w:cs="Times New Roman"/>
      <w:noProof/>
      <w:color w:val="000000"/>
      <w:sz w:val="18"/>
      <w:szCs w:val="20"/>
      <w:lang w:val="en-US" w:eastAsia="zh-CN" w:bidi="en-US"/>
    </w:rPr>
  </w:style>
  <w:style w:type="paragraph" w:customStyle="1" w:styleId="MDPI52figure">
    <w:name w:val="MDPI_5.2_figure"/>
    <w:qFormat/>
    <w:rsid w:val="009E6C5C"/>
    <w:pPr>
      <w:adjustRightInd w:val="0"/>
      <w:snapToGrid w:val="0"/>
      <w:spacing w:before="240" w:after="12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63AuthorContributions">
    <w:name w:val="MDPI_6.3_AuthorContributions"/>
    <w:qFormat/>
    <w:rsid w:val="009E6C5C"/>
    <w:pPr>
      <w:spacing w:line="260" w:lineRule="atLeast"/>
      <w:jc w:val="both"/>
    </w:pPr>
    <w:rPr>
      <w:rFonts w:ascii="Palatino Linotype" w:hAnsi="Palatino Linotype" w:cs="Times New Roman"/>
      <w:snapToGrid w:val="0"/>
      <w:sz w:val="18"/>
      <w:szCs w:val="20"/>
      <w:lang w:val="en-US" w:bidi="en-US"/>
    </w:rPr>
  </w:style>
  <w:style w:type="paragraph" w:customStyle="1" w:styleId="MDPI71References">
    <w:name w:val="MDPI_7.1_References"/>
    <w:qFormat/>
    <w:rsid w:val="009E6C5C"/>
    <w:pPr>
      <w:numPr>
        <w:numId w:val="19"/>
      </w:numPr>
      <w:spacing w:line="26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72Copyright">
    <w:name w:val="MDPI_7.2_Copyright"/>
    <w:qFormat/>
    <w:rsid w:val="009E6C5C"/>
    <w:pPr>
      <w:adjustRightInd w:val="0"/>
      <w:snapToGrid w:val="0"/>
      <w:spacing w:before="400" w:line="260" w:lineRule="atLeast"/>
      <w:jc w:val="both"/>
    </w:pPr>
    <w:rPr>
      <w:rFonts w:ascii="Palatino Linotype" w:eastAsia="Times New Roman" w:hAnsi="Palatino Linotype" w:cs="Times New Roman"/>
      <w:noProof/>
      <w:snapToGrid w:val="0"/>
      <w:color w:val="000000"/>
      <w:spacing w:val="-2"/>
      <w:sz w:val="18"/>
      <w:szCs w:val="20"/>
      <w:lang w:eastAsia="en-GB"/>
    </w:rPr>
  </w:style>
  <w:style w:type="paragraph" w:customStyle="1" w:styleId="MDPI73CopyrightImage">
    <w:name w:val="MDPI_7.3_CopyrightImage"/>
    <w:rsid w:val="009E6C5C"/>
    <w:pPr>
      <w:adjustRightInd w:val="0"/>
      <w:snapToGrid w:val="0"/>
      <w:spacing w:after="100" w:line="260" w:lineRule="atLeast"/>
      <w:jc w:val="right"/>
    </w:pPr>
    <w:rPr>
      <w:rFonts w:ascii="Palatino Linotype" w:eastAsia="Times New Roman" w:hAnsi="Palatino Linotype" w:cs="Times New Roman"/>
      <w:color w:val="000000"/>
      <w:sz w:val="20"/>
      <w:szCs w:val="20"/>
      <w:lang w:val="en-US" w:eastAsia="de-CH"/>
    </w:rPr>
  </w:style>
  <w:style w:type="paragraph" w:customStyle="1" w:styleId="MDPI81theorem">
    <w:name w:val="MDPI_8.1_theorem"/>
    <w:qFormat/>
    <w:rsid w:val="009E6C5C"/>
    <w:pPr>
      <w:spacing w:line="260" w:lineRule="atLeast"/>
      <w:jc w:val="both"/>
    </w:pPr>
    <w:rPr>
      <w:rFonts w:ascii="Palatino Linotype" w:eastAsia="Times New Roman" w:hAnsi="Palatino Linotype" w:cs="Times New Roman"/>
      <w:i/>
      <w:snapToGrid w:val="0"/>
      <w:color w:val="000000"/>
      <w:sz w:val="20"/>
      <w:szCs w:val="22"/>
      <w:lang w:val="en-US" w:eastAsia="de-DE" w:bidi="en-US"/>
    </w:rPr>
  </w:style>
  <w:style w:type="paragraph" w:customStyle="1" w:styleId="MDPI82proof">
    <w:name w:val="MDPI_8.2_proof"/>
    <w:qFormat/>
    <w:rsid w:val="009E6C5C"/>
    <w:pPr>
      <w:spacing w:line="260" w:lineRule="atLeast"/>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equationFram">
    <w:name w:val="MDPI_equationFram"/>
    <w:qFormat/>
    <w:rsid w:val="009E6C5C"/>
    <w:pPr>
      <w:adjustRightInd w:val="0"/>
      <w:snapToGrid w:val="0"/>
      <w:spacing w:before="120" w:after="120"/>
      <w:jc w:val="center"/>
    </w:pPr>
    <w:rPr>
      <w:rFonts w:ascii="Palatino Linotype" w:eastAsia="Times New Roman" w:hAnsi="Palatino Linotype" w:cs="Times New Roman"/>
      <w:snapToGrid w:val="0"/>
      <w:color w:val="000000"/>
      <w:sz w:val="20"/>
      <w:szCs w:val="22"/>
      <w:lang w:val="en-US" w:eastAsia="de-DE" w:bidi="en-US"/>
    </w:rPr>
  </w:style>
  <w:style w:type="paragraph" w:customStyle="1" w:styleId="MDPIfooter">
    <w:name w:val="MDPI_footer"/>
    <w:qFormat/>
    <w:rsid w:val="009E6C5C"/>
    <w:pPr>
      <w:adjustRightInd w:val="0"/>
      <w:snapToGrid w:val="0"/>
      <w:spacing w:before="120" w:line="260" w:lineRule="atLeast"/>
      <w:jc w:val="center"/>
    </w:pPr>
    <w:rPr>
      <w:rFonts w:ascii="Palatino Linotype" w:eastAsia="Times New Roman" w:hAnsi="Palatino Linotype" w:cs="Times New Roman"/>
      <w:color w:val="000000"/>
      <w:sz w:val="20"/>
      <w:szCs w:val="20"/>
      <w:lang w:val="en-US" w:eastAsia="de-DE"/>
    </w:rPr>
  </w:style>
  <w:style w:type="paragraph" w:customStyle="1" w:styleId="MDPIfooterfirstpage">
    <w:name w:val="MDPI_footer_firstpage"/>
    <w:qFormat/>
    <w:rsid w:val="009E6C5C"/>
    <w:pPr>
      <w:tabs>
        <w:tab w:val="right" w:pos="8845"/>
      </w:tabs>
      <w:spacing w:line="160" w:lineRule="exact"/>
    </w:pPr>
    <w:rPr>
      <w:rFonts w:ascii="Palatino Linotype" w:eastAsia="Times New Roman" w:hAnsi="Palatino Linotype" w:cs="Times New Roman"/>
      <w:color w:val="000000"/>
      <w:sz w:val="16"/>
      <w:szCs w:val="20"/>
      <w:lang w:val="en-US" w:eastAsia="de-DE"/>
    </w:rPr>
  </w:style>
  <w:style w:type="paragraph" w:customStyle="1" w:styleId="MDPIheader">
    <w:name w:val="MDPI_header"/>
    <w:qFormat/>
    <w:rsid w:val="009E6C5C"/>
    <w:pPr>
      <w:adjustRightInd w:val="0"/>
      <w:snapToGrid w:val="0"/>
      <w:spacing w:after="240" w:line="260" w:lineRule="atLeast"/>
      <w:jc w:val="both"/>
    </w:pPr>
    <w:rPr>
      <w:rFonts w:ascii="Palatino Linotype" w:eastAsia="Times New Roman" w:hAnsi="Palatino Linotype" w:cs="Times New Roman"/>
      <w:iCs/>
      <w:color w:val="000000"/>
      <w:sz w:val="16"/>
      <w:szCs w:val="20"/>
      <w:lang w:val="en-US" w:eastAsia="de-DE"/>
    </w:rPr>
  </w:style>
  <w:style w:type="paragraph" w:customStyle="1" w:styleId="MDPIheadercitation">
    <w:name w:val="MDPI_header_citation"/>
    <w:rsid w:val="009E6C5C"/>
    <w:pPr>
      <w:spacing w:after="240"/>
    </w:pPr>
    <w:rPr>
      <w:rFonts w:ascii="Palatino Linotype" w:eastAsia="Times New Roman" w:hAnsi="Palatino Linotype" w:cs="Times New Roman"/>
      <w:snapToGrid w:val="0"/>
      <w:color w:val="000000"/>
      <w:sz w:val="18"/>
      <w:szCs w:val="20"/>
      <w:lang w:val="en-US" w:eastAsia="de-DE" w:bidi="en-US"/>
    </w:rPr>
  </w:style>
  <w:style w:type="paragraph" w:customStyle="1" w:styleId="MDPIheadermdpilogo">
    <w:name w:val="MDPI_header_mdpi_logo"/>
    <w:qFormat/>
    <w:rsid w:val="009E6C5C"/>
    <w:pPr>
      <w:adjustRightInd w:val="0"/>
      <w:snapToGrid w:val="0"/>
      <w:spacing w:line="260" w:lineRule="atLeast"/>
      <w:jc w:val="right"/>
    </w:pPr>
    <w:rPr>
      <w:rFonts w:ascii="Palatino Linotype" w:eastAsia="Times New Roman" w:hAnsi="Palatino Linotype" w:cs="Times New Roman"/>
      <w:color w:val="000000"/>
      <w:szCs w:val="22"/>
      <w:lang w:val="en-US" w:eastAsia="de-CH"/>
    </w:rPr>
  </w:style>
  <w:style w:type="paragraph" w:customStyle="1" w:styleId="MDPItext">
    <w:name w:val="MDPI_text"/>
    <w:qFormat/>
    <w:rsid w:val="009E6C5C"/>
    <w:pPr>
      <w:spacing w:line="260" w:lineRule="atLeast"/>
      <w:ind w:left="425" w:right="425" w:firstLine="284"/>
      <w:jc w:val="both"/>
    </w:pPr>
    <w:rPr>
      <w:rFonts w:ascii="Times New Roman" w:eastAsia="Times New Roman" w:hAnsi="Times New Roman" w:cs="Times New Roman"/>
      <w:noProof/>
      <w:snapToGrid w:val="0"/>
      <w:color w:val="000000"/>
      <w:sz w:val="22"/>
      <w:szCs w:val="22"/>
      <w:lang w:val="en-US" w:eastAsia="de-DE" w:bidi="en-US"/>
    </w:rPr>
  </w:style>
  <w:style w:type="paragraph" w:customStyle="1" w:styleId="MDPItitle">
    <w:name w:val="MDPI_title"/>
    <w:qFormat/>
    <w:rsid w:val="009E6C5C"/>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val="en-US" w:eastAsia="de-DE" w:bidi="en-US"/>
    </w:rPr>
  </w:style>
  <w:style w:type="paragraph" w:customStyle="1" w:styleId="MsoFootnoteText0">
    <w:name w:val="MsoFootnoteText"/>
    <w:basedOn w:val="NormalWeb"/>
    <w:qFormat/>
    <w:rsid w:val="009E6C5C"/>
    <w:rPr>
      <w:rFonts w:ascii="Times New Roman" w:hAnsi="Times New Roman"/>
    </w:rPr>
  </w:style>
  <w:style w:type="character" w:styleId="PageNumber">
    <w:name w:val="page number"/>
    <w:basedOn w:val="DefaultParagraphFont"/>
    <w:rsid w:val="009E6C5C"/>
  </w:style>
  <w:style w:type="character" w:styleId="PlaceholderText">
    <w:name w:val="Placeholder Text"/>
    <w:basedOn w:val="DefaultParagraphFont"/>
    <w:uiPriority w:val="99"/>
    <w:semiHidden/>
    <w:rsid w:val="009E6C5C"/>
    <w:rPr>
      <w:color w:val="808080"/>
    </w:rPr>
  </w:style>
  <w:style w:type="paragraph" w:styleId="TableofFigures">
    <w:name w:val="table of figures"/>
    <w:basedOn w:val="Normal"/>
    <w:next w:val="Normal"/>
    <w:rsid w:val="009E6C5C"/>
    <w:pPr>
      <w:tabs>
        <w:tab w:val="left" w:pos="374"/>
      </w:tabs>
      <w:snapToGrid w:val="0"/>
      <w:spacing w:line="220" w:lineRule="exact"/>
    </w:pPr>
    <w:rPr>
      <w:sz w:val="16"/>
      <w:szCs w:val="16"/>
    </w:rPr>
  </w:style>
  <w:style w:type="paragraph" w:customStyle="1" w:styleId="TextBericht">
    <w:name w:val="Text_Bericht"/>
    <w:basedOn w:val="Normal"/>
    <w:uiPriority w:val="99"/>
    <w:rsid w:val="009E6C5C"/>
    <w:pPr>
      <w:spacing w:after="120" w:line="276" w:lineRule="auto"/>
    </w:pPr>
    <w:rPr>
      <w:rFonts w:ascii="Arial" w:hAnsi="Arial"/>
      <w:lang w:val="de-DE"/>
    </w:rPr>
  </w:style>
  <w:style w:type="paragraph" w:customStyle="1" w:styleId="berschrift3">
    <w:name w:val="Überschrift3"/>
    <w:basedOn w:val="Heading2"/>
    <w:uiPriority w:val="99"/>
    <w:rsid w:val="009E6C5C"/>
    <w:pPr>
      <w:keepNext/>
      <w:tabs>
        <w:tab w:val="num" w:pos="360"/>
      </w:tabs>
      <w:spacing w:before="0"/>
      <w:ind w:left="576" w:hanging="576"/>
    </w:pPr>
    <w:rPr>
      <w:rFonts w:cs="Arial"/>
      <w:bCs/>
      <w:iCs/>
      <w:szCs w:val="28"/>
      <w:lang w:val="de-DE"/>
    </w:rPr>
  </w:style>
  <w:style w:type="paragraph" w:customStyle="1" w:styleId="UCL11articletype">
    <w:name w:val="UCL_1.1_article_type"/>
    <w:basedOn w:val="MDPI11articletype"/>
    <w:qFormat/>
    <w:rsid w:val="009E6C5C"/>
    <w:rPr>
      <w:rFonts w:ascii="Times New Roman" w:hAnsi="Times New Roman"/>
      <w:i w:val="0"/>
      <w:sz w:val="24"/>
      <w:szCs w:val="24"/>
    </w:rPr>
  </w:style>
  <w:style w:type="paragraph" w:customStyle="1" w:styleId="UCL12title">
    <w:name w:val="UCL_1.2_title"/>
    <w:basedOn w:val="MDPI12title"/>
    <w:qFormat/>
    <w:rsid w:val="009E6C5C"/>
    <w:pPr>
      <w:spacing w:before="240" w:line="240" w:lineRule="auto"/>
    </w:pPr>
    <w:rPr>
      <w:rFonts w:ascii="Dax-Medium" w:hAnsi="Dax-Medium"/>
      <w:b w:val="0"/>
      <w:sz w:val="32"/>
      <w:szCs w:val="32"/>
    </w:rPr>
  </w:style>
  <w:style w:type="paragraph" w:customStyle="1" w:styleId="UCL13authornames">
    <w:name w:val="UCL_1.3_authornames"/>
    <w:basedOn w:val="MDPI13authornames"/>
    <w:qFormat/>
    <w:rsid w:val="009E6C5C"/>
    <w:pPr>
      <w:spacing w:before="240" w:after="240" w:line="240" w:lineRule="auto"/>
    </w:pPr>
    <w:rPr>
      <w:rFonts w:ascii="Times New Roman" w:hAnsi="Times New Roman"/>
      <w:b w:val="0"/>
      <w:sz w:val="22"/>
    </w:rPr>
  </w:style>
  <w:style w:type="paragraph" w:customStyle="1" w:styleId="UCL14academic">
    <w:name w:val="UCL_1.4_academic"/>
    <w:basedOn w:val="MDPI15academiceditor"/>
    <w:qFormat/>
    <w:rsid w:val="009E6C5C"/>
    <w:pPr>
      <w:spacing w:before="240" w:after="240" w:line="240" w:lineRule="auto"/>
      <w:ind w:left="0"/>
    </w:pPr>
    <w:rPr>
      <w:rFonts w:ascii="Times New Roman" w:hAnsi="Times New Roman"/>
      <w:sz w:val="22"/>
    </w:rPr>
  </w:style>
  <w:style w:type="paragraph" w:customStyle="1" w:styleId="UCL15academic">
    <w:name w:val="UCL_1.5_academic"/>
    <w:basedOn w:val="MDPI15academiceditor"/>
    <w:qFormat/>
    <w:rsid w:val="009E6C5C"/>
    <w:pPr>
      <w:spacing w:before="240" w:after="240" w:line="240" w:lineRule="auto"/>
      <w:ind w:left="0"/>
    </w:pPr>
    <w:rPr>
      <w:rFonts w:ascii="Times New Roman" w:hAnsi="Times New Roman"/>
      <w:sz w:val="22"/>
    </w:rPr>
  </w:style>
  <w:style w:type="paragraph" w:customStyle="1" w:styleId="UCL15history">
    <w:name w:val="UCL_1.5_history"/>
    <w:basedOn w:val="MDPI62Acknowledgments"/>
    <w:next w:val="MDPI15academiceditor"/>
    <w:qFormat/>
    <w:rsid w:val="009E6C5C"/>
    <w:pPr>
      <w:spacing w:before="240" w:after="240" w:line="240" w:lineRule="auto"/>
      <w:jc w:val="left"/>
    </w:pPr>
    <w:rPr>
      <w:rFonts w:ascii="Times New Roman" w:hAnsi="Times New Roman"/>
      <w:snapToGrid/>
      <w:sz w:val="19"/>
    </w:rPr>
  </w:style>
  <w:style w:type="paragraph" w:customStyle="1" w:styleId="UCL16affiliation">
    <w:name w:val="UCL_1.6_affiliation"/>
    <w:basedOn w:val="MDPI16affiliation"/>
    <w:qFormat/>
    <w:rsid w:val="009E6C5C"/>
    <w:pPr>
      <w:spacing w:line="240" w:lineRule="auto"/>
      <w:ind w:left="0" w:firstLine="0"/>
    </w:pPr>
    <w:rPr>
      <w:rFonts w:ascii="Times New Roman" w:hAnsi="Times New Roman"/>
      <w:sz w:val="19"/>
      <w:szCs w:val="19"/>
      <w:lang w:val="fr-FR"/>
    </w:rPr>
  </w:style>
  <w:style w:type="paragraph" w:customStyle="1" w:styleId="UCL17abstract">
    <w:name w:val="UCL_1.7_abstract"/>
    <w:basedOn w:val="MDPI17abstract"/>
    <w:qFormat/>
    <w:rsid w:val="009E6C5C"/>
    <w:pPr>
      <w:autoSpaceDE w:val="0"/>
      <w:autoSpaceDN w:val="0"/>
      <w:spacing w:before="480" w:line="240" w:lineRule="auto"/>
      <w:ind w:left="0"/>
      <w:jc w:val="left"/>
    </w:pPr>
    <w:rPr>
      <w:rFonts w:ascii="Times New Roman" w:hAnsi="Times New Roman"/>
      <w:b/>
      <w:sz w:val="22"/>
    </w:rPr>
  </w:style>
  <w:style w:type="paragraph" w:customStyle="1" w:styleId="UCL17abstracttext">
    <w:name w:val="UCL_1.7_abstract_text"/>
    <w:basedOn w:val="MDPI17abstract"/>
    <w:qFormat/>
    <w:rsid w:val="009E6C5C"/>
    <w:pPr>
      <w:spacing w:before="220" w:after="220" w:line="240" w:lineRule="auto"/>
      <w:ind w:left="0"/>
    </w:pPr>
    <w:rPr>
      <w:rFonts w:ascii="Times New Roman" w:hAnsi="Times New Roman"/>
      <w:sz w:val="22"/>
    </w:rPr>
  </w:style>
  <w:style w:type="paragraph" w:customStyle="1" w:styleId="UCL18keywords">
    <w:name w:val="UCL_1.8_keywords"/>
    <w:basedOn w:val="MDPI18keywords"/>
    <w:qFormat/>
    <w:rsid w:val="009E6C5C"/>
    <w:pPr>
      <w:spacing w:after="240" w:line="240" w:lineRule="auto"/>
      <w:ind w:left="0"/>
      <w:jc w:val="left"/>
    </w:pPr>
    <w:rPr>
      <w:rFonts w:ascii="Times New Roman" w:hAnsi="Times New Roman"/>
      <w:sz w:val="22"/>
    </w:rPr>
  </w:style>
  <w:style w:type="paragraph" w:customStyle="1" w:styleId="UCL19cite">
    <w:name w:val="UCL_1.9_cite"/>
    <w:basedOn w:val="MDPI15academiceditor"/>
    <w:qFormat/>
    <w:rsid w:val="009E6C5C"/>
    <w:pPr>
      <w:spacing w:before="240" w:after="240" w:line="240" w:lineRule="auto"/>
      <w:ind w:left="0"/>
    </w:pPr>
    <w:rPr>
      <w:rFonts w:ascii="Times New Roman" w:hAnsi="Times New Roman"/>
      <w:sz w:val="22"/>
    </w:rPr>
  </w:style>
  <w:style w:type="paragraph" w:customStyle="1" w:styleId="UCL21heading1">
    <w:name w:val="UCL_2.1_heading1"/>
    <w:basedOn w:val="MDPI21heading1"/>
    <w:qFormat/>
    <w:rsid w:val="009E6C5C"/>
    <w:pPr>
      <w:spacing w:line="240" w:lineRule="auto"/>
      <w:jc w:val="left"/>
    </w:pPr>
    <w:rPr>
      <w:rFonts w:ascii="Times New Roman" w:hAnsi="Times New Roman"/>
      <w:sz w:val="22"/>
    </w:rPr>
  </w:style>
  <w:style w:type="paragraph" w:customStyle="1" w:styleId="UCL22heading2">
    <w:name w:val="UCL_2.2_heading2"/>
    <w:basedOn w:val="MDPI22heading2"/>
    <w:qFormat/>
    <w:rsid w:val="009E6C5C"/>
    <w:pPr>
      <w:spacing w:line="240" w:lineRule="auto"/>
      <w:outlineLvl w:val="0"/>
    </w:pPr>
    <w:rPr>
      <w:rFonts w:ascii="Times New Roman" w:hAnsi="Times New Roman"/>
      <w:sz w:val="22"/>
    </w:rPr>
  </w:style>
  <w:style w:type="paragraph" w:customStyle="1" w:styleId="UCL23heading3">
    <w:name w:val="UCL_2.3_heading3"/>
    <w:basedOn w:val="UCL21heading1"/>
    <w:qFormat/>
    <w:rsid w:val="009E6C5C"/>
    <w:rPr>
      <w:b w:val="0"/>
    </w:rPr>
  </w:style>
  <w:style w:type="paragraph" w:customStyle="1" w:styleId="UCL31text">
    <w:name w:val="UCL_3.1._text"/>
    <w:basedOn w:val="MDPI31text"/>
    <w:qFormat/>
    <w:rsid w:val="009E6C5C"/>
    <w:pPr>
      <w:spacing w:before="240" w:after="240" w:line="240" w:lineRule="auto"/>
      <w:ind w:firstLine="454"/>
    </w:pPr>
    <w:rPr>
      <w:rFonts w:ascii="Times New Roman" w:hAnsi="Times New Roman"/>
      <w:sz w:val="22"/>
    </w:rPr>
  </w:style>
  <w:style w:type="paragraph" w:customStyle="1" w:styleId="UCL31text0">
    <w:name w:val="UCL_3.1_text"/>
    <w:basedOn w:val="MDPI31text"/>
    <w:qFormat/>
    <w:rsid w:val="009E6C5C"/>
    <w:pPr>
      <w:spacing w:line="240" w:lineRule="auto"/>
      <w:ind w:firstLine="454"/>
    </w:pPr>
    <w:rPr>
      <w:rFonts w:ascii="Times New Roman" w:hAnsi="Times New Roman"/>
      <w:sz w:val="22"/>
    </w:rPr>
  </w:style>
  <w:style w:type="paragraph" w:customStyle="1" w:styleId="UCL41tablecaption">
    <w:name w:val="UCL_4.1_table_caption"/>
    <w:basedOn w:val="MDPI41tablecaption"/>
    <w:qFormat/>
    <w:rsid w:val="009E6C5C"/>
    <w:pPr>
      <w:spacing w:line="240" w:lineRule="auto"/>
      <w:ind w:left="0" w:right="0"/>
      <w:jc w:val="left"/>
    </w:pPr>
    <w:rPr>
      <w:rFonts w:ascii="Times New Roman" w:hAnsi="Times New Roman" w:cs="Times New Roman"/>
      <w:sz w:val="19"/>
      <w:szCs w:val="19"/>
    </w:rPr>
  </w:style>
  <w:style w:type="paragraph" w:customStyle="1" w:styleId="UCL42tablebody">
    <w:name w:val="UCL_4.2_table_body"/>
    <w:basedOn w:val="Normal"/>
    <w:qFormat/>
    <w:rsid w:val="009E6C5C"/>
    <w:pPr>
      <w:adjustRightInd w:val="0"/>
      <w:snapToGrid w:val="0"/>
      <w:spacing w:line="240" w:lineRule="auto"/>
      <w:jc w:val="left"/>
    </w:pPr>
    <w:rPr>
      <w:rFonts w:ascii="Times New Roman" w:eastAsia="Times New Roman" w:hAnsi="Times New Roman"/>
      <w:b/>
      <w:sz w:val="22"/>
      <w:szCs w:val="22"/>
      <w:lang w:eastAsia="de-DE" w:bidi="en-US"/>
    </w:rPr>
  </w:style>
  <w:style w:type="paragraph" w:customStyle="1" w:styleId="UCL43tablefooter">
    <w:name w:val="UCL_4.3_table_footer"/>
    <w:basedOn w:val="MDPI43tablefooter"/>
    <w:qFormat/>
    <w:rsid w:val="009E6C5C"/>
    <w:pPr>
      <w:spacing w:line="240" w:lineRule="auto"/>
      <w:jc w:val="center"/>
    </w:pPr>
    <w:rPr>
      <w:rFonts w:ascii="Times New Roman" w:hAnsi="Times New Roman" w:cs="Times New Roman"/>
      <w:sz w:val="22"/>
    </w:rPr>
  </w:style>
  <w:style w:type="paragraph" w:customStyle="1" w:styleId="UCL51figurebody">
    <w:name w:val="UCL_5.1_figure_body"/>
    <w:basedOn w:val="MDPI51figurecaption"/>
    <w:qFormat/>
    <w:rsid w:val="009E6C5C"/>
    <w:pPr>
      <w:spacing w:after="480" w:line="240" w:lineRule="auto"/>
      <w:ind w:left="0" w:right="0"/>
      <w:jc w:val="center"/>
    </w:pPr>
    <w:rPr>
      <w:rFonts w:ascii="Times New Roman" w:hAnsi="Times New Roman"/>
      <w:sz w:val="19"/>
      <w:szCs w:val="19"/>
    </w:rPr>
  </w:style>
  <w:style w:type="paragraph" w:customStyle="1" w:styleId="UCL51figurecaption">
    <w:name w:val="UCL_5.1_figure_caption"/>
    <w:basedOn w:val="MDPI51figurecaption"/>
    <w:qFormat/>
    <w:rsid w:val="009E6C5C"/>
    <w:pPr>
      <w:spacing w:after="480" w:line="240" w:lineRule="auto"/>
      <w:ind w:left="0" w:right="0"/>
      <w:jc w:val="left"/>
    </w:pPr>
    <w:rPr>
      <w:rFonts w:ascii="Times New Roman" w:hAnsi="Times New Roman"/>
      <w:sz w:val="19"/>
      <w:szCs w:val="19"/>
    </w:rPr>
  </w:style>
  <w:style w:type="paragraph" w:customStyle="1" w:styleId="UCLbackMattertext">
    <w:name w:val="UCL_backMatter_text"/>
    <w:basedOn w:val="MDPI21heading1"/>
    <w:qFormat/>
    <w:rsid w:val="009E6C5C"/>
    <w:pPr>
      <w:spacing w:line="240" w:lineRule="auto"/>
      <w:jc w:val="left"/>
    </w:pPr>
    <w:rPr>
      <w:rFonts w:ascii="Times New Roman" w:hAnsi="Times New Roman"/>
      <w:b w:val="0"/>
      <w:szCs w:val="20"/>
    </w:rPr>
  </w:style>
  <w:style w:type="paragraph" w:customStyle="1" w:styleId="UCLbackMattertitle">
    <w:name w:val="UCL_backMatter_title"/>
    <w:basedOn w:val="MDPI21heading1"/>
    <w:qFormat/>
    <w:rsid w:val="009E6C5C"/>
    <w:pPr>
      <w:spacing w:line="240" w:lineRule="auto"/>
      <w:jc w:val="left"/>
    </w:pPr>
    <w:rPr>
      <w:rFonts w:ascii="Times New Roman" w:hAnsi="Times New Roman"/>
      <w:sz w:val="22"/>
    </w:rPr>
  </w:style>
  <w:style w:type="paragraph" w:customStyle="1" w:styleId="UCLdeck13authornames">
    <w:name w:val="UCL_deck_1.3_authornames"/>
    <w:basedOn w:val="MDPI13authornames"/>
    <w:qFormat/>
    <w:rsid w:val="009E6C5C"/>
    <w:pPr>
      <w:spacing w:before="240" w:after="240" w:line="240" w:lineRule="auto"/>
    </w:pPr>
    <w:rPr>
      <w:rFonts w:ascii="Times New Roman" w:hAnsi="Times New Roman"/>
      <w:b w:val="0"/>
      <w:sz w:val="22"/>
    </w:rPr>
  </w:style>
  <w:style w:type="paragraph" w:customStyle="1" w:styleId="UCLfronttext">
    <w:name w:val="UCL_front_text"/>
    <w:basedOn w:val="Normal"/>
    <w:qFormat/>
    <w:rsid w:val="009E6C5C"/>
    <w:pPr>
      <w:autoSpaceDE w:val="0"/>
      <w:autoSpaceDN w:val="0"/>
      <w:adjustRightInd w:val="0"/>
      <w:snapToGrid w:val="0"/>
      <w:spacing w:line="240" w:lineRule="auto"/>
      <w:jc w:val="left"/>
    </w:pPr>
  </w:style>
  <w:style w:type="paragraph" w:customStyle="1" w:styleId="UCLfronttitle">
    <w:name w:val="UCL_front_title"/>
    <w:basedOn w:val="Normal"/>
    <w:qFormat/>
    <w:rsid w:val="009E6C5C"/>
    <w:pPr>
      <w:autoSpaceDE w:val="0"/>
      <w:autoSpaceDN w:val="0"/>
      <w:adjustRightInd w:val="0"/>
      <w:snapToGrid w:val="0"/>
      <w:spacing w:before="240" w:after="120" w:line="240" w:lineRule="auto"/>
      <w:jc w:val="left"/>
      <w:outlineLvl w:val="0"/>
    </w:pPr>
    <w:rPr>
      <w:rFonts w:eastAsia="SimSun"/>
      <w:b/>
      <w:bCs/>
      <w:color w:val="auto"/>
      <w:szCs w:val="24"/>
    </w:rPr>
  </w:style>
  <w:style w:type="paragraph" w:customStyle="1" w:styleId="UCLkeywords">
    <w:name w:val="UCL_keywords"/>
    <w:basedOn w:val="MDPI18keywords"/>
    <w:qFormat/>
    <w:rsid w:val="009E6C5C"/>
    <w:pPr>
      <w:spacing w:after="240" w:line="240" w:lineRule="auto"/>
      <w:ind w:left="0"/>
      <w:jc w:val="left"/>
    </w:pPr>
    <w:rPr>
      <w:rFonts w:ascii="Times New Roman" w:hAnsi="Times New Roman"/>
      <w:b/>
      <w:sz w:val="22"/>
    </w:rPr>
  </w:style>
  <w:style w:type="table" w:customStyle="1" w:styleId="UCLtablebody">
    <w:name w:val="UCL_table_body"/>
    <w:basedOn w:val="TableNormal"/>
    <w:uiPriority w:val="99"/>
    <w:rsid w:val="009E6C5C"/>
    <w:rPr>
      <w:rFonts w:ascii="Palatino Linotype" w:eastAsiaTheme="minorEastAsia" w:hAnsi="Palatino Linotype" w:cs="Times New Roman"/>
      <w:color w:val="000000"/>
      <w:sz w:val="20"/>
      <w:szCs w:val="20"/>
      <w:lang w:val="en-US" w:eastAsia="zh-CN"/>
    </w:rPr>
    <w:tblPr>
      <w:tblBorders>
        <w:top w:val="single" w:sz="4" w:space="0" w:color="auto"/>
        <w:bottom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141">
      <w:bodyDiv w:val="1"/>
      <w:marLeft w:val="0"/>
      <w:marRight w:val="0"/>
      <w:marTop w:val="0"/>
      <w:marBottom w:val="0"/>
      <w:divBdr>
        <w:top w:val="none" w:sz="0" w:space="0" w:color="auto"/>
        <w:left w:val="none" w:sz="0" w:space="0" w:color="auto"/>
        <w:bottom w:val="none" w:sz="0" w:space="0" w:color="auto"/>
        <w:right w:val="none" w:sz="0" w:space="0" w:color="auto"/>
      </w:divBdr>
    </w:div>
    <w:div w:id="22830478">
      <w:bodyDiv w:val="1"/>
      <w:marLeft w:val="0"/>
      <w:marRight w:val="0"/>
      <w:marTop w:val="0"/>
      <w:marBottom w:val="0"/>
      <w:divBdr>
        <w:top w:val="none" w:sz="0" w:space="0" w:color="auto"/>
        <w:left w:val="none" w:sz="0" w:space="0" w:color="auto"/>
        <w:bottom w:val="none" w:sz="0" w:space="0" w:color="auto"/>
        <w:right w:val="none" w:sz="0" w:space="0" w:color="auto"/>
      </w:divBdr>
    </w:div>
    <w:div w:id="23870754">
      <w:bodyDiv w:val="1"/>
      <w:marLeft w:val="0"/>
      <w:marRight w:val="0"/>
      <w:marTop w:val="0"/>
      <w:marBottom w:val="0"/>
      <w:divBdr>
        <w:top w:val="none" w:sz="0" w:space="0" w:color="auto"/>
        <w:left w:val="none" w:sz="0" w:space="0" w:color="auto"/>
        <w:bottom w:val="none" w:sz="0" w:space="0" w:color="auto"/>
        <w:right w:val="none" w:sz="0" w:space="0" w:color="auto"/>
      </w:divBdr>
    </w:div>
    <w:div w:id="66273774">
      <w:bodyDiv w:val="1"/>
      <w:marLeft w:val="0"/>
      <w:marRight w:val="0"/>
      <w:marTop w:val="0"/>
      <w:marBottom w:val="0"/>
      <w:divBdr>
        <w:top w:val="none" w:sz="0" w:space="0" w:color="auto"/>
        <w:left w:val="none" w:sz="0" w:space="0" w:color="auto"/>
        <w:bottom w:val="none" w:sz="0" w:space="0" w:color="auto"/>
        <w:right w:val="none" w:sz="0" w:space="0" w:color="auto"/>
      </w:divBdr>
    </w:div>
    <w:div w:id="124813104">
      <w:bodyDiv w:val="1"/>
      <w:marLeft w:val="0"/>
      <w:marRight w:val="0"/>
      <w:marTop w:val="0"/>
      <w:marBottom w:val="0"/>
      <w:divBdr>
        <w:top w:val="none" w:sz="0" w:space="0" w:color="auto"/>
        <w:left w:val="none" w:sz="0" w:space="0" w:color="auto"/>
        <w:bottom w:val="none" w:sz="0" w:space="0" w:color="auto"/>
        <w:right w:val="none" w:sz="0" w:space="0" w:color="auto"/>
      </w:divBdr>
    </w:div>
    <w:div w:id="130365557">
      <w:bodyDiv w:val="1"/>
      <w:marLeft w:val="0"/>
      <w:marRight w:val="0"/>
      <w:marTop w:val="0"/>
      <w:marBottom w:val="0"/>
      <w:divBdr>
        <w:top w:val="none" w:sz="0" w:space="0" w:color="auto"/>
        <w:left w:val="none" w:sz="0" w:space="0" w:color="auto"/>
        <w:bottom w:val="none" w:sz="0" w:space="0" w:color="auto"/>
        <w:right w:val="none" w:sz="0" w:space="0" w:color="auto"/>
      </w:divBdr>
    </w:div>
    <w:div w:id="137842044">
      <w:bodyDiv w:val="1"/>
      <w:marLeft w:val="0"/>
      <w:marRight w:val="0"/>
      <w:marTop w:val="0"/>
      <w:marBottom w:val="0"/>
      <w:divBdr>
        <w:top w:val="none" w:sz="0" w:space="0" w:color="auto"/>
        <w:left w:val="none" w:sz="0" w:space="0" w:color="auto"/>
        <w:bottom w:val="none" w:sz="0" w:space="0" w:color="auto"/>
        <w:right w:val="none" w:sz="0" w:space="0" w:color="auto"/>
      </w:divBdr>
    </w:div>
    <w:div w:id="173500665">
      <w:bodyDiv w:val="1"/>
      <w:marLeft w:val="0"/>
      <w:marRight w:val="0"/>
      <w:marTop w:val="0"/>
      <w:marBottom w:val="0"/>
      <w:divBdr>
        <w:top w:val="none" w:sz="0" w:space="0" w:color="auto"/>
        <w:left w:val="none" w:sz="0" w:space="0" w:color="auto"/>
        <w:bottom w:val="none" w:sz="0" w:space="0" w:color="auto"/>
        <w:right w:val="none" w:sz="0" w:space="0" w:color="auto"/>
      </w:divBdr>
    </w:div>
    <w:div w:id="194848596">
      <w:bodyDiv w:val="1"/>
      <w:marLeft w:val="0"/>
      <w:marRight w:val="0"/>
      <w:marTop w:val="0"/>
      <w:marBottom w:val="0"/>
      <w:divBdr>
        <w:top w:val="none" w:sz="0" w:space="0" w:color="auto"/>
        <w:left w:val="none" w:sz="0" w:space="0" w:color="auto"/>
        <w:bottom w:val="none" w:sz="0" w:space="0" w:color="auto"/>
        <w:right w:val="none" w:sz="0" w:space="0" w:color="auto"/>
      </w:divBdr>
    </w:div>
    <w:div w:id="287049523">
      <w:bodyDiv w:val="1"/>
      <w:marLeft w:val="0"/>
      <w:marRight w:val="0"/>
      <w:marTop w:val="0"/>
      <w:marBottom w:val="0"/>
      <w:divBdr>
        <w:top w:val="none" w:sz="0" w:space="0" w:color="auto"/>
        <w:left w:val="none" w:sz="0" w:space="0" w:color="auto"/>
        <w:bottom w:val="none" w:sz="0" w:space="0" w:color="auto"/>
        <w:right w:val="none" w:sz="0" w:space="0" w:color="auto"/>
      </w:divBdr>
    </w:div>
    <w:div w:id="315763992">
      <w:bodyDiv w:val="1"/>
      <w:marLeft w:val="0"/>
      <w:marRight w:val="0"/>
      <w:marTop w:val="0"/>
      <w:marBottom w:val="0"/>
      <w:divBdr>
        <w:top w:val="none" w:sz="0" w:space="0" w:color="auto"/>
        <w:left w:val="none" w:sz="0" w:space="0" w:color="auto"/>
        <w:bottom w:val="none" w:sz="0" w:space="0" w:color="auto"/>
        <w:right w:val="none" w:sz="0" w:space="0" w:color="auto"/>
      </w:divBdr>
    </w:div>
    <w:div w:id="320013709">
      <w:bodyDiv w:val="1"/>
      <w:marLeft w:val="0"/>
      <w:marRight w:val="0"/>
      <w:marTop w:val="0"/>
      <w:marBottom w:val="0"/>
      <w:divBdr>
        <w:top w:val="none" w:sz="0" w:space="0" w:color="auto"/>
        <w:left w:val="none" w:sz="0" w:space="0" w:color="auto"/>
        <w:bottom w:val="none" w:sz="0" w:space="0" w:color="auto"/>
        <w:right w:val="none" w:sz="0" w:space="0" w:color="auto"/>
      </w:divBdr>
    </w:div>
    <w:div w:id="322047984">
      <w:bodyDiv w:val="1"/>
      <w:marLeft w:val="0"/>
      <w:marRight w:val="0"/>
      <w:marTop w:val="0"/>
      <w:marBottom w:val="0"/>
      <w:divBdr>
        <w:top w:val="none" w:sz="0" w:space="0" w:color="auto"/>
        <w:left w:val="none" w:sz="0" w:space="0" w:color="auto"/>
        <w:bottom w:val="none" w:sz="0" w:space="0" w:color="auto"/>
        <w:right w:val="none" w:sz="0" w:space="0" w:color="auto"/>
      </w:divBdr>
      <w:divsChild>
        <w:div w:id="641347835">
          <w:marLeft w:val="0"/>
          <w:marRight w:val="0"/>
          <w:marTop w:val="120"/>
          <w:marBottom w:val="360"/>
          <w:divBdr>
            <w:top w:val="none" w:sz="0" w:space="0" w:color="auto"/>
            <w:left w:val="none" w:sz="0" w:space="0" w:color="auto"/>
            <w:bottom w:val="none" w:sz="0" w:space="0" w:color="auto"/>
            <w:right w:val="none" w:sz="0" w:space="0" w:color="auto"/>
          </w:divBdr>
          <w:divsChild>
            <w:div w:id="407000484">
              <w:marLeft w:val="420"/>
              <w:marRight w:val="0"/>
              <w:marTop w:val="0"/>
              <w:marBottom w:val="0"/>
              <w:divBdr>
                <w:top w:val="none" w:sz="0" w:space="0" w:color="auto"/>
                <w:left w:val="none" w:sz="0" w:space="0" w:color="auto"/>
                <w:bottom w:val="none" w:sz="0" w:space="0" w:color="auto"/>
                <w:right w:val="none" w:sz="0" w:space="0" w:color="auto"/>
              </w:divBdr>
              <w:divsChild>
                <w:div w:id="258879151">
                  <w:marLeft w:val="0"/>
                  <w:marRight w:val="0"/>
                  <w:marTop w:val="34"/>
                  <w:marBottom w:val="34"/>
                  <w:divBdr>
                    <w:top w:val="none" w:sz="0" w:space="0" w:color="auto"/>
                    <w:left w:val="none" w:sz="0" w:space="0" w:color="auto"/>
                    <w:bottom w:val="none" w:sz="0" w:space="0" w:color="auto"/>
                    <w:right w:val="none" w:sz="0" w:space="0" w:color="auto"/>
                  </w:divBdr>
                </w:div>
                <w:div w:id="1912235726">
                  <w:marLeft w:val="0"/>
                  <w:marRight w:val="0"/>
                  <w:marTop w:val="0"/>
                  <w:marBottom w:val="0"/>
                  <w:divBdr>
                    <w:top w:val="none" w:sz="0" w:space="0" w:color="auto"/>
                    <w:left w:val="none" w:sz="0" w:space="0" w:color="auto"/>
                    <w:bottom w:val="none" w:sz="0" w:space="0" w:color="auto"/>
                    <w:right w:val="none" w:sz="0" w:space="0" w:color="auto"/>
                  </w:divBdr>
                  <w:divsChild>
                    <w:div w:id="1393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2092">
              <w:marLeft w:val="0"/>
              <w:marRight w:val="0"/>
              <w:marTop w:val="0"/>
              <w:marBottom w:val="0"/>
              <w:divBdr>
                <w:top w:val="none" w:sz="0" w:space="0" w:color="auto"/>
                <w:left w:val="none" w:sz="0" w:space="0" w:color="auto"/>
                <w:bottom w:val="none" w:sz="0" w:space="0" w:color="auto"/>
                <w:right w:val="none" w:sz="0" w:space="0" w:color="auto"/>
              </w:divBdr>
            </w:div>
          </w:divsChild>
        </w:div>
        <w:div w:id="1060398797">
          <w:marLeft w:val="0"/>
          <w:marRight w:val="0"/>
          <w:marTop w:val="120"/>
          <w:marBottom w:val="360"/>
          <w:divBdr>
            <w:top w:val="none" w:sz="0" w:space="0" w:color="auto"/>
            <w:left w:val="none" w:sz="0" w:space="0" w:color="auto"/>
            <w:bottom w:val="none" w:sz="0" w:space="0" w:color="auto"/>
            <w:right w:val="none" w:sz="0" w:space="0" w:color="auto"/>
          </w:divBdr>
          <w:divsChild>
            <w:div w:id="1784306813">
              <w:marLeft w:val="420"/>
              <w:marRight w:val="0"/>
              <w:marTop w:val="0"/>
              <w:marBottom w:val="0"/>
              <w:divBdr>
                <w:top w:val="none" w:sz="0" w:space="0" w:color="auto"/>
                <w:left w:val="none" w:sz="0" w:space="0" w:color="auto"/>
                <w:bottom w:val="none" w:sz="0" w:space="0" w:color="auto"/>
                <w:right w:val="none" w:sz="0" w:space="0" w:color="auto"/>
              </w:divBdr>
              <w:divsChild>
                <w:div w:id="177355203">
                  <w:marLeft w:val="0"/>
                  <w:marRight w:val="0"/>
                  <w:marTop w:val="34"/>
                  <w:marBottom w:val="34"/>
                  <w:divBdr>
                    <w:top w:val="none" w:sz="0" w:space="0" w:color="auto"/>
                    <w:left w:val="none" w:sz="0" w:space="0" w:color="auto"/>
                    <w:bottom w:val="none" w:sz="0" w:space="0" w:color="auto"/>
                    <w:right w:val="none" w:sz="0" w:space="0" w:color="auto"/>
                  </w:divBdr>
                </w:div>
                <w:div w:id="1436172592">
                  <w:marLeft w:val="0"/>
                  <w:marRight w:val="0"/>
                  <w:marTop w:val="0"/>
                  <w:marBottom w:val="0"/>
                  <w:divBdr>
                    <w:top w:val="none" w:sz="0" w:space="0" w:color="auto"/>
                    <w:left w:val="none" w:sz="0" w:space="0" w:color="auto"/>
                    <w:bottom w:val="none" w:sz="0" w:space="0" w:color="auto"/>
                    <w:right w:val="none" w:sz="0" w:space="0" w:color="auto"/>
                  </w:divBdr>
                  <w:divsChild>
                    <w:div w:id="20740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129800">
      <w:bodyDiv w:val="1"/>
      <w:marLeft w:val="0"/>
      <w:marRight w:val="0"/>
      <w:marTop w:val="0"/>
      <w:marBottom w:val="0"/>
      <w:divBdr>
        <w:top w:val="none" w:sz="0" w:space="0" w:color="auto"/>
        <w:left w:val="none" w:sz="0" w:space="0" w:color="auto"/>
        <w:bottom w:val="none" w:sz="0" w:space="0" w:color="auto"/>
        <w:right w:val="none" w:sz="0" w:space="0" w:color="auto"/>
      </w:divBdr>
    </w:div>
    <w:div w:id="407658596">
      <w:bodyDiv w:val="1"/>
      <w:marLeft w:val="0"/>
      <w:marRight w:val="0"/>
      <w:marTop w:val="0"/>
      <w:marBottom w:val="0"/>
      <w:divBdr>
        <w:top w:val="none" w:sz="0" w:space="0" w:color="auto"/>
        <w:left w:val="none" w:sz="0" w:space="0" w:color="auto"/>
        <w:bottom w:val="none" w:sz="0" w:space="0" w:color="auto"/>
        <w:right w:val="none" w:sz="0" w:space="0" w:color="auto"/>
      </w:divBdr>
    </w:div>
    <w:div w:id="465661744">
      <w:bodyDiv w:val="1"/>
      <w:marLeft w:val="0"/>
      <w:marRight w:val="0"/>
      <w:marTop w:val="0"/>
      <w:marBottom w:val="0"/>
      <w:divBdr>
        <w:top w:val="none" w:sz="0" w:space="0" w:color="auto"/>
        <w:left w:val="none" w:sz="0" w:space="0" w:color="auto"/>
        <w:bottom w:val="none" w:sz="0" w:space="0" w:color="auto"/>
        <w:right w:val="none" w:sz="0" w:space="0" w:color="auto"/>
      </w:divBdr>
    </w:div>
    <w:div w:id="475875881">
      <w:bodyDiv w:val="1"/>
      <w:marLeft w:val="0"/>
      <w:marRight w:val="0"/>
      <w:marTop w:val="0"/>
      <w:marBottom w:val="0"/>
      <w:divBdr>
        <w:top w:val="none" w:sz="0" w:space="0" w:color="auto"/>
        <w:left w:val="none" w:sz="0" w:space="0" w:color="auto"/>
        <w:bottom w:val="none" w:sz="0" w:space="0" w:color="auto"/>
        <w:right w:val="none" w:sz="0" w:space="0" w:color="auto"/>
      </w:divBdr>
    </w:div>
    <w:div w:id="476652917">
      <w:bodyDiv w:val="1"/>
      <w:marLeft w:val="0"/>
      <w:marRight w:val="0"/>
      <w:marTop w:val="0"/>
      <w:marBottom w:val="0"/>
      <w:divBdr>
        <w:top w:val="none" w:sz="0" w:space="0" w:color="auto"/>
        <w:left w:val="none" w:sz="0" w:space="0" w:color="auto"/>
        <w:bottom w:val="none" w:sz="0" w:space="0" w:color="auto"/>
        <w:right w:val="none" w:sz="0" w:space="0" w:color="auto"/>
      </w:divBdr>
    </w:div>
    <w:div w:id="536896381">
      <w:bodyDiv w:val="1"/>
      <w:marLeft w:val="0"/>
      <w:marRight w:val="0"/>
      <w:marTop w:val="0"/>
      <w:marBottom w:val="0"/>
      <w:divBdr>
        <w:top w:val="none" w:sz="0" w:space="0" w:color="auto"/>
        <w:left w:val="none" w:sz="0" w:space="0" w:color="auto"/>
        <w:bottom w:val="none" w:sz="0" w:space="0" w:color="auto"/>
        <w:right w:val="none" w:sz="0" w:space="0" w:color="auto"/>
      </w:divBdr>
    </w:div>
    <w:div w:id="550506028">
      <w:bodyDiv w:val="1"/>
      <w:marLeft w:val="0"/>
      <w:marRight w:val="0"/>
      <w:marTop w:val="0"/>
      <w:marBottom w:val="0"/>
      <w:divBdr>
        <w:top w:val="none" w:sz="0" w:space="0" w:color="auto"/>
        <w:left w:val="none" w:sz="0" w:space="0" w:color="auto"/>
        <w:bottom w:val="none" w:sz="0" w:space="0" w:color="auto"/>
        <w:right w:val="none" w:sz="0" w:space="0" w:color="auto"/>
      </w:divBdr>
    </w:div>
    <w:div w:id="554320089">
      <w:bodyDiv w:val="1"/>
      <w:marLeft w:val="0"/>
      <w:marRight w:val="0"/>
      <w:marTop w:val="0"/>
      <w:marBottom w:val="0"/>
      <w:divBdr>
        <w:top w:val="none" w:sz="0" w:space="0" w:color="auto"/>
        <w:left w:val="none" w:sz="0" w:space="0" w:color="auto"/>
        <w:bottom w:val="none" w:sz="0" w:space="0" w:color="auto"/>
        <w:right w:val="none" w:sz="0" w:space="0" w:color="auto"/>
      </w:divBdr>
    </w:div>
    <w:div w:id="557857266">
      <w:bodyDiv w:val="1"/>
      <w:marLeft w:val="0"/>
      <w:marRight w:val="0"/>
      <w:marTop w:val="0"/>
      <w:marBottom w:val="0"/>
      <w:divBdr>
        <w:top w:val="none" w:sz="0" w:space="0" w:color="auto"/>
        <w:left w:val="none" w:sz="0" w:space="0" w:color="auto"/>
        <w:bottom w:val="none" w:sz="0" w:space="0" w:color="auto"/>
        <w:right w:val="none" w:sz="0" w:space="0" w:color="auto"/>
      </w:divBdr>
    </w:div>
    <w:div w:id="566260499">
      <w:bodyDiv w:val="1"/>
      <w:marLeft w:val="0"/>
      <w:marRight w:val="0"/>
      <w:marTop w:val="0"/>
      <w:marBottom w:val="0"/>
      <w:divBdr>
        <w:top w:val="none" w:sz="0" w:space="0" w:color="auto"/>
        <w:left w:val="none" w:sz="0" w:space="0" w:color="auto"/>
        <w:bottom w:val="none" w:sz="0" w:space="0" w:color="auto"/>
        <w:right w:val="none" w:sz="0" w:space="0" w:color="auto"/>
      </w:divBdr>
    </w:div>
    <w:div w:id="572277802">
      <w:bodyDiv w:val="1"/>
      <w:marLeft w:val="0"/>
      <w:marRight w:val="0"/>
      <w:marTop w:val="0"/>
      <w:marBottom w:val="0"/>
      <w:divBdr>
        <w:top w:val="none" w:sz="0" w:space="0" w:color="auto"/>
        <w:left w:val="none" w:sz="0" w:space="0" w:color="auto"/>
        <w:bottom w:val="none" w:sz="0" w:space="0" w:color="auto"/>
        <w:right w:val="none" w:sz="0" w:space="0" w:color="auto"/>
      </w:divBdr>
      <w:divsChild>
        <w:div w:id="68892273">
          <w:marLeft w:val="0"/>
          <w:marRight w:val="0"/>
          <w:marTop w:val="0"/>
          <w:marBottom w:val="0"/>
          <w:divBdr>
            <w:top w:val="none" w:sz="0" w:space="0" w:color="auto"/>
            <w:left w:val="none" w:sz="0" w:space="0" w:color="auto"/>
            <w:bottom w:val="none" w:sz="0" w:space="0" w:color="auto"/>
            <w:right w:val="none" w:sz="0" w:space="0" w:color="auto"/>
          </w:divBdr>
        </w:div>
      </w:divsChild>
    </w:div>
    <w:div w:id="582572877">
      <w:bodyDiv w:val="1"/>
      <w:marLeft w:val="0"/>
      <w:marRight w:val="0"/>
      <w:marTop w:val="0"/>
      <w:marBottom w:val="0"/>
      <w:divBdr>
        <w:top w:val="none" w:sz="0" w:space="0" w:color="auto"/>
        <w:left w:val="none" w:sz="0" w:space="0" w:color="auto"/>
        <w:bottom w:val="none" w:sz="0" w:space="0" w:color="auto"/>
        <w:right w:val="none" w:sz="0" w:space="0" w:color="auto"/>
      </w:divBdr>
    </w:div>
    <w:div w:id="614026356">
      <w:bodyDiv w:val="1"/>
      <w:marLeft w:val="0"/>
      <w:marRight w:val="0"/>
      <w:marTop w:val="0"/>
      <w:marBottom w:val="0"/>
      <w:divBdr>
        <w:top w:val="none" w:sz="0" w:space="0" w:color="auto"/>
        <w:left w:val="none" w:sz="0" w:space="0" w:color="auto"/>
        <w:bottom w:val="none" w:sz="0" w:space="0" w:color="auto"/>
        <w:right w:val="none" w:sz="0" w:space="0" w:color="auto"/>
      </w:divBdr>
    </w:div>
    <w:div w:id="620038363">
      <w:bodyDiv w:val="1"/>
      <w:marLeft w:val="0"/>
      <w:marRight w:val="0"/>
      <w:marTop w:val="0"/>
      <w:marBottom w:val="0"/>
      <w:divBdr>
        <w:top w:val="none" w:sz="0" w:space="0" w:color="auto"/>
        <w:left w:val="none" w:sz="0" w:space="0" w:color="auto"/>
        <w:bottom w:val="none" w:sz="0" w:space="0" w:color="auto"/>
        <w:right w:val="none" w:sz="0" w:space="0" w:color="auto"/>
      </w:divBdr>
    </w:div>
    <w:div w:id="647125667">
      <w:bodyDiv w:val="1"/>
      <w:marLeft w:val="0"/>
      <w:marRight w:val="0"/>
      <w:marTop w:val="0"/>
      <w:marBottom w:val="0"/>
      <w:divBdr>
        <w:top w:val="none" w:sz="0" w:space="0" w:color="auto"/>
        <w:left w:val="none" w:sz="0" w:space="0" w:color="auto"/>
        <w:bottom w:val="none" w:sz="0" w:space="0" w:color="auto"/>
        <w:right w:val="none" w:sz="0" w:space="0" w:color="auto"/>
      </w:divBdr>
    </w:div>
    <w:div w:id="655306951">
      <w:bodyDiv w:val="1"/>
      <w:marLeft w:val="0"/>
      <w:marRight w:val="0"/>
      <w:marTop w:val="0"/>
      <w:marBottom w:val="0"/>
      <w:divBdr>
        <w:top w:val="none" w:sz="0" w:space="0" w:color="auto"/>
        <w:left w:val="none" w:sz="0" w:space="0" w:color="auto"/>
        <w:bottom w:val="none" w:sz="0" w:space="0" w:color="auto"/>
        <w:right w:val="none" w:sz="0" w:space="0" w:color="auto"/>
      </w:divBdr>
    </w:div>
    <w:div w:id="655458096">
      <w:bodyDiv w:val="1"/>
      <w:marLeft w:val="0"/>
      <w:marRight w:val="0"/>
      <w:marTop w:val="0"/>
      <w:marBottom w:val="0"/>
      <w:divBdr>
        <w:top w:val="none" w:sz="0" w:space="0" w:color="auto"/>
        <w:left w:val="none" w:sz="0" w:space="0" w:color="auto"/>
        <w:bottom w:val="none" w:sz="0" w:space="0" w:color="auto"/>
        <w:right w:val="none" w:sz="0" w:space="0" w:color="auto"/>
      </w:divBdr>
    </w:div>
    <w:div w:id="685520999">
      <w:bodyDiv w:val="1"/>
      <w:marLeft w:val="0"/>
      <w:marRight w:val="0"/>
      <w:marTop w:val="0"/>
      <w:marBottom w:val="0"/>
      <w:divBdr>
        <w:top w:val="none" w:sz="0" w:space="0" w:color="auto"/>
        <w:left w:val="none" w:sz="0" w:space="0" w:color="auto"/>
        <w:bottom w:val="none" w:sz="0" w:space="0" w:color="auto"/>
        <w:right w:val="none" w:sz="0" w:space="0" w:color="auto"/>
      </w:divBdr>
    </w:div>
    <w:div w:id="687365335">
      <w:bodyDiv w:val="1"/>
      <w:marLeft w:val="0"/>
      <w:marRight w:val="0"/>
      <w:marTop w:val="0"/>
      <w:marBottom w:val="0"/>
      <w:divBdr>
        <w:top w:val="none" w:sz="0" w:space="0" w:color="auto"/>
        <w:left w:val="none" w:sz="0" w:space="0" w:color="auto"/>
        <w:bottom w:val="none" w:sz="0" w:space="0" w:color="auto"/>
        <w:right w:val="none" w:sz="0" w:space="0" w:color="auto"/>
      </w:divBdr>
    </w:div>
    <w:div w:id="688213595">
      <w:bodyDiv w:val="1"/>
      <w:marLeft w:val="0"/>
      <w:marRight w:val="0"/>
      <w:marTop w:val="0"/>
      <w:marBottom w:val="0"/>
      <w:divBdr>
        <w:top w:val="none" w:sz="0" w:space="0" w:color="auto"/>
        <w:left w:val="none" w:sz="0" w:space="0" w:color="auto"/>
        <w:bottom w:val="none" w:sz="0" w:space="0" w:color="auto"/>
        <w:right w:val="none" w:sz="0" w:space="0" w:color="auto"/>
      </w:divBdr>
    </w:div>
    <w:div w:id="692464104">
      <w:bodyDiv w:val="1"/>
      <w:marLeft w:val="0"/>
      <w:marRight w:val="0"/>
      <w:marTop w:val="0"/>
      <w:marBottom w:val="0"/>
      <w:divBdr>
        <w:top w:val="none" w:sz="0" w:space="0" w:color="auto"/>
        <w:left w:val="none" w:sz="0" w:space="0" w:color="auto"/>
        <w:bottom w:val="none" w:sz="0" w:space="0" w:color="auto"/>
        <w:right w:val="none" w:sz="0" w:space="0" w:color="auto"/>
      </w:divBdr>
    </w:div>
    <w:div w:id="707880297">
      <w:bodyDiv w:val="1"/>
      <w:marLeft w:val="0"/>
      <w:marRight w:val="0"/>
      <w:marTop w:val="0"/>
      <w:marBottom w:val="0"/>
      <w:divBdr>
        <w:top w:val="none" w:sz="0" w:space="0" w:color="auto"/>
        <w:left w:val="none" w:sz="0" w:space="0" w:color="auto"/>
        <w:bottom w:val="none" w:sz="0" w:space="0" w:color="auto"/>
        <w:right w:val="none" w:sz="0" w:space="0" w:color="auto"/>
      </w:divBdr>
    </w:div>
    <w:div w:id="737441319">
      <w:bodyDiv w:val="1"/>
      <w:marLeft w:val="0"/>
      <w:marRight w:val="0"/>
      <w:marTop w:val="0"/>
      <w:marBottom w:val="0"/>
      <w:divBdr>
        <w:top w:val="none" w:sz="0" w:space="0" w:color="auto"/>
        <w:left w:val="none" w:sz="0" w:space="0" w:color="auto"/>
        <w:bottom w:val="none" w:sz="0" w:space="0" w:color="auto"/>
        <w:right w:val="none" w:sz="0" w:space="0" w:color="auto"/>
      </w:divBdr>
    </w:div>
    <w:div w:id="762920580">
      <w:bodyDiv w:val="1"/>
      <w:marLeft w:val="0"/>
      <w:marRight w:val="0"/>
      <w:marTop w:val="0"/>
      <w:marBottom w:val="0"/>
      <w:divBdr>
        <w:top w:val="none" w:sz="0" w:space="0" w:color="auto"/>
        <w:left w:val="none" w:sz="0" w:space="0" w:color="auto"/>
        <w:bottom w:val="none" w:sz="0" w:space="0" w:color="auto"/>
        <w:right w:val="none" w:sz="0" w:space="0" w:color="auto"/>
      </w:divBdr>
    </w:div>
    <w:div w:id="764348859">
      <w:bodyDiv w:val="1"/>
      <w:marLeft w:val="0"/>
      <w:marRight w:val="0"/>
      <w:marTop w:val="0"/>
      <w:marBottom w:val="0"/>
      <w:divBdr>
        <w:top w:val="none" w:sz="0" w:space="0" w:color="auto"/>
        <w:left w:val="none" w:sz="0" w:space="0" w:color="auto"/>
        <w:bottom w:val="none" w:sz="0" w:space="0" w:color="auto"/>
        <w:right w:val="none" w:sz="0" w:space="0" w:color="auto"/>
      </w:divBdr>
    </w:div>
    <w:div w:id="789857298">
      <w:bodyDiv w:val="1"/>
      <w:marLeft w:val="0"/>
      <w:marRight w:val="0"/>
      <w:marTop w:val="0"/>
      <w:marBottom w:val="0"/>
      <w:divBdr>
        <w:top w:val="none" w:sz="0" w:space="0" w:color="auto"/>
        <w:left w:val="none" w:sz="0" w:space="0" w:color="auto"/>
        <w:bottom w:val="none" w:sz="0" w:space="0" w:color="auto"/>
        <w:right w:val="none" w:sz="0" w:space="0" w:color="auto"/>
      </w:divBdr>
    </w:div>
    <w:div w:id="807431197">
      <w:bodyDiv w:val="1"/>
      <w:marLeft w:val="0"/>
      <w:marRight w:val="0"/>
      <w:marTop w:val="0"/>
      <w:marBottom w:val="0"/>
      <w:divBdr>
        <w:top w:val="none" w:sz="0" w:space="0" w:color="auto"/>
        <w:left w:val="none" w:sz="0" w:space="0" w:color="auto"/>
        <w:bottom w:val="none" w:sz="0" w:space="0" w:color="auto"/>
        <w:right w:val="none" w:sz="0" w:space="0" w:color="auto"/>
      </w:divBdr>
    </w:div>
    <w:div w:id="824587869">
      <w:bodyDiv w:val="1"/>
      <w:marLeft w:val="0"/>
      <w:marRight w:val="0"/>
      <w:marTop w:val="0"/>
      <w:marBottom w:val="0"/>
      <w:divBdr>
        <w:top w:val="none" w:sz="0" w:space="0" w:color="auto"/>
        <w:left w:val="none" w:sz="0" w:space="0" w:color="auto"/>
        <w:bottom w:val="none" w:sz="0" w:space="0" w:color="auto"/>
        <w:right w:val="none" w:sz="0" w:space="0" w:color="auto"/>
      </w:divBdr>
    </w:div>
    <w:div w:id="943152304">
      <w:bodyDiv w:val="1"/>
      <w:marLeft w:val="0"/>
      <w:marRight w:val="0"/>
      <w:marTop w:val="0"/>
      <w:marBottom w:val="0"/>
      <w:divBdr>
        <w:top w:val="none" w:sz="0" w:space="0" w:color="auto"/>
        <w:left w:val="none" w:sz="0" w:space="0" w:color="auto"/>
        <w:bottom w:val="none" w:sz="0" w:space="0" w:color="auto"/>
        <w:right w:val="none" w:sz="0" w:space="0" w:color="auto"/>
      </w:divBdr>
    </w:div>
    <w:div w:id="999236408">
      <w:bodyDiv w:val="1"/>
      <w:marLeft w:val="0"/>
      <w:marRight w:val="0"/>
      <w:marTop w:val="0"/>
      <w:marBottom w:val="0"/>
      <w:divBdr>
        <w:top w:val="none" w:sz="0" w:space="0" w:color="auto"/>
        <w:left w:val="none" w:sz="0" w:space="0" w:color="auto"/>
        <w:bottom w:val="none" w:sz="0" w:space="0" w:color="auto"/>
        <w:right w:val="none" w:sz="0" w:space="0" w:color="auto"/>
      </w:divBdr>
    </w:div>
    <w:div w:id="1061102027">
      <w:bodyDiv w:val="1"/>
      <w:marLeft w:val="0"/>
      <w:marRight w:val="0"/>
      <w:marTop w:val="0"/>
      <w:marBottom w:val="0"/>
      <w:divBdr>
        <w:top w:val="none" w:sz="0" w:space="0" w:color="auto"/>
        <w:left w:val="none" w:sz="0" w:space="0" w:color="auto"/>
        <w:bottom w:val="none" w:sz="0" w:space="0" w:color="auto"/>
        <w:right w:val="none" w:sz="0" w:space="0" w:color="auto"/>
      </w:divBdr>
    </w:div>
    <w:div w:id="1061516479">
      <w:bodyDiv w:val="1"/>
      <w:marLeft w:val="0"/>
      <w:marRight w:val="0"/>
      <w:marTop w:val="0"/>
      <w:marBottom w:val="0"/>
      <w:divBdr>
        <w:top w:val="none" w:sz="0" w:space="0" w:color="auto"/>
        <w:left w:val="none" w:sz="0" w:space="0" w:color="auto"/>
        <w:bottom w:val="none" w:sz="0" w:space="0" w:color="auto"/>
        <w:right w:val="none" w:sz="0" w:space="0" w:color="auto"/>
      </w:divBdr>
    </w:div>
    <w:div w:id="1064182739">
      <w:bodyDiv w:val="1"/>
      <w:marLeft w:val="0"/>
      <w:marRight w:val="0"/>
      <w:marTop w:val="0"/>
      <w:marBottom w:val="0"/>
      <w:divBdr>
        <w:top w:val="none" w:sz="0" w:space="0" w:color="auto"/>
        <w:left w:val="none" w:sz="0" w:space="0" w:color="auto"/>
        <w:bottom w:val="none" w:sz="0" w:space="0" w:color="auto"/>
        <w:right w:val="none" w:sz="0" w:space="0" w:color="auto"/>
      </w:divBdr>
    </w:div>
    <w:div w:id="1077902966">
      <w:bodyDiv w:val="1"/>
      <w:marLeft w:val="0"/>
      <w:marRight w:val="0"/>
      <w:marTop w:val="0"/>
      <w:marBottom w:val="0"/>
      <w:divBdr>
        <w:top w:val="none" w:sz="0" w:space="0" w:color="auto"/>
        <w:left w:val="none" w:sz="0" w:space="0" w:color="auto"/>
        <w:bottom w:val="none" w:sz="0" w:space="0" w:color="auto"/>
        <w:right w:val="none" w:sz="0" w:space="0" w:color="auto"/>
      </w:divBdr>
    </w:div>
    <w:div w:id="1092700884">
      <w:bodyDiv w:val="1"/>
      <w:marLeft w:val="0"/>
      <w:marRight w:val="0"/>
      <w:marTop w:val="0"/>
      <w:marBottom w:val="0"/>
      <w:divBdr>
        <w:top w:val="none" w:sz="0" w:space="0" w:color="auto"/>
        <w:left w:val="none" w:sz="0" w:space="0" w:color="auto"/>
        <w:bottom w:val="none" w:sz="0" w:space="0" w:color="auto"/>
        <w:right w:val="none" w:sz="0" w:space="0" w:color="auto"/>
      </w:divBdr>
    </w:div>
    <w:div w:id="1099764373">
      <w:bodyDiv w:val="1"/>
      <w:marLeft w:val="0"/>
      <w:marRight w:val="0"/>
      <w:marTop w:val="0"/>
      <w:marBottom w:val="0"/>
      <w:divBdr>
        <w:top w:val="none" w:sz="0" w:space="0" w:color="auto"/>
        <w:left w:val="none" w:sz="0" w:space="0" w:color="auto"/>
        <w:bottom w:val="none" w:sz="0" w:space="0" w:color="auto"/>
        <w:right w:val="none" w:sz="0" w:space="0" w:color="auto"/>
      </w:divBdr>
    </w:div>
    <w:div w:id="1218541971">
      <w:bodyDiv w:val="1"/>
      <w:marLeft w:val="0"/>
      <w:marRight w:val="0"/>
      <w:marTop w:val="0"/>
      <w:marBottom w:val="0"/>
      <w:divBdr>
        <w:top w:val="none" w:sz="0" w:space="0" w:color="auto"/>
        <w:left w:val="none" w:sz="0" w:space="0" w:color="auto"/>
        <w:bottom w:val="none" w:sz="0" w:space="0" w:color="auto"/>
        <w:right w:val="none" w:sz="0" w:space="0" w:color="auto"/>
      </w:divBdr>
    </w:div>
    <w:div w:id="1219367311">
      <w:bodyDiv w:val="1"/>
      <w:marLeft w:val="0"/>
      <w:marRight w:val="0"/>
      <w:marTop w:val="0"/>
      <w:marBottom w:val="0"/>
      <w:divBdr>
        <w:top w:val="none" w:sz="0" w:space="0" w:color="auto"/>
        <w:left w:val="none" w:sz="0" w:space="0" w:color="auto"/>
        <w:bottom w:val="none" w:sz="0" w:space="0" w:color="auto"/>
        <w:right w:val="none" w:sz="0" w:space="0" w:color="auto"/>
      </w:divBdr>
    </w:div>
    <w:div w:id="1241715644">
      <w:bodyDiv w:val="1"/>
      <w:marLeft w:val="0"/>
      <w:marRight w:val="0"/>
      <w:marTop w:val="0"/>
      <w:marBottom w:val="0"/>
      <w:divBdr>
        <w:top w:val="none" w:sz="0" w:space="0" w:color="auto"/>
        <w:left w:val="none" w:sz="0" w:space="0" w:color="auto"/>
        <w:bottom w:val="none" w:sz="0" w:space="0" w:color="auto"/>
        <w:right w:val="none" w:sz="0" w:space="0" w:color="auto"/>
      </w:divBdr>
    </w:div>
    <w:div w:id="1246453743">
      <w:bodyDiv w:val="1"/>
      <w:marLeft w:val="0"/>
      <w:marRight w:val="0"/>
      <w:marTop w:val="0"/>
      <w:marBottom w:val="0"/>
      <w:divBdr>
        <w:top w:val="none" w:sz="0" w:space="0" w:color="auto"/>
        <w:left w:val="none" w:sz="0" w:space="0" w:color="auto"/>
        <w:bottom w:val="none" w:sz="0" w:space="0" w:color="auto"/>
        <w:right w:val="none" w:sz="0" w:space="0" w:color="auto"/>
      </w:divBdr>
    </w:div>
    <w:div w:id="1257329027">
      <w:bodyDiv w:val="1"/>
      <w:marLeft w:val="0"/>
      <w:marRight w:val="0"/>
      <w:marTop w:val="0"/>
      <w:marBottom w:val="0"/>
      <w:divBdr>
        <w:top w:val="none" w:sz="0" w:space="0" w:color="auto"/>
        <w:left w:val="none" w:sz="0" w:space="0" w:color="auto"/>
        <w:bottom w:val="none" w:sz="0" w:space="0" w:color="auto"/>
        <w:right w:val="none" w:sz="0" w:space="0" w:color="auto"/>
      </w:divBdr>
    </w:div>
    <w:div w:id="1297032293">
      <w:bodyDiv w:val="1"/>
      <w:marLeft w:val="0"/>
      <w:marRight w:val="0"/>
      <w:marTop w:val="0"/>
      <w:marBottom w:val="0"/>
      <w:divBdr>
        <w:top w:val="none" w:sz="0" w:space="0" w:color="auto"/>
        <w:left w:val="none" w:sz="0" w:space="0" w:color="auto"/>
        <w:bottom w:val="none" w:sz="0" w:space="0" w:color="auto"/>
        <w:right w:val="none" w:sz="0" w:space="0" w:color="auto"/>
      </w:divBdr>
    </w:div>
    <w:div w:id="1308898220">
      <w:bodyDiv w:val="1"/>
      <w:marLeft w:val="0"/>
      <w:marRight w:val="0"/>
      <w:marTop w:val="0"/>
      <w:marBottom w:val="0"/>
      <w:divBdr>
        <w:top w:val="none" w:sz="0" w:space="0" w:color="auto"/>
        <w:left w:val="none" w:sz="0" w:space="0" w:color="auto"/>
        <w:bottom w:val="none" w:sz="0" w:space="0" w:color="auto"/>
        <w:right w:val="none" w:sz="0" w:space="0" w:color="auto"/>
      </w:divBdr>
      <w:divsChild>
        <w:div w:id="209659935">
          <w:marLeft w:val="0"/>
          <w:marRight w:val="0"/>
          <w:marTop w:val="0"/>
          <w:marBottom w:val="0"/>
          <w:divBdr>
            <w:top w:val="none" w:sz="0" w:space="0" w:color="auto"/>
            <w:left w:val="none" w:sz="0" w:space="0" w:color="auto"/>
            <w:bottom w:val="none" w:sz="0" w:space="0" w:color="auto"/>
            <w:right w:val="none" w:sz="0" w:space="0" w:color="auto"/>
          </w:divBdr>
          <w:divsChild>
            <w:div w:id="247154333">
              <w:marLeft w:val="0"/>
              <w:marRight w:val="0"/>
              <w:marTop w:val="0"/>
              <w:marBottom w:val="0"/>
              <w:divBdr>
                <w:top w:val="none" w:sz="0" w:space="0" w:color="auto"/>
                <w:left w:val="none" w:sz="0" w:space="0" w:color="auto"/>
                <w:bottom w:val="none" w:sz="0" w:space="0" w:color="auto"/>
                <w:right w:val="none" w:sz="0" w:space="0" w:color="auto"/>
              </w:divBdr>
            </w:div>
          </w:divsChild>
        </w:div>
        <w:div w:id="946699597">
          <w:marLeft w:val="0"/>
          <w:marRight w:val="0"/>
          <w:marTop w:val="75"/>
          <w:marBottom w:val="0"/>
          <w:divBdr>
            <w:top w:val="none" w:sz="0" w:space="0" w:color="auto"/>
            <w:left w:val="none" w:sz="0" w:space="0" w:color="auto"/>
            <w:bottom w:val="none" w:sz="0" w:space="0" w:color="auto"/>
            <w:right w:val="none" w:sz="0" w:space="0" w:color="auto"/>
          </w:divBdr>
        </w:div>
        <w:div w:id="390932111">
          <w:marLeft w:val="0"/>
          <w:marRight w:val="0"/>
          <w:marTop w:val="75"/>
          <w:marBottom w:val="0"/>
          <w:divBdr>
            <w:top w:val="none" w:sz="0" w:space="0" w:color="auto"/>
            <w:left w:val="none" w:sz="0" w:space="0" w:color="auto"/>
            <w:bottom w:val="none" w:sz="0" w:space="0" w:color="auto"/>
            <w:right w:val="none" w:sz="0" w:space="0" w:color="auto"/>
          </w:divBdr>
        </w:div>
      </w:divsChild>
    </w:div>
    <w:div w:id="1335567636">
      <w:bodyDiv w:val="1"/>
      <w:marLeft w:val="0"/>
      <w:marRight w:val="0"/>
      <w:marTop w:val="0"/>
      <w:marBottom w:val="0"/>
      <w:divBdr>
        <w:top w:val="none" w:sz="0" w:space="0" w:color="auto"/>
        <w:left w:val="none" w:sz="0" w:space="0" w:color="auto"/>
        <w:bottom w:val="none" w:sz="0" w:space="0" w:color="auto"/>
        <w:right w:val="none" w:sz="0" w:space="0" w:color="auto"/>
      </w:divBdr>
    </w:div>
    <w:div w:id="1421176778">
      <w:bodyDiv w:val="1"/>
      <w:marLeft w:val="0"/>
      <w:marRight w:val="0"/>
      <w:marTop w:val="0"/>
      <w:marBottom w:val="0"/>
      <w:divBdr>
        <w:top w:val="none" w:sz="0" w:space="0" w:color="auto"/>
        <w:left w:val="none" w:sz="0" w:space="0" w:color="auto"/>
        <w:bottom w:val="none" w:sz="0" w:space="0" w:color="auto"/>
        <w:right w:val="none" w:sz="0" w:space="0" w:color="auto"/>
      </w:divBdr>
    </w:div>
    <w:div w:id="1426416313">
      <w:bodyDiv w:val="1"/>
      <w:marLeft w:val="0"/>
      <w:marRight w:val="0"/>
      <w:marTop w:val="0"/>
      <w:marBottom w:val="0"/>
      <w:divBdr>
        <w:top w:val="none" w:sz="0" w:space="0" w:color="auto"/>
        <w:left w:val="none" w:sz="0" w:space="0" w:color="auto"/>
        <w:bottom w:val="none" w:sz="0" w:space="0" w:color="auto"/>
        <w:right w:val="none" w:sz="0" w:space="0" w:color="auto"/>
      </w:divBdr>
    </w:div>
    <w:div w:id="1430076689">
      <w:bodyDiv w:val="1"/>
      <w:marLeft w:val="0"/>
      <w:marRight w:val="0"/>
      <w:marTop w:val="0"/>
      <w:marBottom w:val="0"/>
      <w:divBdr>
        <w:top w:val="none" w:sz="0" w:space="0" w:color="auto"/>
        <w:left w:val="none" w:sz="0" w:space="0" w:color="auto"/>
        <w:bottom w:val="none" w:sz="0" w:space="0" w:color="auto"/>
        <w:right w:val="none" w:sz="0" w:space="0" w:color="auto"/>
      </w:divBdr>
    </w:div>
    <w:div w:id="1473905428">
      <w:bodyDiv w:val="1"/>
      <w:marLeft w:val="0"/>
      <w:marRight w:val="0"/>
      <w:marTop w:val="0"/>
      <w:marBottom w:val="0"/>
      <w:divBdr>
        <w:top w:val="none" w:sz="0" w:space="0" w:color="auto"/>
        <w:left w:val="none" w:sz="0" w:space="0" w:color="auto"/>
        <w:bottom w:val="none" w:sz="0" w:space="0" w:color="auto"/>
        <w:right w:val="none" w:sz="0" w:space="0" w:color="auto"/>
      </w:divBdr>
    </w:div>
    <w:div w:id="1479230325">
      <w:bodyDiv w:val="1"/>
      <w:marLeft w:val="0"/>
      <w:marRight w:val="0"/>
      <w:marTop w:val="0"/>
      <w:marBottom w:val="0"/>
      <w:divBdr>
        <w:top w:val="none" w:sz="0" w:space="0" w:color="auto"/>
        <w:left w:val="none" w:sz="0" w:space="0" w:color="auto"/>
        <w:bottom w:val="none" w:sz="0" w:space="0" w:color="auto"/>
        <w:right w:val="none" w:sz="0" w:space="0" w:color="auto"/>
      </w:divBdr>
    </w:div>
    <w:div w:id="1483429630">
      <w:bodyDiv w:val="1"/>
      <w:marLeft w:val="0"/>
      <w:marRight w:val="0"/>
      <w:marTop w:val="0"/>
      <w:marBottom w:val="0"/>
      <w:divBdr>
        <w:top w:val="none" w:sz="0" w:space="0" w:color="auto"/>
        <w:left w:val="none" w:sz="0" w:space="0" w:color="auto"/>
        <w:bottom w:val="none" w:sz="0" w:space="0" w:color="auto"/>
        <w:right w:val="none" w:sz="0" w:space="0" w:color="auto"/>
      </w:divBdr>
    </w:div>
    <w:div w:id="1512449604">
      <w:bodyDiv w:val="1"/>
      <w:marLeft w:val="0"/>
      <w:marRight w:val="0"/>
      <w:marTop w:val="0"/>
      <w:marBottom w:val="0"/>
      <w:divBdr>
        <w:top w:val="none" w:sz="0" w:space="0" w:color="auto"/>
        <w:left w:val="none" w:sz="0" w:space="0" w:color="auto"/>
        <w:bottom w:val="none" w:sz="0" w:space="0" w:color="auto"/>
        <w:right w:val="none" w:sz="0" w:space="0" w:color="auto"/>
      </w:divBdr>
    </w:div>
    <w:div w:id="1525482834">
      <w:bodyDiv w:val="1"/>
      <w:marLeft w:val="0"/>
      <w:marRight w:val="0"/>
      <w:marTop w:val="0"/>
      <w:marBottom w:val="0"/>
      <w:divBdr>
        <w:top w:val="none" w:sz="0" w:space="0" w:color="auto"/>
        <w:left w:val="none" w:sz="0" w:space="0" w:color="auto"/>
        <w:bottom w:val="none" w:sz="0" w:space="0" w:color="auto"/>
        <w:right w:val="none" w:sz="0" w:space="0" w:color="auto"/>
      </w:divBdr>
    </w:div>
    <w:div w:id="1525747064">
      <w:bodyDiv w:val="1"/>
      <w:marLeft w:val="0"/>
      <w:marRight w:val="0"/>
      <w:marTop w:val="0"/>
      <w:marBottom w:val="0"/>
      <w:divBdr>
        <w:top w:val="none" w:sz="0" w:space="0" w:color="auto"/>
        <w:left w:val="none" w:sz="0" w:space="0" w:color="auto"/>
        <w:bottom w:val="none" w:sz="0" w:space="0" w:color="auto"/>
        <w:right w:val="none" w:sz="0" w:space="0" w:color="auto"/>
      </w:divBdr>
    </w:div>
    <w:div w:id="1561558147">
      <w:bodyDiv w:val="1"/>
      <w:marLeft w:val="0"/>
      <w:marRight w:val="0"/>
      <w:marTop w:val="0"/>
      <w:marBottom w:val="0"/>
      <w:divBdr>
        <w:top w:val="none" w:sz="0" w:space="0" w:color="auto"/>
        <w:left w:val="none" w:sz="0" w:space="0" w:color="auto"/>
        <w:bottom w:val="none" w:sz="0" w:space="0" w:color="auto"/>
        <w:right w:val="none" w:sz="0" w:space="0" w:color="auto"/>
      </w:divBdr>
    </w:div>
    <w:div w:id="1586643073">
      <w:bodyDiv w:val="1"/>
      <w:marLeft w:val="0"/>
      <w:marRight w:val="0"/>
      <w:marTop w:val="0"/>
      <w:marBottom w:val="0"/>
      <w:divBdr>
        <w:top w:val="none" w:sz="0" w:space="0" w:color="auto"/>
        <w:left w:val="none" w:sz="0" w:space="0" w:color="auto"/>
        <w:bottom w:val="none" w:sz="0" w:space="0" w:color="auto"/>
        <w:right w:val="none" w:sz="0" w:space="0" w:color="auto"/>
      </w:divBdr>
    </w:div>
    <w:div w:id="1606107378">
      <w:bodyDiv w:val="1"/>
      <w:marLeft w:val="0"/>
      <w:marRight w:val="0"/>
      <w:marTop w:val="0"/>
      <w:marBottom w:val="0"/>
      <w:divBdr>
        <w:top w:val="none" w:sz="0" w:space="0" w:color="auto"/>
        <w:left w:val="none" w:sz="0" w:space="0" w:color="auto"/>
        <w:bottom w:val="none" w:sz="0" w:space="0" w:color="auto"/>
        <w:right w:val="none" w:sz="0" w:space="0" w:color="auto"/>
      </w:divBdr>
      <w:divsChild>
        <w:div w:id="1207597039">
          <w:marLeft w:val="-900"/>
          <w:marRight w:val="-900"/>
          <w:marTop w:val="0"/>
          <w:marBottom w:val="0"/>
          <w:divBdr>
            <w:top w:val="none" w:sz="0" w:space="0" w:color="auto"/>
            <w:left w:val="none" w:sz="0" w:space="0" w:color="auto"/>
            <w:bottom w:val="none" w:sz="0" w:space="0" w:color="auto"/>
            <w:right w:val="none" w:sz="0" w:space="0" w:color="auto"/>
          </w:divBdr>
          <w:divsChild>
            <w:div w:id="722218913">
              <w:marLeft w:val="0"/>
              <w:marRight w:val="0"/>
              <w:marTop w:val="0"/>
              <w:marBottom w:val="0"/>
              <w:divBdr>
                <w:top w:val="none" w:sz="0" w:space="0" w:color="auto"/>
                <w:left w:val="none" w:sz="0" w:space="0" w:color="auto"/>
                <w:bottom w:val="none" w:sz="0" w:space="0" w:color="auto"/>
                <w:right w:val="none" w:sz="0" w:space="0" w:color="auto"/>
              </w:divBdr>
              <w:divsChild>
                <w:div w:id="12885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548">
          <w:marLeft w:val="0"/>
          <w:marRight w:val="0"/>
          <w:marTop w:val="0"/>
          <w:marBottom w:val="0"/>
          <w:divBdr>
            <w:top w:val="none" w:sz="0" w:space="0" w:color="auto"/>
            <w:left w:val="none" w:sz="0" w:space="0" w:color="auto"/>
            <w:bottom w:val="none" w:sz="0" w:space="0" w:color="auto"/>
            <w:right w:val="none" w:sz="0" w:space="0" w:color="auto"/>
          </w:divBdr>
          <w:divsChild>
            <w:div w:id="776023733">
              <w:marLeft w:val="0"/>
              <w:marRight w:val="0"/>
              <w:marTop w:val="0"/>
              <w:marBottom w:val="0"/>
              <w:divBdr>
                <w:top w:val="none" w:sz="0" w:space="0" w:color="auto"/>
                <w:left w:val="none" w:sz="0" w:space="0" w:color="auto"/>
                <w:bottom w:val="none" w:sz="0" w:space="0" w:color="auto"/>
                <w:right w:val="none" w:sz="0" w:space="0" w:color="auto"/>
              </w:divBdr>
            </w:div>
            <w:div w:id="166153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35814">
      <w:bodyDiv w:val="1"/>
      <w:marLeft w:val="0"/>
      <w:marRight w:val="0"/>
      <w:marTop w:val="0"/>
      <w:marBottom w:val="0"/>
      <w:divBdr>
        <w:top w:val="none" w:sz="0" w:space="0" w:color="auto"/>
        <w:left w:val="none" w:sz="0" w:space="0" w:color="auto"/>
        <w:bottom w:val="none" w:sz="0" w:space="0" w:color="auto"/>
        <w:right w:val="none" w:sz="0" w:space="0" w:color="auto"/>
      </w:divBdr>
    </w:div>
    <w:div w:id="1632855440">
      <w:bodyDiv w:val="1"/>
      <w:marLeft w:val="0"/>
      <w:marRight w:val="0"/>
      <w:marTop w:val="0"/>
      <w:marBottom w:val="0"/>
      <w:divBdr>
        <w:top w:val="none" w:sz="0" w:space="0" w:color="auto"/>
        <w:left w:val="none" w:sz="0" w:space="0" w:color="auto"/>
        <w:bottom w:val="none" w:sz="0" w:space="0" w:color="auto"/>
        <w:right w:val="none" w:sz="0" w:space="0" w:color="auto"/>
      </w:divBdr>
    </w:div>
    <w:div w:id="1664314720">
      <w:bodyDiv w:val="1"/>
      <w:marLeft w:val="0"/>
      <w:marRight w:val="0"/>
      <w:marTop w:val="0"/>
      <w:marBottom w:val="0"/>
      <w:divBdr>
        <w:top w:val="none" w:sz="0" w:space="0" w:color="auto"/>
        <w:left w:val="none" w:sz="0" w:space="0" w:color="auto"/>
        <w:bottom w:val="none" w:sz="0" w:space="0" w:color="auto"/>
        <w:right w:val="none" w:sz="0" w:space="0" w:color="auto"/>
      </w:divBdr>
    </w:div>
    <w:div w:id="1674719788">
      <w:bodyDiv w:val="1"/>
      <w:marLeft w:val="0"/>
      <w:marRight w:val="0"/>
      <w:marTop w:val="0"/>
      <w:marBottom w:val="0"/>
      <w:divBdr>
        <w:top w:val="none" w:sz="0" w:space="0" w:color="auto"/>
        <w:left w:val="none" w:sz="0" w:space="0" w:color="auto"/>
        <w:bottom w:val="none" w:sz="0" w:space="0" w:color="auto"/>
        <w:right w:val="none" w:sz="0" w:space="0" w:color="auto"/>
      </w:divBdr>
    </w:div>
    <w:div w:id="1704016059">
      <w:bodyDiv w:val="1"/>
      <w:marLeft w:val="0"/>
      <w:marRight w:val="0"/>
      <w:marTop w:val="0"/>
      <w:marBottom w:val="0"/>
      <w:divBdr>
        <w:top w:val="none" w:sz="0" w:space="0" w:color="auto"/>
        <w:left w:val="none" w:sz="0" w:space="0" w:color="auto"/>
        <w:bottom w:val="none" w:sz="0" w:space="0" w:color="auto"/>
        <w:right w:val="none" w:sz="0" w:space="0" w:color="auto"/>
      </w:divBdr>
    </w:div>
    <w:div w:id="1757241602">
      <w:bodyDiv w:val="1"/>
      <w:marLeft w:val="0"/>
      <w:marRight w:val="0"/>
      <w:marTop w:val="0"/>
      <w:marBottom w:val="0"/>
      <w:divBdr>
        <w:top w:val="none" w:sz="0" w:space="0" w:color="auto"/>
        <w:left w:val="none" w:sz="0" w:space="0" w:color="auto"/>
        <w:bottom w:val="none" w:sz="0" w:space="0" w:color="auto"/>
        <w:right w:val="none" w:sz="0" w:space="0" w:color="auto"/>
      </w:divBdr>
    </w:div>
    <w:div w:id="1773819607">
      <w:bodyDiv w:val="1"/>
      <w:marLeft w:val="0"/>
      <w:marRight w:val="0"/>
      <w:marTop w:val="0"/>
      <w:marBottom w:val="0"/>
      <w:divBdr>
        <w:top w:val="none" w:sz="0" w:space="0" w:color="auto"/>
        <w:left w:val="none" w:sz="0" w:space="0" w:color="auto"/>
        <w:bottom w:val="none" w:sz="0" w:space="0" w:color="auto"/>
        <w:right w:val="none" w:sz="0" w:space="0" w:color="auto"/>
      </w:divBdr>
    </w:div>
    <w:div w:id="1791506218">
      <w:bodyDiv w:val="1"/>
      <w:marLeft w:val="0"/>
      <w:marRight w:val="0"/>
      <w:marTop w:val="0"/>
      <w:marBottom w:val="0"/>
      <w:divBdr>
        <w:top w:val="none" w:sz="0" w:space="0" w:color="auto"/>
        <w:left w:val="none" w:sz="0" w:space="0" w:color="auto"/>
        <w:bottom w:val="none" w:sz="0" w:space="0" w:color="auto"/>
        <w:right w:val="none" w:sz="0" w:space="0" w:color="auto"/>
      </w:divBdr>
    </w:div>
    <w:div w:id="1886479979">
      <w:bodyDiv w:val="1"/>
      <w:marLeft w:val="0"/>
      <w:marRight w:val="0"/>
      <w:marTop w:val="0"/>
      <w:marBottom w:val="0"/>
      <w:divBdr>
        <w:top w:val="none" w:sz="0" w:space="0" w:color="auto"/>
        <w:left w:val="none" w:sz="0" w:space="0" w:color="auto"/>
        <w:bottom w:val="none" w:sz="0" w:space="0" w:color="auto"/>
        <w:right w:val="none" w:sz="0" w:space="0" w:color="auto"/>
      </w:divBdr>
    </w:div>
    <w:div w:id="1897889594">
      <w:bodyDiv w:val="1"/>
      <w:marLeft w:val="0"/>
      <w:marRight w:val="0"/>
      <w:marTop w:val="0"/>
      <w:marBottom w:val="0"/>
      <w:divBdr>
        <w:top w:val="none" w:sz="0" w:space="0" w:color="auto"/>
        <w:left w:val="none" w:sz="0" w:space="0" w:color="auto"/>
        <w:bottom w:val="none" w:sz="0" w:space="0" w:color="auto"/>
        <w:right w:val="none" w:sz="0" w:space="0" w:color="auto"/>
      </w:divBdr>
    </w:div>
    <w:div w:id="1913082302">
      <w:bodyDiv w:val="1"/>
      <w:marLeft w:val="0"/>
      <w:marRight w:val="0"/>
      <w:marTop w:val="0"/>
      <w:marBottom w:val="0"/>
      <w:divBdr>
        <w:top w:val="none" w:sz="0" w:space="0" w:color="auto"/>
        <w:left w:val="none" w:sz="0" w:space="0" w:color="auto"/>
        <w:bottom w:val="none" w:sz="0" w:space="0" w:color="auto"/>
        <w:right w:val="none" w:sz="0" w:space="0" w:color="auto"/>
      </w:divBdr>
    </w:div>
    <w:div w:id="1923831171">
      <w:bodyDiv w:val="1"/>
      <w:marLeft w:val="0"/>
      <w:marRight w:val="0"/>
      <w:marTop w:val="0"/>
      <w:marBottom w:val="0"/>
      <w:divBdr>
        <w:top w:val="none" w:sz="0" w:space="0" w:color="auto"/>
        <w:left w:val="none" w:sz="0" w:space="0" w:color="auto"/>
        <w:bottom w:val="none" w:sz="0" w:space="0" w:color="auto"/>
        <w:right w:val="none" w:sz="0" w:space="0" w:color="auto"/>
      </w:divBdr>
    </w:div>
    <w:div w:id="1937906081">
      <w:bodyDiv w:val="1"/>
      <w:marLeft w:val="0"/>
      <w:marRight w:val="0"/>
      <w:marTop w:val="0"/>
      <w:marBottom w:val="0"/>
      <w:divBdr>
        <w:top w:val="none" w:sz="0" w:space="0" w:color="auto"/>
        <w:left w:val="none" w:sz="0" w:space="0" w:color="auto"/>
        <w:bottom w:val="none" w:sz="0" w:space="0" w:color="auto"/>
        <w:right w:val="none" w:sz="0" w:space="0" w:color="auto"/>
      </w:divBdr>
    </w:div>
    <w:div w:id="1958102485">
      <w:bodyDiv w:val="1"/>
      <w:marLeft w:val="0"/>
      <w:marRight w:val="0"/>
      <w:marTop w:val="0"/>
      <w:marBottom w:val="0"/>
      <w:divBdr>
        <w:top w:val="none" w:sz="0" w:space="0" w:color="auto"/>
        <w:left w:val="none" w:sz="0" w:space="0" w:color="auto"/>
        <w:bottom w:val="none" w:sz="0" w:space="0" w:color="auto"/>
        <w:right w:val="none" w:sz="0" w:space="0" w:color="auto"/>
      </w:divBdr>
    </w:div>
    <w:div w:id="1962608544">
      <w:bodyDiv w:val="1"/>
      <w:marLeft w:val="0"/>
      <w:marRight w:val="0"/>
      <w:marTop w:val="0"/>
      <w:marBottom w:val="0"/>
      <w:divBdr>
        <w:top w:val="none" w:sz="0" w:space="0" w:color="auto"/>
        <w:left w:val="none" w:sz="0" w:space="0" w:color="auto"/>
        <w:bottom w:val="none" w:sz="0" w:space="0" w:color="auto"/>
        <w:right w:val="none" w:sz="0" w:space="0" w:color="auto"/>
      </w:divBdr>
    </w:div>
    <w:div w:id="2003585564">
      <w:bodyDiv w:val="1"/>
      <w:marLeft w:val="0"/>
      <w:marRight w:val="0"/>
      <w:marTop w:val="0"/>
      <w:marBottom w:val="0"/>
      <w:divBdr>
        <w:top w:val="none" w:sz="0" w:space="0" w:color="auto"/>
        <w:left w:val="none" w:sz="0" w:space="0" w:color="auto"/>
        <w:bottom w:val="none" w:sz="0" w:space="0" w:color="auto"/>
        <w:right w:val="none" w:sz="0" w:space="0" w:color="auto"/>
      </w:divBdr>
    </w:div>
    <w:div w:id="2022580104">
      <w:bodyDiv w:val="1"/>
      <w:marLeft w:val="0"/>
      <w:marRight w:val="0"/>
      <w:marTop w:val="0"/>
      <w:marBottom w:val="0"/>
      <w:divBdr>
        <w:top w:val="none" w:sz="0" w:space="0" w:color="auto"/>
        <w:left w:val="none" w:sz="0" w:space="0" w:color="auto"/>
        <w:bottom w:val="none" w:sz="0" w:space="0" w:color="auto"/>
        <w:right w:val="none" w:sz="0" w:space="0" w:color="auto"/>
      </w:divBdr>
    </w:div>
    <w:div w:id="2025863137">
      <w:bodyDiv w:val="1"/>
      <w:marLeft w:val="0"/>
      <w:marRight w:val="0"/>
      <w:marTop w:val="0"/>
      <w:marBottom w:val="0"/>
      <w:divBdr>
        <w:top w:val="none" w:sz="0" w:space="0" w:color="auto"/>
        <w:left w:val="none" w:sz="0" w:space="0" w:color="auto"/>
        <w:bottom w:val="none" w:sz="0" w:space="0" w:color="auto"/>
        <w:right w:val="none" w:sz="0" w:space="0" w:color="auto"/>
      </w:divBdr>
    </w:div>
    <w:div w:id="210968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W.Holloway@soton.ac.uk" TargetMode="External"/><Relationship Id="rId13" Type="http://schemas.openxmlformats.org/officeDocument/2006/relationships/footer" Target="footer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C59F8-4469-45CB-BD26-DECC65897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28848</Words>
  <Characters>164434</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sherwood w.b. (ws2g14)</dc:creator>
  <cp:keywords/>
  <dc:description/>
  <cp:lastModifiedBy>Kothalawala D.M.</cp:lastModifiedBy>
  <cp:revision>3</cp:revision>
  <cp:lastPrinted>2020-03-23T03:49:00Z</cp:lastPrinted>
  <dcterms:created xsi:type="dcterms:W3CDTF">2020-05-15T09:46:00Z</dcterms:created>
  <dcterms:modified xsi:type="dcterms:W3CDTF">2020-05-17T11:17:00Z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168e4457-5360-3e76-93d4-031d6581d3e8</vt:lpwstr>
  </property>
  <property fmtid="{D5CDD505-2E9C-101B-9397-08002B2CF9AE}" pid="4" name="Mendeley Citation Style_1">
    <vt:lpwstr>http://www.zotero.org/styles/taylor-and-francis-acs</vt:lpwstr>
  </property>
  <property fmtid="{D5CDD505-2E9C-101B-9397-08002B2CF9AE}" pid="5" name="Mendeley Recent Style Id 0_1">
    <vt:lpwstr>http://csl.mendeley.com/styles/504146581/american-chemical-society-2</vt:lpwstr>
  </property>
  <property fmtid="{D5CDD505-2E9C-101B-9397-08002B2CF9AE}" pid="6" name="Mendeley Recent Style Name 0_1">
    <vt:lpwstr>American Chemical Society - William B. Sherwood</vt:lpwstr>
  </property>
  <property fmtid="{D5CDD505-2E9C-101B-9397-08002B2CF9AE}" pid="7" name="Mendeley Recent Style Id 1_1">
    <vt:lpwstr>http://csl.mendeley.com/styles/504146581/american-chemical-society-3</vt:lpwstr>
  </property>
  <property fmtid="{D5CDD505-2E9C-101B-9397-08002B2CF9AE}" pid="8" name="Mendeley Recent Style Name 1_1">
    <vt:lpwstr>American Chemical Society - William B. Sherwood</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http://www.zotero.org/styles/journal-of-the-american-chemical-society</vt:lpwstr>
  </property>
  <property fmtid="{D5CDD505-2E9C-101B-9397-08002B2CF9AE}" pid="14" name="Mendeley Recent Style Name 4_1">
    <vt:lpwstr>Journal of the American Chemical Society</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http://www.zotero.org/styles/taylor-and-francis-acs</vt:lpwstr>
  </property>
  <property fmtid="{D5CDD505-2E9C-101B-9397-08002B2CF9AE}" pid="22" name="Mendeley Recent Style Name 8_1">
    <vt:lpwstr>Taylor &amp; Francis - American Chemical Society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ZOTERO_PREF_1">
    <vt:lpwstr>&lt;data data-version="3" zotero-version="5.0.81"&gt;&lt;session id="ofCSm9AD"/&gt;&lt;style id="http://www.zotero.org/styles/taylor-and-francis-acs" hasBibliography="1" bibliographyStyleHasBeenSet="1"/&gt;&lt;prefs&gt;&lt;pref name="fieldType" value="Field"/&gt;&lt;pref name="automaticJ</vt:lpwstr>
  </property>
  <property fmtid="{D5CDD505-2E9C-101B-9397-08002B2CF9AE}" pid="26" name="ZOTERO_PREF_2">
    <vt:lpwstr>ournalAbbreviations" value="true"/&gt;&lt;/prefs&gt;&lt;/data&gt;</vt:lpwstr>
  </property>
</Properties>
</file>