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28EDE" w14:textId="28D29676" w:rsidR="00486A69" w:rsidRPr="009A22B8" w:rsidRDefault="002908EC" w:rsidP="00486A69">
      <w:pPr>
        <w:spacing w:line="360" w:lineRule="auto"/>
        <w:rPr>
          <w:b/>
        </w:rPr>
      </w:pPr>
      <w:bookmarkStart w:id="0" w:name="_Hlk33711226"/>
      <w:bookmarkStart w:id="1" w:name="_GoBack"/>
      <w:bookmarkEnd w:id="1"/>
      <w:r>
        <w:rPr>
          <w:b/>
        </w:rPr>
        <w:t>Outcomes and t</w:t>
      </w:r>
      <w:r w:rsidR="00486A69">
        <w:rPr>
          <w:b/>
        </w:rPr>
        <w:t>reatment response</w:t>
      </w:r>
      <w:r>
        <w:rPr>
          <w:b/>
        </w:rPr>
        <w:t>s</w:t>
      </w:r>
      <w:r w:rsidR="00CE4795">
        <w:rPr>
          <w:b/>
        </w:rPr>
        <w:t xml:space="preserve">, including </w:t>
      </w:r>
      <w:r w:rsidR="00B25B59">
        <w:rPr>
          <w:b/>
        </w:rPr>
        <w:t>work productivity</w:t>
      </w:r>
      <w:r w:rsidR="00CE4795">
        <w:rPr>
          <w:b/>
        </w:rPr>
        <w:t>,</w:t>
      </w:r>
      <w:r w:rsidR="00486A69">
        <w:rPr>
          <w:b/>
        </w:rPr>
        <w:t xml:space="preserve"> amongst people with axial spondyloarthritis living in </w:t>
      </w:r>
      <w:r w:rsidR="00B25B59">
        <w:rPr>
          <w:b/>
        </w:rPr>
        <w:t xml:space="preserve">urban and </w:t>
      </w:r>
      <w:r w:rsidR="00486A69">
        <w:rPr>
          <w:b/>
        </w:rPr>
        <w:t>rural areas</w:t>
      </w:r>
      <w:r w:rsidR="00486A69" w:rsidRPr="009A22B8">
        <w:rPr>
          <w:b/>
        </w:rPr>
        <w:t>: a mixed methods study</w:t>
      </w:r>
      <w:r w:rsidR="00486A69">
        <w:rPr>
          <w:b/>
        </w:rPr>
        <w:t xml:space="preserve"> within a national register. </w:t>
      </w:r>
    </w:p>
    <w:bookmarkEnd w:id="0"/>
    <w:p w14:paraId="7C4FAFFD" w14:textId="3AAA7ACD" w:rsidR="00486A69" w:rsidRPr="00E6461D" w:rsidRDefault="00486A69" w:rsidP="00486A69">
      <w:pPr>
        <w:spacing w:line="360" w:lineRule="auto"/>
      </w:pPr>
      <w:r w:rsidRPr="00E6461D">
        <w:t>Rosemary J Hollick</w:t>
      </w:r>
      <w:r w:rsidR="00E6461D" w:rsidRPr="00E6461D">
        <w:rPr>
          <w:vertAlign w:val="superscript"/>
        </w:rPr>
        <w:t>1,2,3</w:t>
      </w:r>
      <w:r w:rsidRPr="00E6461D">
        <w:t>, Kevin Stelfox</w:t>
      </w:r>
      <w:r w:rsidR="00E6461D" w:rsidRPr="00E6461D">
        <w:rPr>
          <w:vertAlign w:val="superscript"/>
        </w:rPr>
        <w:t>1,2,3</w:t>
      </w:r>
      <w:r w:rsidRPr="00E6461D">
        <w:t xml:space="preserve">, Linda </w:t>
      </w:r>
      <w:r w:rsidR="005608C9">
        <w:t xml:space="preserve">E </w:t>
      </w:r>
      <w:r w:rsidRPr="00E6461D">
        <w:t>Dean</w:t>
      </w:r>
      <w:r w:rsidR="00E6461D" w:rsidRPr="00E6461D">
        <w:rPr>
          <w:vertAlign w:val="superscript"/>
        </w:rPr>
        <w:t>1,2,3</w:t>
      </w:r>
      <w:r w:rsidRPr="00E6461D">
        <w:t>, Joanna Shim</w:t>
      </w:r>
      <w:r w:rsidR="00E6461D" w:rsidRPr="00E6461D">
        <w:rPr>
          <w:vertAlign w:val="superscript"/>
        </w:rPr>
        <w:t>1,2,3</w:t>
      </w:r>
      <w:r w:rsidRPr="00E6461D">
        <w:t>, Karen Walker-Bone</w:t>
      </w:r>
      <w:r w:rsidR="00E6461D" w:rsidRPr="00E6461D">
        <w:rPr>
          <w:vertAlign w:val="superscript"/>
        </w:rPr>
        <w:t>4</w:t>
      </w:r>
      <w:r w:rsidRPr="00E6461D">
        <w:t xml:space="preserve"> and Gary J Macfarlane</w:t>
      </w:r>
      <w:r w:rsidR="00E6461D" w:rsidRPr="00E6461D">
        <w:rPr>
          <w:vertAlign w:val="superscript"/>
        </w:rPr>
        <w:t>1,2,3</w:t>
      </w:r>
    </w:p>
    <w:p w14:paraId="181F78D8" w14:textId="72F0B484" w:rsidR="00486A69" w:rsidRPr="00553FBF" w:rsidRDefault="00486A69" w:rsidP="00486A69">
      <w:pPr>
        <w:spacing w:line="360" w:lineRule="auto"/>
        <w:rPr>
          <w:b/>
        </w:rPr>
      </w:pPr>
      <w:r w:rsidRPr="00553FBF">
        <w:rPr>
          <w:b/>
        </w:rPr>
        <w:t>Author affiliations</w:t>
      </w:r>
    </w:p>
    <w:p w14:paraId="2676878D" w14:textId="2A9E0185" w:rsidR="00E6461D" w:rsidRPr="00E6461D" w:rsidRDefault="00E6461D" w:rsidP="00E6461D">
      <w:pPr>
        <w:pStyle w:val="HTMLAddress"/>
        <w:numPr>
          <w:ilvl w:val="0"/>
          <w:numId w:val="17"/>
        </w:numPr>
        <w:rPr>
          <w:rFonts w:asciiTheme="minorHAnsi" w:hAnsiTheme="minorHAnsi" w:cstheme="minorHAnsi"/>
          <w:i w:val="0"/>
          <w:iCs w:val="0"/>
          <w:sz w:val="22"/>
          <w:szCs w:val="22"/>
        </w:rPr>
      </w:pPr>
      <w:r w:rsidRPr="00E6461D">
        <w:rPr>
          <w:rFonts w:asciiTheme="minorHAnsi" w:hAnsiTheme="minorHAnsi" w:cstheme="minorHAnsi"/>
          <w:i w:val="0"/>
          <w:iCs w:val="0"/>
          <w:sz w:val="22"/>
          <w:szCs w:val="22"/>
        </w:rPr>
        <w:t xml:space="preserve">Epidemiology Group, School of Medicine, Medical Sciences and Nutrition, University of Aberdeen, Aberdeen, UK </w:t>
      </w:r>
    </w:p>
    <w:p w14:paraId="41AD9F68" w14:textId="77777777" w:rsidR="00E6461D" w:rsidRPr="00E6461D" w:rsidRDefault="00E6461D" w:rsidP="00E6461D">
      <w:pPr>
        <w:numPr>
          <w:ilvl w:val="0"/>
          <w:numId w:val="17"/>
        </w:numPr>
        <w:spacing w:after="0" w:line="240" w:lineRule="auto"/>
        <w:rPr>
          <w:rFonts w:eastAsia="Times New Roman" w:cstheme="minorHAnsi"/>
          <w:lang w:eastAsia="en-GB"/>
        </w:rPr>
      </w:pPr>
      <w:r w:rsidRPr="00E6461D">
        <w:rPr>
          <w:rFonts w:eastAsia="Times New Roman" w:cstheme="minorHAnsi"/>
          <w:lang w:eastAsia="en-GB"/>
        </w:rPr>
        <w:t xml:space="preserve">Aberdeen Centre for Arthritis and Musculoskeletal Health, University of Aberdeen, Aberdeen, UK </w:t>
      </w:r>
      <w:bookmarkStart w:id="2" w:name="aff-2"/>
      <w:bookmarkEnd w:id="2"/>
    </w:p>
    <w:p w14:paraId="2C3AE099" w14:textId="13A9CC0D" w:rsidR="00E6461D" w:rsidRPr="00E6461D" w:rsidRDefault="00FC5E5F" w:rsidP="00E6461D">
      <w:pPr>
        <w:numPr>
          <w:ilvl w:val="0"/>
          <w:numId w:val="17"/>
        </w:numPr>
        <w:spacing w:after="0" w:line="240" w:lineRule="auto"/>
        <w:rPr>
          <w:rFonts w:eastAsia="Times New Roman" w:cstheme="minorHAnsi"/>
          <w:lang w:eastAsia="en-GB"/>
        </w:rPr>
      </w:pPr>
      <w:r>
        <w:rPr>
          <w:rFonts w:eastAsia="Times New Roman" w:cstheme="minorHAnsi"/>
          <w:lang w:eastAsia="en-GB"/>
        </w:rPr>
        <w:t xml:space="preserve">MRC </w:t>
      </w:r>
      <w:r w:rsidR="00E6461D" w:rsidRPr="00E6461D">
        <w:rPr>
          <w:rFonts w:eastAsia="Times New Roman" w:cstheme="minorHAnsi"/>
          <w:lang w:eastAsia="en-GB"/>
        </w:rPr>
        <w:t xml:space="preserve">Versus Arthritis Centre for Musculoskeletal Health and Work, Aberdeen, UK </w:t>
      </w:r>
    </w:p>
    <w:p w14:paraId="1AD83AE6" w14:textId="7405D168" w:rsidR="00E6461D" w:rsidRPr="00E6461D" w:rsidRDefault="00FC5E5F" w:rsidP="00E6461D">
      <w:pPr>
        <w:numPr>
          <w:ilvl w:val="0"/>
          <w:numId w:val="17"/>
        </w:numPr>
        <w:spacing w:after="0" w:line="240" w:lineRule="auto"/>
        <w:rPr>
          <w:rFonts w:eastAsia="Times New Roman" w:cstheme="minorHAnsi"/>
          <w:lang w:eastAsia="en-GB"/>
        </w:rPr>
      </w:pPr>
      <w:r>
        <w:rPr>
          <w:rFonts w:eastAsia="Times New Roman" w:cstheme="minorHAnsi"/>
          <w:lang w:eastAsia="en-GB"/>
        </w:rPr>
        <w:t xml:space="preserve">MRC </w:t>
      </w:r>
      <w:r w:rsidR="00E6461D" w:rsidRPr="00E6461D">
        <w:rPr>
          <w:rFonts w:eastAsia="Times New Roman" w:cstheme="minorHAnsi"/>
          <w:lang w:eastAsia="en-GB"/>
        </w:rPr>
        <w:t xml:space="preserve">Versus Arthritis Centre for Musculoskeletal Health and Work, Southampton, UK </w:t>
      </w:r>
    </w:p>
    <w:p w14:paraId="51B8C60E" w14:textId="771926C4" w:rsidR="00E6461D" w:rsidRPr="00E6461D" w:rsidRDefault="00E6461D" w:rsidP="00E6461D">
      <w:pPr>
        <w:spacing w:after="0" w:line="240" w:lineRule="auto"/>
        <w:ind w:left="360"/>
        <w:rPr>
          <w:rFonts w:eastAsia="Times New Roman" w:cstheme="minorHAnsi"/>
          <w:lang w:eastAsia="en-GB"/>
        </w:rPr>
      </w:pPr>
    </w:p>
    <w:p w14:paraId="79692A91" w14:textId="7759DC12" w:rsidR="00D47E35" w:rsidRDefault="00D47E35" w:rsidP="00E6461D">
      <w:pPr>
        <w:spacing w:after="0" w:line="240" w:lineRule="auto"/>
        <w:rPr>
          <w:rStyle w:val="corresp-label"/>
          <w:rFonts w:cstheme="minorHAnsi"/>
          <w:b/>
        </w:rPr>
      </w:pPr>
    </w:p>
    <w:p w14:paraId="05339873" w14:textId="2635CF94" w:rsidR="00553FBF" w:rsidRPr="00553FBF" w:rsidRDefault="00553FBF" w:rsidP="00E6461D">
      <w:pPr>
        <w:spacing w:after="0" w:line="240" w:lineRule="auto"/>
        <w:rPr>
          <w:rStyle w:val="corresp-label"/>
          <w:rFonts w:cstheme="minorHAnsi"/>
          <w:b/>
        </w:rPr>
      </w:pPr>
      <w:r w:rsidRPr="00553FBF">
        <w:rPr>
          <w:rStyle w:val="corresp-label"/>
          <w:rFonts w:cstheme="minorHAnsi"/>
          <w:b/>
        </w:rPr>
        <w:t>Corresponding author</w:t>
      </w:r>
    </w:p>
    <w:p w14:paraId="4BD88A05" w14:textId="77777777" w:rsidR="00553FBF" w:rsidRDefault="00553FBF" w:rsidP="00E6461D">
      <w:pPr>
        <w:spacing w:after="0" w:line="240" w:lineRule="auto"/>
        <w:rPr>
          <w:rFonts w:cstheme="minorHAnsi"/>
        </w:rPr>
      </w:pPr>
    </w:p>
    <w:p w14:paraId="0374D3C6" w14:textId="77777777" w:rsidR="00D4693F" w:rsidRDefault="00E6461D" w:rsidP="003F5C8E">
      <w:pPr>
        <w:spacing w:after="0" w:line="360" w:lineRule="auto"/>
        <w:rPr>
          <w:rFonts w:cstheme="minorHAnsi"/>
        </w:rPr>
      </w:pPr>
      <w:r w:rsidRPr="00E6461D">
        <w:rPr>
          <w:rFonts w:cstheme="minorHAnsi"/>
        </w:rPr>
        <w:t xml:space="preserve">Dr Rosemary J Hollick, Epidemiology Group, </w:t>
      </w:r>
      <w:r w:rsidR="00D4693F">
        <w:rPr>
          <w:rFonts w:cstheme="minorHAnsi"/>
        </w:rPr>
        <w:t xml:space="preserve">Health Sciences Building (Rm 107), </w:t>
      </w:r>
      <w:r w:rsidRPr="00E6461D">
        <w:rPr>
          <w:rFonts w:cstheme="minorHAnsi"/>
        </w:rPr>
        <w:t xml:space="preserve">School of Medicine, Medical Science and Nutrition, University of </w:t>
      </w:r>
      <w:r w:rsidR="00D4693F">
        <w:rPr>
          <w:rFonts w:cstheme="minorHAnsi"/>
        </w:rPr>
        <w:t>Aberdeen, Aberdeen AB25 2ZD, UK</w:t>
      </w:r>
    </w:p>
    <w:p w14:paraId="6807B089" w14:textId="77777777" w:rsidR="00D4693F" w:rsidRDefault="00D4693F" w:rsidP="003F5C8E">
      <w:pPr>
        <w:spacing w:after="0" w:line="360" w:lineRule="auto"/>
        <w:rPr>
          <w:rStyle w:val="em-addr"/>
          <w:rFonts w:cstheme="minorHAnsi"/>
          <w:bdr w:val="none" w:sz="0" w:space="0" w:color="auto" w:frame="1"/>
        </w:rPr>
      </w:pPr>
      <w:r>
        <w:rPr>
          <w:rStyle w:val="em-addr"/>
          <w:rFonts w:cstheme="minorHAnsi"/>
          <w:bdr w:val="none" w:sz="0" w:space="0" w:color="auto" w:frame="1"/>
        </w:rPr>
        <w:t xml:space="preserve">Email: </w:t>
      </w:r>
      <w:hyperlink r:id="rId8" w:history="1">
        <w:r w:rsidR="00E6461D" w:rsidRPr="00E6461D">
          <w:rPr>
            <w:rStyle w:val="Hyperlink"/>
            <w:rFonts w:cstheme="minorHAnsi"/>
            <w:color w:val="auto"/>
            <w:bdr w:val="none" w:sz="0" w:space="0" w:color="auto" w:frame="1"/>
          </w:rPr>
          <w:t>rhollick@abdn.ac.uk</w:t>
        </w:r>
      </w:hyperlink>
    </w:p>
    <w:p w14:paraId="35C1C1DC" w14:textId="5C84CAA7" w:rsidR="00E6461D" w:rsidRPr="00E6461D" w:rsidRDefault="00D4693F" w:rsidP="003F5C8E">
      <w:pPr>
        <w:spacing w:after="0" w:line="360" w:lineRule="auto"/>
        <w:rPr>
          <w:rFonts w:eastAsia="Times New Roman" w:cstheme="minorHAnsi"/>
          <w:lang w:eastAsia="en-GB"/>
        </w:rPr>
      </w:pPr>
      <w:r>
        <w:rPr>
          <w:rStyle w:val="em-addr"/>
          <w:rFonts w:cstheme="minorHAnsi"/>
          <w:bdr w:val="none" w:sz="0" w:space="0" w:color="auto" w:frame="1"/>
        </w:rPr>
        <w:t xml:space="preserve">Telephone: +44 1224 </w:t>
      </w:r>
    </w:p>
    <w:p w14:paraId="0ED38AF8" w14:textId="77777777" w:rsidR="00D4693F" w:rsidRDefault="00D4693F" w:rsidP="00E6461D">
      <w:pPr>
        <w:rPr>
          <w:b/>
        </w:rPr>
      </w:pPr>
      <w:bookmarkStart w:id="3" w:name="aff-3"/>
      <w:bookmarkEnd w:id="3"/>
    </w:p>
    <w:p w14:paraId="2451EC75" w14:textId="4389E66B" w:rsidR="003F5C8E" w:rsidRPr="00D4693F" w:rsidRDefault="00D4693F" w:rsidP="00E6461D">
      <w:pPr>
        <w:rPr>
          <w:b/>
        </w:rPr>
      </w:pPr>
      <w:r>
        <w:rPr>
          <w:b/>
        </w:rPr>
        <w:t xml:space="preserve">Word count: </w:t>
      </w:r>
      <w:r w:rsidR="00541B12">
        <w:rPr>
          <w:b/>
        </w:rPr>
        <w:t>3989 (excluding tables)</w:t>
      </w:r>
    </w:p>
    <w:p w14:paraId="63858D73" w14:textId="77777777" w:rsidR="00E6461D" w:rsidRDefault="00E6461D">
      <w:pPr>
        <w:rPr>
          <w:b/>
        </w:rPr>
      </w:pPr>
      <w:r>
        <w:rPr>
          <w:b/>
        </w:rPr>
        <w:br w:type="page"/>
      </w:r>
    </w:p>
    <w:p w14:paraId="0A6BBABB" w14:textId="04A5D1BE" w:rsidR="00486A69" w:rsidRPr="009A22B8" w:rsidRDefault="00D4693F" w:rsidP="00486A69">
      <w:pPr>
        <w:spacing w:line="360" w:lineRule="auto"/>
        <w:rPr>
          <w:b/>
        </w:rPr>
      </w:pPr>
      <w:r>
        <w:rPr>
          <w:b/>
        </w:rPr>
        <w:lastRenderedPageBreak/>
        <w:t>ABSTRACT</w:t>
      </w:r>
    </w:p>
    <w:p w14:paraId="61E75D9D" w14:textId="143FB352" w:rsidR="00486A69" w:rsidRPr="009A22B8" w:rsidRDefault="00486A69" w:rsidP="00486A69">
      <w:pPr>
        <w:spacing w:line="360" w:lineRule="auto"/>
        <w:jc w:val="both"/>
        <w:rPr>
          <w:rFonts w:cstheme="minorHAnsi"/>
          <w:color w:val="000000"/>
        </w:rPr>
      </w:pPr>
      <w:r w:rsidRPr="009A22B8">
        <w:rPr>
          <w:rFonts w:cstheme="minorHAnsi"/>
          <w:color w:val="000000"/>
        </w:rPr>
        <w:t>Objectives:</w:t>
      </w:r>
      <w:r>
        <w:rPr>
          <w:rFonts w:cstheme="minorHAnsi"/>
          <w:color w:val="000000"/>
        </w:rPr>
        <w:t xml:space="preserve"> To examine </w:t>
      </w:r>
      <w:r w:rsidRPr="00F41D82">
        <w:t>differences in clinical and patient reported outcomes</w:t>
      </w:r>
      <w:r w:rsidR="00284BB6">
        <w:t xml:space="preserve">, </w:t>
      </w:r>
      <w:r w:rsidR="008A3F7B">
        <w:t xml:space="preserve">including work, </w:t>
      </w:r>
      <w:r w:rsidRPr="00F41D82">
        <w:t xml:space="preserve">in individuals with </w:t>
      </w:r>
      <w:r>
        <w:t>axial spondyloarthritis (AxSpA)</w:t>
      </w:r>
      <w:r w:rsidRPr="00F41D82">
        <w:t xml:space="preserve"> </w:t>
      </w:r>
      <w:r>
        <w:t>living in rural and urban settings.</w:t>
      </w:r>
    </w:p>
    <w:p w14:paraId="03FF4D65" w14:textId="352A1BE9" w:rsidR="00486A69" w:rsidRPr="009A22B8" w:rsidRDefault="00486A69" w:rsidP="00486A69">
      <w:pPr>
        <w:spacing w:line="360" w:lineRule="auto"/>
        <w:jc w:val="both"/>
        <w:rPr>
          <w:rFonts w:cstheme="minorHAnsi"/>
          <w:color w:val="000000"/>
        </w:rPr>
      </w:pPr>
      <w:r>
        <w:rPr>
          <w:rFonts w:cstheme="minorHAnsi"/>
          <w:color w:val="000000"/>
        </w:rPr>
        <w:t xml:space="preserve">Methods: </w:t>
      </w:r>
      <w:r w:rsidR="00E72183">
        <w:rPr>
          <w:rFonts w:cstheme="minorHAnsi"/>
          <w:color w:val="000000"/>
        </w:rPr>
        <w:t>Using a sequential, explanatory mixed-method design, d</w:t>
      </w:r>
      <w:r>
        <w:rPr>
          <w:rFonts w:cstheme="minorHAnsi"/>
          <w:color w:val="000000"/>
        </w:rPr>
        <w:t>a</w:t>
      </w:r>
      <w:r w:rsidRPr="00F41D82">
        <w:t xml:space="preserve">ta from </w:t>
      </w:r>
      <w:r w:rsidRPr="00F41D82">
        <w:rPr>
          <w:rFonts w:cstheme="minorHAnsi"/>
        </w:rPr>
        <w:t xml:space="preserve">The British Society for Rheumatology Biologics Register for Ankylosing Spondylitis (BSRBR-AS) </w:t>
      </w:r>
      <w:r>
        <w:rPr>
          <w:rFonts w:cstheme="minorHAnsi"/>
        </w:rPr>
        <w:t>was used to</w:t>
      </w:r>
      <w:r w:rsidRPr="00F41D82">
        <w:rPr>
          <w:rFonts w:cstheme="minorHAnsi"/>
        </w:rPr>
        <w:t xml:space="preserve"> a) </w:t>
      </w:r>
      <w:r w:rsidR="008A3F7B">
        <w:rPr>
          <w:rFonts w:cstheme="minorHAnsi"/>
        </w:rPr>
        <w:t>characterise</w:t>
      </w:r>
      <w:r w:rsidRPr="00F41D82">
        <w:rPr>
          <w:rFonts w:cstheme="minorHAnsi"/>
        </w:rPr>
        <w:t xml:space="preserve"> axSpA participants living in rural and urban areas and b) to assess any differences in outcome after commencement of biologic therapy</w:t>
      </w:r>
      <w:r w:rsidR="00E72183">
        <w:rPr>
          <w:rFonts w:cstheme="minorHAnsi"/>
        </w:rPr>
        <w:t xml:space="preserve"> (phase 1)</w:t>
      </w:r>
      <w:r w:rsidRPr="00F41D82">
        <w:rPr>
          <w:rFonts w:cstheme="minorHAnsi"/>
        </w:rPr>
        <w:t xml:space="preserve">. </w:t>
      </w:r>
      <w:r>
        <w:rPr>
          <w:rFonts w:cstheme="minorHAnsi"/>
        </w:rPr>
        <w:t>Semi-structured interviews</w:t>
      </w:r>
      <w:r w:rsidRPr="00F41D82">
        <w:rPr>
          <w:rFonts w:cstheme="minorHAnsi"/>
        </w:rPr>
        <w:t xml:space="preserve"> </w:t>
      </w:r>
      <w:r w:rsidR="00E72183">
        <w:rPr>
          <w:rFonts w:cstheme="minorHAnsi"/>
        </w:rPr>
        <w:t xml:space="preserve">further </w:t>
      </w:r>
      <w:r>
        <w:rPr>
          <w:rFonts w:cstheme="minorHAnsi"/>
        </w:rPr>
        <w:t xml:space="preserve">explored </w:t>
      </w:r>
      <w:r w:rsidR="00E72183">
        <w:t>results from phase 1</w:t>
      </w:r>
      <w:r w:rsidRPr="00F41D82">
        <w:rPr>
          <w:rFonts w:cstheme="minorHAnsi"/>
        </w:rPr>
        <w:t>.</w:t>
      </w:r>
    </w:p>
    <w:p w14:paraId="7448CABE" w14:textId="18D35AA1" w:rsidR="00486A69" w:rsidRPr="00284BB6" w:rsidRDefault="00486A69" w:rsidP="00486A69">
      <w:pPr>
        <w:spacing w:line="360" w:lineRule="auto"/>
        <w:jc w:val="both"/>
        <w:rPr>
          <w:rFonts w:cstheme="minorHAnsi"/>
        </w:rPr>
      </w:pPr>
      <w:r w:rsidRPr="009A22B8">
        <w:rPr>
          <w:rFonts w:cstheme="minorHAnsi"/>
          <w:color w:val="000000"/>
        </w:rPr>
        <w:t>Results:</w:t>
      </w:r>
      <w:r>
        <w:rPr>
          <w:rFonts w:cstheme="minorHAnsi"/>
          <w:color w:val="000000"/>
        </w:rPr>
        <w:t xml:space="preserve"> </w:t>
      </w:r>
      <w:r w:rsidR="00F40042">
        <w:rPr>
          <w:rFonts w:cstheme="minorHAnsi"/>
          <w:color w:val="000000"/>
        </w:rPr>
        <w:t>a</w:t>
      </w:r>
      <w:r w:rsidR="00594486">
        <w:t>xSpA patients living in rural areas were</w:t>
      </w:r>
      <w:r w:rsidR="00F40042">
        <w:t xml:space="preserve"> older and </w:t>
      </w:r>
      <w:r w:rsidR="00594486">
        <w:t>more likely to work in a physical job</w:t>
      </w:r>
      <w:r w:rsidR="00F40042">
        <w:t xml:space="preserve">. </w:t>
      </w:r>
      <w:r w:rsidR="00F40042">
        <w:rPr>
          <w:rFonts w:cstheme="minorHAnsi"/>
        </w:rPr>
        <w:t xml:space="preserve">Among patients </w:t>
      </w:r>
      <w:r w:rsidR="00F40042" w:rsidRPr="002A583E">
        <w:rPr>
          <w:rFonts w:cstheme="minorHAnsi"/>
        </w:rPr>
        <w:t xml:space="preserve">prescribed </w:t>
      </w:r>
      <w:r w:rsidR="00F40042">
        <w:rPr>
          <w:rFonts w:cstheme="minorHAnsi"/>
        </w:rPr>
        <w:t>biologics, t</w:t>
      </w:r>
      <w:r w:rsidR="00F40042" w:rsidRPr="002A583E">
        <w:rPr>
          <w:rFonts w:cstheme="minorHAnsi"/>
        </w:rPr>
        <w:t xml:space="preserve">here were no differences in </w:t>
      </w:r>
      <w:r w:rsidR="00F40042">
        <w:rPr>
          <w:rFonts w:cstheme="minorHAnsi"/>
        </w:rPr>
        <w:t>response to biologics,</w:t>
      </w:r>
      <w:r w:rsidR="00E67E7B">
        <w:rPr>
          <w:rFonts w:cstheme="minorHAnsi"/>
        </w:rPr>
        <w:t xml:space="preserve"> but, a</w:t>
      </w:r>
      <w:r w:rsidR="00F40042">
        <w:rPr>
          <w:rFonts w:cstheme="minorHAnsi"/>
        </w:rPr>
        <w:t>fter adjustm</w:t>
      </w:r>
      <w:r w:rsidR="00D5758F">
        <w:rPr>
          <w:rFonts w:cstheme="minorHAnsi"/>
        </w:rPr>
        <w:t xml:space="preserve">ent for age, sex and local-area </w:t>
      </w:r>
      <w:r w:rsidR="00F40042">
        <w:rPr>
          <w:rFonts w:cstheme="minorHAnsi"/>
        </w:rPr>
        <w:t xml:space="preserve">deprivation, rural-dwellers </w:t>
      </w:r>
      <w:r w:rsidR="00594486" w:rsidRPr="00ED4F94">
        <w:t>reported more pr</w:t>
      </w:r>
      <w:r w:rsidR="00594486">
        <w:t xml:space="preserve">esenteeism </w:t>
      </w:r>
      <w:r w:rsidR="00F40042">
        <w:t>and overall work impairment</w:t>
      </w:r>
      <w:r w:rsidR="00594486">
        <w:t xml:space="preserve">. </w:t>
      </w:r>
      <w:r w:rsidR="00E67E7B">
        <w:rPr>
          <w:rFonts w:cstheme="minorHAnsi"/>
        </w:rPr>
        <w:t>W</w:t>
      </w:r>
      <w:r w:rsidR="00594486">
        <w:rPr>
          <w:rFonts w:cstheme="minorHAnsi"/>
        </w:rPr>
        <w:t xml:space="preserve">ork effects could be explained by accounting for </w:t>
      </w:r>
      <w:r w:rsidR="00D95872">
        <w:rPr>
          <w:rFonts w:cstheme="minorHAnsi"/>
        </w:rPr>
        <w:t xml:space="preserve">individual </w:t>
      </w:r>
      <w:r w:rsidR="00594486">
        <w:rPr>
          <w:rFonts w:cstheme="minorHAnsi"/>
        </w:rPr>
        <w:t>differences in: disease activity; fatigue; physical function and job type. I</w:t>
      </w:r>
      <w:r w:rsidRPr="002A583E">
        <w:rPr>
          <w:rFonts w:cstheme="minorHAnsi"/>
        </w:rPr>
        <w:t>nterview</w:t>
      </w:r>
      <w:r>
        <w:rPr>
          <w:rFonts w:cstheme="minorHAnsi"/>
        </w:rPr>
        <w:t>s</w:t>
      </w:r>
      <w:r w:rsidRPr="002A583E">
        <w:rPr>
          <w:rFonts w:cstheme="minorHAnsi"/>
        </w:rPr>
        <w:t xml:space="preserve"> </w:t>
      </w:r>
      <w:r w:rsidR="008A3F7B">
        <w:rPr>
          <w:rFonts w:cstheme="minorHAnsi"/>
        </w:rPr>
        <w:t xml:space="preserve">highlighted </w:t>
      </w:r>
      <w:r w:rsidRPr="002A583E">
        <w:rPr>
          <w:rFonts w:cstheme="minorHAnsi"/>
        </w:rPr>
        <w:t xml:space="preserve">complex relationship </w:t>
      </w:r>
      <w:r w:rsidR="008A3F7B">
        <w:rPr>
          <w:rFonts w:cstheme="minorHAnsi"/>
        </w:rPr>
        <w:t xml:space="preserve">between </w:t>
      </w:r>
      <w:r w:rsidR="00E72183">
        <w:rPr>
          <w:rFonts w:cstheme="minorHAnsi"/>
        </w:rPr>
        <w:t>c</w:t>
      </w:r>
      <w:r w:rsidR="00284BB6">
        <w:rPr>
          <w:rFonts w:cstheme="minorHAnsi"/>
        </w:rPr>
        <w:t xml:space="preserve">linical factors, </w:t>
      </w:r>
      <w:r w:rsidR="00E72183">
        <w:rPr>
          <w:rFonts w:cstheme="minorHAnsi"/>
        </w:rPr>
        <w:t>contextual factors (work environment, job demands) and work disability.</w:t>
      </w:r>
      <w:r w:rsidR="00FC5E5F">
        <w:rPr>
          <w:rFonts w:cstheme="minorHAnsi"/>
        </w:rPr>
        <w:t xml:space="preserve"> </w:t>
      </w:r>
      <w:r w:rsidR="00284BB6">
        <w:t>The ability to work and f</w:t>
      </w:r>
      <w:r>
        <w:t>l</w:t>
      </w:r>
      <w:r w:rsidRPr="002A583E">
        <w:rPr>
          <w:rFonts w:cstheme="minorHAnsi"/>
        </w:rPr>
        <w:t xml:space="preserve">exibility in terms </w:t>
      </w:r>
      <w:r>
        <w:rPr>
          <w:rFonts w:cstheme="minorHAnsi"/>
        </w:rPr>
        <w:t xml:space="preserve">of what, when and how tasks </w:t>
      </w:r>
      <w:r w:rsidR="00FC5E5F">
        <w:rPr>
          <w:rFonts w:cstheme="minorHAnsi"/>
        </w:rPr>
        <w:t>are undertaken</w:t>
      </w:r>
      <w:r w:rsidR="00E72183">
        <w:rPr>
          <w:rFonts w:cstheme="minorHAnsi"/>
        </w:rPr>
        <w:t xml:space="preserve"> was important</w:t>
      </w:r>
      <w:r>
        <w:rPr>
          <w:rFonts w:cstheme="minorHAnsi"/>
        </w:rPr>
        <w:t xml:space="preserve">. </w:t>
      </w:r>
      <w:r w:rsidR="00C334CF">
        <w:rPr>
          <w:rFonts w:cstheme="minorHAnsi"/>
        </w:rPr>
        <w:t>Support from</w:t>
      </w:r>
      <w:r>
        <w:rPr>
          <w:rFonts w:cstheme="minorHAnsi"/>
        </w:rPr>
        <w:t xml:space="preserve"> employers </w:t>
      </w:r>
      <w:r w:rsidR="00C334CF">
        <w:rPr>
          <w:rFonts w:cstheme="minorHAnsi"/>
        </w:rPr>
        <w:t xml:space="preserve">was variable </w:t>
      </w:r>
      <w:r>
        <w:rPr>
          <w:rFonts w:cstheme="minorHAnsi"/>
        </w:rPr>
        <w:t>and healthcare professionals often perceived as unsupportive</w:t>
      </w:r>
      <w:r w:rsidRPr="002A583E">
        <w:rPr>
          <w:rFonts w:cstheme="minorHAnsi"/>
        </w:rPr>
        <w:t>.</w:t>
      </w:r>
      <w:r>
        <w:rPr>
          <w:rFonts w:cstheme="minorHAnsi"/>
        </w:rPr>
        <w:t xml:space="preserve"> </w:t>
      </w:r>
    </w:p>
    <w:p w14:paraId="2796DDED" w14:textId="5A26EA7B" w:rsidR="00486A69" w:rsidRPr="00DB3A4C" w:rsidRDefault="00486A69" w:rsidP="00486A69">
      <w:pPr>
        <w:spacing w:line="360" w:lineRule="auto"/>
        <w:jc w:val="both"/>
        <w:rPr>
          <w:rFonts w:cstheme="minorHAnsi"/>
        </w:rPr>
      </w:pPr>
      <w:r w:rsidRPr="00DB3A4C">
        <w:rPr>
          <w:rFonts w:cstheme="minorHAnsi"/>
          <w:color w:val="000000"/>
        </w:rPr>
        <w:t xml:space="preserve">Conclusions: </w:t>
      </w:r>
      <w:r>
        <w:rPr>
          <w:rFonts w:cstheme="minorHAnsi"/>
          <w:color w:val="000000"/>
        </w:rPr>
        <w:t xml:space="preserve">axSpA </w:t>
      </w:r>
      <w:r>
        <w:rPr>
          <w:rFonts w:cstheme="minorHAnsi"/>
        </w:rPr>
        <w:t>p</w:t>
      </w:r>
      <w:r w:rsidRPr="00DB3A4C">
        <w:rPr>
          <w:rFonts w:cstheme="minorHAnsi"/>
        </w:rPr>
        <w:t>atients</w:t>
      </w:r>
      <w:r w:rsidRPr="00DB3A4C">
        <w:rPr>
          <w:rFonts w:cstheme="minorHAnsi"/>
          <w:b/>
        </w:rPr>
        <w:t xml:space="preserve"> </w:t>
      </w:r>
      <w:r w:rsidRPr="00DB3A4C">
        <w:rPr>
          <w:rFonts w:cstheme="minorHAnsi"/>
        </w:rPr>
        <w:t>living</w:t>
      </w:r>
      <w:r w:rsidRPr="00DB3A4C">
        <w:rPr>
          <w:rFonts w:cstheme="minorHAnsi"/>
          <w:b/>
        </w:rPr>
        <w:t xml:space="preserve"> </w:t>
      </w:r>
      <w:r w:rsidRPr="00DB3A4C">
        <w:rPr>
          <w:rFonts w:cstheme="minorHAnsi"/>
        </w:rPr>
        <w:t xml:space="preserve">in rural areas report a greater impact of their disease on </w:t>
      </w:r>
      <w:r w:rsidR="00622528">
        <w:rPr>
          <w:rFonts w:cstheme="minorHAnsi"/>
        </w:rPr>
        <w:t>work productivity</w:t>
      </w:r>
      <w:r w:rsidRPr="00DB3A4C">
        <w:rPr>
          <w:rFonts w:cstheme="minorHAnsi"/>
        </w:rPr>
        <w:t xml:space="preserve">. </w:t>
      </w:r>
      <w:r w:rsidRPr="00DB3A4C">
        <w:rPr>
          <w:rFonts w:ascii="Calibri" w:hAnsi="Calibri" w:cs="Calibri"/>
        </w:rPr>
        <w:t xml:space="preserve">New measures are needed to capture </w:t>
      </w:r>
      <w:r w:rsidR="00594486">
        <w:rPr>
          <w:rFonts w:ascii="Calibri" w:hAnsi="Calibri" w:cs="Calibri"/>
        </w:rPr>
        <w:t xml:space="preserve">important contextual factors </w:t>
      </w:r>
      <w:r w:rsidR="0000601B">
        <w:rPr>
          <w:rFonts w:ascii="Calibri" w:hAnsi="Calibri" w:cs="Calibri"/>
        </w:rPr>
        <w:t>and</w:t>
      </w:r>
      <w:r w:rsidR="00840F71">
        <w:rPr>
          <w:rFonts w:ascii="Calibri" w:hAnsi="Calibri" w:cs="Calibri"/>
        </w:rPr>
        <w:t xml:space="preserve"> comprehensively</w:t>
      </w:r>
      <w:r w:rsidR="00840F71" w:rsidRPr="00DB3A4C">
        <w:rPr>
          <w:rFonts w:ascii="Calibri" w:hAnsi="Calibri" w:cs="Calibri"/>
        </w:rPr>
        <w:t xml:space="preserve"> </w:t>
      </w:r>
      <w:r w:rsidRPr="00DB3A4C">
        <w:rPr>
          <w:rFonts w:ascii="Calibri" w:hAnsi="Calibri" w:cs="Calibri"/>
        </w:rPr>
        <w:t xml:space="preserve">determine the impact </w:t>
      </w:r>
      <w:r w:rsidR="00594486">
        <w:rPr>
          <w:rFonts w:ascii="Calibri" w:hAnsi="Calibri" w:cs="Calibri"/>
        </w:rPr>
        <w:t>of long</w:t>
      </w:r>
      <w:r w:rsidR="0000601B">
        <w:rPr>
          <w:rFonts w:ascii="Calibri" w:hAnsi="Calibri" w:cs="Calibri"/>
        </w:rPr>
        <w:t>-</w:t>
      </w:r>
      <w:r w:rsidR="00594486">
        <w:rPr>
          <w:rFonts w:ascii="Calibri" w:hAnsi="Calibri" w:cs="Calibri"/>
        </w:rPr>
        <w:t xml:space="preserve">term conditions </w:t>
      </w:r>
      <w:r w:rsidR="0000601B">
        <w:rPr>
          <w:rFonts w:ascii="Calibri" w:hAnsi="Calibri" w:cs="Calibri"/>
        </w:rPr>
        <w:t>on work</w:t>
      </w:r>
      <w:r w:rsidRPr="00DB3A4C">
        <w:rPr>
          <w:rFonts w:ascii="Calibri" w:hAnsi="Calibri" w:cs="Calibri"/>
        </w:rPr>
        <w:t xml:space="preserve">. </w:t>
      </w:r>
      <w:r w:rsidRPr="00DB3A4C">
        <w:rPr>
          <w:rFonts w:cstheme="minorHAnsi"/>
        </w:rPr>
        <w:t xml:space="preserve">Future </w:t>
      </w:r>
      <w:r>
        <w:t xml:space="preserve">EULAR axSpA </w:t>
      </w:r>
      <w:r w:rsidRPr="00DB3A4C">
        <w:rPr>
          <w:rFonts w:cstheme="minorHAnsi"/>
        </w:rPr>
        <w:t xml:space="preserve">recommendations should include support </w:t>
      </w:r>
      <w:r w:rsidR="00E72183">
        <w:rPr>
          <w:rFonts w:cstheme="minorHAnsi"/>
        </w:rPr>
        <w:t>t</w:t>
      </w:r>
      <w:r w:rsidR="00C334CF">
        <w:rPr>
          <w:rFonts w:cstheme="minorHAnsi"/>
        </w:rPr>
        <w:t>o work</w:t>
      </w:r>
      <w:r w:rsidR="0058108C">
        <w:rPr>
          <w:rFonts w:cstheme="minorHAnsi"/>
        </w:rPr>
        <w:t xml:space="preserve"> </w:t>
      </w:r>
      <w:r w:rsidRPr="00DB3A4C">
        <w:rPr>
          <w:rFonts w:cstheme="minorHAnsi"/>
        </w:rPr>
        <w:t xml:space="preserve">as a target to optimise quality of life in patients with axSpA. </w:t>
      </w:r>
    </w:p>
    <w:p w14:paraId="61CC8D29" w14:textId="43709865" w:rsidR="00486A69" w:rsidRDefault="00D4693F" w:rsidP="00486A69">
      <w:pPr>
        <w:spacing w:line="360" w:lineRule="auto"/>
        <w:rPr>
          <w:rFonts w:cstheme="minorHAnsi"/>
          <w:color w:val="000000"/>
        </w:rPr>
      </w:pPr>
      <w:r>
        <w:rPr>
          <w:rFonts w:cstheme="minorHAnsi"/>
          <w:b/>
          <w:color w:val="000000"/>
        </w:rPr>
        <w:t>KEY WORDS</w:t>
      </w:r>
      <w:r w:rsidR="00486A69" w:rsidRPr="009A22B8">
        <w:rPr>
          <w:rFonts w:cstheme="minorHAnsi"/>
          <w:b/>
          <w:color w:val="000000"/>
        </w:rPr>
        <w:t>:</w:t>
      </w:r>
      <w:r w:rsidR="00486A69">
        <w:rPr>
          <w:rFonts w:cstheme="minorHAnsi"/>
          <w:b/>
          <w:color w:val="000000"/>
        </w:rPr>
        <w:t xml:space="preserve"> </w:t>
      </w:r>
      <w:r>
        <w:rPr>
          <w:rFonts w:cstheme="minorHAnsi"/>
          <w:color w:val="000000"/>
        </w:rPr>
        <w:t xml:space="preserve">axial </w:t>
      </w:r>
      <w:r w:rsidR="00486A69">
        <w:rPr>
          <w:rFonts w:cstheme="minorHAnsi"/>
          <w:color w:val="000000"/>
        </w:rPr>
        <w:t xml:space="preserve">spondyloarthritis, </w:t>
      </w:r>
      <w:r w:rsidR="00553FBF">
        <w:rPr>
          <w:rFonts w:cstheme="minorHAnsi"/>
          <w:color w:val="000000"/>
        </w:rPr>
        <w:t>qualitative research</w:t>
      </w:r>
      <w:r w:rsidR="00486A69">
        <w:rPr>
          <w:rFonts w:cstheme="minorHAnsi"/>
          <w:color w:val="000000"/>
        </w:rPr>
        <w:t>, rural, work disability, BSRBR-AS</w:t>
      </w:r>
    </w:p>
    <w:p w14:paraId="521E809F" w14:textId="77777777" w:rsidR="00E6461D" w:rsidRDefault="00E6461D">
      <w:pPr>
        <w:rPr>
          <w:rFonts w:cstheme="minorHAnsi"/>
          <w:b/>
          <w:color w:val="000000"/>
        </w:rPr>
      </w:pPr>
      <w:r>
        <w:rPr>
          <w:rFonts w:cstheme="minorHAnsi"/>
          <w:b/>
          <w:color w:val="000000"/>
        </w:rPr>
        <w:br w:type="page"/>
      </w:r>
    </w:p>
    <w:p w14:paraId="64093097" w14:textId="1C53A4A8" w:rsidR="009A22B8" w:rsidRDefault="00D4693F" w:rsidP="009A22B8">
      <w:pPr>
        <w:spacing w:line="360" w:lineRule="auto"/>
        <w:rPr>
          <w:rFonts w:cstheme="minorHAnsi"/>
          <w:b/>
          <w:color w:val="000000"/>
        </w:rPr>
      </w:pPr>
      <w:r>
        <w:rPr>
          <w:rFonts w:cstheme="minorHAnsi"/>
          <w:b/>
          <w:color w:val="000000"/>
        </w:rPr>
        <w:lastRenderedPageBreak/>
        <w:t>KEY MESSAGES</w:t>
      </w:r>
    </w:p>
    <w:p w14:paraId="6F7BC17E" w14:textId="7F048029" w:rsidR="009A22B8" w:rsidRPr="00D4693F" w:rsidRDefault="009A22B8" w:rsidP="009A22B8">
      <w:pPr>
        <w:spacing w:line="360" w:lineRule="auto"/>
        <w:rPr>
          <w:rFonts w:cstheme="minorHAnsi"/>
          <w:b/>
          <w:color w:val="000000"/>
        </w:rPr>
      </w:pPr>
      <w:r w:rsidRPr="00D4693F">
        <w:rPr>
          <w:rFonts w:cstheme="minorHAnsi"/>
          <w:b/>
          <w:color w:val="000000"/>
        </w:rPr>
        <w:t>What is already known about this subject?</w:t>
      </w:r>
    </w:p>
    <w:p w14:paraId="45B8B5C3" w14:textId="0FB191AB" w:rsidR="008C14B6" w:rsidRDefault="002908EC" w:rsidP="00E6461D">
      <w:pPr>
        <w:spacing w:after="0" w:line="360" w:lineRule="auto"/>
        <w:rPr>
          <w:rFonts w:cstheme="minorHAnsi"/>
          <w:color w:val="000000" w:themeColor="text1"/>
        </w:rPr>
      </w:pPr>
      <w:r>
        <w:rPr>
          <w:rFonts w:cstheme="minorHAnsi"/>
        </w:rPr>
        <w:t xml:space="preserve">Work productivity </w:t>
      </w:r>
      <w:r w:rsidR="00BC2A9C">
        <w:rPr>
          <w:rFonts w:cstheme="minorHAnsi"/>
        </w:rPr>
        <w:t>is significantly affec</w:t>
      </w:r>
      <w:r w:rsidR="00486A69">
        <w:rPr>
          <w:rFonts w:cstheme="minorHAnsi"/>
        </w:rPr>
        <w:t>ted by axial spondyloarthritis</w:t>
      </w:r>
      <w:r w:rsidR="008C14B6">
        <w:rPr>
          <w:rFonts w:cstheme="minorHAnsi"/>
        </w:rPr>
        <w:t xml:space="preserve">. </w:t>
      </w:r>
    </w:p>
    <w:p w14:paraId="5529C43F" w14:textId="77777777" w:rsidR="00E6461D" w:rsidRDefault="00E6461D" w:rsidP="00E6461D">
      <w:pPr>
        <w:spacing w:after="0" w:line="360" w:lineRule="auto"/>
        <w:rPr>
          <w:rFonts w:cstheme="minorHAnsi"/>
          <w:i/>
          <w:color w:val="000000"/>
        </w:rPr>
      </w:pPr>
    </w:p>
    <w:p w14:paraId="0DFA8931" w14:textId="25980CA4" w:rsidR="009A22B8" w:rsidRPr="00D4693F" w:rsidRDefault="009A22B8" w:rsidP="00E6461D">
      <w:pPr>
        <w:spacing w:after="0" w:line="360" w:lineRule="auto"/>
        <w:rPr>
          <w:rFonts w:cstheme="minorHAnsi"/>
          <w:b/>
          <w:color w:val="000000"/>
        </w:rPr>
      </w:pPr>
      <w:r w:rsidRPr="00D4693F">
        <w:rPr>
          <w:rFonts w:cstheme="minorHAnsi"/>
          <w:b/>
          <w:color w:val="000000"/>
        </w:rPr>
        <w:t>What does this study add?</w:t>
      </w:r>
    </w:p>
    <w:p w14:paraId="665ACCDC" w14:textId="77777777" w:rsidR="00ED0778" w:rsidRDefault="00ED0778" w:rsidP="009A22B8">
      <w:pPr>
        <w:pStyle w:val="ListParagraph"/>
        <w:numPr>
          <w:ilvl w:val="0"/>
          <w:numId w:val="10"/>
        </w:numPr>
        <w:spacing w:line="360" w:lineRule="auto"/>
        <w:rPr>
          <w:rFonts w:ascii="Calibri" w:hAnsi="Calibri" w:cs="Calibri"/>
        </w:rPr>
      </w:pPr>
      <w:r>
        <w:t xml:space="preserve">The ability to work </w:t>
      </w:r>
      <w:r w:rsidRPr="00ED0778">
        <w:rPr>
          <w:rFonts w:ascii="Calibri" w:hAnsi="Calibri" w:cs="Calibri"/>
        </w:rPr>
        <w:t>is of prime importance to axSpA patients.</w:t>
      </w:r>
    </w:p>
    <w:p w14:paraId="4D2924C8" w14:textId="77777777" w:rsidR="00ED0778" w:rsidRPr="00ED0778" w:rsidRDefault="00ED0778" w:rsidP="009A22B8">
      <w:pPr>
        <w:pStyle w:val="ListParagraph"/>
        <w:numPr>
          <w:ilvl w:val="0"/>
          <w:numId w:val="10"/>
        </w:numPr>
        <w:spacing w:line="360" w:lineRule="auto"/>
        <w:rPr>
          <w:rFonts w:ascii="Calibri" w:hAnsi="Calibri" w:cs="Calibri"/>
        </w:rPr>
      </w:pPr>
      <w:r>
        <w:t xml:space="preserve">This </w:t>
      </w:r>
      <w:r w:rsidRPr="005D277A">
        <w:t xml:space="preserve">is the first paper to </w:t>
      </w:r>
      <w:r w:rsidRPr="00ED0778">
        <w:rPr>
          <w:rFonts w:cstheme="minorHAnsi"/>
        </w:rPr>
        <w:t>demonstrate that individuals with axSpA living</w:t>
      </w:r>
      <w:r w:rsidRPr="00ED0778">
        <w:rPr>
          <w:rFonts w:cstheme="minorHAnsi"/>
          <w:b/>
        </w:rPr>
        <w:t xml:space="preserve"> </w:t>
      </w:r>
      <w:r w:rsidRPr="00ED0778">
        <w:rPr>
          <w:rFonts w:cstheme="minorHAnsi"/>
        </w:rPr>
        <w:t xml:space="preserve">in rural areas report a greater impact of their disease on their ability to work. </w:t>
      </w:r>
    </w:p>
    <w:p w14:paraId="4AC8619F" w14:textId="251843D5" w:rsidR="00BC2A9C" w:rsidRPr="00ED0778" w:rsidRDefault="00522183" w:rsidP="009A22B8">
      <w:pPr>
        <w:pStyle w:val="ListParagraph"/>
        <w:numPr>
          <w:ilvl w:val="0"/>
          <w:numId w:val="10"/>
        </w:numPr>
        <w:spacing w:line="360" w:lineRule="auto"/>
        <w:rPr>
          <w:rFonts w:ascii="Calibri" w:hAnsi="Calibri" w:cs="Calibri"/>
        </w:rPr>
      </w:pPr>
      <w:r>
        <w:rPr>
          <w:bCs/>
        </w:rPr>
        <w:t xml:space="preserve">This mixed-methods study highlights </w:t>
      </w:r>
      <w:r w:rsidRPr="000F511F">
        <w:rPr>
          <w:bCs/>
        </w:rPr>
        <w:t xml:space="preserve">the </w:t>
      </w:r>
      <w:r w:rsidRPr="00741FC5">
        <w:rPr>
          <w:bCs/>
        </w:rPr>
        <w:t>relevance and nature of</w:t>
      </w:r>
      <w:r>
        <w:rPr>
          <w:b/>
          <w:bCs/>
        </w:rPr>
        <w:t xml:space="preserve"> </w:t>
      </w:r>
      <w:r w:rsidR="001F05BF">
        <w:rPr>
          <w:bCs/>
        </w:rPr>
        <w:t xml:space="preserve">clinical and </w:t>
      </w:r>
      <w:r w:rsidRPr="000F511F">
        <w:rPr>
          <w:bCs/>
        </w:rPr>
        <w:t>contextual factors</w:t>
      </w:r>
      <w:r>
        <w:rPr>
          <w:bCs/>
        </w:rPr>
        <w:t>, and offers</w:t>
      </w:r>
      <w:r w:rsidRPr="00AF27F4">
        <w:rPr>
          <w:rFonts w:cstheme="minorHAnsi"/>
        </w:rPr>
        <w:t xml:space="preserve"> new insights into how features of occupations, individuals and workplaces influence work disability in axSpA</w:t>
      </w:r>
      <w:r>
        <w:rPr>
          <w:rFonts w:cstheme="minorHAnsi"/>
        </w:rPr>
        <w:t xml:space="preserve"> </w:t>
      </w:r>
    </w:p>
    <w:p w14:paraId="30D9DB48" w14:textId="500C7BD1" w:rsidR="009A22B8" w:rsidRPr="00D4693F" w:rsidRDefault="009A22B8" w:rsidP="009A22B8">
      <w:pPr>
        <w:spacing w:line="360" w:lineRule="auto"/>
        <w:rPr>
          <w:rFonts w:cstheme="minorHAnsi"/>
          <w:b/>
          <w:color w:val="000000"/>
        </w:rPr>
      </w:pPr>
      <w:r w:rsidRPr="00D4693F">
        <w:rPr>
          <w:rFonts w:cstheme="minorHAnsi"/>
          <w:b/>
          <w:color w:val="000000"/>
        </w:rPr>
        <w:t>How might this impact on clinical practice or future developments?</w:t>
      </w:r>
    </w:p>
    <w:p w14:paraId="5EF2AA2B" w14:textId="77777777" w:rsidR="00ED0778" w:rsidRPr="005D277A" w:rsidRDefault="00ED0778" w:rsidP="00ED0778">
      <w:pPr>
        <w:pStyle w:val="ListParagraph"/>
        <w:numPr>
          <w:ilvl w:val="0"/>
          <w:numId w:val="9"/>
        </w:numPr>
        <w:spacing w:after="0" w:line="360" w:lineRule="auto"/>
        <w:rPr>
          <w:rFonts w:cstheme="minorHAnsi"/>
          <w:color w:val="000000" w:themeColor="text1"/>
        </w:rPr>
      </w:pPr>
      <w:r>
        <w:rPr>
          <w:rFonts w:cstheme="minorHAnsi"/>
        </w:rPr>
        <w:t>Impaired ability to work for those living in rural settings has</w:t>
      </w:r>
      <w:r w:rsidRPr="005D277A">
        <w:rPr>
          <w:rFonts w:cstheme="minorHAnsi"/>
        </w:rPr>
        <w:t xml:space="preserve"> important </w:t>
      </w:r>
      <w:r>
        <w:rPr>
          <w:rFonts w:cstheme="minorHAnsi"/>
        </w:rPr>
        <w:t xml:space="preserve">consequences </w:t>
      </w:r>
      <w:r w:rsidRPr="005D277A">
        <w:rPr>
          <w:rFonts w:cstheme="minorHAnsi"/>
        </w:rPr>
        <w:t xml:space="preserve">as the ageing, multi-morbid population is increasing faster in rural areas and people are working to older ages.  </w:t>
      </w:r>
    </w:p>
    <w:p w14:paraId="1BCD051C" w14:textId="65024EA5" w:rsidR="00ED0778" w:rsidRPr="00ED0778" w:rsidRDefault="00ED0778" w:rsidP="00ED0778">
      <w:pPr>
        <w:pStyle w:val="ListParagraph"/>
        <w:numPr>
          <w:ilvl w:val="0"/>
          <w:numId w:val="8"/>
        </w:numPr>
        <w:spacing w:line="360" w:lineRule="auto"/>
        <w:rPr>
          <w:rFonts w:cstheme="minorHAnsi"/>
        </w:rPr>
      </w:pPr>
      <w:r w:rsidRPr="00ED0778">
        <w:rPr>
          <w:rFonts w:ascii="Calibri" w:hAnsi="Calibri" w:cs="Calibri"/>
        </w:rPr>
        <w:t>New</w:t>
      </w:r>
      <w:r w:rsidR="00522183">
        <w:rPr>
          <w:rFonts w:ascii="Calibri" w:hAnsi="Calibri" w:cs="Calibri"/>
        </w:rPr>
        <w:t xml:space="preserve"> comprehensive work</w:t>
      </w:r>
      <w:r w:rsidRPr="00ED0778">
        <w:rPr>
          <w:rFonts w:ascii="Calibri" w:hAnsi="Calibri" w:cs="Calibri"/>
        </w:rPr>
        <w:t xml:space="preserve"> measures are needed to capture </w:t>
      </w:r>
      <w:r w:rsidR="00522183">
        <w:rPr>
          <w:rFonts w:ascii="Calibri" w:hAnsi="Calibri" w:cs="Calibri"/>
        </w:rPr>
        <w:t xml:space="preserve">important contextual </w:t>
      </w:r>
      <w:r w:rsidR="00840F71">
        <w:rPr>
          <w:rFonts w:ascii="Calibri" w:hAnsi="Calibri" w:cs="Calibri"/>
        </w:rPr>
        <w:t xml:space="preserve">factors and the impact of </w:t>
      </w:r>
      <w:r w:rsidRPr="00ED0778">
        <w:rPr>
          <w:rFonts w:ascii="Calibri" w:hAnsi="Calibri" w:cs="Calibri"/>
        </w:rPr>
        <w:t xml:space="preserve">long-term conditions in the workplace. </w:t>
      </w:r>
    </w:p>
    <w:p w14:paraId="3FE21D06" w14:textId="4F34EDE8" w:rsidR="00ED0778" w:rsidRDefault="00ED0778" w:rsidP="00ED0778">
      <w:pPr>
        <w:pStyle w:val="ListParagraph"/>
        <w:numPr>
          <w:ilvl w:val="0"/>
          <w:numId w:val="8"/>
        </w:numPr>
        <w:spacing w:line="360" w:lineRule="auto"/>
        <w:rPr>
          <w:rFonts w:cstheme="minorHAnsi"/>
        </w:rPr>
      </w:pPr>
      <w:r>
        <w:rPr>
          <w:rFonts w:cstheme="minorHAnsi"/>
        </w:rPr>
        <w:t xml:space="preserve">Future </w:t>
      </w:r>
      <w:r>
        <w:t xml:space="preserve">EULAR axSpA </w:t>
      </w:r>
      <w:r>
        <w:rPr>
          <w:rFonts w:cstheme="minorHAnsi"/>
        </w:rPr>
        <w:t xml:space="preserve">recommendations should include </w:t>
      </w:r>
      <w:r w:rsidR="00541B12">
        <w:rPr>
          <w:rFonts w:cstheme="minorHAnsi"/>
        </w:rPr>
        <w:t>workability</w:t>
      </w:r>
      <w:r>
        <w:rPr>
          <w:rFonts w:cstheme="minorHAnsi"/>
        </w:rPr>
        <w:t xml:space="preserve"> as a target for management to optimise quality of life in patients with axSpA. </w:t>
      </w:r>
    </w:p>
    <w:p w14:paraId="09F6E256" w14:textId="2E09F516" w:rsidR="00BC2A9C" w:rsidRPr="008C14B6" w:rsidRDefault="00BC2A9C" w:rsidP="008C14B6">
      <w:pPr>
        <w:spacing w:after="0" w:line="360" w:lineRule="auto"/>
        <w:rPr>
          <w:rFonts w:cstheme="minorHAnsi"/>
          <w:color w:val="000000" w:themeColor="text1"/>
        </w:rPr>
      </w:pPr>
    </w:p>
    <w:p w14:paraId="56FD9C95" w14:textId="77777777" w:rsidR="005E0936" w:rsidRDefault="005E0936">
      <w:pPr>
        <w:rPr>
          <w:rFonts w:asciiTheme="majorHAnsi" w:eastAsiaTheme="majorEastAsia" w:hAnsiTheme="majorHAnsi" w:cstheme="majorBidi"/>
          <w:color w:val="2E74B5" w:themeColor="accent1" w:themeShade="BF"/>
          <w:sz w:val="32"/>
          <w:szCs w:val="32"/>
        </w:rPr>
      </w:pPr>
      <w:r>
        <w:br w:type="page"/>
      </w:r>
    </w:p>
    <w:p w14:paraId="729CF41E" w14:textId="77777777" w:rsidR="00D4693F" w:rsidRDefault="00D4693F" w:rsidP="003A4DEE">
      <w:pPr>
        <w:spacing w:line="360" w:lineRule="auto"/>
        <w:jc w:val="both"/>
        <w:rPr>
          <w:b/>
        </w:rPr>
      </w:pPr>
      <w:r>
        <w:rPr>
          <w:b/>
        </w:rPr>
        <w:lastRenderedPageBreak/>
        <w:t>INTRODUCTION</w:t>
      </w:r>
    </w:p>
    <w:p w14:paraId="101CC69C" w14:textId="42236D6E" w:rsidR="003335D4" w:rsidRDefault="003335D4" w:rsidP="003A4DEE">
      <w:pPr>
        <w:spacing w:line="360" w:lineRule="auto"/>
        <w:jc w:val="both"/>
        <w:rPr>
          <w:rFonts w:ascii="Calibri" w:hAnsi="Calibri"/>
          <w:lang w:val="en-US"/>
        </w:rPr>
      </w:pPr>
      <w:r>
        <w:t xml:space="preserve">The ability to participate in </w:t>
      </w:r>
      <w:r w:rsidR="00463FB1">
        <w:t>the labour market</w:t>
      </w:r>
      <w:r>
        <w:t xml:space="preserve"> is </w:t>
      </w:r>
      <w:r w:rsidR="007B6A0E">
        <w:t xml:space="preserve">not only </w:t>
      </w:r>
      <w:r>
        <w:t xml:space="preserve">important </w:t>
      </w:r>
      <w:r w:rsidR="00FC5E5F">
        <w:t>economically</w:t>
      </w:r>
      <w:r>
        <w:t xml:space="preserve">, </w:t>
      </w:r>
      <w:r w:rsidR="007B6A0E">
        <w:t xml:space="preserve">but </w:t>
      </w:r>
      <w:r w:rsidR="00923394">
        <w:t xml:space="preserve">work </w:t>
      </w:r>
      <w:r w:rsidR="007B6A0E">
        <w:t xml:space="preserve">also has </w:t>
      </w:r>
      <w:r w:rsidR="00BD3CC1">
        <w:t xml:space="preserve">a positive impact on </w:t>
      </w:r>
      <w:r>
        <w:t xml:space="preserve">social and psychological health </w:t>
      </w:r>
      <w:r w:rsidR="00385921">
        <w:t>[1]</w:t>
      </w:r>
      <w:r>
        <w:t xml:space="preserve">. </w:t>
      </w:r>
      <w:r>
        <w:rPr>
          <w:rFonts w:ascii="Calibri" w:hAnsi="Calibri"/>
          <w:lang w:val="en-US"/>
        </w:rPr>
        <w:t>Whilst absen</w:t>
      </w:r>
      <w:r w:rsidR="00BD3CC1">
        <w:rPr>
          <w:rFonts w:ascii="Calibri" w:hAnsi="Calibri"/>
          <w:lang w:val="en-US"/>
        </w:rPr>
        <w:t>teeism and job loss are the end-</w:t>
      </w:r>
      <w:r>
        <w:rPr>
          <w:rFonts w:ascii="Calibri" w:hAnsi="Calibri"/>
          <w:lang w:val="en-US"/>
        </w:rPr>
        <w:t xml:space="preserve">points of work disability, </w:t>
      </w:r>
      <w:r w:rsidR="00463FB1">
        <w:rPr>
          <w:rFonts w:ascii="Calibri" w:hAnsi="Calibri"/>
          <w:lang w:val="en-US"/>
        </w:rPr>
        <w:t xml:space="preserve">these are only the tip of the iceberg because </w:t>
      </w:r>
      <w:r>
        <w:rPr>
          <w:rFonts w:ascii="Calibri" w:hAnsi="Calibri"/>
          <w:lang w:val="en-US"/>
        </w:rPr>
        <w:t xml:space="preserve">musculoskeletal disorders have a </w:t>
      </w:r>
      <w:r w:rsidR="00463FB1">
        <w:rPr>
          <w:rFonts w:ascii="Calibri" w:hAnsi="Calibri"/>
          <w:lang w:val="en-US"/>
        </w:rPr>
        <w:t xml:space="preserve">substantially </w:t>
      </w:r>
      <w:r>
        <w:rPr>
          <w:rFonts w:ascii="Calibri" w:hAnsi="Calibri"/>
          <w:lang w:val="en-US"/>
        </w:rPr>
        <w:t xml:space="preserve">greater impact on </w:t>
      </w:r>
      <w:r w:rsidR="00840E44">
        <w:rPr>
          <w:rFonts w:ascii="Calibri" w:hAnsi="Calibri"/>
          <w:lang w:val="en-US"/>
        </w:rPr>
        <w:t>work</w:t>
      </w:r>
      <w:r w:rsidR="00463FB1">
        <w:rPr>
          <w:rFonts w:ascii="Calibri" w:hAnsi="Calibri"/>
          <w:lang w:val="en-US"/>
        </w:rPr>
        <w:t>er</w:t>
      </w:r>
      <w:r w:rsidR="00840E44">
        <w:rPr>
          <w:rFonts w:ascii="Calibri" w:hAnsi="Calibri"/>
          <w:lang w:val="en-US"/>
        </w:rPr>
        <w:t xml:space="preserve"> productivity </w:t>
      </w:r>
      <w:r w:rsidR="00385921">
        <w:rPr>
          <w:rFonts w:ascii="Calibri" w:hAnsi="Calibri"/>
          <w:lang w:val="en-US"/>
        </w:rPr>
        <w:t>[2]</w:t>
      </w:r>
      <w:r>
        <w:rPr>
          <w:rFonts w:ascii="Calibri" w:hAnsi="Calibri"/>
          <w:lang w:val="en-US"/>
        </w:rPr>
        <w:t xml:space="preserve">. </w:t>
      </w:r>
    </w:p>
    <w:p w14:paraId="31DFA502" w14:textId="42E56E5A" w:rsidR="003335D4" w:rsidRDefault="00923394" w:rsidP="003A4DEE">
      <w:pPr>
        <w:spacing w:line="360" w:lineRule="auto"/>
        <w:jc w:val="both"/>
      </w:pPr>
      <w:r>
        <w:rPr>
          <w:rFonts w:ascii="Calibri" w:hAnsi="Calibri"/>
          <w:lang w:val="en-US"/>
        </w:rPr>
        <w:t>According to one estimate, w</w:t>
      </w:r>
      <w:r w:rsidR="003335D4">
        <w:rPr>
          <w:rFonts w:ascii="Calibri" w:hAnsi="Calibri"/>
          <w:lang w:val="en-US"/>
        </w:rPr>
        <w:t xml:space="preserve">ork disability affects up to 30% patients with axial spondyloarthritis (axSpA) </w:t>
      </w:r>
      <w:r w:rsidR="00385921">
        <w:rPr>
          <w:rFonts w:ascii="Calibri" w:hAnsi="Calibri"/>
          <w:lang w:val="en-US"/>
        </w:rPr>
        <w:t>[3]</w:t>
      </w:r>
      <w:r w:rsidR="003335D4">
        <w:rPr>
          <w:rFonts w:ascii="Calibri" w:hAnsi="Calibri"/>
          <w:lang w:val="en-US"/>
        </w:rPr>
        <w:t xml:space="preserve">. Compared </w:t>
      </w:r>
      <w:r w:rsidR="00AB4869">
        <w:rPr>
          <w:rFonts w:ascii="Calibri" w:hAnsi="Calibri"/>
          <w:lang w:val="en-US"/>
        </w:rPr>
        <w:t>with</w:t>
      </w:r>
      <w:r w:rsidR="003335D4">
        <w:rPr>
          <w:rFonts w:ascii="Calibri" w:hAnsi="Calibri"/>
          <w:lang w:val="en-US"/>
        </w:rPr>
        <w:t xml:space="preserve"> the general population, i</w:t>
      </w:r>
      <w:r w:rsidR="003335D4" w:rsidRPr="00474409">
        <w:rPr>
          <w:rFonts w:ascii="Calibri" w:hAnsi="Calibri"/>
          <w:lang w:val="en-US"/>
        </w:rPr>
        <w:t xml:space="preserve">ndividuals with </w:t>
      </w:r>
      <w:r w:rsidR="003335D4">
        <w:rPr>
          <w:rFonts w:ascii="Calibri" w:hAnsi="Calibri"/>
          <w:lang w:val="en-US"/>
        </w:rPr>
        <w:t>axSpA</w:t>
      </w:r>
      <w:r w:rsidR="003335D4" w:rsidRPr="00474409">
        <w:rPr>
          <w:rFonts w:ascii="Calibri" w:hAnsi="Calibri"/>
          <w:lang w:val="en-US"/>
        </w:rPr>
        <w:t xml:space="preserve"> </w:t>
      </w:r>
      <w:r w:rsidR="003335D4">
        <w:rPr>
          <w:rFonts w:ascii="Calibri" w:hAnsi="Calibri"/>
          <w:lang w:val="en-US"/>
        </w:rPr>
        <w:t>are</w:t>
      </w:r>
      <w:r w:rsidR="003335D4" w:rsidRPr="00474409">
        <w:rPr>
          <w:rFonts w:ascii="Calibri" w:hAnsi="Calibri"/>
          <w:lang w:val="en-US"/>
        </w:rPr>
        <w:t xml:space="preserve"> three times more likely to withdraw from work, </w:t>
      </w:r>
      <w:r w:rsidR="003335D4" w:rsidRPr="00474409">
        <w:rPr>
          <w:rFonts w:cstheme="minorHAnsi"/>
          <w:lang w:val="en-US"/>
        </w:rPr>
        <w:t xml:space="preserve">especially </w:t>
      </w:r>
      <w:r w:rsidR="00FC5E5F">
        <w:rPr>
          <w:rFonts w:cstheme="minorHAnsi"/>
          <w:lang w:val="en-US"/>
        </w:rPr>
        <w:t>from</w:t>
      </w:r>
      <w:r w:rsidR="00BD3CC1">
        <w:rPr>
          <w:rFonts w:cstheme="minorHAnsi"/>
          <w:lang w:val="en-US"/>
        </w:rPr>
        <w:t xml:space="preserve"> physical</w:t>
      </w:r>
      <w:r w:rsidR="00463FB1">
        <w:rPr>
          <w:rFonts w:cstheme="minorHAnsi"/>
          <w:lang w:val="en-US"/>
        </w:rPr>
        <w:t>ly-demanding</w:t>
      </w:r>
      <w:r w:rsidR="00BD3CC1">
        <w:rPr>
          <w:rFonts w:cstheme="minorHAnsi"/>
          <w:lang w:val="en-US"/>
        </w:rPr>
        <w:t xml:space="preserve"> </w:t>
      </w:r>
      <w:r w:rsidR="003335D4" w:rsidRPr="00474409">
        <w:rPr>
          <w:rFonts w:cstheme="minorHAnsi"/>
          <w:lang w:val="en-US"/>
        </w:rPr>
        <w:t>jobs</w:t>
      </w:r>
      <w:r w:rsidR="00385921">
        <w:rPr>
          <w:rFonts w:ascii="Calibri" w:hAnsi="Calibri"/>
          <w:lang w:val="en-US"/>
        </w:rPr>
        <w:t xml:space="preserve"> [4]</w:t>
      </w:r>
      <w:r w:rsidR="003335D4">
        <w:rPr>
          <w:rFonts w:ascii="Calibri" w:hAnsi="Calibri"/>
          <w:lang w:val="en-US"/>
        </w:rPr>
        <w:t>.</w:t>
      </w:r>
      <w:r w:rsidR="003335D4">
        <w:t xml:space="preserve"> </w:t>
      </w:r>
      <w:r w:rsidR="00BD3CC1">
        <w:t>Other f</w:t>
      </w:r>
      <w:r w:rsidR="003335D4">
        <w:t>actors associated with work disability in axSpA include older age, longer disease duration, funct</w:t>
      </w:r>
      <w:r w:rsidR="00101D7A">
        <w:t xml:space="preserve">ional impairment, pain, fatigue, low mood, co-morbidity and lower educational attainment </w:t>
      </w:r>
      <w:r w:rsidR="00385921">
        <w:t>[5,6]</w:t>
      </w:r>
      <w:r w:rsidR="003335D4">
        <w:t xml:space="preserve">. We have previously </w:t>
      </w:r>
      <w:r w:rsidR="00463FB1">
        <w:t xml:space="preserve">shown </w:t>
      </w:r>
      <w:r w:rsidR="003335D4">
        <w:t xml:space="preserve">that job type and disease activity </w:t>
      </w:r>
      <w:r w:rsidR="00DE444B">
        <w:t>predict</w:t>
      </w:r>
      <w:r w:rsidR="00BD3CC1">
        <w:t xml:space="preserve"> presenteeism</w:t>
      </w:r>
      <w:r w:rsidR="00463FB1">
        <w:t xml:space="preserve"> (</w:t>
      </w:r>
      <w:r w:rsidR="009B6AC4">
        <w:rPr>
          <w:rFonts w:cstheme="minorHAnsi"/>
        </w:rPr>
        <w:t xml:space="preserve">being in the workplace </w:t>
      </w:r>
      <w:r w:rsidR="009B6AC4" w:rsidRPr="00AF27F4">
        <w:rPr>
          <w:rFonts w:cstheme="minorHAnsi"/>
        </w:rPr>
        <w:t>but performing below their usual levels (productivity loss) because of ill-health</w:t>
      </w:r>
      <w:r w:rsidR="009B6AC4">
        <w:rPr>
          <w:rFonts w:cstheme="minorHAnsi"/>
        </w:rPr>
        <w:t xml:space="preserve">) </w:t>
      </w:r>
      <w:r w:rsidR="003335D4">
        <w:t>which in turn pr</w:t>
      </w:r>
      <w:r w:rsidR="00385921">
        <w:t>edicts absenteeism and job loss [7]</w:t>
      </w:r>
      <w:r w:rsidR="003335D4">
        <w:t xml:space="preserve">. Whilst biologic therapy </w:t>
      </w:r>
      <w:r w:rsidR="00463FB1">
        <w:t xml:space="preserve">reduces </w:t>
      </w:r>
      <w:r w:rsidR="003335D4">
        <w:t xml:space="preserve">presenteeism and </w:t>
      </w:r>
      <w:r w:rsidR="00463FB1">
        <w:t>improves functional capacity</w:t>
      </w:r>
      <w:r w:rsidR="003335D4">
        <w:t xml:space="preserve"> in axSpA, significant unmet need remains in t</w:t>
      </w:r>
      <w:r w:rsidR="002D5A38">
        <w:t>erms of work disability</w:t>
      </w:r>
      <w:r w:rsidR="003335D4">
        <w:t xml:space="preserve"> </w:t>
      </w:r>
      <w:r w:rsidR="00385921">
        <w:t>[8]</w:t>
      </w:r>
      <w:r w:rsidR="003335D4">
        <w:t xml:space="preserve">. </w:t>
      </w:r>
    </w:p>
    <w:p w14:paraId="2A7B02B1" w14:textId="76C73D05" w:rsidR="00FF059E" w:rsidRDefault="00463FB1" w:rsidP="003A4DEE">
      <w:pPr>
        <w:spacing w:after="0" w:line="360" w:lineRule="auto"/>
        <w:rPr>
          <w:rFonts w:cstheme="minorHAnsi"/>
        </w:rPr>
      </w:pPr>
      <w:r>
        <w:rPr>
          <w:rFonts w:cstheme="minorHAnsi"/>
        </w:rPr>
        <w:t>There is good evidence that s</w:t>
      </w:r>
      <w:r w:rsidR="00421E53">
        <w:rPr>
          <w:rFonts w:cstheme="minorHAnsi"/>
        </w:rPr>
        <w:t xml:space="preserve">upportive work environments are important to enable individuals </w:t>
      </w:r>
      <w:r>
        <w:rPr>
          <w:rFonts w:cstheme="minorHAnsi"/>
        </w:rPr>
        <w:t xml:space="preserve">with health conditions </w:t>
      </w:r>
      <w:r w:rsidR="00421E53">
        <w:rPr>
          <w:rFonts w:cstheme="minorHAnsi"/>
        </w:rPr>
        <w:t xml:space="preserve">to work, however, </w:t>
      </w:r>
      <w:r w:rsidR="003335D4">
        <w:rPr>
          <w:rFonts w:cstheme="minorHAnsi"/>
        </w:rPr>
        <w:t xml:space="preserve">not all workplaces are </w:t>
      </w:r>
      <w:r w:rsidR="00505485">
        <w:rPr>
          <w:rFonts w:cstheme="minorHAnsi"/>
        </w:rPr>
        <w:t>created equally</w:t>
      </w:r>
      <w:r w:rsidR="00F96FAD">
        <w:rPr>
          <w:rFonts w:cstheme="minorHAnsi"/>
        </w:rPr>
        <w:t>,</w:t>
      </w:r>
      <w:r w:rsidR="00505485">
        <w:rPr>
          <w:rFonts w:cstheme="minorHAnsi"/>
        </w:rPr>
        <w:t xml:space="preserve"> </w:t>
      </w:r>
      <w:r w:rsidR="006416EF">
        <w:rPr>
          <w:rFonts w:cstheme="minorHAnsi"/>
        </w:rPr>
        <w:t xml:space="preserve">and </w:t>
      </w:r>
      <w:r w:rsidR="00F96FAD">
        <w:rPr>
          <w:rFonts w:cstheme="minorHAnsi"/>
        </w:rPr>
        <w:t xml:space="preserve">in </w:t>
      </w:r>
      <w:r w:rsidR="00B014F3">
        <w:rPr>
          <w:rFonts w:cstheme="minorHAnsi"/>
        </w:rPr>
        <w:t>particular,</w:t>
      </w:r>
      <w:r w:rsidR="00F96FAD">
        <w:rPr>
          <w:rFonts w:cstheme="minorHAnsi"/>
        </w:rPr>
        <w:t xml:space="preserve"> </w:t>
      </w:r>
      <w:r w:rsidR="006416EF">
        <w:rPr>
          <w:rFonts w:cstheme="minorHAnsi"/>
        </w:rPr>
        <w:t xml:space="preserve">there are important rural-urban differences </w:t>
      </w:r>
      <w:r w:rsidR="00385921">
        <w:rPr>
          <w:rFonts w:cstheme="minorHAnsi"/>
        </w:rPr>
        <w:t>[9</w:t>
      </w:r>
      <w:r w:rsidR="00505485">
        <w:rPr>
          <w:rFonts w:cstheme="minorHAnsi"/>
        </w:rPr>
        <w:t xml:space="preserve">]. </w:t>
      </w:r>
      <w:r w:rsidR="00BD3CC1">
        <w:rPr>
          <w:rFonts w:cstheme="minorHAnsi"/>
        </w:rPr>
        <w:t>Whilst employment rates may be higher, incomes tend to be lower</w:t>
      </w:r>
      <w:r w:rsidR="002D5A38">
        <w:rPr>
          <w:rFonts w:cstheme="minorHAnsi"/>
        </w:rPr>
        <w:t xml:space="preserve"> in rural areas</w:t>
      </w:r>
      <w:r w:rsidR="00BD3CC1">
        <w:rPr>
          <w:rFonts w:cstheme="minorHAnsi"/>
        </w:rPr>
        <w:t xml:space="preserve">, with restricted choice and opportunities for career advancement </w:t>
      </w:r>
      <w:r w:rsidR="00F72292">
        <w:rPr>
          <w:rFonts w:cstheme="minorHAnsi"/>
        </w:rPr>
        <w:t>[</w:t>
      </w:r>
      <w:r w:rsidR="00385921">
        <w:rPr>
          <w:rFonts w:cstheme="minorHAnsi"/>
        </w:rPr>
        <w:t>10</w:t>
      </w:r>
      <w:r w:rsidR="00BD3CC1">
        <w:rPr>
          <w:rFonts w:cstheme="minorHAnsi"/>
        </w:rPr>
        <w:t xml:space="preserve">]. </w:t>
      </w:r>
      <w:r w:rsidR="002D5A38">
        <w:rPr>
          <w:rFonts w:cstheme="minorHAnsi"/>
        </w:rPr>
        <w:t>Rural workers</w:t>
      </w:r>
      <w:r w:rsidR="006416EF">
        <w:rPr>
          <w:rFonts w:cstheme="minorHAnsi"/>
        </w:rPr>
        <w:t xml:space="preserve"> </w:t>
      </w:r>
      <w:r w:rsidR="00FC5E5F">
        <w:rPr>
          <w:rFonts w:cstheme="minorHAnsi"/>
        </w:rPr>
        <w:t>more often</w:t>
      </w:r>
      <w:r w:rsidR="003335D4" w:rsidRPr="00F41D82">
        <w:rPr>
          <w:rFonts w:cstheme="minorHAnsi"/>
        </w:rPr>
        <w:t xml:space="preserve"> work in smaller businesses and industries </w:t>
      </w:r>
      <w:r w:rsidR="002D5A38">
        <w:rPr>
          <w:rFonts w:cstheme="minorHAnsi"/>
        </w:rPr>
        <w:t>and m</w:t>
      </w:r>
      <w:r w:rsidR="002D5A38" w:rsidRPr="00F41D82">
        <w:rPr>
          <w:rFonts w:cstheme="minorHAnsi"/>
        </w:rPr>
        <w:t>anual, lo</w:t>
      </w:r>
      <w:r w:rsidR="002D5A38">
        <w:rPr>
          <w:rFonts w:cstheme="minorHAnsi"/>
        </w:rPr>
        <w:t xml:space="preserve">wer paid jobs are more prevalent. </w:t>
      </w:r>
      <w:r w:rsidR="008636DC">
        <w:rPr>
          <w:rFonts w:cstheme="minorHAnsi"/>
        </w:rPr>
        <w:t>Such</w:t>
      </w:r>
      <w:r>
        <w:rPr>
          <w:rFonts w:cstheme="minorHAnsi"/>
        </w:rPr>
        <w:t xml:space="preserve"> jobs may be less flexible</w:t>
      </w:r>
      <w:r w:rsidR="002D5A38">
        <w:rPr>
          <w:rFonts w:cstheme="minorHAnsi"/>
        </w:rPr>
        <w:t xml:space="preserve"> and </w:t>
      </w:r>
      <w:r>
        <w:rPr>
          <w:rFonts w:cstheme="minorHAnsi"/>
        </w:rPr>
        <w:t xml:space="preserve">have </w:t>
      </w:r>
      <w:r w:rsidR="002D5A38">
        <w:rPr>
          <w:rFonts w:cstheme="minorHAnsi"/>
        </w:rPr>
        <w:t xml:space="preserve">more </w:t>
      </w:r>
      <w:r>
        <w:rPr>
          <w:rFonts w:cstheme="minorHAnsi"/>
        </w:rPr>
        <w:t xml:space="preserve">restrictions </w:t>
      </w:r>
      <w:r w:rsidR="00FC5E5F">
        <w:rPr>
          <w:rFonts w:cstheme="minorHAnsi"/>
        </w:rPr>
        <w:t>preventing</w:t>
      </w:r>
      <w:r>
        <w:rPr>
          <w:rFonts w:cstheme="minorHAnsi"/>
        </w:rPr>
        <w:t xml:space="preserve"> adjustments </w:t>
      </w:r>
      <w:r w:rsidR="00FC5E5F">
        <w:rPr>
          <w:rFonts w:cstheme="minorHAnsi"/>
        </w:rPr>
        <w:t>(</w:t>
      </w:r>
      <w:r>
        <w:rPr>
          <w:rFonts w:cstheme="minorHAnsi"/>
        </w:rPr>
        <w:t xml:space="preserve">e.g. </w:t>
      </w:r>
      <w:r w:rsidR="002D5A38">
        <w:rPr>
          <w:rFonts w:cstheme="minorHAnsi"/>
        </w:rPr>
        <w:t>paid leave</w:t>
      </w:r>
      <w:r w:rsidR="00FC5E5F">
        <w:rPr>
          <w:rFonts w:cstheme="minorHAnsi"/>
        </w:rPr>
        <w:t>)</w:t>
      </w:r>
      <w:r w:rsidR="002D5A38">
        <w:rPr>
          <w:rFonts w:cstheme="minorHAnsi"/>
        </w:rPr>
        <w:t xml:space="preserve"> than higher-income jobs. </w:t>
      </w:r>
    </w:p>
    <w:p w14:paraId="2C56907B" w14:textId="77777777" w:rsidR="00FF059E" w:rsidRDefault="00FF059E" w:rsidP="003A4DEE">
      <w:pPr>
        <w:spacing w:after="0" w:line="360" w:lineRule="auto"/>
        <w:rPr>
          <w:rFonts w:cstheme="minorHAnsi"/>
        </w:rPr>
      </w:pPr>
    </w:p>
    <w:p w14:paraId="2B44F0B2" w14:textId="2A2E114F" w:rsidR="00E262B0" w:rsidRPr="004E780C" w:rsidRDefault="00B014F3" w:rsidP="003A4DEE">
      <w:pPr>
        <w:spacing w:after="0" w:line="360" w:lineRule="auto"/>
        <w:rPr>
          <w:rFonts w:cstheme="minorHAnsi"/>
          <w:color w:val="000000" w:themeColor="text1"/>
        </w:rPr>
      </w:pPr>
      <w:r>
        <w:rPr>
          <w:rFonts w:cstheme="minorHAnsi"/>
        </w:rPr>
        <w:t xml:space="preserve">With the ageing, multi-morbid population </w:t>
      </w:r>
      <w:r w:rsidRPr="00F41D82">
        <w:rPr>
          <w:rFonts w:cstheme="minorHAnsi"/>
        </w:rPr>
        <w:t xml:space="preserve">increasing faster in rural areas </w:t>
      </w:r>
      <w:r w:rsidR="00385921">
        <w:rPr>
          <w:rFonts w:cstheme="minorHAnsi"/>
        </w:rPr>
        <w:t>[11,12]</w:t>
      </w:r>
      <w:r w:rsidRPr="00F41D82">
        <w:rPr>
          <w:rFonts w:cstheme="minorHAnsi"/>
        </w:rPr>
        <w:fldChar w:fldCharType="begin" w:fldLock="1"/>
      </w:r>
      <w:r w:rsidRPr="00F41D82">
        <w:rPr>
          <w:rFonts w:cstheme="minorHAnsi"/>
        </w:rPr>
        <w:instrText>ADDIN CSL_CITATION {"citationItems":[{"id":"ITEM-1","itemData":{"URL":"https://www.ruralhealthinfo.org/","id":"ITEM-1","issued":{"date-parts":[["0"]]},"title":"Rural Health Information Hub US","type":"webpage"},"uris":["http://www.mendeley.com/documents/?uuid=501b8edc-c061-41d0-aaf2-210b94669a69"]},{"id":"ITEM-2","itemData":{"author":[{"dropping-particle":"","family":"Shergold","given":"Ian","non-dropping-particle":"","parse-names":false,"suffix":""},{"dropping-particle":"","family":"Parkhurst","given":"Graham","non-dropping-particle":"","parse-names":false,"suffix":""}],"container-title":"Transportation Planning and Technology","id":"ITEM-2","issue":"1","issued":{"date-parts":[["2012"]]},"page":"69-85","title":"Rural car dependence : An emerging barrier to community activity for older people Ian Shergold a * , Graham Parkhurst a and Charles Musselwhite a Centre for Transport &amp; Society ( CTS ), Department of Planning &amp; Architecture ,","type":"article-journal","volume":"35"},"uris":["http://www.mendeley.com/documents/?uuid=51b45b59-71ac-4fec-bd4a-e4685a4b1724"]},{"id":"ITEM-3","itemData":{"DOI":"10.1016/j.berh.2014.07.001","ISSN":"15321770","abstract":"With musculoskeletal conditions now identified as the second highest cause of the morbidity-related global burden of disease, models of care for the prevention and management of disability related to musculoskeletal conditions are an imperative. Musculoskeletal models of care aim to describe how to operationalise evidence-based guidelines for musculoskeletal conditions and thus support implementation by clinical teams and their health systems. This review of models of care for musculoskeletal pain conditions, osteoarthritis, rheumatoid arthritis, osteoporosis and musculoskeletal injuries and trauma outlines health system and local implementation strategies to improve consumer outcomes, including supporting access to multidisciplinary teams, improving access for vulnerable populations and levering digital technologies to support access and self-management. However, the challenge remains of how to inform health system decision-makers and policy about the human and fiscal benefits for broad implementation across health services. Recommendations are made for potential solutions, as well as highlighting where further evidence is required.","author":[{"dropping-particle":"","family":"Speerin","given":"Robyn","non-dropping-particle":"","parse-names":false,"suffix":""},{"dropping-particle":"","family":"Slater","given":"Helen","non-dropping-particle":"","parse-names":false,"suffix":""},{"dropping-particle":"","family":"Li","given":"Linda","non-dropping-particle":"","parse-names":false,"suffix":""},{"dropping-particle":"","family":"Moore","given":"Karina","non-dropping-particle":"","parse-names":false,"suffix":""},{"dropping-particle":"","family":"Chan","given":"Madelynn","non-dropping-particle":"","parse-names":false,"suffix":""},{"dropping-particle":"","family":"Dreinhöfer","given":"Karsten","non-dropping-particle":"","parse-names":false,"suffix":""},{"dropping-particle":"","family":"Ebeling","given":"Peter R.","non-dropping-particle":"","parse-names":false,"suffix":""},{"dropping-particle":"","family":"Willcock","given":"Simon","non-dropping-particle":"","parse-names":false,"suffix":""},{"dropping-particle":"","family":"Briggs","given":"Andrew M.","non-dropping-particle":"","parse-names":false,"suffix":""}],"container-title":"Best Practice and Research: Clinical Rheumatology","id":"ITEM-3","issue":"3","issued":{"date-parts":[["2014"]]},"page":"479-515","title":"Moving from evidence to practice: Models of care for the prevention and management of musculoskeletal conditions","type":"article-journal","volume":"28"},"uris":["http://www.mendeley.com/documents/?uuid=1c90f6e1-65bf-471c-b47f-060e53e2bac8"]},{"id":"ITEM-4","itemData":{"ISBN":"978-1-78544-146-2","author":[{"dropping-particle":"","family":"Government","given":"The Scottish","non-dropping-particle":"","parse-names":false,"suffix":""}],"id":"ITEM-4","issued":{"date-parts":[["2015"]]},"page":"76","title":"Rural Scotland Key Facts","type":"article-journal"},"uris":["http://www.mendeley.com/documents/?uuid=ed721025-3bf6-4c2c-9023-5bbd49327c8a"]}],"mendeley":{"formattedCitation":"(10–13)","plainTextFormattedCitation":"(10–13)","previouslyFormattedCitation":"(10–13)"},"properties":{"noteIndex":0},"schema":"https://github.com/citation-style-language/schema/raw/master/csl-citation.json"}</w:instrText>
      </w:r>
      <w:r w:rsidRPr="00F41D82">
        <w:rPr>
          <w:rFonts w:cstheme="minorHAnsi"/>
        </w:rPr>
        <w:fldChar w:fldCharType="end"/>
      </w:r>
      <w:r>
        <w:rPr>
          <w:rFonts w:cstheme="minorHAnsi"/>
        </w:rPr>
        <w:t xml:space="preserve">, and people working </w:t>
      </w:r>
      <w:r w:rsidR="00786B28">
        <w:rPr>
          <w:rFonts w:cstheme="minorHAnsi"/>
        </w:rPr>
        <w:t>to older ages</w:t>
      </w:r>
      <w:r>
        <w:rPr>
          <w:rFonts w:cstheme="minorHAnsi"/>
        </w:rPr>
        <w:t xml:space="preserve">, </w:t>
      </w:r>
      <w:r w:rsidR="00FD7B50">
        <w:rPr>
          <w:rFonts w:cstheme="minorHAnsi"/>
        </w:rPr>
        <w:t xml:space="preserve">understanding the </w:t>
      </w:r>
      <w:r>
        <w:rPr>
          <w:rFonts w:cstheme="minorHAnsi"/>
        </w:rPr>
        <w:t xml:space="preserve">relationship </w:t>
      </w:r>
      <w:r w:rsidRPr="00F41D82">
        <w:rPr>
          <w:rFonts w:cstheme="minorHAnsi"/>
        </w:rPr>
        <w:t>between rural</w:t>
      </w:r>
      <w:r>
        <w:rPr>
          <w:rFonts w:cstheme="minorHAnsi"/>
        </w:rPr>
        <w:t xml:space="preserve">ity, health and work outcomes is important to ensure that individuals </w:t>
      </w:r>
      <w:r w:rsidR="00A21DF0">
        <w:rPr>
          <w:rFonts w:cstheme="minorHAnsi"/>
        </w:rPr>
        <w:t xml:space="preserve">with rheumatic disease </w:t>
      </w:r>
      <w:r>
        <w:rPr>
          <w:rFonts w:cstheme="minorHAnsi"/>
        </w:rPr>
        <w:t xml:space="preserve">are supported to live and work well. </w:t>
      </w:r>
      <w:r w:rsidR="00A21DF0">
        <w:rPr>
          <w:rFonts w:cstheme="minorHAnsi"/>
          <w:color w:val="000000" w:themeColor="text1"/>
        </w:rPr>
        <w:t>A</w:t>
      </w:r>
      <w:r w:rsidR="00A21DF0">
        <w:rPr>
          <w:rFonts w:cstheme="minorHAnsi"/>
        </w:rPr>
        <w:t xml:space="preserve"> number of stu</w:t>
      </w:r>
      <w:r w:rsidR="00A21DF0" w:rsidRPr="00F41D82">
        <w:rPr>
          <w:rFonts w:cstheme="minorHAnsi"/>
          <w:color w:val="000000"/>
        </w:rPr>
        <w:t>dies</w:t>
      </w:r>
      <w:r w:rsidR="00A21DF0" w:rsidRPr="00F41D82">
        <w:rPr>
          <w:rFonts w:cstheme="minorHAnsi"/>
          <w:lang w:eastAsia="en-GB"/>
        </w:rPr>
        <w:t xml:space="preserve"> have</w:t>
      </w:r>
      <w:r w:rsidR="00A21DF0">
        <w:rPr>
          <w:rFonts w:cstheme="minorHAnsi"/>
          <w:lang w:eastAsia="en-GB"/>
        </w:rPr>
        <w:t xml:space="preserve"> </w:t>
      </w:r>
      <w:r w:rsidR="00A21DF0" w:rsidRPr="00F41D82">
        <w:rPr>
          <w:rFonts w:cstheme="minorHAnsi"/>
          <w:lang w:eastAsia="en-GB"/>
        </w:rPr>
        <w:t xml:space="preserve">highlighted inadequate access to specialist healthcare services for those </w:t>
      </w:r>
      <w:r w:rsidR="00A21DF0" w:rsidRPr="00F41D82">
        <w:rPr>
          <w:rFonts w:cstheme="minorHAnsi"/>
        </w:rPr>
        <w:t xml:space="preserve">with rheumatic and musculoskeletal disease (RMD) living in rural and remote locations </w:t>
      </w:r>
      <w:r w:rsidR="00385921">
        <w:rPr>
          <w:rFonts w:cstheme="minorHAnsi"/>
        </w:rPr>
        <w:t>[13-16]</w:t>
      </w:r>
      <w:r w:rsidR="00A21DF0">
        <w:rPr>
          <w:rFonts w:cstheme="minorHAnsi"/>
          <w:color w:val="000000" w:themeColor="text1"/>
        </w:rPr>
        <w:t xml:space="preserve">. </w:t>
      </w:r>
      <w:r w:rsidR="006416EF" w:rsidRPr="00F41D82">
        <w:rPr>
          <w:rFonts w:cstheme="minorHAnsi"/>
          <w:color w:val="000000" w:themeColor="text1"/>
        </w:rPr>
        <w:t>H</w:t>
      </w:r>
      <w:r w:rsidR="006416EF" w:rsidRPr="00F41D82">
        <w:rPr>
          <w:rFonts w:cstheme="minorHAnsi"/>
        </w:rPr>
        <w:t xml:space="preserve">owever, </w:t>
      </w:r>
      <w:r w:rsidR="00C47FA4">
        <w:rPr>
          <w:rFonts w:cstheme="minorHAnsi"/>
        </w:rPr>
        <w:t>i</w:t>
      </w:r>
      <w:r w:rsidR="00D1095D" w:rsidRPr="00F41D82">
        <w:rPr>
          <w:rFonts w:cstheme="minorHAnsi"/>
        </w:rPr>
        <w:t>n</w:t>
      </w:r>
      <w:r w:rsidR="00D1095D" w:rsidRPr="00F41D82">
        <w:rPr>
          <w:rFonts w:cstheme="minorHAnsi"/>
          <w:b/>
        </w:rPr>
        <w:t xml:space="preserve"> </w:t>
      </w:r>
      <w:r w:rsidR="00D1095D" w:rsidRPr="00F41D82">
        <w:rPr>
          <w:rFonts w:cstheme="minorHAnsi"/>
        </w:rPr>
        <w:t xml:space="preserve">a recent systematic review of the literature, we found very limited evidence as to whether outcomes are poorer for individuals with rheumatic disease living in rural settings </w:t>
      </w:r>
      <w:r w:rsidR="00385921">
        <w:rPr>
          <w:rFonts w:cstheme="minorHAnsi"/>
        </w:rPr>
        <w:t>[17]</w:t>
      </w:r>
      <w:r w:rsidR="00D1095D" w:rsidRPr="00F41D82">
        <w:rPr>
          <w:rFonts w:cstheme="minorHAnsi"/>
        </w:rPr>
        <w:t xml:space="preserve">. </w:t>
      </w:r>
      <w:r w:rsidR="002D5A38" w:rsidRPr="00F41D82">
        <w:rPr>
          <w:rFonts w:cstheme="minorHAnsi"/>
          <w:iCs/>
        </w:rPr>
        <w:t>No eligible stud</w:t>
      </w:r>
      <w:r w:rsidR="007B6A0E">
        <w:rPr>
          <w:rFonts w:cstheme="minorHAnsi"/>
          <w:iCs/>
        </w:rPr>
        <w:t>ies examined work outcomes</w:t>
      </w:r>
      <w:r w:rsidR="002D5A38" w:rsidRPr="00F41D82">
        <w:rPr>
          <w:rFonts w:cstheme="minorHAnsi"/>
          <w:iCs/>
        </w:rPr>
        <w:t>.</w:t>
      </w:r>
      <w:r w:rsidR="002D5A38">
        <w:rPr>
          <w:rFonts w:cstheme="minorHAnsi"/>
          <w:iCs/>
        </w:rPr>
        <w:t xml:space="preserve"> </w:t>
      </w:r>
      <w:r w:rsidR="00F96FAD" w:rsidRPr="00F41D82">
        <w:rPr>
          <w:rFonts w:cstheme="minorHAnsi"/>
          <w:iCs/>
        </w:rPr>
        <w:t>All studies were relatively small</w:t>
      </w:r>
      <w:r w:rsidR="007C703C">
        <w:rPr>
          <w:rFonts w:cstheme="minorHAnsi"/>
          <w:iCs/>
        </w:rPr>
        <w:t xml:space="preserve"> </w:t>
      </w:r>
      <w:r w:rsidR="00F96FAD" w:rsidRPr="00F41D82">
        <w:rPr>
          <w:rFonts w:cstheme="minorHAnsi"/>
          <w:iCs/>
        </w:rPr>
        <w:t>rarely provide</w:t>
      </w:r>
      <w:r w:rsidR="007C703C">
        <w:rPr>
          <w:rFonts w:cstheme="minorHAnsi"/>
          <w:iCs/>
        </w:rPr>
        <w:t>d</w:t>
      </w:r>
      <w:r w:rsidR="00F96FAD" w:rsidRPr="00F41D82">
        <w:rPr>
          <w:rFonts w:cstheme="minorHAnsi"/>
          <w:iCs/>
        </w:rPr>
        <w:t xml:space="preserve"> a definition of rural st</w:t>
      </w:r>
      <w:r>
        <w:rPr>
          <w:rFonts w:cstheme="minorHAnsi"/>
          <w:iCs/>
        </w:rPr>
        <w:t>atus</w:t>
      </w:r>
      <w:r w:rsidR="007C703C">
        <w:rPr>
          <w:rFonts w:cstheme="minorHAnsi"/>
          <w:iCs/>
        </w:rPr>
        <w:t xml:space="preserve"> and </w:t>
      </w:r>
      <w:r w:rsidR="007C703C">
        <w:rPr>
          <w:rFonts w:cstheme="minorHAnsi"/>
        </w:rPr>
        <w:t xml:space="preserve">did not measure aspects related to rurality such as access to services, </w:t>
      </w:r>
      <w:r w:rsidR="007C703C" w:rsidRPr="00F41D82">
        <w:rPr>
          <w:rFonts w:cstheme="minorHAnsi"/>
        </w:rPr>
        <w:t>pa</w:t>
      </w:r>
      <w:r w:rsidR="007C703C">
        <w:rPr>
          <w:rFonts w:cstheme="minorHAnsi"/>
        </w:rPr>
        <w:t>tient preferences or the work environment.</w:t>
      </w:r>
      <w:r w:rsidR="00363324">
        <w:rPr>
          <w:rFonts w:cstheme="minorHAnsi"/>
          <w:iCs/>
        </w:rPr>
        <w:t xml:space="preserve"> </w:t>
      </w:r>
      <w:r w:rsidR="007C703C">
        <w:rPr>
          <w:rFonts w:cstheme="minorHAnsi"/>
          <w:iCs/>
        </w:rPr>
        <w:t>Furthermore, i</w:t>
      </w:r>
      <w:r w:rsidR="00363324" w:rsidRPr="00363324">
        <w:t xml:space="preserve">mportant differences in socio-economic status (SES) between rural and urban areas were noted but not usually adjusted for when </w:t>
      </w:r>
      <w:r w:rsidR="00363324" w:rsidRPr="00363324">
        <w:lastRenderedPageBreak/>
        <w:t>comparing outcomes</w:t>
      </w:r>
      <w:r w:rsidR="007C703C">
        <w:t xml:space="preserve">, making it </w:t>
      </w:r>
      <w:r w:rsidR="00363324" w:rsidRPr="007C703C">
        <w:rPr>
          <w:rFonts w:cstheme="minorHAnsi"/>
          <w:szCs w:val="24"/>
        </w:rPr>
        <w:t>difficult to determine whether rurality is an independent predictor of poor outcome in RMD or a surrogate marker for socio-economic status</w:t>
      </w:r>
      <w:r w:rsidR="007C703C">
        <w:rPr>
          <w:rFonts w:cstheme="minorHAnsi"/>
          <w:szCs w:val="24"/>
        </w:rPr>
        <w:t xml:space="preserve"> </w:t>
      </w:r>
      <w:r w:rsidR="00BD49D1">
        <w:rPr>
          <w:rFonts w:cstheme="minorHAnsi"/>
          <w:szCs w:val="24"/>
        </w:rPr>
        <w:t>[17].</w:t>
      </w:r>
      <w:r w:rsidR="00363324" w:rsidRPr="00161EB6">
        <w:rPr>
          <w:rFonts w:cstheme="minorHAnsi"/>
          <w:b/>
          <w:szCs w:val="24"/>
        </w:rPr>
        <w:t xml:space="preserve"> </w:t>
      </w:r>
      <w:r w:rsidR="00F96FAD">
        <w:rPr>
          <w:rFonts w:cstheme="minorHAnsi"/>
          <w:iCs/>
        </w:rPr>
        <w:t xml:space="preserve"> </w:t>
      </w:r>
      <w:r w:rsidR="00A540F9">
        <w:rPr>
          <w:rFonts w:cstheme="minorHAnsi"/>
        </w:rPr>
        <w:t xml:space="preserve"> </w:t>
      </w:r>
      <w:r w:rsidR="00FD7B50">
        <w:rPr>
          <w:rFonts w:cstheme="minorHAnsi"/>
        </w:rPr>
        <w:t xml:space="preserve"> </w:t>
      </w:r>
    </w:p>
    <w:p w14:paraId="3BDECD5E" w14:textId="77777777" w:rsidR="00A540F9" w:rsidRPr="00F41D82" w:rsidRDefault="00A540F9" w:rsidP="003A4DEE">
      <w:pPr>
        <w:spacing w:after="0" w:line="360" w:lineRule="auto"/>
      </w:pPr>
    </w:p>
    <w:p w14:paraId="012BAB91" w14:textId="04A3F0FF" w:rsidR="00D4693F" w:rsidRDefault="00CA32FF" w:rsidP="00D4693F">
      <w:pPr>
        <w:spacing w:line="360" w:lineRule="auto"/>
        <w:jc w:val="both"/>
        <w:rPr>
          <w:rFonts w:cstheme="minorHAnsi"/>
        </w:rPr>
      </w:pPr>
      <w:r w:rsidRPr="00F41D82">
        <w:t xml:space="preserve">This study aims to examine differences in clinical and patient reported outcomes, including </w:t>
      </w:r>
      <w:r w:rsidR="00FF059E">
        <w:t>work outcomes</w:t>
      </w:r>
      <w:r w:rsidR="00836E25">
        <w:t>,</w:t>
      </w:r>
      <w:r w:rsidRPr="00F41D82">
        <w:t xml:space="preserve"> in individuals with </w:t>
      </w:r>
      <w:r w:rsidR="007D19C8" w:rsidRPr="00F41D82">
        <w:t>a</w:t>
      </w:r>
      <w:r w:rsidRPr="00F41D82">
        <w:t>xSpA</w:t>
      </w:r>
      <w:r w:rsidR="007D19C8" w:rsidRPr="00F41D82">
        <w:t xml:space="preserve"> </w:t>
      </w:r>
      <w:r w:rsidR="001E471E">
        <w:t xml:space="preserve">living in rural and urban settings, </w:t>
      </w:r>
      <w:r w:rsidR="007D19C8" w:rsidRPr="00F41D82">
        <w:t>u</w:t>
      </w:r>
      <w:r w:rsidRPr="00F41D82">
        <w:t>sing a</w:t>
      </w:r>
      <w:r w:rsidR="00F41D82" w:rsidRPr="00F41D82">
        <w:t xml:space="preserve"> </w:t>
      </w:r>
      <w:r w:rsidR="00106ADF">
        <w:t xml:space="preserve">sequential, </w:t>
      </w:r>
      <w:r w:rsidR="00C87152">
        <w:t>explanatory</w:t>
      </w:r>
      <w:r w:rsidR="00106ADF">
        <w:t xml:space="preserve"> </w:t>
      </w:r>
      <w:r w:rsidR="00F41D82" w:rsidRPr="00F41D82">
        <w:t>mixed-method design</w:t>
      </w:r>
      <w:r w:rsidR="00385921">
        <w:t xml:space="preserve"> [18].</w:t>
      </w:r>
      <w:r w:rsidR="00F41D82" w:rsidRPr="00F41D82">
        <w:t xml:space="preserve"> </w:t>
      </w:r>
      <w:r w:rsidR="00246FE1">
        <w:t>Firstly, d</w:t>
      </w:r>
      <w:r w:rsidR="00F41D82" w:rsidRPr="00F41D82">
        <w:t xml:space="preserve">ata from </w:t>
      </w:r>
      <w:r w:rsidR="007D19C8" w:rsidRPr="00F41D82">
        <w:rPr>
          <w:rFonts w:cstheme="minorHAnsi"/>
        </w:rPr>
        <w:t xml:space="preserve">The British Society for Rheumatology Biologics Register for Ankylosing Spondylitis (BSRBR-AS) </w:t>
      </w:r>
      <w:r w:rsidR="002D5A38">
        <w:rPr>
          <w:rFonts w:cstheme="minorHAnsi"/>
        </w:rPr>
        <w:t>will be used to</w:t>
      </w:r>
      <w:r w:rsidR="00602F05" w:rsidRPr="00F41D82">
        <w:rPr>
          <w:rFonts w:cstheme="minorHAnsi"/>
        </w:rPr>
        <w:t xml:space="preserve"> a) describe the characteristics of axSpA participants living in rural and urban areas and b) to assess any differences in outcome after commencement of biologic therapy between these groups</w:t>
      </w:r>
      <w:r w:rsidR="00F26CC5">
        <w:rPr>
          <w:rFonts w:cstheme="minorHAnsi"/>
        </w:rPr>
        <w:t xml:space="preserve"> (phase 1)</w:t>
      </w:r>
      <w:r w:rsidR="00C0499E">
        <w:rPr>
          <w:rFonts w:cstheme="minorHAnsi"/>
        </w:rPr>
        <w:t>.</w:t>
      </w:r>
      <w:r w:rsidR="009D32C7">
        <w:rPr>
          <w:rFonts w:cstheme="minorHAnsi"/>
        </w:rPr>
        <w:t xml:space="preserve">This </w:t>
      </w:r>
      <w:r w:rsidR="00246FE1">
        <w:rPr>
          <w:rFonts w:cstheme="minorHAnsi"/>
        </w:rPr>
        <w:t>will be</w:t>
      </w:r>
      <w:r w:rsidR="009D32C7">
        <w:rPr>
          <w:rFonts w:cstheme="minorHAnsi"/>
        </w:rPr>
        <w:t xml:space="preserve"> </w:t>
      </w:r>
      <w:r w:rsidR="00F27F01">
        <w:rPr>
          <w:rFonts w:cstheme="minorHAnsi"/>
        </w:rPr>
        <w:t>followed by</w:t>
      </w:r>
      <w:r w:rsidR="00C0499E">
        <w:rPr>
          <w:rFonts w:cstheme="minorHAnsi"/>
        </w:rPr>
        <w:t xml:space="preserve"> </w:t>
      </w:r>
      <w:r w:rsidR="002D5A38">
        <w:rPr>
          <w:rFonts w:cstheme="minorHAnsi"/>
        </w:rPr>
        <w:t>semi-structured interviews</w:t>
      </w:r>
      <w:r w:rsidR="00F41D82" w:rsidRPr="00F41D82">
        <w:rPr>
          <w:rFonts w:cstheme="minorHAnsi"/>
        </w:rPr>
        <w:t xml:space="preserve"> </w:t>
      </w:r>
      <w:r w:rsidR="009D32C7">
        <w:rPr>
          <w:rFonts w:cstheme="minorHAnsi"/>
        </w:rPr>
        <w:t>in a subset of registry participants (phase 2)</w:t>
      </w:r>
      <w:r w:rsidR="00C0499E">
        <w:rPr>
          <w:rFonts w:cstheme="minorHAnsi"/>
        </w:rPr>
        <w:t xml:space="preserve"> </w:t>
      </w:r>
      <w:r w:rsidR="00F26CC5">
        <w:rPr>
          <w:rFonts w:cstheme="minorHAnsi"/>
        </w:rPr>
        <w:t>to further</w:t>
      </w:r>
      <w:r w:rsidR="002D5A38">
        <w:rPr>
          <w:rFonts w:cstheme="minorHAnsi"/>
        </w:rPr>
        <w:t xml:space="preserve"> </w:t>
      </w:r>
      <w:r w:rsidR="00F96FAD">
        <w:rPr>
          <w:rFonts w:cstheme="minorHAnsi"/>
        </w:rPr>
        <w:t>explore</w:t>
      </w:r>
      <w:r w:rsidR="00A540F9">
        <w:rPr>
          <w:rFonts w:cstheme="minorHAnsi"/>
        </w:rPr>
        <w:t xml:space="preserve"> </w:t>
      </w:r>
      <w:r w:rsidR="00266407">
        <w:rPr>
          <w:rFonts w:cstheme="minorHAnsi"/>
        </w:rPr>
        <w:t>results</w:t>
      </w:r>
      <w:r w:rsidR="002D5A38">
        <w:rPr>
          <w:rFonts w:cstheme="minorHAnsi"/>
        </w:rPr>
        <w:t xml:space="preserve"> </w:t>
      </w:r>
      <w:r w:rsidR="00266407">
        <w:rPr>
          <w:rFonts w:cstheme="minorHAnsi"/>
        </w:rPr>
        <w:t>from</w:t>
      </w:r>
      <w:r w:rsidR="00246FE1">
        <w:rPr>
          <w:rFonts w:cstheme="minorHAnsi"/>
        </w:rPr>
        <w:t xml:space="preserve"> phase 1</w:t>
      </w:r>
      <w:r w:rsidRPr="00F41D82">
        <w:rPr>
          <w:rFonts w:cstheme="minorHAnsi"/>
        </w:rPr>
        <w:t xml:space="preserve">. </w:t>
      </w:r>
    </w:p>
    <w:p w14:paraId="716384B9" w14:textId="46F9A77B" w:rsidR="00CA32FF" w:rsidRPr="00D4693F" w:rsidRDefault="00D4693F" w:rsidP="00D4693F">
      <w:pPr>
        <w:spacing w:line="360" w:lineRule="auto"/>
        <w:jc w:val="both"/>
        <w:rPr>
          <w:rFonts w:cstheme="minorHAnsi"/>
          <w:b/>
        </w:rPr>
      </w:pPr>
      <w:r w:rsidRPr="00D4693F">
        <w:rPr>
          <w:rFonts w:cstheme="minorHAnsi"/>
          <w:b/>
        </w:rPr>
        <w:t>MATERIALS AND METHODS</w:t>
      </w:r>
    </w:p>
    <w:tbl>
      <w:tblPr>
        <w:tblW w:w="9525" w:type="dxa"/>
        <w:tblInd w:w="-108" w:type="dxa"/>
        <w:tblBorders>
          <w:top w:val="nil"/>
          <w:left w:val="nil"/>
          <w:bottom w:val="nil"/>
          <w:right w:val="nil"/>
        </w:tblBorders>
        <w:tblLayout w:type="fixed"/>
        <w:tblLook w:val="0000" w:firstRow="0" w:lastRow="0" w:firstColumn="0" w:lastColumn="0" w:noHBand="0" w:noVBand="0"/>
      </w:tblPr>
      <w:tblGrid>
        <w:gridCol w:w="9525"/>
      </w:tblGrid>
      <w:tr w:rsidR="00FA1DF5" w:rsidRPr="00FA1DF5" w14:paraId="2D7740EC" w14:textId="77777777" w:rsidTr="00FA1DF5">
        <w:trPr>
          <w:trHeight w:val="153"/>
        </w:trPr>
        <w:tc>
          <w:tcPr>
            <w:tcW w:w="9525" w:type="dxa"/>
          </w:tcPr>
          <w:p w14:paraId="4B92373C" w14:textId="0205C217" w:rsidR="00E156FF" w:rsidRPr="007C703C" w:rsidRDefault="00363324" w:rsidP="001014F4">
            <w:pPr>
              <w:autoSpaceDE w:val="0"/>
              <w:autoSpaceDN w:val="0"/>
              <w:adjustRightInd w:val="0"/>
              <w:spacing w:after="0" w:line="360" w:lineRule="auto"/>
              <w:rPr>
                <w:rFonts w:cstheme="minorHAnsi"/>
                <w:b/>
              </w:rPr>
            </w:pPr>
            <w:r w:rsidRPr="007C703C">
              <w:rPr>
                <w:rFonts w:cstheme="minorHAnsi"/>
                <w:b/>
              </w:rPr>
              <w:t xml:space="preserve">Phase 1: </w:t>
            </w:r>
            <w:r w:rsidR="00E156FF" w:rsidRPr="007C703C">
              <w:rPr>
                <w:rFonts w:cstheme="minorHAnsi"/>
                <w:b/>
              </w:rPr>
              <w:t xml:space="preserve">BSRBR-AS </w:t>
            </w:r>
            <w:r w:rsidRPr="007C703C">
              <w:rPr>
                <w:rFonts w:cstheme="minorHAnsi"/>
                <w:b/>
              </w:rPr>
              <w:t>data</w:t>
            </w:r>
          </w:p>
          <w:p w14:paraId="7FA7A3F5" w14:textId="77777777" w:rsidR="00E156FF" w:rsidRDefault="00E156FF" w:rsidP="001014F4">
            <w:pPr>
              <w:autoSpaceDE w:val="0"/>
              <w:autoSpaceDN w:val="0"/>
              <w:adjustRightInd w:val="0"/>
              <w:spacing w:after="0" w:line="360" w:lineRule="auto"/>
              <w:rPr>
                <w:rFonts w:cstheme="minorHAnsi"/>
              </w:rPr>
            </w:pPr>
          </w:p>
          <w:p w14:paraId="5D3CA1DA" w14:textId="0EF64125" w:rsidR="00FA1DF5" w:rsidRDefault="007D7FBA" w:rsidP="001014F4">
            <w:pPr>
              <w:autoSpaceDE w:val="0"/>
              <w:autoSpaceDN w:val="0"/>
              <w:adjustRightInd w:val="0"/>
              <w:spacing w:after="0" w:line="360" w:lineRule="auto"/>
              <w:rPr>
                <w:rFonts w:cstheme="minorHAnsi"/>
              </w:rPr>
            </w:pPr>
            <w:r w:rsidRPr="00CD7AE7">
              <w:rPr>
                <w:rFonts w:cstheme="minorHAnsi"/>
              </w:rPr>
              <w:t xml:space="preserve">The </w:t>
            </w:r>
            <w:r>
              <w:rPr>
                <w:rFonts w:cstheme="minorHAnsi"/>
              </w:rPr>
              <w:t>BSRBR-AS</w:t>
            </w:r>
            <w:r w:rsidRPr="00CD7AE7">
              <w:rPr>
                <w:rFonts w:cstheme="minorHAnsi"/>
              </w:rPr>
              <w:t xml:space="preserve"> is a prospective cohort study</w:t>
            </w:r>
            <w:r>
              <w:rPr>
                <w:rFonts w:cstheme="minorHAnsi"/>
              </w:rPr>
              <w:t xml:space="preserve"> which recruited</w:t>
            </w:r>
            <w:r w:rsidRPr="00CD7AE7">
              <w:rPr>
                <w:rFonts w:cstheme="minorHAnsi"/>
              </w:rPr>
              <w:t xml:space="preserve"> biologic-naïve</w:t>
            </w:r>
            <w:r>
              <w:rPr>
                <w:rFonts w:cstheme="minorHAnsi"/>
              </w:rPr>
              <w:t xml:space="preserve"> </w:t>
            </w:r>
            <w:r w:rsidR="00CA148E">
              <w:rPr>
                <w:rFonts w:cstheme="minorHAnsi"/>
              </w:rPr>
              <w:t xml:space="preserve">adult </w:t>
            </w:r>
            <w:r w:rsidRPr="00CD7AE7">
              <w:rPr>
                <w:rFonts w:cstheme="minorHAnsi"/>
              </w:rPr>
              <w:t>patients</w:t>
            </w:r>
            <w:r w:rsidR="00CA148E">
              <w:rPr>
                <w:rFonts w:cstheme="minorHAnsi"/>
              </w:rPr>
              <w:t xml:space="preserve"> meeting ASAS criteria for axSpA</w:t>
            </w:r>
            <w:r w:rsidRPr="00CD7AE7">
              <w:rPr>
                <w:rFonts w:cstheme="minorHAnsi"/>
              </w:rPr>
              <w:t xml:space="preserve">, from 83 centres </w:t>
            </w:r>
            <w:r>
              <w:rPr>
                <w:rFonts w:cstheme="minorHAnsi"/>
              </w:rPr>
              <w:t>across Great Britain</w:t>
            </w:r>
            <w:r w:rsidR="00385921">
              <w:rPr>
                <w:rFonts w:cstheme="minorHAnsi"/>
              </w:rPr>
              <w:t xml:space="preserve"> 2012-7 [19</w:t>
            </w:r>
            <w:r w:rsidR="00CA148E">
              <w:rPr>
                <w:rFonts w:cstheme="minorHAnsi"/>
              </w:rPr>
              <w:t>]</w:t>
            </w:r>
            <w:r>
              <w:rPr>
                <w:rFonts w:cstheme="minorHAnsi"/>
              </w:rPr>
              <w:t xml:space="preserve">.  </w:t>
            </w:r>
            <w:r w:rsidR="00CA148E" w:rsidRPr="004F2291">
              <w:rPr>
                <w:rFonts w:cstheme="minorHAnsi"/>
              </w:rPr>
              <w:t xml:space="preserve">The full study protocol </w:t>
            </w:r>
            <w:r w:rsidR="00CA148E">
              <w:rPr>
                <w:rFonts w:cstheme="minorHAnsi"/>
              </w:rPr>
              <w:t>has been previously published [</w:t>
            </w:r>
            <w:r w:rsidR="00385921">
              <w:rPr>
                <w:rFonts w:cstheme="minorHAnsi"/>
              </w:rPr>
              <w:t>20</w:t>
            </w:r>
            <w:r w:rsidR="00CA148E">
              <w:rPr>
                <w:rFonts w:cstheme="minorHAnsi"/>
              </w:rPr>
              <w:t>].</w:t>
            </w:r>
            <w:r w:rsidR="00087226">
              <w:rPr>
                <w:rFonts w:cstheme="minorHAnsi"/>
              </w:rPr>
              <w:t xml:space="preserve"> </w:t>
            </w:r>
            <w:r w:rsidR="00786B28">
              <w:rPr>
                <w:rFonts w:cstheme="minorHAnsi"/>
              </w:rPr>
              <w:t>T</w:t>
            </w:r>
            <w:r w:rsidRPr="00CD7AE7">
              <w:rPr>
                <w:rFonts w:cstheme="minorHAnsi"/>
              </w:rPr>
              <w:t>h</w:t>
            </w:r>
            <w:r w:rsidR="00CA148E">
              <w:rPr>
                <w:rFonts w:cstheme="minorHAnsi"/>
              </w:rPr>
              <w:t xml:space="preserve">is analysis uses </w:t>
            </w:r>
            <w:r w:rsidR="00B452C9">
              <w:rPr>
                <w:rFonts w:cstheme="minorHAnsi"/>
              </w:rPr>
              <w:t>clinical and patient</w:t>
            </w:r>
            <w:r w:rsidR="00266407">
              <w:rPr>
                <w:rFonts w:cstheme="minorHAnsi"/>
              </w:rPr>
              <w:t>-</w:t>
            </w:r>
            <w:r w:rsidR="00B452C9">
              <w:rPr>
                <w:rFonts w:cstheme="minorHAnsi"/>
              </w:rPr>
              <w:t xml:space="preserve">reported </w:t>
            </w:r>
            <w:r w:rsidR="00CA148E">
              <w:rPr>
                <w:rFonts w:cstheme="minorHAnsi"/>
              </w:rPr>
              <w:t>data</w:t>
            </w:r>
            <w:r w:rsidR="00D4269F">
              <w:rPr>
                <w:rFonts w:cstheme="minorHAnsi"/>
              </w:rPr>
              <w:t xml:space="preserve">, </w:t>
            </w:r>
            <w:r w:rsidR="00CA148E">
              <w:rPr>
                <w:rFonts w:cstheme="minorHAnsi"/>
              </w:rPr>
              <w:t>from recruitment (bas</w:t>
            </w:r>
            <w:r w:rsidR="00B452C9">
              <w:rPr>
                <w:rFonts w:cstheme="minorHAnsi"/>
              </w:rPr>
              <w:t>e</w:t>
            </w:r>
            <w:r w:rsidR="00CA148E">
              <w:rPr>
                <w:rFonts w:cstheme="minorHAnsi"/>
              </w:rPr>
              <w:t xml:space="preserve">line) </w:t>
            </w:r>
            <w:r w:rsidR="00266407">
              <w:rPr>
                <w:rFonts w:cstheme="minorHAnsi"/>
              </w:rPr>
              <w:t xml:space="preserve">for </w:t>
            </w:r>
            <w:r w:rsidR="00CA148E">
              <w:rPr>
                <w:rFonts w:cstheme="minorHAnsi"/>
              </w:rPr>
              <w:t xml:space="preserve">all subjects and prospective data from the sub-cohort </w:t>
            </w:r>
            <w:r w:rsidR="00384C27">
              <w:rPr>
                <w:rFonts w:cstheme="minorHAnsi"/>
              </w:rPr>
              <w:t>commencing</w:t>
            </w:r>
            <w:r w:rsidR="00CA148E">
              <w:rPr>
                <w:rFonts w:cstheme="minorHAnsi"/>
              </w:rPr>
              <w:t xml:space="preserve"> biologic therapy at </w:t>
            </w:r>
            <w:r w:rsidR="00DD2F8A">
              <w:rPr>
                <w:rFonts w:cstheme="minorHAnsi"/>
              </w:rPr>
              <w:t>baseline</w:t>
            </w:r>
            <w:r w:rsidR="00CA148E">
              <w:rPr>
                <w:rFonts w:cstheme="minorHAnsi"/>
              </w:rPr>
              <w:t xml:space="preserve">. </w:t>
            </w:r>
            <w:r w:rsidRPr="00CD7AE7">
              <w:rPr>
                <w:rFonts w:cstheme="minorHAnsi"/>
              </w:rPr>
              <w:t xml:space="preserve"> </w:t>
            </w:r>
            <w:r w:rsidR="00B452C9">
              <w:rPr>
                <w:rFonts w:cstheme="minorHAnsi"/>
              </w:rPr>
              <w:t>Their “outcome” is measured at the first time</w:t>
            </w:r>
            <w:r w:rsidR="00CC106E">
              <w:rPr>
                <w:rFonts w:cstheme="minorHAnsi"/>
              </w:rPr>
              <w:t xml:space="preserve"> </w:t>
            </w:r>
            <w:r w:rsidR="00B452C9">
              <w:rPr>
                <w:rFonts w:cstheme="minorHAnsi"/>
              </w:rPr>
              <w:t xml:space="preserve">point between 6 weeks and 12 months after starting therapy. </w:t>
            </w:r>
            <w:r w:rsidR="003E22A8">
              <w:rPr>
                <w:rFonts w:cstheme="minorHAnsi"/>
              </w:rPr>
              <w:t>C</w:t>
            </w:r>
            <w:r w:rsidRPr="00977FBC">
              <w:rPr>
                <w:rFonts w:cstheme="minorHAnsi"/>
              </w:rPr>
              <w:t>linical data was collected during rheumatology appointments and patient reported outcomes via postal questionnaire</w:t>
            </w:r>
            <w:r w:rsidR="00923394">
              <w:rPr>
                <w:rFonts w:cstheme="minorHAnsi"/>
              </w:rPr>
              <w:t>s</w:t>
            </w:r>
            <w:r w:rsidR="00D4269F">
              <w:rPr>
                <w:rFonts w:cstheme="minorHAnsi"/>
              </w:rPr>
              <w:t xml:space="preserve">. </w:t>
            </w:r>
          </w:p>
          <w:p w14:paraId="6D213190" w14:textId="4E18B3BC" w:rsidR="00FA1DF5" w:rsidRPr="00FA1DF5" w:rsidRDefault="00FA1DF5" w:rsidP="001014F4">
            <w:pPr>
              <w:autoSpaceDE w:val="0"/>
              <w:autoSpaceDN w:val="0"/>
              <w:adjustRightInd w:val="0"/>
              <w:spacing w:after="0" w:line="360" w:lineRule="auto"/>
              <w:rPr>
                <w:rFonts w:ascii="Arial" w:hAnsi="Arial" w:cs="Arial"/>
                <w:color w:val="000000"/>
              </w:rPr>
            </w:pPr>
          </w:p>
        </w:tc>
      </w:tr>
    </w:tbl>
    <w:p w14:paraId="72F70A7F" w14:textId="661C0746" w:rsidR="0071775D" w:rsidRPr="00363324" w:rsidRDefault="0071775D" w:rsidP="003A4DEE">
      <w:pPr>
        <w:spacing w:after="0" w:line="360" w:lineRule="auto"/>
        <w:jc w:val="both"/>
        <w:rPr>
          <w:rFonts w:cstheme="minorHAnsi"/>
          <w:color w:val="FF0000"/>
        </w:rPr>
      </w:pPr>
      <w:r w:rsidRPr="00363324">
        <w:rPr>
          <w:rFonts w:cstheme="minorHAnsi"/>
        </w:rPr>
        <w:t>Clinical data</w:t>
      </w:r>
    </w:p>
    <w:p w14:paraId="52CCE2C8" w14:textId="04191BE9" w:rsidR="0071775D" w:rsidRDefault="00266407" w:rsidP="003A4DEE">
      <w:pPr>
        <w:spacing w:after="0" w:line="360" w:lineRule="auto"/>
        <w:jc w:val="both"/>
        <w:rPr>
          <w:rFonts w:cstheme="minorHAnsi"/>
        </w:rPr>
      </w:pPr>
      <w:r>
        <w:rPr>
          <w:rFonts w:cstheme="minorHAnsi"/>
        </w:rPr>
        <w:t xml:space="preserve">The following </w:t>
      </w:r>
      <w:r w:rsidR="00786B28">
        <w:rPr>
          <w:rFonts w:cstheme="minorHAnsi"/>
        </w:rPr>
        <w:t>was</w:t>
      </w:r>
      <w:r w:rsidR="00CB40FC">
        <w:rPr>
          <w:rFonts w:cstheme="minorHAnsi"/>
        </w:rPr>
        <w:t xml:space="preserve"> systematically</w:t>
      </w:r>
      <w:r w:rsidR="00786B28">
        <w:rPr>
          <w:rFonts w:cstheme="minorHAnsi"/>
        </w:rPr>
        <w:t xml:space="preserve"> collected</w:t>
      </w:r>
      <w:r w:rsidR="00CB40FC">
        <w:rPr>
          <w:rFonts w:cstheme="minorHAnsi"/>
        </w:rPr>
        <w:t>:</w:t>
      </w:r>
      <w:r w:rsidR="0071775D" w:rsidRPr="00C33AB1">
        <w:rPr>
          <w:rFonts w:cstheme="minorHAnsi"/>
        </w:rPr>
        <w:t xml:space="preserve"> age</w:t>
      </w:r>
      <w:r w:rsidR="00CB40FC">
        <w:rPr>
          <w:rFonts w:cstheme="minorHAnsi"/>
        </w:rPr>
        <w:t>;</w:t>
      </w:r>
      <w:r w:rsidR="0071775D" w:rsidRPr="00C33AB1">
        <w:rPr>
          <w:rFonts w:cstheme="minorHAnsi"/>
        </w:rPr>
        <w:t xml:space="preserve"> gender</w:t>
      </w:r>
      <w:r w:rsidR="00CB40FC">
        <w:rPr>
          <w:rFonts w:cstheme="minorHAnsi"/>
        </w:rPr>
        <w:t>; prevalent</w:t>
      </w:r>
      <w:r w:rsidR="0071775D" w:rsidRPr="00C33AB1">
        <w:rPr>
          <w:rFonts w:cstheme="minorHAnsi"/>
        </w:rPr>
        <w:t xml:space="preserve"> extra-spinal manifestations</w:t>
      </w:r>
      <w:r w:rsidR="00CB40FC">
        <w:rPr>
          <w:rFonts w:cstheme="minorHAnsi"/>
        </w:rPr>
        <w:t>; which</w:t>
      </w:r>
      <w:r w:rsidR="001723A6">
        <w:rPr>
          <w:rFonts w:cstheme="minorHAnsi"/>
        </w:rPr>
        <w:t xml:space="preserve"> medical </w:t>
      </w:r>
      <w:r w:rsidR="00C33AB1" w:rsidRPr="00C33AB1">
        <w:rPr>
          <w:rFonts w:cstheme="minorHAnsi"/>
        </w:rPr>
        <w:t>imag</w:t>
      </w:r>
      <w:r w:rsidR="00CB40FC">
        <w:rPr>
          <w:rFonts w:cstheme="minorHAnsi"/>
        </w:rPr>
        <w:t>ing</w:t>
      </w:r>
      <w:r w:rsidR="001723A6">
        <w:rPr>
          <w:rFonts w:cstheme="minorHAnsi"/>
        </w:rPr>
        <w:t xml:space="preserve"> </w:t>
      </w:r>
      <w:r w:rsidR="00CB40FC">
        <w:rPr>
          <w:rFonts w:cstheme="minorHAnsi"/>
        </w:rPr>
        <w:t>was undertaken</w:t>
      </w:r>
      <w:r w:rsidR="00C33AB1" w:rsidRPr="00C33AB1">
        <w:rPr>
          <w:rFonts w:cstheme="minorHAnsi"/>
        </w:rPr>
        <w:t xml:space="preserve"> (X-ray and MRI)</w:t>
      </w:r>
      <w:r w:rsidR="00CB40FC">
        <w:rPr>
          <w:rFonts w:cstheme="minorHAnsi"/>
        </w:rPr>
        <w:t>;</w:t>
      </w:r>
      <w:r w:rsidR="00C33AB1" w:rsidRPr="00C33AB1">
        <w:rPr>
          <w:rFonts w:cstheme="minorHAnsi"/>
        </w:rPr>
        <w:t xml:space="preserve">, </w:t>
      </w:r>
      <w:r w:rsidR="00430B62">
        <w:rPr>
          <w:rFonts w:cstheme="minorHAnsi"/>
        </w:rPr>
        <w:t>medication</w:t>
      </w:r>
      <w:r w:rsidR="00C33AB1" w:rsidRPr="00C33AB1">
        <w:rPr>
          <w:rFonts w:cstheme="minorHAnsi"/>
        </w:rPr>
        <w:t xml:space="preserve"> (NSAID and DMARD use in previous 6 months)</w:t>
      </w:r>
      <w:r w:rsidR="00CB40FC">
        <w:rPr>
          <w:rFonts w:cstheme="minorHAnsi"/>
        </w:rPr>
        <w:t>;</w:t>
      </w:r>
      <w:r w:rsidR="00C33AB1" w:rsidRPr="00C33AB1">
        <w:rPr>
          <w:rFonts w:cstheme="minorHAnsi"/>
        </w:rPr>
        <w:t xml:space="preserve"> HLA-B27 status</w:t>
      </w:r>
      <w:r w:rsidR="00CB40FC">
        <w:rPr>
          <w:rFonts w:cstheme="minorHAnsi"/>
        </w:rPr>
        <w:t>;</w:t>
      </w:r>
      <w:r w:rsidR="0071775D" w:rsidRPr="00C33AB1">
        <w:rPr>
          <w:rFonts w:cstheme="minorHAnsi"/>
        </w:rPr>
        <w:t xml:space="preserve"> the Bath Ankylosing Spondylitis Metrology Index (BASMI: scored</w:t>
      </w:r>
      <w:r w:rsidR="00C33AB1">
        <w:rPr>
          <w:rFonts w:cstheme="minorHAnsi"/>
        </w:rPr>
        <w:t xml:space="preserve"> 0 (least) - 10 (most severe)) [</w:t>
      </w:r>
      <w:r w:rsidR="00385921">
        <w:rPr>
          <w:rFonts w:cstheme="minorHAnsi"/>
        </w:rPr>
        <w:t>21</w:t>
      </w:r>
      <w:r w:rsidR="00C33AB1">
        <w:rPr>
          <w:rFonts w:cstheme="minorHAnsi"/>
        </w:rPr>
        <w:t>]</w:t>
      </w:r>
      <w:r w:rsidR="0071775D" w:rsidRPr="00C33AB1">
        <w:rPr>
          <w:rFonts w:cstheme="minorHAnsi"/>
        </w:rPr>
        <w:t>.</w:t>
      </w:r>
      <w:r w:rsidR="000E2819">
        <w:rPr>
          <w:rFonts w:cstheme="minorHAnsi"/>
        </w:rPr>
        <w:t xml:space="preserve"> </w:t>
      </w:r>
      <w:r w:rsidR="00786B28">
        <w:rPr>
          <w:rFonts w:cstheme="minorHAnsi"/>
        </w:rPr>
        <w:t xml:space="preserve">We calculated the lag time </w:t>
      </w:r>
      <w:r w:rsidR="000E2819">
        <w:rPr>
          <w:rFonts w:cstheme="minorHAnsi"/>
        </w:rPr>
        <w:t>from the year of symptom onset to the date of first rheumatology assessment</w:t>
      </w:r>
      <w:r w:rsidR="00786B28">
        <w:rPr>
          <w:rFonts w:cstheme="minorHAnsi"/>
        </w:rPr>
        <w:t>.</w:t>
      </w:r>
    </w:p>
    <w:p w14:paraId="6DB8F4FD" w14:textId="62EF9477" w:rsidR="00F41D82" w:rsidRPr="00C33AB1" w:rsidRDefault="00F41D82" w:rsidP="003A4DEE">
      <w:pPr>
        <w:spacing w:after="0" w:line="360" w:lineRule="auto"/>
        <w:jc w:val="both"/>
        <w:rPr>
          <w:rFonts w:cstheme="minorHAnsi"/>
        </w:rPr>
      </w:pPr>
    </w:p>
    <w:p w14:paraId="3C7CC8AD" w14:textId="77777777" w:rsidR="0071775D" w:rsidRPr="00363324" w:rsidRDefault="0071775D" w:rsidP="003A4DEE">
      <w:pPr>
        <w:spacing w:after="0" w:line="360" w:lineRule="auto"/>
        <w:jc w:val="both"/>
        <w:rPr>
          <w:rFonts w:cstheme="minorHAnsi"/>
        </w:rPr>
      </w:pPr>
      <w:r w:rsidRPr="00363324">
        <w:rPr>
          <w:rFonts w:cstheme="minorHAnsi"/>
        </w:rPr>
        <w:t>Patient reported measures</w:t>
      </w:r>
    </w:p>
    <w:p w14:paraId="74316345" w14:textId="0AA3E94E" w:rsidR="003408F8" w:rsidRDefault="00CB40FC" w:rsidP="003A4DEE">
      <w:pPr>
        <w:spacing w:after="0" w:line="360" w:lineRule="auto"/>
        <w:jc w:val="both"/>
        <w:rPr>
          <w:rFonts w:cstheme="minorHAnsi"/>
        </w:rPr>
      </w:pPr>
      <w:r>
        <w:rPr>
          <w:rFonts w:cstheme="minorHAnsi"/>
        </w:rPr>
        <w:t>The questionnaires enquired about:</w:t>
      </w:r>
      <w:r w:rsidR="00192D91" w:rsidRPr="00D80B90">
        <w:rPr>
          <w:rFonts w:cstheme="minorHAnsi"/>
        </w:rPr>
        <w:t xml:space="preserve"> </w:t>
      </w:r>
      <w:r w:rsidR="00C33AB1" w:rsidRPr="00D80B90">
        <w:rPr>
          <w:rFonts w:cstheme="minorHAnsi"/>
        </w:rPr>
        <w:t>education</w:t>
      </w:r>
      <w:r>
        <w:rPr>
          <w:rFonts w:cstheme="minorHAnsi"/>
        </w:rPr>
        <w:t>al</w:t>
      </w:r>
      <w:r w:rsidR="00C33AB1" w:rsidRPr="00D80B90">
        <w:rPr>
          <w:rFonts w:cstheme="minorHAnsi"/>
        </w:rPr>
        <w:t xml:space="preserve"> level</w:t>
      </w:r>
      <w:r>
        <w:rPr>
          <w:rFonts w:cstheme="minorHAnsi"/>
        </w:rPr>
        <w:t>;</w:t>
      </w:r>
      <w:r w:rsidR="00C33AB1" w:rsidRPr="00D80B90">
        <w:rPr>
          <w:rFonts w:cstheme="minorHAnsi"/>
        </w:rPr>
        <w:t xml:space="preserve"> smoking</w:t>
      </w:r>
      <w:r w:rsidR="00192D91" w:rsidRPr="00D80B90">
        <w:rPr>
          <w:rFonts w:cstheme="minorHAnsi"/>
        </w:rPr>
        <w:t xml:space="preserve"> status</w:t>
      </w:r>
      <w:r>
        <w:rPr>
          <w:rFonts w:cstheme="minorHAnsi"/>
        </w:rPr>
        <w:t>;</w:t>
      </w:r>
      <w:r w:rsidR="00192D91" w:rsidRPr="00D80B90">
        <w:rPr>
          <w:rFonts w:cstheme="minorHAnsi"/>
        </w:rPr>
        <w:t xml:space="preserve"> </w:t>
      </w:r>
      <w:r w:rsidR="00C33AB1" w:rsidRPr="00D80B90">
        <w:rPr>
          <w:rFonts w:cstheme="minorHAnsi"/>
        </w:rPr>
        <w:t>alcohol intake</w:t>
      </w:r>
      <w:r>
        <w:rPr>
          <w:rFonts w:cstheme="minorHAnsi"/>
        </w:rPr>
        <w:t>;</w:t>
      </w:r>
      <w:r w:rsidR="00192D91" w:rsidRPr="00D80B90">
        <w:rPr>
          <w:rFonts w:cstheme="minorHAnsi"/>
        </w:rPr>
        <w:t xml:space="preserve"> employment status</w:t>
      </w:r>
      <w:r w:rsidR="00D80B90" w:rsidRPr="00D80B90">
        <w:rPr>
          <w:rFonts w:cstheme="minorHAnsi"/>
        </w:rPr>
        <w:t xml:space="preserve"> and, amongst the employed</w:t>
      </w:r>
      <w:r w:rsidR="00192D91" w:rsidRPr="00D80B90">
        <w:rPr>
          <w:rFonts w:cstheme="minorHAnsi"/>
        </w:rPr>
        <w:t xml:space="preserve">, job type (mainly </w:t>
      </w:r>
      <w:r w:rsidR="00D248FD">
        <w:rPr>
          <w:rFonts w:cstheme="minorHAnsi"/>
        </w:rPr>
        <w:t>desk/</w:t>
      </w:r>
      <w:r w:rsidR="00192D91" w:rsidRPr="00D80B90">
        <w:rPr>
          <w:rFonts w:cstheme="minorHAnsi"/>
        </w:rPr>
        <w:t>sedentary or mainly physical</w:t>
      </w:r>
      <w:r w:rsidR="00D248FD">
        <w:rPr>
          <w:rFonts w:cstheme="minorHAnsi"/>
        </w:rPr>
        <w:t>/labour intense</w:t>
      </w:r>
      <w:r w:rsidR="00192D91" w:rsidRPr="00D80B90">
        <w:rPr>
          <w:rFonts w:cstheme="minorHAnsi"/>
        </w:rPr>
        <w:t>)</w:t>
      </w:r>
      <w:r w:rsidR="00D80B90" w:rsidRPr="00D80B90">
        <w:rPr>
          <w:rFonts w:cstheme="minorHAnsi"/>
        </w:rPr>
        <w:t xml:space="preserve">.  </w:t>
      </w:r>
      <w:r w:rsidR="002E0E7C">
        <w:rPr>
          <w:rFonts w:cstheme="minorHAnsi"/>
        </w:rPr>
        <w:t>T</w:t>
      </w:r>
      <w:r w:rsidR="00D80B90" w:rsidRPr="00D80B90">
        <w:rPr>
          <w:rFonts w:cstheme="minorHAnsi"/>
        </w:rPr>
        <w:t xml:space="preserve">he Work Productivity and Activity Impairment Specific Health Problem (WPAI:SHP) </w:t>
      </w:r>
      <w:r w:rsidR="00CE4795">
        <w:rPr>
          <w:rFonts w:cstheme="minorHAnsi"/>
        </w:rPr>
        <w:t>indicated</w:t>
      </w:r>
      <w:r w:rsidR="00D80B90" w:rsidRPr="00D80B90">
        <w:rPr>
          <w:rFonts w:cstheme="minorHAnsi"/>
        </w:rPr>
        <w:t xml:space="preserve"> the proportion of work missed (absenteeism) or impaired (presenteeism) over the previous </w:t>
      </w:r>
      <w:r w:rsidR="00D80B90" w:rsidRPr="00D80B90">
        <w:rPr>
          <w:rFonts w:cstheme="minorHAnsi"/>
        </w:rPr>
        <w:lastRenderedPageBreak/>
        <w:t>week</w:t>
      </w:r>
      <w:r w:rsidR="00B462FF">
        <w:rPr>
          <w:rFonts w:cstheme="minorHAnsi"/>
        </w:rPr>
        <w:t xml:space="preserve">, </w:t>
      </w:r>
      <w:r w:rsidR="00D80B90" w:rsidRPr="00D80B90">
        <w:rPr>
          <w:rFonts w:cstheme="minorHAnsi"/>
        </w:rPr>
        <w:t>measure of overall work impairment (absenteeism and presenteeism) and other activity impairment o</w:t>
      </w:r>
      <w:r w:rsidR="00B462FF">
        <w:rPr>
          <w:rFonts w:cstheme="minorHAnsi"/>
        </w:rPr>
        <w:t xml:space="preserve">utside of work (all scored </w:t>
      </w:r>
      <w:r w:rsidR="00D80B90" w:rsidRPr="00D80B90">
        <w:rPr>
          <w:rFonts w:cstheme="minorHAnsi"/>
        </w:rPr>
        <w:t>0-100%</w:t>
      </w:r>
      <w:r w:rsidR="00385921">
        <w:rPr>
          <w:rFonts w:cstheme="minorHAnsi"/>
        </w:rPr>
        <w:t>)</w:t>
      </w:r>
      <w:r w:rsidR="00D80B90" w:rsidRPr="00D80B90">
        <w:rPr>
          <w:rFonts w:cstheme="minorHAnsi"/>
        </w:rPr>
        <w:t xml:space="preserve"> [</w:t>
      </w:r>
      <w:r w:rsidR="00385921">
        <w:rPr>
          <w:rFonts w:cstheme="minorHAnsi"/>
        </w:rPr>
        <w:t>22,</w:t>
      </w:r>
      <w:r w:rsidR="008854E8">
        <w:rPr>
          <w:rFonts w:cstheme="minorHAnsi"/>
        </w:rPr>
        <w:t xml:space="preserve"> </w:t>
      </w:r>
      <w:r w:rsidR="00385921">
        <w:rPr>
          <w:rFonts w:cstheme="minorHAnsi"/>
        </w:rPr>
        <w:t>23]</w:t>
      </w:r>
      <w:r w:rsidR="00D80B90" w:rsidRPr="00D80B90">
        <w:rPr>
          <w:rFonts w:cstheme="minorHAnsi"/>
        </w:rPr>
        <w:t>.</w:t>
      </w:r>
      <w:r w:rsidR="00D80B90">
        <w:rPr>
          <w:rFonts w:cstheme="minorHAnsi"/>
        </w:rPr>
        <w:t xml:space="preserve">  Quality of life was </w:t>
      </w:r>
      <w:r w:rsidR="00D80B90" w:rsidRPr="00461090">
        <w:rPr>
          <w:rFonts w:cstheme="minorHAnsi"/>
        </w:rPr>
        <w:t>assessed by the Ankylosing Spondylitis Quality of Life index (A</w:t>
      </w:r>
      <w:r w:rsidR="00D32691" w:rsidRPr="00461090">
        <w:rPr>
          <w:rFonts w:cstheme="minorHAnsi"/>
        </w:rPr>
        <w:t>SQoL:</w:t>
      </w:r>
      <w:r w:rsidR="00D80B90" w:rsidRPr="00461090">
        <w:rPr>
          <w:rFonts w:cstheme="minorHAnsi"/>
        </w:rPr>
        <w:t xml:space="preserve"> scor</w:t>
      </w:r>
      <w:r w:rsidR="00461090" w:rsidRPr="00461090">
        <w:rPr>
          <w:rFonts w:cstheme="minorHAnsi"/>
        </w:rPr>
        <w:t>ed from 0 (best) to</w:t>
      </w:r>
      <w:r w:rsidR="00385921">
        <w:rPr>
          <w:rFonts w:cstheme="minorHAnsi"/>
        </w:rPr>
        <w:t xml:space="preserve"> 18 (worst) [24])</w:t>
      </w:r>
      <w:r w:rsidR="00D80B90" w:rsidRPr="00461090">
        <w:rPr>
          <w:rFonts w:cstheme="minorHAnsi"/>
        </w:rPr>
        <w:t>, and the Short Form</w:t>
      </w:r>
      <w:r>
        <w:rPr>
          <w:rFonts w:cstheme="minorHAnsi"/>
        </w:rPr>
        <w:t>-</w:t>
      </w:r>
      <w:r w:rsidR="00D80B90" w:rsidRPr="00461090">
        <w:rPr>
          <w:rFonts w:cstheme="minorHAnsi"/>
        </w:rPr>
        <w:t>12 Physic</w:t>
      </w:r>
      <w:r w:rsidR="00D32691" w:rsidRPr="00461090">
        <w:rPr>
          <w:rFonts w:cstheme="minorHAnsi"/>
        </w:rPr>
        <w:t>al and Mental component scores (</w:t>
      </w:r>
      <w:r w:rsidR="00D80B90" w:rsidRPr="00461090">
        <w:rPr>
          <w:rFonts w:cstheme="minorHAnsi"/>
        </w:rPr>
        <w:t>score</w:t>
      </w:r>
      <w:r w:rsidR="00D32691" w:rsidRPr="00461090">
        <w:rPr>
          <w:rFonts w:cstheme="minorHAnsi"/>
        </w:rPr>
        <w:t>d from 0 (worst) to 100 (best) [</w:t>
      </w:r>
      <w:r w:rsidR="00D80B90" w:rsidRPr="00461090">
        <w:rPr>
          <w:rFonts w:cstheme="minorHAnsi"/>
        </w:rPr>
        <w:t>2</w:t>
      </w:r>
      <w:r w:rsidR="00385921">
        <w:rPr>
          <w:rFonts w:cstheme="minorHAnsi"/>
        </w:rPr>
        <w:t>5</w:t>
      </w:r>
      <w:r w:rsidR="00D32691" w:rsidRPr="00461090">
        <w:rPr>
          <w:rFonts w:cstheme="minorHAnsi"/>
        </w:rPr>
        <w:t>]</w:t>
      </w:r>
      <w:r w:rsidR="00D80B90" w:rsidRPr="00461090">
        <w:rPr>
          <w:rFonts w:cstheme="minorHAnsi"/>
        </w:rPr>
        <w:t xml:space="preserve">).  The </w:t>
      </w:r>
      <w:r w:rsidR="0071775D" w:rsidRPr="00461090">
        <w:rPr>
          <w:rFonts w:cstheme="minorHAnsi"/>
        </w:rPr>
        <w:t>Hospital Anx</w:t>
      </w:r>
      <w:r w:rsidR="00D32691" w:rsidRPr="00461090">
        <w:rPr>
          <w:rFonts w:cstheme="minorHAnsi"/>
        </w:rPr>
        <w:t xml:space="preserve">iety and Depression Scale </w:t>
      </w:r>
      <w:r>
        <w:rPr>
          <w:rFonts w:cstheme="minorHAnsi"/>
        </w:rPr>
        <w:t>indicated</w:t>
      </w:r>
      <w:r w:rsidR="00D80B90" w:rsidRPr="00461090">
        <w:rPr>
          <w:rFonts w:cstheme="minorHAnsi"/>
        </w:rPr>
        <w:t xml:space="preserve"> mental h</w:t>
      </w:r>
      <w:r w:rsidR="00D32691" w:rsidRPr="00461090">
        <w:rPr>
          <w:rFonts w:cstheme="minorHAnsi"/>
        </w:rPr>
        <w:t>ealth</w:t>
      </w:r>
      <w:r w:rsidR="00D45C43">
        <w:rPr>
          <w:rFonts w:cstheme="minorHAnsi"/>
        </w:rPr>
        <w:t xml:space="preserve"> </w:t>
      </w:r>
      <w:r w:rsidR="00D45C43" w:rsidRPr="00461090">
        <w:rPr>
          <w:rFonts w:cstheme="minorHAnsi"/>
        </w:rPr>
        <w:t>(HADS: scored from 0 (best) to 21 (worst) [</w:t>
      </w:r>
      <w:r w:rsidR="00385921">
        <w:rPr>
          <w:rFonts w:cstheme="minorHAnsi"/>
        </w:rPr>
        <w:t>26</w:t>
      </w:r>
      <w:r w:rsidR="00D45C43" w:rsidRPr="00461090">
        <w:rPr>
          <w:rFonts w:cstheme="minorHAnsi"/>
        </w:rPr>
        <w:t>])</w:t>
      </w:r>
      <w:r w:rsidR="00461090" w:rsidRPr="00461090">
        <w:rPr>
          <w:rFonts w:cstheme="minorHAnsi"/>
        </w:rPr>
        <w:t>,</w:t>
      </w:r>
      <w:r w:rsidR="00D32691" w:rsidRPr="00461090">
        <w:rPr>
          <w:rFonts w:cstheme="minorHAnsi"/>
        </w:rPr>
        <w:t xml:space="preserve"> while fatigue</w:t>
      </w:r>
      <w:r w:rsidR="00461090" w:rsidRPr="00461090">
        <w:rPr>
          <w:rFonts w:cstheme="minorHAnsi"/>
        </w:rPr>
        <w:t xml:space="preserve"> and sleep disturbance were</w:t>
      </w:r>
      <w:r w:rsidR="00D32691" w:rsidRPr="00461090">
        <w:rPr>
          <w:rFonts w:cstheme="minorHAnsi"/>
        </w:rPr>
        <w:t xml:space="preserve"> measured</w:t>
      </w:r>
      <w:r w:rsidR="00D80B90" w:rsidRPr="00461090">
        <w:rPr>
          <w:rFonts w:cstheme="minorHAnsi"/>
        </w:rPr>
        <w:t xml:space="preserve"> </w:t>
      </w:r>
      <w:r>
        <w:rPr>
          <w:rFonts w:cstheme="minorHAnsi"/>
        </w:rPr>
        <w:t>using</w:t>
      </w:r>
      <w:r w:rsidRPr="00461090">
        <w:rPr>
          <w:rFonts w:cstheme="minorHAnsi"/>
        </w:rPr>
        <w:t xml:space="preserve"> </w:t>
      </w:r>
      <w:r w:rsidR="00D80B90" w:rsidRPr="00461090">
        <w:rPr>
          <w:rFonts w:cstheme="minorHAnsi"/>
        </w:rPr>
        <w:t>the Chalder fatigue scale</w:t>
      </w:r>
      <w:r w:rsidR="00461090" w:rsidRPr="00461090">
        <w:rPr>
          <w:rFonts w:cstheme="minorHAnsi"/>
        </w:rPr>
        <w:t xml:space="preserve"> (CFS: </w:t>
      </w:r>
      <w:r w:rsidR="00D80B90" w:rsidRPr="00461090">
        <w:rPr>
          <w:rFonts w:cstheme="minorHAnsi"/>
        </w:rPr>
        <w:t>0</w:t>
      </w:r>
      <w:r w:rsidR="00461090" w:rsidRPr="00461090">
        <w:rPr>
          <w:rFonts w:cstheme="minorHAnsi"/>
        </w:rPr>
        <w:t xml:space="preserve"> (best) to </w:t>
      </w:r>
      <w:r w:rsidR="00D80B90" w:rsidRPr="00461090">
        <w:rPr>
          <w:rFonts w:cstheme="minorHAnsi"/>
        </w:rPr>
        <w:t>11</w:t>
      </w:r>
      <w:r w:rsidR="00461090" w:rsidRPr="00461090">
        <w:rPr>
          <w:rFonts w:cstheme="minorHAnsi"/>
        </w:rPr>
        <w:t xml:space="preserve"> (worst)</w:t>
      </w:r>
      <w:r w:rsidR="00D80B90" w:rsidRPr="00461090">
        <w:rPr>
          <w:rFonts w:cstheme="minorHAnsi"/>
        </w:rPr>
        <w:t>)</w:t>
      </w:r>
      <w:r w:rsidR="00461090" w:rsidRPr="00461090">
        <w:rPr>
          <w:rFonts w:cstheme="minorHAnsi"/>
        </w:rPr>
        <w:t xml:space="preserve"> and Jenkins Sleep Evaluation Questionnaire (0 (best) to 20 (worst)) respectively [</w:t>
      </w:r>
      <w:r w:rsidR="00385921">
        <w:rPr>
          <w:rFonts w:cstheme="minorHAnsi"/>
        </w:rPr>
        <w:t>27,</w:t>
      </w:r>
      <w:r w:rsidR="008854E8">
        <w:rPr>
          <w:rFonts w:cstheme="minorHAnsi"/>
        </w:rPr>
        <w:t xml:space="preserve"> </w:t>
      </w:r>
      <w:r w:rsidR="00385921">
        <w:rPr>
          <w:rFonts w:cstheme="minorHAnsi"/>
        </w:rPr>
        <w:t>28</w:t>
      </w:r>
      <w:r w:rsidR="00461090" w:rsidRPr="00461090">
        <w:rPr>
          <w:rFonts w:cstheme="minorHAnsi"/>
        </w:rPr>
        <w:t xml:space="preserve">].  </w:t>
      </w:r>
      <w:r w:rsidR="0071775D" w:rsidRPr="00461090">
        <w:rPr>
          <w:rFonts w:cstheme="minorHAnsi"/>
        </w:rPr>
        <w:t>Spinal pain was assessed usin</w:t>
      </w:r>
      <w:r w:rsidR="00461090" w:rsidRPr="00461090">
        <w:rPr>
          <w:rFonts w:cstheme="minorHAnsi"/>
        </w:rPr>
        <w:t>g a 10 cm visual analogue scale and</w:t>
      </w:r>
      <w:r w:rsidR="0071775D" w:rsidRPr="00461090">
        <w:rPr>
          <w:rFonts w:cstheme="minorHAnsi"/>
        </w:rPr>
        <w:t xml:space="preserve"> the Bath Anky</w:t>
      </w:r>
      <w:r w:rsidR="002E0E7C">
        <w:rPr>
          <w:rFonts w:cstheme="minorHAnsi"/>
        </w:rPr>
        <w:t xml:space="preserve">losing Spondylitis indices </w:t>
      </w:r>
      <w:r w:rsidR="00461090" w:rsidRPr="00461090">
        <w:rPr>
          <w:rFonts w:cstheme="minorHAnsi"/>
        </w:rPr>
        <w:t>used</w:t>
      </w:r>
      <w:r w:rsidR="0071775D" w:rsidRPr="00461090">
        <w:rPr>
          <w:rFonts w:cstheme="minorHAnsi"/>
        </w:rPr>
        <w:t xml:space="preserve"> to </w:t>
      </w:r>
      <w:r w:rsidR="00786B28">
        <w:rPr>
          <w:rFonts w:cstheme="minorHAnsi"/>
        </w:rPr>
        <w:t>measure</w:t>
      </w:r>
      <w:r w:rsidR="0071775D" w:rsidRPr="00461090">
        <w:rPr>
          <w:rFonts w:cstheme="minorHAnsi"/>
        </w:rPr>
        <w:t xml:space="preserve"> disease activity (BASDAI), </w:t>
      </w:r>
      <w:r w:rsidR="00D45C43">
        <w:rPr>
          <w:rFonts w:cstheme="minorHAnsi"/>
        </w:rPr>
        <w:t xml:space="preserve">physical </w:t>
      </w:r>
      <w:r w:rsidR="0071775D" w:rsidRPr="00461090">
        <w:rPr>
          <w:rFonts w:cstheme="minorHAnsi"/>
        </w:rPr>
        <w:t xml:space="preserve">function (BASFI) and global health (BAS-G) (all scored from 0 (best) </w:t>
      </w:r>
      <w:r w:rsidR="00461090" w:rsidRPr="00461090">
        <w:rPr>
          <w:rFonts w:cstheme="minorHAnsi"/>
        </w:rPr>
        <w:t>to 10 (worst)) [</w:t>
      </w:r>
      <w:r w:rsidR="00385921">
        <w:rPr>
          <w:rFonts w:cstheme="minorHAnsi"/>
        </w:rPr>
        <w:t>29-31</w:t>
      </w:r>
      <w:r w:rsidR="00461090" w:rsidRPr="00461090">
        <w:rPr>
          <w:rFonts w:cstheme="minorHAnsi"/>
        </w:rPr>
        <w:t>]</w:t>
      </w:r>
      <w:r w:rsidR="0071775D" w:rsidRPr="00461090">
        <w:rPr>
          <w:rFonts w:cstheme="minorHAnsi"/>
        </w:rPr>
        <w:t>.</w:t>
      </w:r>
      <w:r w:rsidR="00461090" w:rsidRPr="00461090">
        <w:rPr>
          <w:rFonts w:cstheme="minorHAnsi"/>
        </w:rPr>
        <w:t xml:space="preserve"> </w:t>
      </w:r>
      <w:r w:rsidR="002B6950">
        <w:rPr>
          <w:rFonts w:cstheme="minorHAnsi"/>
        </w:rPr>
        <w:t xml:space="preserve"> </w:t>
      </w:r>
      <w:r w:rsidR="003408F8">
        <w:rPr>
          <w:rFonts w:cstheme="minorHAnsi"/>
        </w:rPr>
        <w:t>P</w:t>
      </w:r>
      <w:r w:rsidR="002B1E07" w:rsidRPr="0043578B">
        <w:rPr>
          <w:rFonts w:cstheme="minorHAnsi"/>
        </w:rPr>
        <w:t>ostcode</w:t>
      </w:r>
      <w:r w:rsidR="0043578B" w:rsidRPr="0043578B">
        <w:rPr>
          <w:rFonts w:cstheme="minorHAnsi"/>
        </w:rPr>
        <w:t>s,</w:t>
      </w:r>
      <w:r w:rsidR="007728CD" w:rsidRPr="0043578B">
        <w:rPr>
          <w:rFonts w:cstheme="minorHAnsi"/>
        </w:rPr>
        <w:t xml:space="preserve"> provided by participants on </w:t>
      </w:r>
      <w:r w:rsidR="002B1E07" w:rsidRPr="0043578B">
        <w:rPr>
          <w:rFonts w:cstheme="minorHAnsi"/>
        </w:rPr>
        <w:t>returned questionnaires</w:t>
      </w:r>
      <w:r w:rsidR="0043578B" w:rsidRPr="0043578B">
        <w:rPr>
          <w:rFonts w:cstheme="minorHAnsi"/>
        </w:rPr>
        <w:t>,</w:t>
      </w:r>
      <w:r w:rsidR="002B1E07" w:rsidRPr="0043578B">
        <w:rPr>
          <w:rFonts w:cstheme="minorHAnsi"/>
        </w:rPr>
        <w:t xml:space="preserve"> were </w:t>
      </w:r>
      <w:r w:rsidR="007728CD" w:rsidRPr="0043578B">
        <w:rPr>
          <w:rFonts w:cstheme="minorHAnsi"/>
        </w:rPr>
        <w:t>used to</w:t>
      </w:r>
      <w:r w:rsidR="003408F8">
        <w:rPr>
          <w:rFonts w:cstheme="minorHAnsi"/>
        </w:rPr>
        <w:t>:</w:t>
      </w:r>
    </w:p>
    <w:p w14:paraId="492A7E0A" w14:textId="77777777" w:rsidR="003408F8" w:rsidRDefault="003408F8" w:rsidP="003A4DEE">
      <w:pPr>
        <w:spacing w:after="0" w:line="360" w:lineRule="auto"/>
        <w:jc w:val="both"/>
        <w:rPr>
          <w:rFonts w:cstheme="minorHAnsi"/>
        </w:rPr>
      </w:pPr>
    </w:p>
    <w:p w14:paraId="5EFBBE0B" w14:textId="4B6981EF" w:rsidR="003408F8" w:rsidRDefault="007728CD" w:rsidP="003A4DEE">
      <w:pPr>
        <w:pStyle w:val="ListParagraph"/>
        <w:numPr>
          <w:ilvl w:val="0"/>
          <w:numId w:val="5"/>
        </w:numPr>
        <w:spacing w:after="0" w:line="360" w:lineRule="auto"/>
        <w:jc w:val="both"/>
        <w:rPr>
          <w:rFonts w:cstheme="minorHAnsi"/>
        </w:rPr>
      </w:pPr>
      <w:r w:rsidRPr="003408F8">
        <w:rPr>
          <w:rFonts w:cstheme="minorHAnsi"/>
        </w:rPr>
        <w:t>derive a measure of local</w:t>
      </w:r>
      <w:r w:rsidR="00017744">
        <w:rPr>
          <w:rFonts w:cstheme="minorHAnsi"/>
        </w:rPr>
        <w:t>-</w:t>
      </w:r>
      <w:r w:rsidRPr="003408F8">
        <w:rPr>
          <w:rFonts w:cstheme="minorHAnsi"/>
        </w:rPr>
        <w:t>area deprivation</w:t>
      </w:r>
      <w:r w:rsidR="002B1E07" w:rsidRPr="003408F8">
        <w:rPr>
          <w:rFonts w:cstheme="minorHAnsi"/>
        </w:rPr>
        <w:t xml:space="preserve"> (from </w:t>
      </w:r>
      <w:r w:rsidR="0043578B" w:rsidRPr="003408F8">
        <w:rPr>
          <w:rFonts w:cstheme="minorHAnsi"/>
        </w:rPr>
        <w:t>1</w:t>
      </w:r>
      <w:r w:rsidR="002B1E07" w:rsidRPr="003408F8">
        <w:rPr>
          <w:rFonts w:cstheme="minorHAnsi"/>
        </w:rPr>
        <w:t xml:space="preserve"> (</w:t>
      </w:r>
      <w:r w:rsidR="00D248FD" w:rsidRPr="003408F8">
        <w:rPr>
          <w:rFonts w:cstheme="minorHAnsi"/>
        </w:rPr>
        <w:t>most</w:t>
      </w:r>
      <w:r w:rsidR="002B1E07" w:rsidRPr="003408F8">
        <w:rPr>
          <w:rFonts w:cstheme="minorHAnsi"/>
        </w:rPr>
        <w:t xml:space="preserve"> deprived) to</w:t>
      </w:r>
      <w:r w:rsidRPr="003408F8">
        <w:rPr>
          <w:rFonts w:cstheme="minorHAnsi"/>
        </w:rPr>
        <w:t xml:space="preserve"> </w:t>
      </w:r>
      <w:r w:rsidR="0043578B" w:rsidRPr="003408F8">
        <w:rPr>
          <w:rFonts w:cstheme="minorHAnsi"/>
        </w:rPr>
        <w:t>5</w:t>
      </w:r>
      <w:r w:rsidRPr="003408F8">
        <w:rPr>
          <w:rFonts w:cstheme="minorHAnsi"/>
        </w:rPr>
        <w:t xml:space="preserve"> (</w:t>
      </w:r>
      <w:r w:rsidR="00D248FD" w:rsidRPr="003408F8">
        <w:rPr>
          <w:rFonts w:cstheme="minorHAnsi"/>
        </w:rPr>
        <w:t>least</w:t>
      </w:r>
      <w:r w:rsidRPr="003408F8">
        <w:rPr>
          <w:rFonts w:cstheme="minorHAnsi"/>
        </w:rPr>
        <w:t xml:space="preserve"> deprived)</w:t>
      </w:r>
      <w:r w:rsidR="0043578B" w:rsidRPr="003408F8">
        <w:rPr>
          <w:rFonts w:cstheme="minorHAnsi"/>
        </w:rPr>
        <w:t>)</w:t>
      </w:r>
      <w:r w:rsidR="002B1E07" w:rsidRPr="003408F8">
        <w:rPr>
          <w:rFonts w:cstheme="minorHAnsi"/>
        </w:rPr>
        <w:t xml:space="preserve"> [</w:t>
      </w:r>
      <w:r w:rsidR="00385921">
        <w:rPr>
          <w:rFonts w:cstheme="minorHAnsi"/>
        </w:rPr>
        <w:t>32,33</w:t>
      </w:r>
      <w:r w:rsidR="002B1E07" w:rsidRPr="003408F8">
        <w:rPr>
          <w:rFonts w:cstheme="minorHAnsi"/>
        </w:rPr>
        <w:t>]</w:t>
      </w:r>
      <w:r w:rsidR="007C703C">
        <w:rPr>
          <w:rFonts w:cstheme="minorHAnsi"/>
        </w:rPr>
        <w:t xml:space="preserve"> </w:t>
      </w:r>
      <w:r w:rsidR="007C703C" w:rsidRPr="007C703C">
        <w:t>in order to adjust for local-level deprivation</w:t>
      </w:r>
    </w:p>
    <w:p w14:paraId="44A0520E" w14:textId="00158DFD" w:rsidR="002E0E7C" w:rsidRDefault="003408F8" w:rsidP="003A4DEE">
      <w:pPr>
        <w:pStyle w:val="ListParagraph"/>
        <w:numPr>
          <w:ilvl w:val="0"/>
          <w:numId w:val="5"/>
        </w:numPr>
        <w:spacing w:after="0" w:line="360" w:lineRule="auto"/>
        <w:jc w:val="both"/>
        <w:rPr>
          <w:rFonts w:cstheme="minorHAnsi"/>
        </w:rPr>
      </w:pPr>
      <w:r w:rsidRPr="00781F6A">
        <w:rPr>
          <w:rFonts w:cstheme="minorHAnsi"/>
        </w:rPr>
        <w:t>categorise participants into those living in rural and urban areas by the 2011 UK Census [</w:t>
      </w:r>
      <w:r w:rsidR="00385921">
        <w:rPr>
          <w:rFonts w:cstheme="minorHAnsi"/>
        </w:rPr>
        <w:t>32,33</w:t>
      </w:r>
      <w:r w:rsidRPr="00781F6A">
        <w:rPr>
          <w:rFonts w:cstheme="minorHAnsi"/>
        </w:rPr>
        <w:t xml:space="preserve">].  Rural areas were categorised as settlements of less than 3,000 people. </w:t>
      </w:r>
    </w:p>
    <w:p w14:paraId="5824F47A" w14:textId="77777777" w:rsidR="005A70EE" w:rsidRDefault="005A70EE" w:rsidP="002E0E7C">
      <w:pPr>
        <w:spacing w:after="0" w:line="360" w:lineRule="auto"/>
        <w:jc w:val="both"/>
        <w:rPr>
          <w:rFonts w:cstheme="minorHAnsi"/>
        </w:rPr>
      </w:pPr>
    </w:p>
    <w:p w14:paraId="7B4DC3BF" w14:textId="315742BA" w:rsidR="00315DB0" w:rsidRDefault="00363324" w:rsidP="003A4DEE">
      <w:pPr>
        <w:spacing w:after="0" w:line="360" w:lineRule="auto"/>
        <w:jc w:val="both"/>
        <w:rPr>
          <w:rFonts w:cstheme="minorHAnsi"/>
          <w:b/>
        </w:rPr>
      </w:pPr>
      <w:r>
        <w:rPr>
          <w:rFonts w:cstheme="minorHAnsi"/>
          <w:b/>
        </w:rPr>
        <w:t>Phase 2: Semi-structured i</w:t>
      </w:r>
      <w:r w:rsidR="00315DB0">
        <w:rPr>
          <w:rFonts w:cstheme="minorHAnsi"/>
          <w:b/>
        </w:rPr>
        <w:t>nterviews</w:t>
      </w:r>
    </w:p>
    <w:p w14:paraId="62E504C1" w14:textId="0FE21011" w:rsidR="00E43A51" w:rsidRPr="00DB1936" w:rsidRDefault="00BF7CCC" w:rsidP="00246FE1">
      <w:pPr>
        <w:spacing w:after="0" w:line="360" w:lineRule="auto"/>
        <w:jc w:val="both"/>
        <w:rPr>
          <w:rFonts w:cstheme="minorHAnsi"/>
          <w:bCs/>
        </w:rPr>
      </w:pPr>
      <w:r>
        <w:t>S</w:t>
      </w:r>
      <w:r w:rsidR="001B046A">
        <w:t xml:space="preserve">emi-structured telephone interviews </w:t>
      </w:r>
      <w:r>
        <w:t xml:space="preserve">were conducted </w:t>
      </w:r>
      <w:r w:rsidR="001B046A">
        <w:t xml:space="preserve">with a subset of </w:t>
      </w:r>
      <w:r w:rsidR="009E5F8A">
        <w:t xml:space="preserve">BSRBR-AS registry </w:t>
      </w:r>
      <w:r w:rsidR="009F6DCB">
        <w:t>participants</w:t>
      </w:r>
      <w:r w:rsidR="002C009C">
        <w:t xml:space="preserve"> from phase 1 </w:t>
      </w:r>
      <w:r w:rsidR="001B046A">
        <w:t xml:space="preserve">  who had consented to participate in further studies. </w:t>
      </w:r>
      <w:r w:rsidR="00672395" w:rsidRPr="00AD60D6">
        <w:rPr>
          <w:rFonts w:cstheme="minorHAnsi"/>
        </w:rPr>
        <w:t xml:space="preserve">The focus and content of the interviews was determined by the results of phase 1. As differences in presenteesim emerged as an important factor, the interview topic guide (see </w:t>
      </w:r>
      <w:r w:rsidR="006264F6">
        <w:rPr>
          <w:rFonts w:cstheme="minorHAnsi"/>
        </w:rPr>
        <w:t xml:space="preserve">online </w:t>
      </w:r>
      <w:r w:rsidR="00672395" w:rsidRPr="00AD60D6">
        <w:rPr>
          <w:rFonts w:cstheme="minorHAnsi"/>
        </w:rPr>
        <w:t xml:space="preserve">supplementary </w:t>
      </w:r>
      <w:r w:rsidR="006264F6">
        <w:rPr>
          <w:rFonts w:cstheme="minorHAnsi"/>
        </w:rPr>
        <w:t>text</w:t>
      </w:r>
      <w:r w:rsidR="00672395" w:rsidRPr="00AD60D6">
        <w:rPr>
          <w:rFonts w:cstheme="minorHAnsi"/>
        </w:rPr>
        <w:t xml:space="preserve">) was developed to explore this further, informed by the findings from </w:t>
      </w:r>
      <w:r w:rsidR="00CB40FC">
        <w:rPr>
          <w:rFonts w:cstheme="minorHAnsi"/>
        </w:rPr>
        <w:t>phase 1</w:t>
      </w:r>
      <w:r w:rsidR="00672395" w:rsidRPr="00AD60D6">
        <w:rPr>
          <w:rFonts w:cstheme="minorHAnsi"/>
        </w:rPr>
        <w:t xml:space="preserve"> and review of existing qualitative literature on work outcomes in axSpA and other rheumatic diseases, as well as input from patient partners. </w:t>
      </w:r>
      <w:r w:rsidR="00506E54">
        <w:rPr>
          <w:rFonts w:cstheme="minorHAnsi"/>
        </w:rPr>
        <w:t>BSRBR-AS p</w:t>
      </w:r>
      <w:r w:rsidR="0099163B" w:rsidRPr="00DB1936">
        <w:rPr>
          <w:bCs/>
        </w:rPr>
        <w:t>articipants were</w:t>
      </w:r>
      <w:r w:rsidR="00D75E33">
        <w:rPr>
          <w:bCs/>
        </w:rPr>
        <w:t xml:space="preserve"> </w:t>
      </w:r>
      <w:r w:rsidR="0099163B" w:rsidRPr="00DB1936">
        <w:rPr>
          <w:bCs/>
        </w:rPr>
        <w:t>purposively selected for interview based on</w:t>
      </w:r>
      <w:r w:rsidR="00CE7176">
        <w:rPr>
          <w:bCs/>
        </w:rPr>
        <w:t>:</w:t>
      </w:r>
      <w:r w:rsidR="0099163B" w:rsidRPr="00DB1936">
        <w:rPr>
          <w:bCs/>
        </w:rPr>
        <w:t xml:space="preserve"> employment status</w:t>
      </w:r>
      <w:r w:rsidR="00CE7176">
        <w:rPr>
          <w:bCs/>
        </w:rPr>
        <w:t>;</w:t>
      </w:r>
      <w:r w:rsidR="0099163B" w:rsidRPr="00DB1936">
        <w:rPr>
          <w:bCs/>
        </w:rPr>
        <w:t xml:space="preserve"> job type</w:t>
      </w:r>
      <w:r w:rsidR="00CE7176">
        <w:rPr>
          <w:bCs/>
        </w:rPr>
        <w:t>;</w:t>
      </w:r>
      <w:r w:rsidR="0099163B" w:rsidRPr="00DB1936">
        <w:rPr>
          <w:bCs/>
        </w:rPr>
        <w:t xml:space="preserve"> age</w:t>
      </w:r>
      <w:r w:rsidR="00CE7176">
        <w:rPr>
          <w:bCs/>
        </w:rPr>
        <w:t>;</w:t>
      </w:r>
      <w:r w:rsidR="0099163B" w:rsidRPr="00DB1936">
        <w:rPr>
          <w:bCs/>
        </w:rPr>
        <w:t xml:space="preserve"> disease duration</w:t>
      </w:r>
      <w:r w:rsidR="00CE7176">
        <w:rPr>
          <w:bCs/>
        </w:rPr>
        <w:t>;</w:t>
      </w:r>
      <w:r w:rsidR="0099163B" w:rsidRPr="00DB1936">
        <w:rPr>
          <w:bCs/>
        </w:rPr>
        <w:t xml:space="preserve"> and </w:t>
      </w:r>
      <w:r w:rsidR="0099163B" w:rsidRPr="00DB1936">
        <w:rPr>
          <w:rFonts w:cstheme="minorHAnsi"/>
        </w:rPr>
        <w:t xml:space="preserve">urban or rural location across seven geographical sites within the UK.’ </w:t>
      </w:r>
      <w:r w:rsidR="0099163B">
        <w:t>Interviews</w:t>
      </w:r>
      <w:r w:rsidR="00F6678E">
        <w:t xml:space="preserve"> explored </w:t>
      </w:r>
      <w:r w:rsidR="00D260A5">
        <w:t>interaction</w:t>
      </w:r>
      <w:r w:rsidR="003344DD">
        <w:t>s</w:t>
      </w:r>
      <w:r w:rsidR="00D260A5">
        <w:t xml:space="preserve"> between</w:t>
      </w:r>
      <w:r w:rsidR="00D13126">
        <w:t xml:space="preserve"> aspects of disease</w:t>
      </w:r>
      <w:r w:rsidR="00C07D0C">
        <w:t xml:space="preserve"> </w:t>
      </w:r>
      <w:r w:rsidR="00351DDA">
        <w:t>(</w:t>
      </w:r>
      <w:r w:rsidR="00C07D0C">
        <w:t>such as activity,</w:t>
      </w:r>
      <w:r w:rsidR="00C74813">
        <w:t xml:space="preserve"> function,</w:t>
      </w:r>
      <w:r w:rsidR="00C07D0C">
        <w:t xml:space="preserve"> fatigue</w:t>
      </w:r>
      <w:r w:rsidR="00DE1774">
        <w:t xml:space="preserve">, </w:t>
      </w:r>
      <w:r w:rsidR="00C07D0C">
        <w:t>medications</w:t>
      </w:r>
      <w:r w:rsidR="00351DDA">
        <w:t>)</w:t>
      </w:r>
      <w:r w:rsidR="00C07D0C">
        <w:t xml:space="preserve">, job characteristics and </w:t>
      </w:r>
      <w:r w:rsidR="00D260A5">
        <w:t>work environment</w:t>
      </w:r>
      <w:r w:rsidR="006D2B1E">
        <w:t>,</w:t>
      </w:r>
      <w:r w:rsidR="00D260A5">
        <w:t xml:space="preserve"> </w:t>
      </w:r>
      <w:r w:rsidR="003344DD">
        <w:t>and the</w:t>
      </w:r>
      <w:r w:rsidR="001563DA">
        <w:t>ir</w:t>
      </w:r>
      <w:r w:rsidR="003344DD">
        <w:t xml:space="preserve"> </w:t>
      </w:r>
      <w:r w:rsidR="00421224">
        <w:t>impact o</w:t>
      </w:r>
      <w:r w:rsidR="008146B4">
        <w:t>n work.</w:t>
      </w:r>
      <w:r w:rsidR="00336317">
        <w:t xml:space="preserve"> </w:t>
      </w:r>
      <w:r w:rsidR="008146B4">
        <w:t xml:space="preserve"> </w:t>
      </w:r>
      <w:r w:rsidR="001845AE">
        <w:t>We also examined the</w:t>
      </w:r>
      <w:r w:rsidR="00CA3E98">
        <w:t xml:space="preserve"> </w:t>
      </w:r>
      <w:r w:rsidR="00F6678E">
        <w:rPr>
          <w:rFonts w:cstheme="minorHAnsi"/>
        </w:rPr>
        <w:t xml:space="preserve">impact of work disability on quality of life, career choice and </w:t>
      </w:r>
      <w:r w:rsidR="00430B62">
        <w:rPr>
          <w:rFonts w:cstheme="minorHAnsi"/>
        </w:rPr>
        <w:t>progress</w:t>
      </w:r>
      <w:r w:rsidR="00845EF9">
        <w:rPr>
          <w:rFonts w:cstheme="minorHAnsi"/>
        </w:rPr>
        <w:t xml:space="preserve"> and support to </w:t>
      </w:r>
      <w:r w:rsidR="0033102D">
        <w:rPr>
          <w:rFonts w:cstheme="minorHAnsi"/>
        </w:rPr>
        <w:t>work</w:t>
      </w:r>
      <w:r w:rsidR="00F6678E" w:rsidRPr="00F41D82">
        <w:rPr>
          <w:rFonts w:cstheme="minorHAnsi"/>
        </w:rPr>
        <w:t>.</w:t>
      </w:r>
      <w:r w:rsidR="00F6678E">
        <w:t xml:space="preserve"> </w:t>
      </w:r>
      <w:r w:rsidR="00E43A51" w:rsidRPr="001D1C95">
        <w:rPr>
          <w:rFonts w:cstheme="minorHAnsi"/>
          <w:bCs/>
        </w:rPr>
        <w:t xml:space="preserve">All interviews were conducted by a single researcher (KS) </w:t>
      </w:r>
      <w:r w:rsidR="00430B62">
        <w:rPr>
          <w:rFonts w:cstheme="minorHAnsi"/>
          <w:bCs/>
        </w:rPr>
        <w:t>previously unknown to</w:t>
      </w:r>
      <w:r w:rsidR="00E43A51" w:rsidRPr="001D1C95">
        <w:rPr>
          <w:rFonts w:cstheme="minorHAnsi"/>
          <w:bCs/>
        </w:rPr>
        <w:t xml:space="preserve"> study participants.</w:t>
      </w:r>
    </w:p>
    <w:p w14:paraId="75E04DD5" w14:textId="06F44186" w:rsidR="00B80B3B" w:rsidRDefault="00B80B3B" w:rsidP="003A4DEE">
      <w:pPr>
        <w:spacing w:after="0" w:line="360" w:lineRule="auto"/>
        <w:jc w:val="both"/>
      </w:pPr>
    </w:p>
    <w:p w14:paraId="7DDA468D" w14:textId="3916EE06" w:rsidR="0043578B" w:rsidRPr="00D4693F" w:rsidRDefault="00D53780" w:rsidP="003A4DEE">
      <w:pPr>
        <w:spacing w:after="0" w:line="360" w:lineRule="auto"/>
        <w:jc w:val="both"/>
        <w:rPr>
          <w:rFonts w:cstheme="minorHAnsi"/>
          <w:b/>
        </w:rPr>
      </w:pPr>
      <w:r>
        <w:rPr>
          <w:rFonts w:cstheme="minorHAnsi"/>
          <w:b/>
        </w:rPr>
        <w:t>Data</w:t>
      </w:r>
      <w:r w:rsidR="0043578B" w:rsidRPr="00D4693F">
        <w:rPr>
          <w:rFonts w:cstheme="minorHAnsi"/>
          <w:b/>
        </w:rPr>
        <w:t xml:space="preserve"> analysis</w:t>
      </w:r>
    </w:p>
    <w:p w14:paraId="707BAC41" w14:textId="016FB7FF" w:rsidR="00D91BB2" w:rsidRPr="00977FBC" w:rsidRDefault="008636DC" w:rsidP="003A4DEE">
      <w:pPr>
        <w:spacing w:after="0" w:line="360" w:lineRule="auto"/>
        <w:jc w:val="both"/>
        <w:rPr>
          <w:rFonts w:cstheme="minorHAnsi"/>
        </w:rPr>
      </w:pPr>
      <w:r>
        <w:rPr>
          <w:rFonts w:cstheme="minorHAnsi"/>
        </w:rPr>
        <w:t>C</w:t>
      </w:r>
      <w:r w:rsidR="00592395" w:rsidRPr="0016263C">
        <w:rPr>
          <w:rFonts w:cstheme="minorHAnsi"/>
        </w:rPr>
        <w:t>haracteristics of patients living in urban and rural areas were described</w:t>
      </w:r>
      <w:r w:rsidR="005D1C92">
        <w:rPr>
          <w:rFonts w:cstheme="minorHAnsi"/>
        </w:rPr>
        <w:t xml:space="preserve"> </w:t>
      </w:r>
      <w:r w:rsidR="00592395" w:rsidRPr="0016263C">
        <w:rPr>
          <w:rFonts w:cstheme="minorHAnsi"/>
        </w:rPr>
        <w:t xml:space="preserve">in terms of </w:t>
      </w:r>
      <w:r w:rsidR="00B13CB3">
        <w:rPr>
          <w:rFonts w:cstheme="minorHAnsi"/>
        </w:rPr>
        <w:t xml:space="preserve">mean </w:t>
      </w:r>
      <w:r w:rsidR="00592395" w:rsidRPr="0016263C">
        <w:rPr>
          <w:rFonts w:cstheme="minorHAnsi"/>
        </w:rPr>
        <w:t xml:space="preserve">(and </w:t>
      </w:r>
      <w:r w:rsidR="006E24CD">
        <w:rPr>
          <w:rFonts w:cstheme="minorHAnsi"/>
        </w:rPr>
        <w:t>standard deviation</w:t>
      </w:r>
      <w:r w:rsidR="007E4775">
        <w:rPr>
          <w:rFonts w:cstheme="minorHAnsi"/>
        </w:rPr>
        <w:t>) for continuous</w:t>
      </w:r>
      <w:r w:rsidR="00592395" w:rsidRPr="0016263C">
        <w:rPr>
          <w:rFonts w:cstheme="minorHAnsi"/>
        </w:rPr>
        <w:t xml:space="preserve"> variables and proportions </w:t>
      </w:r>
      <w:r w:rsidR="006E24CD" w:rsidRPr="0016263C">
        <w:rPr>
          <w:rFonts w:cstheme="minorHAnsi"/>
        </w:rPr>
        <w:t>for categorical</w:t>
      </w:r>
      <w:r w:rsidR="00592395" w:rsidRPr="0016263C">
        <w:rPr>
          <w:rFonts w:cstheme="minorHAnsi"/>
        </w:rPr>
        <w:t xml:space="preserve"> variables</w:t>
      </w:r>
      <w:r w:rsidR="006E5460">
        <w:rPr>
          <w:rFonts w:cstheme="minorHAnsi"/>
        </w:rPr>
        <w:t>, with differences assessed via Mann-Whitney and chi squared test</w:t>
      </w:r>
      <w:r w:rsidR="003408F8">
        <w:rPr>
          <w:rFonts w:cstheme="minorHAnsi"/>
        </w:rPr>
        <w:t xml:space="preserve">s. </w:t>
      </w:r>
      <w:r w:rsidR="006E24CD">
        <w:rPr>
          <w:rFonts w:cstheme="minorHAnsi"/>
        </w:rPr>
        <w:t xml:space="preserve"> </w:t>
      </w:r>
      <w:r w:rsidR="003408F8">
        <w:rPr>
          <w:rFonts w:cstheme="minorHAnsi"/>
        </w:rPr>
        <w:t>R</w:t>
      </w:r>
      <w:r w:rsidR="00592395" w:rsidRPr="007E4775">
        <w:rPr>
          <w:rFonts w:cstheme="minorHAnsi"/>
        </w:rPr>
        <w:t>elationship</w:t>
      </w:r>
      <w:r w:rsidR="0016263C" w:rsidRPr="007E4775">
        <w:rPr>
          <w:rFonts w:cstheme="minorHAnsi"/>
        </w:rPr>
        <w:t>s</w:t>
      </w:r>
      <w:r w:rsidR="00592395" w:rsidRPr="007E4775">
        <w:rPr>
          <w:rFonts w:cstheme="minorHAnsi"/>
        </w:rPr>
        <w:t xml:space="preserve"> between</w:t>
      </w:r>
      <w:r w:rsidR="0016263C" w:rsidRPr="007E4775">
        <w:rPr>
          <w:rFonts w:cstheme="minorHAnsi"/>
        </w:rPr>
        <w:t xml:space="preserve"> living in a rural </w:t>
      </w:r>
      <w:r w:rsidR="0016263C" w:rsidRPr="007E4775">
        <w:rPr>
          <w:rFonts w:cstheme="minorHAnsi"/>
        </w:rPr>
        <w:lastRenderedPageBreak/>
        <w:t xml:space="preserve">area and </w:t>
      </w:r>
      <w:r w:rsidR="00B13CB3">
        <w:rPr>
          <w:rFonts w:cstheme="minorHAnsi"/>
        </w:rPr>
        <w:t>work outcome (absenteeism, presenteeism and overall work impairment)</w:t>
      </w:r>
      <w:r w:rsidR="00592395" w:rsidRPr="007E4775">
        <w:rPr>
          <w:rFonts w:cstheme="minorHAnsi"/>
        </w:rPr>
        <w:t xml:space="preserve"> </w:t>
      </w:r>
      <w:r w:rsidR="0016263C" w:rsidRPr="007E4775">
        <w:rPr>
          <w:rFonts w:cstheme="minorHAnsi"/>
        </w:rPr>
        <w:t>were further</w:t>
      </w:r>
      <w:r w:rsidR="007E4775" w:rsidRPr="007E4775">
        <w:rPr>
          <w:rFonts w:cstheme="minorHAnsi"/>
        </w:rPr>
        <w:t xml:space="preserve"> quantified using </w:t>
      </w:r>
      <w:r w:rsidR="0016263C" w:rsidRPr="007E4775">
        <w:rPr>
          <w:rFonts w:cstheme="minorHAnsi"/>
        </w:rPr>
        <w:t xml:space="preserve">linear </w:t>
      </w:r>
      <w:r w:rsidR="007E4775" w:rsidRPr="007E4775">
        <w:rPr>
          <w:rFonts w:cstheme="minorHAnsi"/>
        </w:rPr>
        <w:t>regression models</w:t>
      </w:r>
      <w:r w:rsidR="00B13CB3">
        <w:rPr>
          <w:rFonts w:cstheme="minorHAnsi"/>
        </w:rPr>
        <w:t xml:space="preserve">, </w:t>
      </w:r>
      <w:r w:rsidR="0016263C" w:rsidRPr="007E4775">
        <w:rPr>
          <w:rFonts w:cstheme="minorHAnsi"/>
        </w:rPr>
        <w:t xml:space="preserve">adjusted for age, gender </w:t>
      </w:r>
      <w:r w:rsidR="00017744">
        <w:rPr>
          <w:rFonts w:cstheme="minorHAnsi"/>
        </w:rPr>
        <w:t>local-area</w:t>
      </w:r>
      <w:r w:rsidR="0016263C" w:rsidRPr="007E4775">
        <w:rPr>
          <w:rFonts w:cstheme="minorHAnsi"/>
        </w:rPr>
        <w:t xml:space="preserve"> deprivation</w:t>
      </w:r>
      <w:r w:rsidR="00B462FF">
        <w:rPr>
          <w:rFonts w:cstheme="minorHAnsi"/>
        </w:rPr>
        <w:t xml:space="preserve"> </w:t>
      </w:r>
      <w:r w:rsidR="000255D5" w:rsidRPr="000255D5">
        <w:t>and baseline scores (for patient reported measures).</w:t>
      </w:r>
      <w:r w:rsidR="000255D5">
        <w:rPr>
          <w:b/>
        </w:rPr>
        <w:t xml:space="preserve"> </w:t>
      </w:r>
      <w:r w:rsidR="000255D5">
        <w:rPr>
          <w:rFonts w:cstheme="minorHAnsi"/>
        </w:rPr>
        <w:t xml:space="preserve">Sequential adjustments were then made for </w:t>
      </w:r>
      <w:r w:rsidR="00B462FF">
        <w:rPr>
          <w:rFonts w:cstheme="minorHAnsi"/>
        </w:rPr>
        <w:t xml:space="preserve">additional </w:t>
      </w:r>
      <w:r w:rsidR="001F182D">
        <w:t>factors previously found associated with presenteeism</w:t>
      </w:r>
      <w:r w:rsidR="00CE093C">
        <w:t xml:space="preserve"> (disease activity (BASDAI), fatigue, job type and physical function (BASFI))</w:t>
      </w:r>
      <w:r w:rsidR="001F182D">
        <w:t xml:space="preserve"> [</w:t>
      </w:r>
      <w:r w:rsidR="00385921">
        <w:t>34</w:t>
      </w:r>
      <w:r w:rsidR="001F182D">
        <w:t xml:space="preserve">]. </w:t>
      </w:r>
      <w:r w:rsidR="005D1C92" w:rsidRPr="007E4775">
        <w:rPr>
          <w:rFonts w:cstheme="minorHAnsi"/>
        </w:rPr>
        <w:t xml:space="preserve">Results </w:t>
      </w:r>
      <w:r w:rsidR="005D1C92" w:rsidRPr="00977FBC">
        <w:rPr>
          <w:rFonts w:cstheme="minorHAnsi"/>
        </w:rPr>
        <w:t>are given as β coefficients and 95% confidence intervals (CI).</w:t>
      </w:r>
      <w:r w:rsidR="003408F8">
        <w:rPr>
          <w:rFonts w:cstheme="minorHAnsi"/>
        </w:rPr>
        <w:t xml:space="preserve"> A</w:t>
      </w:r>
      <w:r w:rsidR="005D1C92" w:rsidRPr="00977FBC">
        <w:rPr>
          <w:rFonts w:cstheme="minorHAnsi"/>
        </w:rPr>
        <w:t xml:space="preserve">mongst those commencing a biologic agent, the potential relationship between </w:t>
      </w:r>
      <w:r w:rsidR="00DD2F8A">
        <w:rPr>
          <w:rFonts w:cstheme="minorHAnsi"/>
        </w:rPr>
        <w:t xml:space="preserve">rural </w:t>
      </w:r>
      <w:r w:rsidR="005D1C92" w:rsidRPr="00977FBC">
        <w:rPr>
          <w:rFonts w:cstheme="minorHAnsi"/>
        </w:rPr>
        <w:t xml:space="preserve">living </w:t>
      </w:r>
      <w:r w:rsidR="00781F6A">
        <w:rPr>
          <w:rFonts w:cstheme="minorHAnsi"/>
        </w:rPr>
        <w:t>and outcome at 12-</w:t>
      </w:r>
      <w:r w:rsidR="005D1C92" w:rsidRPr="00977FBC">
        <w:rPr>
          <w:rFonts w:cstheme="minorHAnsi"/>
        </w:rPr>
        <w:t xml:space="preserve">month follow-up was assessed.  </w:t>
      </w:r>
      <w:r w:rsidR="00BC57F2" w:rsidRPr="00977FBC">
        <w:rPr>
          <w:rFonts w:cstheme="minorHAnsi"/>
        </w:rPr>
        <w:t>Outcome</w:t>
      </w:r>
      <w:r w:rsidR="00D91BB2" w:rsidRPr="00977FBC">
        <w:rPr>
          <w:rFonts w:cstheme="minorHAnsi"/>
        </w:rPr>
        <w:t xml:space="preserve"> was evaluated in two main ways:</w:t>
      </w:r>
    </w:p>
    <w:p w14:paraId="538C395D" w14:textId="1D1E855F" w:rsidR="00D91BB2" w:rsidRPr="00977FBC" w:rsidRDefault="00D91BB2" w:rsidP="003A4DEE">
      <w:pPr>
        <w:pStyle w:val="ListParagraph"/>
        <w:numPr>
          <w:ilvl w:val="0"/>
          <w:numId w:val="4"/>
        </w:numPr>
        <w:spacing w:after="0" w:line="360" w:lineRule="auto"/>
        <w:jc w:val="both"/>
        <w:rPr>
          <w:rFonts w:cstheme="minorHAnsi"/>
        </w:rPr>
      </w:pPr>
      <w:r w:rsidRPr="00977FBC">
        <w:rPr>
          <w:rFonts w:cstheme="minorHAnsi"/>
        </w:rPr>
        <w:t>Meeting</w:t>
      </w:r>
      <w:r w:rsidR="00C15112" w:rsidRPr="00977FBC">
        <w:rPr>
          <w:rFonts w:cstheme="minorHAnsi"/>
        </w:rPr>
        <w:t xml:space="preserve"> </w:t>
      </w:r>
      <w:r w:rsidRPr="00977FBC">
        <w:rPr>
          <w:rFonts w:cstheme="minorHAnsi"/>
        </w:rPr>
        <w:t xml:space="preserve">response, as defined by the </w:t>
      </w:r>
      <w:r w:rsidR="00BC57F2" w:rsidRPr="00977FBC">
        <w:rPr>
          <w:rFonts w:cstheme="minorHAnsi"/>
        </w:rPr>
        <w:t>Assessment of S</w:t>
      </w:r>
      <w:r w:rsidRPr="00977FBC">
        <w:rPr>
          <w:rFonts w:cstheme="minorHAnsi"/>
        </w:rPr>
        <w:t>pondylo</w:t>
      </w:r>
      <w:r w:rsidR="00BC57F2" w:rsidRPr="00977FBC">
        <w:rPr>
          <w:rFonts w:cstheme="minorHAnsi"/>
        </w:rPr>
        <w:t>ArthritiS</w:t>
      </w:r>
      <w:r w:rsidRPr="00977FBC">
        <w:rPr>
          <w:rFonts w:cstheme="minorHAnsi"/>
        </w:rPr>
        <w:t xml:space="preserve"> improvement criteria (ASAS20 and ASAS40) [</w:t>
      </w:r>
      <w:r w:rsidR="00385921">
        <w:rPr>
          <w:rFonts w:cstheme="minorHAnsi"/>
        </w:rPr>
        <w:t>35,</w:t>
      </w:r>
      <w:r w:rsidR="008854E8">
        <w:rPr>
          <w:rFonts w:cstheme="minorHAnsi"/>
        </w:rPr>
        <w:t xml:space="preserve"> </w:t>
      </w:r>
      <w:r w:rsidR="00385921">
        <w:rPr>
          <w:rFonts w:cstheme="minorHAnsi"/>
        </w:rPr>
        <w:t>36</w:t>
      </w:r>
      <w:r w:rsidRPr="00977FBC">
        <w:rPr>
          <w:rFonts w:cstheme="minorHAnsi"/>
        </w:rPr>
        <w:t xml:space="preserve">].  </w:t>
      </w:r>
    </w:p>
    <w:p w14:paraId="45819973" w14:textId="0C540EB2" w:rsidR="00C15112" w:rsidRPr="00977FBC" w:rsidRDefault="00D91BB2" w:rsidP="003A4DEE">
      <w:pPr>
        <w:pStyle w:val="ListParagraph"/>
        <w:numPr>
          <w:ilvl w:val="0"/>
          <w:numId w:val="4"/>
        </w:numPr>
        <w:spacing w:after="0" w:line="360" w:lineRule="auto"/>
        <w:jc w:val="both"/>
        <w:rPr>
          <w:rFonts w:cstheme="minorHAnsi"/>
        </w:rPr>
      </w:pPr>
      <w:r w:rsidRPr="00977FBC">
        <w:rPr>
          <w:rFonts w:cstheme="minorHAnsi"/>
        </w:rPr>
        <w:t xml:space="preserve">Patient reported measures </w:t>
      </w:r>
      <w:r w:rsidR="00BC57F2" w:rsidRPr="00977FBC">
        <w:rPr>
          <w:rFonts w:cstheme="minorHAnsi"/>
        </w:rPr>
        <w:t xml:space="preserve">(adjusted </w:t>
      </w:r>
      <w:r w:rsidR="002E0E7C">
        <w:rPr>
          <w:rFonts w:cstheme="minorHAnsi"/>
        </w:rPr>
        <w:t>for baseline score)</w:t>
      </w:r>
      <w:r w:rsidR="00BC57F2" w:rsidRPr="00977FBC">
        <w:rPr>
          <w:rFonts w:cstheme="minorHAnsi"/>
        </w:rPr>
        <w:t>: disease activity, physical function, quality of life, fatigue, sleep disturbance, anxiety, depression, activity impairment and work outcomes (presenteeism, absenteeism and overall work impairment).</w:t>
      </w:r>
    </w:p>
    <w:p w14:paraId="17E8A380" w14:textId="77777777" w:rsidR="00592395" w:rsidRDefault="00592395" w:rsidP="003A4DEE">
      <w:pPr>
        <w:spacing w:after="0" w:line="360" w:lineRule="auto"/>
        <w:jc w:val="both"/>
        <w:rPr>
          <w:rFonts w:cstheme="minorHAnsi"/>
        </w:rPr>
      </w:pPr>
    </w:p>
    <w:p w14:paraId="52D52D5B" w14:textId="79099568" w:rsidR="00592395" w:rsidRDefault="00592395" w:rsidP="003A4DEE">
      <w:pPr>
        <w:spacing w:after="0" w:line="360" w:lineRule="auto"/>
        <w:jc w:val="both"/>
        <w:rPr>
          <w:rFonts w:cstheme="minorHAnsi"/>
        </w:rPr>
      </w:pPr>
      <w:r w:rsidRPr="00592395">
        <w:rPr>
          <w:rFonts w:cstheme="minorHAnsi"/>
        </w:rPr>
        <w:t>Analys</w:t>
      </w:r>
      <w:r w:rsidR="00FD4D5E">
        <w:rPr>
          <w:rFonts w:cstheme="minorHAnsi"/>
        </w:rPr>
        <w:t>e</w:t>
      </w:r>
      <w:r w:rsidRPr="00592395">
        <w:rPr>
          <w:rFonts w:cstheme="minorHAnsi"/>
        </w:rPr>
        <w:t xml:space="preserve">s </w:t>
      </w:r>
      <w:r w:rsidR="00FD4D5E" w:rsidRPr="00592395">
        <w:rPr>
          <w:rFonts w:cstheme="minorHAnsi"/>
        </w:rPr>
        <w:t>w</w:t>
      </w:r>
      <w:r w:rsidR="00FD4D5E">
        <w:rPr>
          <w:rFonts w:cstheme="minorHAnsi"/>
        </w:rPr>
        <w:t>ere</w:t>
      </w:r>
      <w:r w:rsidR="00FD4D5E" w:rsidRPr="00592395">
        <w:rPr>
          <w:rFonts w:cstheme="minorHAnsi"/>
        </w:rPr>
        <w:t xml:space="preserve"> </w:t>
      </w:r>
      <w:r w:rsidRPr="00592395">
        <w:rPr>
          <w:rFonts w:cstheme="minorHAnsi"/>
        </w:rPr>
        <w:t>conducted using STATA</w:t>
      </w:r>
      <w:r w:rsidR="00B462FF">
        <w:rPr>
          <w:rFonts w:cstheme="minorHAnsi"/>
        </w:rPr>
        <w:t xml:space="preserve"> (StataCorp LP version 15.0) </w:t>
      </w:r>
      <w:r w:rsidR="00D45C43">
        <w:rPr>
          <w:rFonts w:cstheme="minorHAnsi"/>
        </w:rPr>
        <w:t>using</w:t>
      </w:r>
      <w:r w:rsidRPr="00592395">
        <w:rPr>
          <w:rFonts w:cstheme="minorHAnsi"/>
        </w:rPr>
        <w:t xml:space="preserve"> the August 2017 version of the</w:t>
      </w:r>
      <w:r w:rsidR="00EA5226">
        <w:rPr>
          <w:rFonts w:cstheme="minorHAnsi"/>
        </w:rPr>
        <w:t xml:space="preserve"> BSRBR-</w:t>
      </w:r>
      <w:r>
        <w:rPr>
          <w:rFonts w:cstheme="minorHAnsi"/>
        </w:rPr>
        <w:t>AS</w:t>
      </w:r>
      <w:r w:rsidRPr="00592395">
        <w:rPr>
          <w:rFonts w:cstheme="minorHAnsi"/>
        </w:rPr>
        <w:t xml:space="preserve"> dataset.</w:t>
      </w:r>
    </w:p>
    <w:p w14:paraId="04325B1D" w14:textId="1ADE1758" w:rsidR="00235DD6" w:rsidRDefault="00235DD6" w:rsidP="003A4DEE">
      <w:pPr>
        <w:spacing w:after="0" w:line="360" w:lineRule="auto"/>
        <w:jc w:val="both"/>
        <w:rPr>
          <w:rFonts w:cstheme="minorHAnsi"/>
        </w:rPr>
      </w:pPr>
    </w:p>
    <w:p w14:paraId="49AB4421" w14:textId="5003699D" w:rsidR="00235DD6" w:rsidRDefault="00362156" w:rsidP="003A4DEE">
      <w:pPr>
        <w:spacing w:after="0" w:line="360" w:lineRule="auto"/>
        <w:jc w:val="both"/>
      </w:pPr>
      <w:r>
        <w:t>I</w:t>
      </w:r>
      <w:r w:rsidR="007D19C8" w:rsidRPr="00C76114">
        <w:t xml:space="preserve">nterviews </w:t>
      </w:r>
      <w:r w:rsidR="007D19C8">
        <w:t>were</w:t>
      </w:r>
      <w:r w:rsidR="007D19C8" w:rsidRPr="00C76114">
        <w:t xml:space="preserve"> </w:t>
      </w:r>
      <w:r w:rsidR="00FE7477" w:rsidRPr="00AC6529">
        <w:t>audio recorded,</w:t>
      </w:r>
      <w:r w:rsidR="00FE7477" w:rsidRPr="00C76114">
        <w:t xml:space="preserve"> </w:t>
      </w:r>
      <w:r w:rsidR="007D19C8" w:rsidRPr="00C76114">
        <w:t xml:space="preserve">transcribed </w:t>
      </w:r>
      <w:r w:rsidR="0079068B">
        <w:t xml:space="preserve">verbatim </w:t>
      </w:r>
      <w:r w:rsidR="007D19C8" w:rsidRPr="00C76114">
        <w:t xml:space="preserve">and entered into NVivo 12 software to facilitate data organisation and retrieval. </w:t>
      </w:r>
      <w:r w:rsidR="00607624" w:rsidRPr="00090450">
        <w:t>Interview</w:t>
      </w:r>
      <w:r w:rsidR="0079068B">
        <w:t xml:space="preserve">s </w:t>
      </w:r>
      <w:r w:rsidR="00607624" w:rsidRPr="00090450">
        <w:t xml:space="preserve">were analysed </w:t>
      </w:r>
      <w:r w:rsidR="0079068B">
        <w:t xml:space="preserve">thematically by KS, supported by RH, </w:t>
      </w:r>
      <w:r w:rsidR="00607624" w:rsidRPr="00090450">
        <w:t xml:space="preserve">using </w:t>
      </w:r>
      <w:r w:rsidR="0079068B">
        <w:rPr>
          <w:rFonts w:cstheme="minorHAnsi"/>
        </w:rPr>
        <w:t>a combination of anticipated themes (informed by the topic guide) and inductively derived coding</w:t>
      </w:r>
      <w:r w:rsidR="00607624" w:rsidRPr="00090450">
        <w:t xml:space="preserve"> </w:t>
      </w:r>
      <w:r w:rsidR="0079068B">
        <w:t>[</w:t>
      </w:r>
      <w:r w:rsidR="00D5758F">
        <w:t>37</w:t>
      </w:r>
      <w:r w:rsidR="0079068B">
        <w:t>]</w:t>
      </w:r>
      <w:r w:rsidR="00607624" w:rsidRPr="00090450">
        <w:t xml:space="preserve">. </w:t>
      </w:r>
      <w:r w:rsidR="0079068B" w:rsidRPr="00BB4890">
        <w:rPr>
          <w:bCs/>
        </w:rPr>
        <w:t>The analytical process involved; (1) familiarisation with data and initial coding</w:t>
      </w:r>
      <w:r w:rsidR="0079068B" w:rsidRPr="00BB4890">
        <w:t>; 2) organisation of codes according to similarity of meaning; 3) development and review of (sub-)themes; 4) definition of (sub-)themes and their interactions.</w:t>
      </w:r>
      <w:r w:rsidR="0079068B" w:rsidRPr="0044008E">
        <w:rPr>
          <w:b/>
          <w:bCs/>
        </w:rPr>
        <w:t xml:space="preserve"> </w:t>
      </w:r>
      <w:r w:rsidR="00607624" w:rsidRPr="00090450">
        <w:rPr>
          <w:rFonts w:cstheme="minorHAnsi"/>
        </w:rPr>
        <w:t xml:space="preserve">Emerging </w:t>
      </w:r>
      <w:r w:rsidR="0079068B">
        <w:rPr>
          <w:rFonts w:cstheme="minorHAnsi"/>
        </w:rPr>
        <w:t xml:space="preserve">analysis was </w:t>
      </w:r>
      <w:r w:rsidR="00607624" w:rsidRPr="00090450">
        <w:rPr>
          <w:rFonts w:cstheme="minorHAnsi"/>
        </w:rPr>
        <w:t>discussed and developed with</w:t>
      </w:r>
      <w:r w:rsidR="0079068B">
        <w:rPr>
          <w:rFonts w:cstheme="minorHAnsi"/>
        </w:rPr>
        <w:t xml:space="preserve"> all authors</w:t>
      </w:r>
      <w:r w:rsidR="00607624" w:rsidRPr="00090450">
        <w:rPr>
          <w:rFonts w:cstheme="minorHAnsi"/>
        </w:rPr>
        <w:t xml:space="preserve">. </w:t>
      </w:r>
      <w:r w:rsidR="00FB66AC">
        <w:rPr>
          <w:rFonts w:cstheme="minorHAnsi"/>
        </w:rPr>
        <w:t>D</w:t>
      </w:r>
      <w:r w:rsidR="00FB66AC" w:rsidRPr="00090450">
        <w:rPr>
          <w:rFonts w:cstheme="minorHAnsi"/>
        </w:rPr>
        <w:t xml:space="preserve">ata saturation </w:t>
      </w:r>
      <w:r w:rsidR="00FB66AC">
        <w:rPr>
          <w:rFonts w:cstheme="minorHAnsi"/>
        </w:rPr>
        <w:t>was deemed to have</w:t>
      </w:r>
      <w:r w:rsidR="00FB66AC" w:rsidRPr="00090450">
        <w:rPr>
          <w:rFonts w:cstheme="minorHAnsi"/>
        </w:rPr>
        <w:t xml:space="preserve"> been achieved through thematic and code-saturation </w:t>
      </w:r>
      <w:r w:rsidR="00FB66AC">
        <w:rPr>
          <w:rFonts w:cstheme="minorHAnsi"/>
        </w:rPr>
        <w:t>[38]</w:t>
      </w:r>
      <w:r w:rsidR="008854E8">
        <w:rPr>
          <w:rFonts w:cstheme="minorHAnsi"/>
        </w:rPr>
        <w:t>.</w:t>
      </w:r>
    </w:p>
    <w:p w14:paraId="07ECC6EF" w14:textId="0E153819" w:rsidR="00DF4123" w:rsidRDefault="00DF4123" w:rsidP="00090450">
      <w:pPr>
        <w:spacing w:after="0" w:line="240" w:lineRule="auto"/>
      </w:pPr>
    </w:p>
    <w:p w14:paraId="53FA9FEC" w14:textId="1637C80D" w:rsidR="0030463C" w:rsidRDefault="00BF5F54" w:rsidP="003A4DEE">
      <w:pPr>
        <w:spacing w:after="0" w:line="360" w:lineRule="auto"/>
        <w:jc w:val="both"/>
        <w:rPr>
          <w:b/>
          <w:bCs/>
        </w:rPr>
      </w:pPr>
      <w:r>
        <w:rPr>
          <w:b/>
          <w:bCs/>
        </w:rPr>
        <w:t>Integration of data</w:t>
      </w:r>
    </w:p>
    <w:p w14:paraId="75025CE2" w14:textId="370D9653" w:rsidR="00BF5F54" w:rsidRDefault="002D4664" w:rsidP="003A4DEE">
      <w:pPr>
        <w:spacing w:after="0" w:line="360" w:lineRule="auto"/>
        <w:jc w:val="both"/>
      </w:pPr>
      <w:r>
        <w:t>Quantitative and qualitative data w</w:t>
      </w:r>
      <w:r w:rsidR="00C17333">
        <w:t>ere</w:t>
      </w:r>
      <w:r>
        <w:t xml:space="preserve"> integrated at several stage</w:t>
      </w:r>
      <w:r w:rsidR="00452F20">
        <w:t>s; analysis of the BSRBR-AS data</w:t>
      </w:r>
      <w:r w:rsidR="006B0636">
        <w:t xml:space="preserve"> in phase 1 was used to </w:t>
      </w:r>
      <w:r w:rsidR="007709AB">
        <w:t xml:space="preserve">identify </w:t>
      </w:r>
      <w:r w:rsidR="001E7FAB">
        <w:t xml:space="preserve">interview participants, and </w:t>
      </w:r>
      <w:r w:rsidR="006B0636">
        <w:t xml:space="preserve">determine the focus </w:t>
      </w:r>
      <w:r w:rsidR="00717D92">
        <w:t>and content of interviews in phase 2</w:t>
      </w:r>
      <w:r w:rsidR="001E7FAB">
        <w:t>. In</w:t>
      </w:r>
      <w:r w:rsidR="0066441D">
        <w:t>tegration of findings from phase 1 and 2 provided a deeper understa</w:t>
      </w:r>
      <w:r w:rsidR="00DF73F2">
        <w:t xml:space="preserve">nding </w:t>
      </w:r>
      <w:r w:rsidR="0066441D">
        <w:t xml:space="preserve">of the impact of </w:t>
      </w:r>
      <w:r w:rsidR="00FD4D5E">
        <w:t xml:space="preserve">axSpA on </w:t>
      </w:r>
      <w:r w:rsidR="0066441D">
        <w:t xml:space="preserve">work </w:t>
      </w:r>
      <w:r w:rsidR="00DF73F2">
        <w:t>and</w:t>
      </w:r>
      <w:r w:rsidR="00B71B4B">
        <w:t xml:space="preserve"> role of contextual factors.</w:t>
      </w:r>
      <w:r w:rsidR="00DF73F2">
        <w:t xml:space="preserve"> </w:t>
      </w:r>
    </w:p>
    <w:p w14:paraId="104A2CE3" w14:textId="08A8A87B" w:rsidR="00B51479" w:rsidRDefault="00B51479" w:rsidP="003A4DEE">
      <w:pPr>
        <w:spacing w:after="0" w:line="360" w:lineRule="auto"/>
        <w:jc w:val="both"/>
      </w:pPr>
    </w:p>
    <w:p w14:paraId="4CB15341" w14:textId="77777777" w:rsidR="00BD49D1" w:rsidRDefault="00BD49D1" w:rsidP="003A4DEE">
      <w:pPr>
        <w:spacing w:after="0" w:line="360" w:lineRule="auto"/>
        <w:jc w:val="both"/>
        <w:rPr>
          <w:b/>
        </w:rPr>
      </w:pPr>
      <w:r>
        <w:rPr>
          <w:b/>
        </w:rPr>
        <w:t>Patient and Public Involvement</w:t>
      </w:r>
    </w:p>
    <w:p w14:paraId="1B1AC196" w14:textId="77777777" w:rsidR="008854E8" w:rsidRDefault="004C4C94" w:rsidP="003A4DEE">
      <w:pPr>
        <w:spacing w:after="0" w:line="360" w:lineRule="auto"/>
        <w:jc w:val="both"/>
        <w:rPr>
          <w:rFonts w:cstheme="minorHAnsi"/>
        </w:rPr>
      </w:pPr>
      <w:r>
        <w:rPr>
          <w:rFonts w:cstheme="minorHAnsi"/>
        </w:rPr>
        <w:t xml:space="preserve">Patient representatives on the BSRBR-AS strategy group identified work and the impact of geography on health outcomes as a key research priority. We developed this study to explore this. </w:t>
      </w:r>
      <w:r w:rsidR="00BD49D1">
        <w:rPr>
          <w:rFonts w:cstheme="minorHAnsi"/>
        </w:rPr>
        <w:t>T</w:t>
      </w:r>
      <w:r w:rsidR="00BD49D1" w:rsidRPr="00AD60D6">
        <w:rPr>
          <w:rFonts w:cstheme="minorHAnsi"/>
        </w:rPr>
        <w:t xml:space="preserve">he interview topic guide was developed </w:t>
      </w:r>
      <w:r w:rsidR="00BD49D1">
        <w:rPr>
          <w:rFonts w:cstheme="minorHAnsi"/>
        </w:rPr>
        <w:t>with</w:t>
      </w:r>
      <w:r>
        <w:rPr>
          <w:rFonts w:cstheme="minorHAnsi"/>
        </w:rPr>
        <w:t xml:space="preserve"> input from patient partners. At the end of the study, the BSRBR-AS</w:t>
      </w:r>
      <w:r w:rsidR="008636DC">
        <w:rPr>
          <w:rFonts w:cstheme="minorHAnsi"/>
        </w:rPr>
        <w:t xml:space="preserve"> strategy group commented on</w:t>
      </w:r>
      <w:r>
        <w:rPr>
          <w:rFonts w:cstheme="minorHAnsi"/>
        </w:rPr>
        <w:t xml:space="preserve"> findings and contributed to the dissemination plan.</w:t>
      </w:r>
    </w:p>
    <w:p w14:paraId="171C8D32" w14:textId="38B53764" w:rsidR="00B51479" w:rsidRPr="008854E8" w:rsidRDefault="00B51479" w:rsidP="003A4DEE">
      <w:pPr>
        <w:spacing w:after="0" w:line="360" w:lineRule="auto"/>
        <w:jc w:val="both"/>
        <w:rPr>
          <w:rFonts w:cstheme="minorHAnsi"/>
        </w:rPr>
      </w:pPr>
      <w:r>
        <w:rPr>
          <w:b/>
        </w:rPr>
        <w:lastRenderedPageBreak/>
        <w:t>Ethics</w:t>
      </w:r>
    </w:p>
    <w:p w14:paraId="67E19722" w14:textId="546FD009" w:rsidR="00B51479" w:rsidRPr="00B51479" w:rsidRDefault="00B51479" w:rsidP="003A4DEE">
      <w:pPr>
        <w:spacing w:after="0" w:line="360" w:lineRule="auto"/>
        <w:jc w:val="both"/>
        <w:rPr>
          <w:b/>
        </w:rPr>
      </w:pPr>
      <w:r w:rsidRPr="00977FBC">
        <w:rPr>
          <w:rFonts w:cstheme="minorHAnsi"/>
        </w:rPr>
        <w:t xml:space="preserve">The BSRBR-AS received ethical approval from the National Research Ethics Service (NRES) Committee North East – County </w:t>
      </w:r>
      <w:r>
        <w:rPr>
          <w:rFonts w:cstheme="minorHAnsi"/>
        </w:rPr>
        <w:t xml:space="preserve">Durham and Tees Valley (REF: </w:t>
      </w:r>
      <w:r w:rsidRPr="00977FBC">
        <w:rPr>
          <w:rFonts w:cstheme="minorHAnsi"/>
        </w:rPr>
        <w:t xml:space="preserve">11/NE/0374).  </w:t>
      </w:r>
      <w:r>
        <w:rPr>
          <w:rFonts w:cstheme="minorHAnsi"/>
        </w:rPr>
        <w:t>Qualitative interviews received ethical approval from NRES Committee West of Scotland REC 1 (REF: 19/WS/0013).</w:t>
      </w:r>
    </w:p>
    <w:p w14:paraId="5659AA7E" w14:textId="270FDB46" w:rsidR="00362156" w:rsidRPr="00362156" w:rsidRDefault="00362156" w:rsidP="003A4DEE">
      <w:pPr>
        <w:spacing w:after="0" w:line="360" w:lineRule="auto"/>
        <w:jc w:val="both"/>
      </w:pPr>
    </w:p>
    <w:p w14:paraId="28DD4F24" w14:textId="77777777" w:rsidR="00D4693F" w:rsidRPr="00D4693F" w:rsidRDefault="00D4693F" w:rsidP="003A4DEE">
      <w:pPr>
        <w:spacing w:after="0" w:line="360" w:lineRule="auto"/>
        <w:rPr>
          <w:b/>
        </w:rPr>
      </w:pPr>
      <w:r w:rsidRPr="00D4693F">
        <w:rPr>
          <w:b/>
        </w:rPr>
        <w:t>RESULTS</w:t>
      </w:r>
    </w:p>
    <w:p w14:paraId="7C6AD8C8" w14:textId="77777777" w:rsidR="00D4693F" w:rsidRDefault="00D4693F" w:rsidP="003A4DEE">
      <w:pPr>
        <w:spacing w:after="0" w:line="360" w:lineRule="auto"/>
        <w:rPr>
          <w:b/>
          <w:i/>
        </w:rPr>
      </w:pPr>
    </w:p>
    <w:p w14:paraId="11EE8CD9" w14:textId="77777777" w:rsidR="00752CDE" w:rsidRPr="00206D5E" w:rsidRDefault="00752CDE" w:rsidP="00752CDE">
      <w:pPr>
        <w:spacing w:after="0" w:line="360" w:lineRule="auto"/>
        <w:jc w:val="both"/>
        <w:rPr>
          <w:b/>
        </w:rPr>
      </w:pPr>
      <w:r w:rsidRPr="00206D5E">
        <w:rPr>
          <w:b/>
        </w:rPr>
        <w:t>BSRBR-AS Registry</w:t>
      </w:r>
    </w:p>
    <w:p w14:paraId="6B8EC300" w14:textId="28E6B7D2" w:rsidR="009D0BBD" w:rsidRPr="00D4693F" w:rsidRDefault="009D0BBD" w:rsidP="003A4DEE">
      <w:pPr>
        <w:spacing w:after="0" w:line="360" w:lineRule="auto"/>
        <w:rPr>
          <w:b/>
        </w:rPr>
      </w:pPr>
      <w:r w:rsidRPr="00D4693F">
        <w:rPr>
          <w:b/>
        </w:rPr>
        <w:t>Baseline char</w:t>
      </w:r>
      <w:r w:rsidR="00D4693F">
        <w:rPr>
          <w:b/>
        </w:rPr>
        <w:t>acteristics of study population</w:t>
      </w:r>
    </w:p>
    <w:p w14:paraId="4BDEDE98" w14:textId="5EE97F44" w:rsidR="000527CF" w:rsidRDefault="00EA5226" w:rsidP="00F23A1E">
      <w:pPr>
        <w:spacing w:after="0" w:line="360" w:lineRule="auto"/>
        <w:jc w:val="both"/>
      </w:pPr>
      <w:r>
        <w:t>2,390 BSRBR-</w:t>
      </w:r>
      <w:r w:rsidR="00781F6A">
        <w:t xml:space="preserve">AS participants </w:t>
      </w:r>
      <w:r w:rsidR="009D0BBD">
        <w:t xml:space="preserve">were eligible for the current study, </w:t>
      </w:r>
      <w:r w:rsidR="009E5F3F">
        <w:t>of which</w:t>
      </w:r>
      <w:r w:rsidR="00D45C43">
        <w:t xml:space="preserve"> </w:t>
      </w:r>
      <w:r w:rsidR="009D0BBD">
        <w:t xml:space="preserve">24% (N. 579) </w:t>
      </w:r>
      <w:r w:rsidR="00D87076">
        <w:t>lived</w:t>
      </w:r>
      <w:r w:rsidR="001B7441">
        <w:t xml:space="preserve"> in</w:t>
      </w:r>
      <w:r w:rsidR="002E3DC6">
        <w:t xml:space="preserve"> </w:t>
      </w:r>
      <w:r w:rsidR="00D87076">
        <w:t xml:space="preserve">a </w:t>
      </w:r>
      <w:r w:rsidR="002E3DC6">
        <w:t xml:space="preserve">rural area. </w:t>
      </w:r>
      <w:r w:rsidR="00FD4D5E">
        <w:t>Rural dwellers</w:t>
      </w:r>
      <w:r w:rsidR="003C037B">
        <w:t xml:space="preserve"> were older (</w:t>
      </w:r>
      <w:r w:rsidR="001B7441">
        <w:t>5</w:t>
      </w:r>
      <w:r w:rsidR="003E22A8">
        <w:t>0.5</w:t>
      </w:r>
      <w:r w:rsidR="001F182D">
        <w:t xml:space="preserve"> </w:t>
      </w:r>
      <w:r w:rsidR="001B7441">
        <w:t>vs. 47</w:t>
      </w:r>
      <w:r w:rsidR="001F182D">
        <w:t xml:space="preserve"> years</w:t>
      </w:r>
      <w:r w:rsidR="001B7441">
        <w:t xml:space="preserve">), </w:t>
      </w:r>
      <w:r w:rsidR="00786B28">
        <w:t>less likely to be</w:t>
      </w:r>
      <w:r w:rsidR="001B7441">
        <w:t xml:space="preserve"> current smokers (15% vs. 21%) and </w:t>
      </w:r>
      <w:r w:rsidR="00786B28">
        <w:t>more likely to be</w:t>
      </w:r>
      <w:r w:rsidR="001B7441">
        <w:t xml:space="preserve"> in a predomina</w:t>
      </w:r>
      <w:r w:rsidR="00786B28">
        <w:t>n</w:t>
      </w:r>
      <w:r w:rsidR="001B7441">
        <w:t xml:space="preserve">tly </w:t>
      </w:r>
      <w:r w:rsidR="00D248FD">
        <w:t>physical/labour intense</w:t>
      </w:r>
      <w:r w:rsidR="001B7441">
        <w:t xml:space="preserve"> </w:t>
      </w:r>
      <w:r w:rsidR="00786B28">
        <w:t xml:space="preserve">occupation </w:t>
      </w:r>
      <w:r w:rsidR="001B7441">
        <w:t>(54% vs. 44%)</w:t>
      </w:r>
      <w:r w:rsidR="009E5F3F">
        <w:t xml:space="preserve"> (Table 1)</w:t>
      </w:r>
      <w:r w:rsidR="001B7441">
        <w:t xml:space="preserve">.  </w:t>
      </w:r>
    </w:p>
    <w:p w14:paraId="7478C1BB" w14:textId="77777777" w:rsidR="00F23A1E" w:rsidRDefault="00F23A1E" w:rsidP="00F23A1E">
      <w:pPr>
        <w:spacing w:after="0" w:line="360" w:lineRule="auto"/>
        <w:jc w:val="both"/>
        <w:rPr>
          <w:b/>
        </w:rPr>
      </w:pPr>
    </w:p>
    <w:tbl>
      <w:tblPr>
        <w:tblStyle w:val="TableGrid"/>
        <w:tblW w:w="10348" w:type="dxa"/>
        <w:tblInd w:w="-147" w:type="dxa"/>
        <w:tblLook w:val="04A0" w:firstRow="1" w:lastRow="0" w:firstColumn="1" w:lastColumn="0" w:noHBand="0" w:noVBand="1"/>
      </w:tblPr>
      <w:tblGrid>
        <w:gridCol w:w="1135"/>
        <w:gridCol w:w="850"/>
        <w:gridCol w:w="2835"/>
        <w:gridCol w:w="709"/>
        <w:gridCol w:w="1134"/>
        <w:gridCol w:w="567"/>
        <w:gridCol w:w="1134"/>
        <w:gridCol w:w="1984"/>
      </w:tblGrid>
      <w:tr w:rsidR="000849F1" w:rsidRPr="00C9494B" w14:paraId="37185779" w14:textId="77777777" w:rsidTr="00FC5E5F">
        <w:trPr>
          <w:trHeight w:val="300"/>
        </w:trPr>
        <w:tc>
          <w:tcPr>
            <w:tcW w:w="1135" w:type="dxa"/>
            <w:noWrap/>
            <w:vAlign w:val="center"/>
          </w:tcPr>
          <w:p w14:paraId="43ECAF95" w14:textId="77777777" w:rsidR="000849F1" w:rsidRPr="000849F1" w:rsidRDefault="000849F1" w:rsidP="000527CF">
            <w:pPr>
              <w:spacing w:line="360" w:lineRule="auto"/>
              <w:rPr>
                <w:b/>
                <w:sz w:val="20"/>
                <w:szCs w:val="20"/>
              </w:rPr>
            </w:pPr>
            <w:r w:rsidRPr="000849F1">
              <w:rPr>
                <w:b/>
                <w:sz w:val="20"/>
                <w:szCs w:val="20"/>
              </w:rPr>
              <w:t>Table 1</w:t>
            </w:r>
          </w:p>
        </w:tc>
        <w:tc>
          <w:tcPr>
            <w:tcW w:w="9213" w:type="dxa"/>
            <w:gridSpan w:val="7"/>
            <w:vAlign w:val="center"/>
          </w:tcPr>
          <w:p w14:paraId="0B4026AC" w14:textId="6C550340" w:rsidR="000849F1" w:rsidRPr="000849F1" w:rsidRDefault="000849F1" w:rsidP="000849F1">
            <w:pPr>
              <w:spacing w:line="360" w:lineRule="auto"/>
              <w:rPr>
                <w:b/>
                <w:bCs/>
                <w:sz w:val="20"/>
                <w:szCs w:val="20"/>
              </w:rPr>
            </w:pPr>
            <w:r w:rsidRPr="000849F1">
              <w:rPr>
                <w:b/>
                <w:bCs/>
                <w:sz w:val="20"/>
                <w:szCs w:val="20"/>
              </w:rPr>
              <w:t>Baseline characteristics of urban and rural dwellers</w:t>
            </w:r>
          </w:p>
        </w:tc>
      </w:tr>
      <w:tr w:rsidR="000527CF" w:rsidRPr="00C9494B" w14:paraId="55F9C100" w14:textId="77777777" w:rsidTr="000527CF">
        <w:trPr>
          <w:trHeight w:val="300"/>
        </w:trPr>
        <w:tc>
          <w:tcPr>
            <w:tcW w:w="4820" w:type="dxa"/>
            <w:gridSpan w:val="3"/>
            <w:noWrap/>
            <w:vAlign w:val="center"/>
          </w:tcPr>
          <w:p w14:paraId="31568112" w14:textId="77777777" w:rsidR="000527CF" w:rsidRPr="00C9494B" w:rsidRDefault="000527CF" w:rsidP="000527CF">
            <w:pPr>
              <w:spacing w:line="360" w:lineRule="auto"/>
              <w:rPr>
                <w:sz w:val="20"/>
                <w:szCs w:val="20"/>
              </w:rPr>
            </w:pPr>
          </w:p>
        </w:tc>
        <w:tc>
          <w:tcPr>
            <w:tcW w:w="1843" w:type="dxa"/>
            <w:gridSpan w:val="2"/>
            <w:noWrap/>
            <w:vAlign w:val="center"/>
          </w:tcPr>
          <w:p w14:paraId="5EA26332" w14:textId="77777777" w:rsidR="000527CF" w:rsidRPr="00C9494B" w:rsidRDefault="000527CF" w:rsidP="000527CF">
            <w:pPr>
              <w:spacing w:line="360" w:lineRule="auto"/>
              <w:rPr>
                <w:b/>
                <w:bCs/>
                <w:sz w:val="20"/>
                <w:szCs w:val="20"/>
              </w:rPr>
            </w:pPr>
            <w:r w:rsidRPr="00C9494B">
              <w:rPr>
                <w:b/>
                <w:bCs/>
                <w:sz w:val="20"/>
                <w:szCs w:val="20"/>
              </w:rPr>
              <w:t>Urban Dwellers</w:t>
            </w:r>
          </w:p>
        </w:tc>
        <w:tc>
          <w:tcPr>
            <w:tcW w:w="1701" w:type="dxa"/>
            <w:gridSpan w:val="2"/>
            <w:vAlign w:val="center"/>
          </w:tcPr>
          <w:p w14:paraId="16C45A95" w14:textId="77777777" w:rsidR="000527CF" w:rsidRPr="00C9494B" w:rsidRDefault="000527CF" w:rsidP="000527CF">
            <w:pPr>
              <w:spacing w:line="360" w:lineRule="auto"/>
              <w:rPr>
                <w:b/>
                <w:bCs/>
                <w:sz w:val="20"/>
                <w:szCs w:val="20"/>
              </w:rPr>
            </w:pPr>
            <w:r w:rsidRPr="00C9494B">
              <w:rPr>
                <w:b/>
                <w:bCs/>
                <w:sz w:val="20"/>
                <w:szCs w:val="20"/>
              </w:rPr>
              <w:t>Rural Dwellers</w:t>
            </w:r>
          </w:p>
        </w:tc>
        <w:tc>
          <w:tcPr>
            <w:tcW w:w="1984" w:type="dxa"/>
          </w:tcPr>
          <w:p w14:paraId="05D3C705" w14:textId="77777777" w:rsidR="000527CF" w:rsidRDefault="000527CF" w:rsidP="000527CF">
            <w:pPr>
              <w:spacing w:line="360" w:lineRule="auto"/>
              <w:jc w:val="center"/>
              <w:rPr>
                <w:b/>
                <w:bCs/>
                <w:sz w:val="20"/>
                <w:szCs w:val="20"/>
              </w:rPr>
            </w:pPr>
            <w:r>
              <w:rPr>
                <w:b/>
                <w:bCs/>
                <w:sz w:val="20"/>
                <w:szCs w:val="20"/>
              </w:rPr>
              <w:t>Difference</w:t>
            </w:r>
          </w:p>
          <w:p w14:paraId="2886C9D5" w14:textId="77777777" w:rsidR="000527CF" w:rsidRPr="00C9494B" w:rsidRDefault="000527CF" w:rsidP="000527CF">
            <w:pPr>
              <w:spacing w:line="360" w:lineRule="auto"/>
              <w:jc w:val="center"/>
              <w:rPr>
                <w:b/>
                <w:bCs/>
                <w:sz w:val="20"/>
                <w:szCs w:val="20"/>
              </w:rPr>
            </w:pPr>
            <w:r>
              <w:rPr>
                <w:b/>
                <w:bCs/>
                <w:sz w:val="20"/>
                <w:szCs w:val="20"/>
              </w:rPr>
              <w:t>(rural vs. urban)</w:t>
            </w:r>
          </w:p>
        </w:tc>
      </w:tr>
      <w:tr w:rsidR="000527CF" w:rsidRPr="00C9494B" w14:paraId="608765C1" w14:textId="77777777" w:rsidTr="000527CF">
        <w:trPr>
          <w:trHeight w:val="300"/>
        </w:trPr>
        <w:tc>
          <w:tcPr>
            <w:tcW w:w="8364" w:type="dxa"/>
            <w:gridSpan w:val="7"/>
            <w:noWrap/>
            <w:vAlign w:val="center"/>
          </w:tcPr>
          <w:p w14:paraId="696E07EC" w14:textId="77777777" w:rsidR="000527CF" w:rsidRPr="00C9494B" w:rsidRDefault="000527CF" w:rsidP="000527CF">
            <w:pPr>
              <w:spacing w:line="360" w:lineRule="auto"/>
              <w:rPr>
                <w:b/>
                <w:bCs/>
                <w:sz w:val="20"/>
                <w:szCs w:val="20"/>
              </w:rPr>
            </w:pPr>
            <w:r w:rsidRPr="00C9494B">
              <w:rPr>
                <w:sz w:val="20"/>
                <w:szCs w:val="20"/>
              </w:rPr>
              <w:t>Demographic characteristics</w:t>
            </w:r>
          </w:p>
        </w:tc>
        <w:tc>
          <w:tcPr>
            <w:tcW w:w="1984" w:type="dxa"/>
          </w:tcPr>
          <w:p w14:paraId="3D32CA4B" w14:textId="77777777" w:rsidR="000527CF" w:rsidRPr="00C9494B" w:rsidRDefault="000527CF" w:rsidP="000527CF">
            <w:pPr>
              <w:spacing w:line="360" w:lineRule="auto"/>
              <w:rPr>
                <w:sz w:val="20"/>
                <w:szCs w:val="20"/>
              </w:rPr>
            </w:pPr>
          </w:p>
        </w:tc>
      </w:tr>
      <w:tr w:rsidR="000527CF" w:rsidRPr="00C9494B" w14:paraId="2896CA97" w14:textId="77777777" w:rsidTr="000527CF">
        <w:trPr>
          <w:trHeight w:val="300"/>
        </w:trPr>
        <w:tc>
          <w:tcPr>
            <w:tcW w:w="1985" w:type="dxa"/>
            <w:gridSpan w:val="2"/>
            <w:noWrap/>
            <w:vAlign w:val="center"/>
          </w:tcPr>
          <w:p w14:paraId="45577408" w14:textId="77777777" w:rsidR="000527CF" w:rsidRPr="00C9494B" w:rsidRDefault="000527CF" w:rsidP="000527CF">
            <w:pPr>
              <w:spacing w:line="360" w:lineRule="auto"/>
              <w:rPr>
                <w:sz w:val="20"/>
                <w:szCs w:val="20"/>
              </w:rPr>
            </w:pPr>
          </w:p>
        </w:tc>
        <w:tc>
          <w:tcPr>
            <w:tcW w:w="2835" w:type="dxa"/>
            <w:noWrap/>
            <w:vAlign w:val="center"/>
          </w:tcPr>
          <w:p w14:paraId="470B255B" w14:textId="77777777" w:rsidR="000527CF" w:rsidRPr="00C9494B" w:rsidRDefault="000527CF" w:rsidP="000527CF">
            <w:pPr>
              <w:spacing w:line="360" w:lineRule="auto"/>
              <w:rPr>
                <w:sz w:val="20"/>
                <w:szCs w:val="20"/>
              </w:rPr>
            </w:pPr>
          </w:p>
        </w:tc>
        <w:tc>
          <w:tcPr>
            <w:tcW w:w="709" w:type="dxa"/>
            <w:noWrap/>
            <w:vAlign w:val="center"/>
          </w:tcPr>
          <w:p w14:paraId="11A4F4B8" w14:textId="77777777" w:rsidR="000527CF" w:rsidRPr="00C9494B" w:rsidRDefault="000527CF" w:rsidP="000527CF">
            <w:pPr>
              <w:spacing w:line="360" w:lineRule="auto"/>
              <w:jc w:val="center"/>
              <w:rPr>
                <w:b/>
                <w:bCs/>
                <w:sz w:val="20"/>
                <w:szCs w:val="20"/>
              </w:rPr>
            </w:pPr>
            <w:r w:rsidRPr="00C9494B">
              <w:rPr>
                <w:b/>
                <w:bCs/>
                <w:sz w:val="20"/>
                <w:szCs w:val="20"/>
              </w:rPr>
              <w:t>N.</w:t>
            </w:r>
          </w:p>
        </w:tc>
        <w:tc>
          <w:tcPr>
            <w:tcW w:w="1134" w:type="dxa"/>
            <w:noWrap/>
            <w:vAlign w:val="center"/>
          </w:tcPr>
          <w:p w14:paraId="004CF676" w14:textId="5DE815C3" w:rsidR="000527CF" w:rsidRPr="00C9494B" w:rsidRDefault="000527CF" w:rsidP="000527CF">
            <w:pPr>
              <w:spacing w:line="360" w:lineRule="auto"/>
              <w:jc w:val="center"/>
              <w:rPr>
                <w:b/>
                <w:bCs/>
                <w:sz w:val="20"/>
                <w:szCs w:val="20"/>
              </w:rPr>
            </w:pPr>
            <w:r w:rsidRPr="00C9494B">
              <w:rPr>
                <w:b/>
                <w:bCs/>
                <w:sz w:val="20"/>
                <w:szCs w:val="20"/>
              </w:rPr>
              <w:t xml:space="preserve">mean </w:t>
            </w:r>
            <w:r w:rsidR="001F7D2C">
              <w:rPr>
                <w:b/>
                <w:bCs/>
                <w:sz w:val="20"/>
                <w:szCs w:val="20"/>
              </w:rPr>
              <w:t>(SD)</w:t>
            </w:r>
          </w:p>
        </w:tc>
        <w:tc>
          <w:tcPr>
            <w:tcW w:w="567" w:type="dxa"/>
            <w:vAlign w:val="center"/>
          </w:tcPr>
          <w:p w14:paraId="2397C883" w14:textId="77777777" w:rsidR="000527CF" w:rsidRPr="00C9494B" w:rsidRDefault="000527CF" w:rsidP="000527CF">
            <w:pPr>
              <w:spacing w:line="360" w:lineRule="auto"/>
              <w:jc w:val="center"/>
              <w:rPr>
                <w:b/>
                <w:bCs/>
                <w:sz w:val="20"/>
                <w:szCs w:val="20"/>
              </w:rPr>
            </w:pPr>
            <w:r w:rsidRPr="00C9494B">
              <w:rPr>
                <w:b/>
                <w:bCs/>
                <w:sz w:val="20"/>
                <w:szCs w:val="20"/>
              </w:rPr>
              <w:t>N.</w:t>
            </w:r>
          </w:p>
        </w:tc>
        <w:tc>
          <w:tcPr>
            <w:tcW w:w="1134" w:type="dxa"/>
            <w:noWrap/>
            <w:vAlign w:val="center"/>
          </w:tcPr>
          <w:p w14:paraId="10F4138C" w14:textId="78C7AACA" w:rsidR="000527CF" w:rsidRPr="00C9494B" w:rsidRDefault="000527CF" w:rsidP="000527CF">
            <w:pPr>
              <w:spacing w:line="360" w:lineRule="auto"/>
              <w:jc w:val="center"/>
              <w:rPr>
                <w:b/>
                <w:bCs/>
                <w:sz w:val="20"/>
                <w:szCs w:val="20"/>
              </w:rPr>
            </w:pPr>
            <w:r>
              <w:rPr>
                <w:b/>
                <w:bCs/>
                <w:sz w:val="20"/>
                <w:szCs w:val="20"/>
              </w:rPr>
              <w:t>mean</w:t>
            </w:r>
            <w:r w:rsidR="001F7D2C">
              <w:rPr>
                <w:b/>
                <w:bCs/>
                <w:sz w:val="20"/>
                <w:szCs w:val="20"/>
              </w:rPr>
              <w:t xml:space="preserve"> (SD)</w:t>
            </w:r>
          </w:p>
        </w:tc>
        <w:tc>
          <w:tcPr>
            <w:tcW w:w="1984" w:type="dxa"/>
          </w:tcPr>
          <w:p w14:paraId="7E9EAE6F" w14:textId="77777777" w:rsidR="000527CF" w:rsidRPr="00C9494B" w:rsidRDefault="000527CF" w:rsidP="000527CF">
            <w:pPr>
              <w:spacing w:line="360" w:lineRule="auto"/>
              <w:jc w:val="center"/>
              <w:rPr>
                <w:b/>
                <w:bCs/>
                <w:sz w:val="20"/>
                <w:szCs w:val="20"/>
              </w:rPr>
            </w:pPr>
            <w:r>
              <w:rPr>
                <w:b/>
                <w:bCs/>
                <w:sz w:val="20"/>
                <w:szCs w:val="20"/>
              </w:rPr>
              <w:t>mean diff (95% CI)</w:t>
            </w:r>
          </w:p>
        </w:tc>
      </w:tr>
      <w:tr w:rsidR="000527CF" w:rsidRPr="00C9494B" w14:paraId="731A8FDA" w14:textId="77777777" w:rsidTr="000527CF">
        <w:trPr>
          <w:trHeight w:val="300"/>
        </w:trPr>
        <w:tc>
          <w:tcPr>
            <w:tcW w:w="1985" w:type="dxa"/>
            <w:gridSpan w:val="2"/>
            <w:noWrap/>
            <w:vAlign w:val="center"/>
            <w:hideMark/>
          </w:tcPr>
          <w:p w14:paraId="3BE6DCD8" w14:textId="77777777" w:rsidR="000527CF" w:rsidRPr="00F777EA" w:rsidRDefault="000527CF" w:rsidP="000527CF">
            <w:pPr>
              <w:spacing w:line="360" w:lineRule="auto"/>
              <w:rPr>
                <w:b/>
                <w:bCs/>
                <w:sz w:val="20"/>
                <w:szCs w:val="20"/>
              </w:rPr>
            </w:pPr>
            <w:r w:rsidRPr="00F777EA">
              <w:rPr>
                <w:b/>
                <w:bCs/>
                <w:sz w:val="20"/>
                <w:szCs w:val="20"/>
              </w:rPr>
              <w:t>Age*</w:t>
            </w:r>
          </w:p>
        </w:tc>
        <w:tc>
          <w:tcPr>
            <w:tcW w:w="2835" w:type="dxa"/>
            <w:noWrap/>
            <w:vAlign w:val="center"/>
            <w:hideMark/>
          </w:tcPr>
          <w:p w14:paraId="22B32A14" w14:textId="5F4D3E46" w:rsidR="000527CF" w:rsidRPr="00F777EA" w:rsidRDefault="001A2E0B" w:rsidP="000527CF">
            <w:pPr>
              <w:spacing w:line="360" w:lineRule="auto"/>
              <w:rPr>
                <w:sz w:val="20"/>
                <w:szCs w:val="20"/>
              </w:rPr>
            </w:pPr>
            <w:r w:rsidRPr="00F777EA">
              <w:rPr>
                <w:sz w:val="20"/>
                <w:szCs w:val="20"/>
              </w:rPr>
              <w:t>Y</w:t>
            </w:r>
            <w:r w:rsidR="000527CF" w:rsidRPr="00F777EA">
              <w:rPr>
                <w:sz w:val="20"/>
                <w:szCs w:val="20"/>
              </w:rPr>
              <w:t>ears</w:t>
            </w:r>
          </w:p>
        </w:tc>
        <w:tc>
          <w:tcPr>
            <w:tcW w:w="709" w:type="dxa"/>
            <w:noWrap/>
            <w:vAlign w:val="center"/>
          </w:tcPr>
          <w:p w14:paraId="4E62126A" w14:textId="77777777" w:rsidR="000527CF" w:rsidRPr="00F777EA" w:rsidRDefault="000527CF" w:rsidP="000527CF">
            <w:pPr>
              <w:spacing w:line="360" w:lineRule="auto"/>
              <w:jc w:val="center"/>
              <w:rPr>
                <w:rFonts w:ascii="Calibri" w:hAnsi="Calibri" w:cs="Calibri"/>
                <w:color w:val="000000"/>
                <w:sz w:val="20"/>
                <w:szCs w:val="20"/>
              </w:rPr>
            </w:pPr>
            <w:r w:rsidRPr="00F777EA">
              <w:rPr>
                <w:rFonts w:ascii="Calibri" w:hAnsi="Calibri" w:cs="Calibri"/>
                <w:color w:val="000000"/>
                <w:sz w:val="20"/>
                <w:szCs w:val="20"/>
              </w:rPr>
              <w:t>1810</w:t>
            </w:r>
          </w:p>
        </w:tc>
        <w:tc>
          <w:tcPr>
            <w:tcW w:w="1134" w:type="dxa"/>
            <w:noWrap/>
            <w:vAlign w:val="center"/>
          </w:tcPr>
          <w:p w14:paraId="23693B7C" w14:textId="41F7B03B" w:rsidR="000527CF" w:rsidRPr="00F777EA" w:rsidRDefault="000527CF" w:rsidP="000527CF">
            <w:pPr>
              <w:spacing w:line="360" w:lineRule="auto"/>
              <w:jc w:val="center"/>
              <w:rPr>
                <w:rFonts w:ascii="Calibri" w:hAnsi="Calibri" w:cs="Calibri"/>
                <w:color w:val="000000"/>
                <w:sz w:val="20"/>
                <w:szCs w:val="20"/>
              </w:rPr>
            </w:pPr>
            <w:r>
              <w:rPr>
                <w:rFonts w:ascii="Calibri" w:hAnsi="Calibri" w:cs="Calibri"/>
                <w:color w:val="000000"/>
                <w:sz w:val="20"/>
                <w:szCs w:val="20"/>
              </w:rPr>
              <w:t>47.4</w:t>
            </w:r>
            <w:r w:rsidR="00BE3ED3">
              <w:rPr>
                <w:rFonts w:ascii="Calibri" w:hAnsi="Calibri" w:cs="Calibri"/>
                <w:color w:val="000000"/>
                <w:sz w:val="20"/>
                <w:szCs w:val="20"/>
              </w:rPr>
              <w:t xml:space="preserve"> (</w:t>
            </w:r>
            <w:r w:rsidR="00FB619D">
              <w:rPr>
                <w:rFonts w:ascii="Calibri" w:hAnsi="Calibri" w:cs="Calibri"/>
                <w:color w:val="000000"/>
                <w:sz w:val="20"/>
                <w:szCs w:val="20"/>
              </w:rPr>
              <w:t>14.5)</w:t>
            </w:r>
          </w:p>
        </w:tc>
        <w:tc>
          <w:tcPr>
            <w:tcW w:w="567" w:type="dxa"/>
            <w:vAlign w:val="center"/>
          </w:tcPr>
          <w:p w14:paraId="171BC8C2" w14:textId="77777777" w:rsidR="000527CF" w:rsidRPr="00F777EA" w:rsidRDefault="000527CF" w:rsidP="000527CF">
            <w:pPr>
              <w:spacing w:line="360" w:lineRule="auto"/>
              <w:jc w:val="center"/>
              <w:rPr>
                <w:sz w:val="20"/>
                <w:szCs w:val="20"/>
              </w:rPr>
            </w:pPr>
            <w:r w:rsidRPr="00F777EA">
              <w:rPr>
                <w:sz w:val="20"/>
                <w:szCs w:val="20"/>
              </w:rPr>
              <w:t>579</w:t>
            </w:r>
          </w:p>
        </w:tc>
        <w:tc>
          <w:tcPr>
            <w:tcW w:w="1134" w:type="dxa"/>
            <w:noWrap/>
            <w:vAlign w:val="center"/>
          </w:tcPr>
          <w:p w14:paraId="1FF1839C" w14:textId="60B90DE5" w:rsidR="000527CF" w:rsidRPr="00F777EA" w:rsidRDefault="000527CF" w:rsidP="000527CF">
            <w:pPr>
              <w:spacing w:line="360" w:lineRule="auto"/>
              <w:jc w:val="center"/>
              <w:rPr>
                <w:sz w:val="20"/>
                <w:szCs w:val="20"/>
              </w:rPr>
            </w:pPr>
            <w:r w:rsidRPr="00F777EA">
              <w:rPr>
                <w:sz w:val="20"/>
                <w:szCs w:val="20"/>
              </w:rPr>
              <w:t>50.</w:t>
            </w:r>
            <w:r>
              <w:rPr>
                <w:sz w:val="20"/>
                <w:szCs w:val="20"/>
              </w:rPr>
              <w:t>5</w:t>
            </w:r>
            <w:r w:rsidR="00BE3ED3">
              <w:rPr>
                <w:rFonts w:ascii="Calibri" w:hAnsi="Calibri" w:cs="Calibri"/>
                <w:color w:val="000000"/>
                <w:sz w:val="20"/>
                <w:szCs w:val="20"/>
              </w:rPr>
              <w:t xml:space="preserve"> (</w:t>
            </w:r>
            <w:r w:rsidR="00FB619D">
              <w:rPr>
                <w:rFonts w:ascii="Calibri" w:hAnsi="Calibri" w:cs="Calibri"/>
                <w:color w:val="000000"/>
                <w:sz w:val="20"/>
                <w:szCs w:val="20"/>
              </w:rPr>
              <w:t>13.9)</w:t>
            </w:r>
          </w:p>
        </w:tc>
        <w:tc>
          <w:tcPr>
            <w:tcW w:w="1984" w:type="dxa"/>
          </w:tcPr>
          <w:p w14:paraId="0F52B5F1" w14:textId="3DBC992E" w:rsidR="000527CF" w:rsidRPr="00F777EA" w:rsidRDefault="000527CF" w:rsidP="000527CF">
            <w:pPr>
              <w:spacing w:line="360" w:lineRule="auto"/>
              <w:jc w:val="center"/>
              <w:rPr>
                <w:sz w:val="20"/>
                <w:szCs w:val="20"/>
              </w:rPr>
            </w:pPr>
            <w:r>
              <w:rPr>
                <w:sz w:val="20"/>
                <w:szCs w:val="20"/>
              </w:rPr>
              <w:t>3.1</w:t>
            </w:r>
            <w:r>
              <w:rPr>
                <w:rFonts w:ascii="Calibri" w:eastAsia="Times New Roman" w:hAnsi="Calibri" w:cs="Calibri"/>
                <w:color w:val="000000"/>
                <w:sz w:val="20"/>
                <w:szCs w:val="20"/>
                <w:lang w:eastAsia="en-GB"/>
              </w:rPr>
              <w:t xml:space="preserve"> (</w:t>
            </w:r>
            <w:r w:rsidR="006D6553">
              <w:rPr>
                <w:rFonts w:ascii="Calibri" w:eastAsia="Times New Roman" w:hAnsi="Calibri" w:cs="Calibri"/>
                <w:color w:val="000000"/>
                <w:sz w:val="20"/>
                <w:szCs w:val="20"/>
                <w:lang w:eastAsia="en-GB"/>
              </w:rPr>
              <w:t>1.7</w:t>
            </w:r>
            <w:r>
              <w:rPr>
                <w:rFonts w:ascii="Calibri" w:eastAsia="Times New Roman" w:hAnsi="Calibri" w:cs="Calibri"/>
                <w:color w:val="000000"/>
                <w:sz w:val="20"/>
                <w:szCs w:val="20"/>
                <w:lang w:eastAsia="en-GB"/>
              </w:rPr>
              <w:t xml:space="preserve">, </w:t>
            </w:r>
            <w:r w:rsidR="006D6553">
              <w:rPr>
                <w:rFonts w:ascii="Calibri" w:eastAsia="Times New Roman" w:hAnsi="Calibri" w:cs="Calibri"/>
                <w:color w:val="000000"/>
                <w:sz w:val="20"/>
                <w:szCs w:val="20"/>
                <w:lang w:eastAsia="en-GB"/>
              </w:rPr>
              <w:t>4.4</w:t>
            </w:r>
            <w:r>
              <w:rPr>
                <w:rFonts w:ascii="Calibri" w:eastAsia="Times New Roman" w:hAnsi="Calibri" w:cs="Calibri"/>
                <w:color w:val="000000"/>
                <w:sz w:val="20"/>
                <w:szCs w:val="20"/>
                <w:lang w:eastAsia="en-GB"/>
              </w:rPr>
              <w:t>)</w:t>
            </w:r>
          </w:p>
        </w:tc>
      </w:tr>
      <w:tr w:rsidR="000527CF" w:rsidRPr="00C9494B" w14:paraId="12F43AD9" w14:textId="77777777" w:rsidTr="000527CF">
        <w:trPr>
          <w:trHeight w:val="300"/>
        </w:trPr>
        <w:tc>
          <w:tcPr>
            <w:tcW w:w="1985" w:type="dxa"/>
            <w:gridSpan w:val="2"/>
            <w:noWrap/>
            <w:vAlign w:val="center"/>
            <w:hideMark/>
          </w:tcPr>
          <w:p w14:paraId="5D0D8BF7" w14:textId="3EC43004" w:rsidR="000527CF" w:rsidRPr="00F777EA" w:rsidRDefault="00017744" w:rsidP="000527CF">
            <w:pPr>
              <w:spacing w:line="360" w:lineRule="auto"/>
              <w:rPr>
                <w:b/>
                <w:bCs/>
                <w:sz w:val="20"/>
                <w:szCs w:val="20"/>
              </w:rPr>
            </w:pPr>
            <w:r>
              <w:rPr>
                <w:b/>
                <w:bCs/>
                <w:sz w:val="20"/>
                <w:szCs w:val="20"/>
              </w:rPr>
              <w:t>Local area d</w:t>
            </w:r>
            <w:r w:rsidRPr="00F777EA">
              <w:rPr>
                <w:b/>
                <w:bCs/>
                <w:sz w:val="20"/>
                <w:szCs w:val="20"/>
              </w:rPr>
              <w:t>eprivation</w:t>
            </w:r>
            <w:r w:rsidR="000527CF" w:rsidRPr="00F777EA">
              <w:rPr>
                <w:b/>
                <w:bCs/>
                <w:sz w:val="20"/>
                <w:szCs w:val="20"/>
              </w:rPr>
              <w:t>*</w:t>
            </w:r>
          </w:p>
        </w:tc>
        <w:tc>
          <w:tcPr>
            <w:tcW w:w="2835" w:type="dxa"/>
            <w:noWrap/>
            <w:vAlign w:val="center"/>
            <w:hideMark/>
          </w:tcPr>
          <w:p w14:paraId="6BBF609D" w14:textId="77777777" w:rsidR="000527CF" w:rsidRPr="00F777EA" w:rsidRDefault="000527CF" w:rsidP="000527CF">
            <w:pPr>
              <w:spacing w:line="360" w:lineRule="auto"/>
              <w:rPr>
                <w:bCs/>
                <w:sz w:val="20"/>
                <w:szCs w:val="20"/>
              </w:rPr>
            </w:pPr>
            <w:r w:rsidRPr="00F777EA">
              <w:rPr>
                <w:bCs/>
                <w:sz w:val="20"/>
                <w:szCs w:val="20"/>
              </w:rPr>
              <w:t>1(most) – 5(least)</w:t>
            </w:r>
          </w:p>
        </w:tc>
        <w:tc>
          <w:tcPr>
            <w:tcW w:w="709" w:type="dxa"/>
            <w:noWrap/>
            <w:vAlign w:val="center"/>
          </w:tcPr>
          <w:p w14:paraId="27EA57BB" w14:textId="77777777" w:rsidR="000527CF" w:rsidRPr="00F777EA" w:rsidRDefault="000527CF" w:rsidP="000527CF">
            <w:pPr>
              <w:spacing w:line="360" w:lineRule="auto"/>
              <w:jc w:val="center"/>
              <w:rPr>
                <w:sz w:val="20"/>
                <w:szCs w:val="20"/>
              </w:rPr>
            </w:pPr>
            <w:r w:rsidRPr="00F777EA">
              <w:rPr>
                <w:sz w:val="20"/>
                <w:szCs w:val="20"/>
              </w:rPr>
              <w:t>1811</w:t>
            </w:r>
          </w:p>
        </w:tc>
        <w:tc>
          <w:tcPr>
            <w:tcW w:w="1134" w:type="dxa"/>
            <w:noWrap/>
            <w:vAlign w:val="center"/>
          </w:tcPr>
          <w:p w14:paraId="64345B9A" w14:textId="56308D0A" w:rsidR="000527CF" w:rsidRPr="00F777EA" w:rsidRDefault="000527CF" w:rsidP="000527CF">
            <w:pPr>
              <w:spacing w:line="360" w:lineRule="auto"/>
              <w:jc w:val="center"/>
              <w:rPr>
                <w:sz w:val="20"/>
                <w:szCs w:val="20"/>
              </w:rPr>
            </w:pPr>
            <w:r w:rsidRPr="00F777EA">
              <w:rPr>
                <w:sz w:val="20"/>
                <w:szCs w:val="20"/>
              </w:rPr>
              <w:t>3</w:t>
            </w:r>
            <w:r>
              <w:rPr>
                <w:sz w:val="20"/>
                <w:szCs w:val="20"/>
              </w:rPr>
              <w:t>.0</w:t>
            </w:r>
            <w:r w:rsidR="00BE3ED3">
              <w:rPr>
                <w:rFonts w:ascii="Calibri" w:hAnsi="Calibri" w:cs="Calibri"/>
                <w:color w:val="000000"/>
                <w:sz w:val="20"/>
                <w:szCs w:val="20"/>
              </w:rPr>
              <w:t xml:space="preserve"> (</w:t>
            </w:r>
            <w:r w:rsidR="00FB619D">
              <w:rPr>
                <w:rFonts w:ascii="Calibri" w:hAnsi="Calibri" w:cs="Calibri"/>
                <w:color w:val="000000"/>
                <w:sz w:val="20"/>
                <w:szCs w:val="20"/>
              </w:rPr>
              <w:t>1.4)</w:t>
            </w:r>
          </w:p>
        </w:tc>
        <w:tc>
          <w:tcPr>
            <w:tcW w:w="567" w:type="dxa"/>
            <w:vAlign w:val="center"/>
          </w:tcPr>
          <w:p w14:paraId="47AB0567" w14:textId="77777777" w:rsidR="000527CF" w:rsidRPr="00F777EA" w:rsidRDefault="000527CF" w:rsidP="000527CF">
            <w:pPr>
              <w:spacing w:line="360" w:lineRule="auto"/>
              <w:jc w:val="center"/>
              <w:rPr>
                <w:sz w:val="20"/>
                <w:szCs w:val="20"/>
              </w:rPr>
            </w:pPr>
            <w:r w:rsidRPr="00F777EA">
              <w:rPr>
                <w:sz w:val="20"/>
                <w:szCs w:val="20"/>
              </w:rPr>
              <w:t>579</w:t>
            </w:r>
          </w:p>
        </w:tc>
        <w:tc>
          <w:tcPr>
            <w:tcW w:w="1134" w:type="dxa"/>
            <w:noWrap/>
            <w:vAlign w:val="center"/>
          </w:tcPr>
          <w:p w14:paraId="06FB0DD3" w14:textId="3656FB69" w:rsidR="000527CF" w:rsidRPr="00F777EA" w:rsidRDefault="000527CF" w:rsidP="000527CF">
            <w:pPr>
              <w:spacing w:line="360" w:lineRule="auto"/>
              <w:jc w:val="center"/>
              <w:rPr>
                <w:sz w:val="20"/>
                <w:szCs w:val="20"/>
              </w:rPr>
            </w:pPr>
            <w:r>
              <w:rPr>
                <w:sz w:val="20"/>
                <w:szCs w:val="20"/>
              </w:rPr>
              <w:t>3.8</w:t>
            </w:r>
            <w:r w:rsidR="00BE3ED3">
              <w:rPr>
                <w:rFonts w:ascii="Calibri" w:hAnsi="Calibri" w:cs="Calibri"/>
                <w:color w:val="000000"/>
                <w:sz w:val="20"/>
                <w:szCs w:val="20"/>
              </w:rPr>
              <w:t xml:space="preserve"> (</w:t>
            </w:r>
            <w:r w:rsidR="00FB619D">
              <w:rPr>
                <w:rFonts w:ascii="Calibri" w:hAnsi="Calibri" w:cs="Calibri"/>
                <w:color w:val="000000"/>
                <w:sz w:val="20"/>
                <w:szCs w:val="20"/>
              </w:rPr>
              <w:t>1.0)</w:t>
            </w:r>
          </w:p>
        </w:tc>
        <w:tc>
          <w:tcPr>
            <w:tcW w:w="1984" w:type="dxa"/>
          </w:tcPr>
          <w:p w14:paraId="684DFD1D" w14:textId="77777777" w:rsidR="000527CF" w:rsidRPr="00385DC4" w:rsidRDefault="000527CF" w:rsidP="000527CF">
            <w:pPr>
              <w:spacing w:line="360" w:lineRule="auto"/>
              <w:jc w:val="center"/>
              <w:rPr>
                <w:rFonts w:ascii="Calibri" w:eastAsia="Times New Roman" w:hAnsi="Calibri" w:cs="Calibri"/>
                <w:color w:val="000000"/>
                <w:sz w:val="20"/>
                <w:szCs w:val="20"/>
                <w:lang w:eastAsia="en-GB"/>
              </w:rPr>
            </w:pPr>
            <w:r>
              <w:rPr>
                <w:sz w:val="20"/>
                <w:szCs w:val="20"/>
              </w:rPr>
              <w:t>0.8</w:t>
            </w:r>
            <w:r>
              <w:rPr>
                <w:rFonts w:ascii="Calibri" w:eastAsia="Times New Roman" w:hAnsi="Calibri" w:cs="Calibri"/>
                <w:color w:val="000000"/>
                <w:sz w:val="20"/>
                <w:szCs w:val="20"/>
                <w:lang w:eastAsia="en-GB"/>
              </w:rPr>
              <w:t xml:space="preserve"> (0.7, 0.9)</w:t>
            </w:r>
          </w:p>
        </w:tc>
      </w:tr>
      <w:tr w:rsidR="000527CF" w:rsidRPr="00C9494B" w14:paraId="6D74DEC2" w14:textId="77777777" w:rsidTr="000527CF">
        <w:trPr>
          <w:trHeight w:val="300"/>
        </w:trPr>
        <w:tc>
          <w:tcPr>
            <w:tcW w:w="1985" w:type="dxa"/>
            <w:gridSpan w:val="2"/>
            <w:noWrap/>
            <w:vAlign w:val="center"/>
          </w:tcPr>
          <w:p w14:paraId="3E824D3B" w14:textId="77777777" w:rsidR="000527CF" w:rsidRPr="00F777EA" w:rsidRDefault="000527CF" w:rsidP="000527CF">
            <w:pPr>
              <w:spacing w:line="360" w:lineRule="auto"/>
              <w:rPr>
                <w:b/>
                <w:bCs/>
                <w:sz w:val="20"/>
                <w:szCs w:val="20"/>
              </w:rPr>
            </w:pPr>
          </w:p>
        </w:tc>
        <w:tc>
          <w:tcPr>
            <w:tcW w:w="2835" w:type="dxa"/>
            <w:noWrap/>
            <w:vAlign w:val="center"/>
          </w:tcPr>
          <w:p w14:paraId="27D9A554" w14:textId="77777777" w:rsidR="000527CF" w:rsidRPr="00F777EA" w:rsidRDefault="000527CF" w:rsidP="000527CF">
            <w:pPr>
              <w:spacing w:line="360" w:lineRule="auto"/>
              <w:rPr>
                <w:bCs/>
                <w:sz w:val="20"/>
                <w:szCs w:val="20"/>
              </w:rPr>
            </w:pPr>
          </w:p>
        </w:tc>
        <w:tc>
          <w:tcPr>
            <w:tcW w:w="709" w:type="dxa"/>
            <w:noWrap/>
            <w:vAlign w:val="center"/>
          </w:tcPr>
          <w:p w14:paraId="63A859A3" w14:textId="77777777" w:rsidR="000527CF" w:rsidRPr="00F777EA" w:rsidRDefault="000527CF" w:rsidP="000527CF">
            <w:pPr>
              <w:spacing w:line="360" w:lineRule="auto"/>
              <w:jc w:val="center"/>
              <w:rPr>
                <w:b/>
                <w:bCs/>
                <w:sz w:val="20"/>
                <w:szCs w:val="20"/>
              </w:rPr>
            </w:pPr>
            <w:r w:rsidRPr="00F777EA">
              <w:rPr>
                <w:b/>
                <w:bCs/>
                <w:sz w:val="20"/>
                <w:szCs w:val="20"/>
              </w:rPr>
              <w:t>N.</w:t>
            </w:r>
          </w:p>
        </w:tc>
        <w:tc>
          <w:tcPr>
            <w:tcW w:w="1134" w:type="dxa"/>
            <w:noWrap/>
            <w:vAlign w:val="center"/>
          </w:tcPr>
          <w:p w14:paraId="4C839F0D" w14:textId="77777777" w:rsidR="000527CF" w:rsidRPr="00F777EA" w:rsidRDefault="000527CF" w:rsidP="000527CF">
            <w:pPr>
              <w:spacing w:line="360" w:lineRule="auto"/>
              <w:jc w:val="center"/>
              <w:rPr>
                <w:b/>
                <w:bCs/>
                <w:sz w:val="20"/>
                <w:szCs w:val="20"/>
              </w:rPr>
            </w:pPr>
            <w:r w:rsidRPr="00F777EA">
              <w:rPr>
                <w:b/>
                <w:bCs/>
                <w:sz w:val="20"/>
                <w:szCs w:val="20"/>
              </w:rPr>
              <w:t>%</w:t>
            </w:r>
          </w:p>
        </w:tc>
        <w:tc>
          <w:tcPr>
            <w:tcW w:w="567" w:type="dxa"/>
            <w:vAlign w:val="center"/>
          </w:tcPr>
          <w:p w14:paraId="70799195" w14:textId="77777777" w:rsidR="000527CF" w:rsidRPr="00F777EA" w:rsidRDefault="000527CF" w:rsidP="000527CF">
            <w:pPr>
              <w:spacing w:line="360" w:lineRule="auto"/>
              <w:jc w:val="center"/>
              <w:rPr>
                <w:b/>
                <w:bCs/>
                <w:sz w:val="20"/>
                <w:szCs w:val="20"/>
              </w:rPr>
            </w:pPr>
            <w:r w:rsidRPr="00F777EA">
              <w:rPr>
                <w:b/>
                <w:bCs/>
                <w:sz w:val="20"/>
                <w:szCs w:val="20"/>
              </w:rPr>
              <w:t>N.</w:t>
            </w:r>
          </w:p>
        </w:tc>
        <w:tc>
          <w:tcPr>
            <w:tcW w:w="1134" w:type="dxa"/>
            <w:noWrap/>
            <w:vAlign w:val="center"/>
          </w:tcPr>
          <w:p w14:paraId="02D2F57F" w14:textId="77777777" w:rsidR="000527CF" w:rsidRPr="00F777EA" w:rsidRDefault="000527CF" w:rsidP="000527CF">
            <w:pPr>
              <w:spacing w:line="360" w:lineRule="auto"/>
              <w:jc w:val="center"/>
              <w:rPr>
                <w:b/>
                <w:bCs/>
                <w:sz w:val="20"/>
                <w:szCs w:val="20"/>
              </w:rPr>
            </w:pPr>
            <w:r w:rsidRPr="00F777EA">
              <w:rPr>
                <w:b/>
                <w:bCs/>
                <w:sz w:val="20"/>
                <w:szCs w:val="20"/>
              </w:rPr>
              <w:t>%</w:t>
            </w:r>
          </w:p>
        </w:tc>
        <w:tc>
          <w:tcPr>
            <w:tcW w:w="1984" w:type="dxa"/>
          </w:tcPr>
          <w:p w14:paraId="7220C00E" w14:textId="77777777" w:rsidR="000527CF" w:rsidRPr="00F777EA" w:rsidRDefault="000527CF" w:rsidP="000527CF">
            <w:pPr>
              <w:spacing w:line="360" w:lineRule="auto"/>
              <w:jc w:val="center"/>
              <w:rPr>
                <w:b/>
                <w:bCs/>
                <w:sz w:val="20"/>
                <w:szCs w:val="20"/>
              </w:rPr>
            </w:pPr>
            <w:r>
              <w:rPr>
                <w:b/>
                <w:bCs/>
                <w:sz w:val="20"/>
                <w:szCs w:val="20"/>
              </w:rPr>
              <w:t>mean % diff (95% CI)</w:t>
            </w:r>
          </w:p>
        </w:tc>
      </w:tr>
      <w:tr w:rsidR="000527CF" w:rsidRPr="00C9494B" w14:paraId="1C527FE1" w14:textId="77777777" w:rsidTr="000527CF">
        <w:trPr>
          <w:trHeight w:val="300"/>
        </w:trPr>
        <w:tc>
          <w:tcPr>
            <w:tcW w:w="1985" w:type="dxa"/>
            <w:gridSpan w:val="2"/>
            <w:noWrap/>
            <w:vAlign w:val="center"/>
            <w:hideMark/>
          </w:tcPr>
          <w:p w14:paraId="3792AB31" w14:textId="77777777" w:rsidR="000527CF" w:rsidRPr="00F777EA" w:rsidRDefault="000527CF" w:rsidP="000527CF">
            <w:pPr>
              <w:spacing w:line="360" w:lineRule="auto"/>
              <w:rPr>
                <w:b/>
                <w:bCs/>
                <w:sz w:val="20"/>
                <w:szCs w:val="20"/>
              </w:rPr>
            </w:pPr>
            <w:r w:rsidRPr="00F777EA">
              <w:rPr>
                <w:b/>
                <w:bCs/>
                <w:sz w:val="20"/>
                <w:szCs w:val="20"/>
              </w:rPr>
              <w:t>Gender</w:t>
            </w:r>
          </w:p>
        </w:tc>
        <w:tc>
          <w:tcPr>
            <w:tcW w:w="2835" w:type="dxa"/>
            <w:noWrap/>
            <w:vAlign w:val="center"/>
            <w:hideMark/>
          </w:tcPr>
          <w:p w14:paraId="10BE543D" w14:textId="77777777" w:rsidR="000527CF" w:rsidRPr="00F777EA" w:rsidRDefault="000527CF" w:rsidP="000527CF">
            <w:pPr>
              <w:spacing w:line="360" w:lineRule="auto"/>
              <w:rPr>
                <w:bCs/>
                <w:sz w:val="20"/>
                <w:szCs w:val="20"/>
              </w:rPr>
            </w:pPr>
            <w:r w:rsidRPr="00F777EA">
              <w:rPr>
                <w:bCs/>
                <w:sz w:val="20"/>
                <w:szCs w:val="20"/>
              </w:rPr>
              <w:t>Male</w:t>
            </w:r>
          </w:p>
        </w:tc>
        <w:tc>
          <w:tcPr>
            <w:tcW w:w="709" w:type="dxa"/>
            <w:noWrap/>
            <w:vAlign w:val="center"/>
          </w:tcPr>
          <w:p w14:paraId="70B26F0A"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1242</w:t>
            </w:r>
          </w:p>
        </w:tc>
        <w:tc>
          <w:tcPr>
            <w:tcW w:w="1134" w:type="dxa"/>
            <w:noWrap/>
            <w:vAlign w:val="center"/>
          </w:tcPr>
          <w:p w14:paraId="085ACC65"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68.6</w:t>
            </w:r>
          </w:p>
        </w:tc>
        <w:tc>
          <w:tcPr>
            <w:tcW w:w="567" w:type="dxa"/>
            <w:vAlign w:val="center"/>
          </w:tcPr>
          <w:p w14:paraId="1E5FF89D"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394</w:t>
            </w:r>
          </w:p>
        </w:tc>
        <w:tc>
          <w:tcPr>
            <w:tcW w:w="1134" w:type="dxa"/>
            <w:noWrap/>
            <w:vAlign w:val="center"/>
          </w:tcPr>
          <w:p w14:paraId="62D1622B"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68.0</w:t>
            </w:r>
          </w:p>
        </w:tc>
        <w:tc>
          <w:tcPr>
            <w:tcW w:w="1984" w:type="dxa"/>
          </w:tcPr>
          <w:p w14:paraId="15B0023C"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-0.6 (-8.3, 7.1)</w:t>
            </w:r>
          </w:p>
        </w:tc>
      </w:tr>
      <w:tr w:rsidR="000527CF" w:rsidRPr="00C9494B" w14:paraId="398425DA" w14:textId="77777777" w:rsidTr="000527CF">
        <w:trPr>
          <w:trHeight w:val="300"/>
        </w:trPr>
        <w:tc>
          <w:tcPr>
            <w:tcW w:w="1985" w:type="dxa"/>
            <w:gridSpan w:val="2"/>
            <w:noWrap/>
            <w:vAlign w:val="center"/>
            <w:hideMark/>
          </w:tcPr>
          <w:p w14:paraId="2400AA8A" w14:textId="77777777" w:rsidR="000527CF" w:rsidRPr="00F777EA" w:rsidRDefault="000527CF" w:rsidP="000527CF">
            <w:pPr>
              <w:spacing w:line="360" w:lineRule="auto"/>
              <w:rPr>
                <w:b/>
                <w:bCs/>
                <w:sz w:val="20"/>
                <w:szCs w:val="20"/>
              </w:rPr>
            </w:pPr>
            <w:r w:rsidRPr="00F777EA">
              <w:rPr>
                <w:b/>
                <w:bCs/>
                <w:sz w:val="20"/>
                <w:szCs w:val="20"/>
              </w:rPr>
              <w:t>Smoking Status*</w:t>
            </w:r>
          </w:p>
        </w:tc>
        <w:tc>
          <w:tcPr>
            <w:tcW w:w="2835" w:type="dxa"/>
            <w:noWrap/>
            <w:vAlign w:val="center"/>
            <w:hideMark/>
          </w:tcPr>
          <w:p w14:paraId="489B34C4" w14:textId="77777777" w:rsidR="000527CF" w:rsidRPr="00F777EA" w:rsidRDefault="000527CF" w:rsidP="000527CF">
            <w:pPr>
              <w:spacing w:line="360" w:lineRule="auto"/>
              <w:rPr>
                <w:bCs/>
                <w:sz w:val="20"/>
                <w:szCs w:val="20"/>
              </w:rPr>
            </w:pPr>
            <w:r w:rsidRPr="00F777EA">
              <w:rPr>
                <w:bCs/>
                <w:sz w:val="20"/>
                <w:szCs w:val="20"/>
              </w:rPr>
              <w:t>Never</w:t>
            </w:r>
          </w:p>
        </w:tc>
        <w:tc>
          <w:tcPr>
            <w:tcW w:w="709" w:type="dxa"/>
            <w:noWrap/>
            <w:vAlign w:val="center"/>
          </w:tcPr>
          <w:p w14:paraId="05442BBB"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597</w:t>
            </w:r>
          </w:p>
        </w:tc>
        <w:tc>
          <w:tcPr>
            <w:tcW w:w="1134" w:type="dxa"/>
            <w:noWrap/>
            <w:vAlign w:val="center"/>
          </w:tcPr>
          <w:p w14:paraId="234E6752"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43.8</w:t>
            </w:r>
          </w:p>
        </w:tc>
        <w:tc>
          <w:tcPr>
            <w:tcW w:w="567" w:type="dxa"/>
            <w:vAlign w:val="center"/>
          </w:tcPr>
          <w:p w14:paraId="11DE8C15"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206</w:t>
            </w:r>
          </w:p>
        </w:tc>
        <w:tc>
          <w:tcPr>
            <w:tcW w:w="1134" w:type="dxa"/>
            <w:noWrap/>
            <w:vAlign w:val="center"/>
          </w:tcPr>
          <w:p w14:paraId="21B0CC8F"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45.2</w:t>
            </w:r>
          </w:p>
        </w:tc>
        <w:tc>
          <w:tcPr>
            <w:tcW w:w="1984" w:type="dxa"/>
          </w:tcPr>
          <w:p w14:paraId="16A45601"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1.4 (-5.6, 8.4)</w:t>
            </w:r>
          </w:p>
        </w:tc>
      </w:tr>
      <w:tr w:rsidR="000527CF" w:rsidRPr="00C9494B" w14:paraId="2CD606D6" w14:textId="77777777" w:rsidTr="000527CF">
        <w:trPr>
          <w:trHeight w:val="300"/>
        </w:trPr>
        <w:tc>
          <w:tcPr>
            <w:tcW w:w="1985" w:type="dxa"/>
            <w:gridSpan w:val="2"/>
            <w:noWrap/>
            <w:vAlign w:val="center"/>
            <w:hideMark/>
          </w:tcPr>
          <w:p w14:paraId="1DACEC99" w14:textId="77777777" w:rsidR="000527CF" w:rsidRPr="00F777EA" w:rsidRDefault="000527CF" w:rsidP="000527CF">
            <w:pPr>
              <w:spacing w:line="360" w:lineRule="auto"/>
              <w:rPr>
                <w:sz w:val="20"/>
                <w:szCs w:val="20"/>
              </w:rPr>
            </w:pPr>
          </w:p>
        </w:tc>
        <w:tc>
          <w:tcPr>
            <w:tcW w:w="2835" w:type="dxa"/>
            <w:noWrap/>
            <w:vAlign w:val="center"/>
            <w:hideMark/>
          </w:tcPr>
          <w:p w14:paraId="0DFD593D" w14:textId="77777777" w:rsidR="000527CF" w:rsidRPr="00F777EA" w:rsidRDefault="000527CF" w:rsidP="000527CF">
            <w:pPr>
              <w:spacing w:line="360" w:lineRule="auto"/>
              <w:rPr>
                <w:bCs/>
                <w:sz w:val="20"/>
                <w:szCs w:val="20"/>
              </w:rPr>
            </w:pPr>
            <w:r w:rsidRPr="00F777EA">
              <w:rPr>
                <w:bCs/>
                <w:sz w:val="20"/>
                <w:szCs w:val="20"/>
              </w:rPr>
              <w:t>Ex</w:t>
            </w:r>
          </w:p>
        </w:tc>
        <w:tc>
          <w:tcPr>
            <w:tcW w:w="709" w:type="dxa"/>
            <w:noWrap/>
            <w:vAlign w:val="center"/>
          </w:tcPr>
          <w:p w14:paraId="4B5540B7"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475</w:t>
            </w:r>
          </w:p>
        </w:tc>
        <w:tc>
          <w:tcPr>
            <w:tcW w:w="1134" w:type="dxa"/>
            <w:noWrap/>
            <w:vAlign w:val="center"/>
          </w:tcPr>
          <w:p w14:paraId="20A0983B"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34.8</w:t>
            </w:r>
          </w:p>
        </w:tc>
        <w:tc>
          <w:tcPr>
            <w:tcW w:w="567" w:type="dxa"/>
            <w:vAlign w:val="center"/>
          </w:tcPr>
          <w:p w14:paraId="4BFCCA8D"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184</w:t>
            </w:r>
          </w:p>
        </w:tc>
        <w:tc>
          <w:tcPr>
            <w:tcW w:w="1134" w:type="dxa"/>
            <w:noWrap/>
            <w:vAlign w:val="center"/>
          </w:tcPr>
          <w:p w14:paraId="3BF36920"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40.3</w:t>
            </w:r>
          </w:p>
        </w:tc>
        <w:tc>
          <w:tcPr>
            <w:tcW w:w="1984" w:type="dxa"/>
          </w:tcPr>
          <w:p w14:paraId="0414CBAB"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5.5 (-1.0, 12.0)</w:t>
            </w:r>
          </w:p>
        </w:tc>
      </w:tr>
      <w:tr w:rsidR="000527CF" w:rsidRPr="00C9494B" w14:paraId="542E40CB" w14:textId="77777777" w:rsidTr="000527CF">
        <w:trPr>
          <w:trHeight w:val="300"/>
        </w:trPr>
        <w:tc>
          <w:tcPr>
            <w:tcW w:w="1985" w:type="dxa"/>
            <w:gridSpan w:val="2"/>
            <w:noWrap/>
            <w:vAlign w:val="center"/>
            <w:hideMark/>
          </w:tcPr>
          <w:p w14:paraId="29D0FD8F" w14:textId="77777777" w:rsidR="000527CF" w:rsidRPr="00F777EA" w:rsidRDefault="000527CF" w:rsidP="000527CF">
            <w:pPr>
              <w:spacing w:line="360" w:lineRule="auto"/>
              <w:rPr>
                <w:sz w:val="20"/>
                <w:szCs w:val="20"/>
              </w:rPr>
            </w:pPr>
          </w:p>
        </w:tc>
        <w:tc>
          <w:tcPr>
            <w:tcW w:w="2835" w:type="dxa"/>
            <w:noWrap/>
            <w:vAlign w:val="center"/>
            <w:hideMark/>
          </w:tcPr>
          <w:p w14:paraId="519C2B2B" w14:textId="77777777" w:rsidR="000527CF" w:rsidRPr="00F777EA" w:rsidRDefault="000527CF" w:rsidP="000527CF">
            <w:pPr>
              <w:spacing w:line="360" w:lineRule="auto"/>
              <w:rPr>
                <w:bCs/>
                <w:sz w:val="20"/>
                <w:szCs w:val="20"/>
              </w:rPr>
            </w:pPr>
            <w:r w:rsidRPr="00F777EA">
              <w:rPr>
                <w:bCs/>
                <w:sz w:val="20"/>
                <w:szCs w:val="20"/>
              </w:rPr>
              <w:t>Current</w:t>
            </w:r>
          </w:p>
        </w:tc>
        <w:tc>
          <w:tcPr>
            <w:tcW w:w="709" w:type="dxa"/>
            <w:noWrap/>
            <w:vAlign w:val="center"/>
          </w:tcPr>
          <w:p w14:paraId="6F30F0C0"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291</w:t>
            </w:r>
          </w:p>
        </w:tc>
        <w:tc>
          <w:tcPr>
            <w:tcW w:w="1134" w:type="dxa"/>
            <w:noWrap/>
            <w:vAlign w:val="center"/>
          </w:tcPr>
          <w:p w14:paraId="4390F7AD"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21.3</w:t>
            </w:r>
          </w:p>
        </w:tc>
        <w:tc>
          <w:tcPr>
            <w:tcW w:w="567" w:type="dxa"/>
            <w:vAlign w:val="center"/>
          </w:tcPr>
          <w:p w14:paraId="2B7A807D"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66</w:t>
            </w:r>
          </w:p>
        </w:tc>
        <w:tc>
          <w:tcPr>
            <w:tcW w:w="1134" w:type="dxa"/>
            <w:noWrap/>
            <w:vAlign w:val="center"/>
          </w:tcPr>
          <w:p w14:paraId="15A010AE"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14.5</w:t>
            </w:r>
          </w:p>
        </w:tc>
        <w:tc>
          <w:tcPr>
            <w:tcW w:w="1984" w:type="dxa"/>
          </w:tcPr>
          <w:p w14:paraId="38ACB1D0"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-6.8 (-10.9, -2.7)</w:t>
            </w:r>
          </w:p>
        </w:tc>
      </w:tr>
      <w:tr w:rsidR="000527CF" w:rsidRPr="00C9494B" w14:paraId="363B8CCA" w14:textId="77777777" w:rsidTr="000527CF">
        <w:trPr>
          <w:trHeight w:val="300"/>
        </w:trPr>
        <w:tc>
          <w:tcPr>
            <w:tcW w:w="1985" w:type="dxa"/>
            <w:gridSpan w:val="2"/>
            <w:noWrap/>
            <w:vAlign w:val="center"/>
            <w:hideMark/>
          </w:tcPr>
          <w:p w14:paraId="0D78897C" w14:textId="77777777" w:rsidR="000527CF" w:rsidRPr="00F777EA" w:rsidRDefault="000527CF" w:rsidP="000527CF">
            <w:pPr>
              <w:spacing w:line="360" w:lineRule="auto"/>
              <w:rPr>
                <w:b/>
                <w:bCs/>
                <w:sz w:val="20"/>
                <w:szCs w:val="20"/>
              </w:rPr>
            </w:pPr>
            <w:r w:rsidRPr="00F777EA">
              <w:rPr>
                <w:b/>
                <w:bCs/>
                <w:sz w:val="20"/>
                <w:szCs w:val="20"/>
              </w:rPr>
              <w:t xml:space="preserve">Alcohol </w:t>
            </w:r>
          </w:p>
        </w:tc>
        <w:tc>
          <w:tcPr>
            <w:tcW w:w="2835" w:type="dxa"/>
            <w:noWrap/>
            <w:vAlign w:val="center"/>
            <w:hideMark/>
          </w:tcPr>
          <w:p w14:paraId="643F1670" w14:textId="77777777" w:rsidR="000527CF" w:rsidRPr="00F777EA" w:rsidRDefault="000527CF" w:rsidP="000527CF">
            <w:pPr>
              <w:spacing w:line="360" w:lineRule="auto"/>
              <w:rPr>
                <w:bCs/>
                <w:sz w:val="20"/>
                <w:szCs w:val="20"/>
              </w:rPr>
            </w:pPr>
            <w:r w:rsidRPr="00F777EA">
              <w:rPr>
                <w:bCs/>
                <w:sz w:val="20"/>
                <w:szCs w:val="20"/>
              </w:rPr>
              <w:t>Never</w:t>
            </w:r>
          </w:p>
        </w:tc>
        <w:tc>
          <w:tcPr>
            <w:tcW w:w="709" w:type="dxa"/>
            <w:noWrap/>
            <w:vAlign w:val="center"/>
          </w:tcPr>
          <w:p w14:paraId="634CAFF6"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94</w:t>
            </w:r>
          </w:p>
        </w:tc>
        <w:tc>
          <w:tcPr>
            <w:tcW w:w="1134" w:type="dxa"/>
            <w:noWrap/>
            <w:vAlign w:val="center"/>
          </w:tcPr>
          <w:p w14:paraId="10075214"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6.9</w:t>
            </w:r>
          </w:p>
        </w:tc>
        <w:tc>
          <w:tcPr>
            <w:tcW w:w="567" w:type="dxa"/>
            <w:vAlign w:val="center"/>
          </w:tcPr>
          <w:p w14:paraId="03E4775A"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30</w:t>
            </w:r>
          </w:p>
        </w:tc>
        <w:tc>
          <w:tcPr>
            <w:tcW w:w="1134" w:type="dxa"/>
            <w:noWrap/>
            <w:vAlign w:val="center"/>
          </w:tcPr>
          <w:p w14:paraId="6EC36001"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6.6</w:t>
            </w:r>
          </w:p>
        </w:tc>
        <w:tc>
          <w:tcPr>
            <w:tcW w:w="1984" w:type="dxa"/>
          </w:tcPr>
          <w:p w14:paraId="5846FBED"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-0.3 (-2.8, 2.2)</w:t>
            </w:r>
          </w:p>
        </w:tc>
      </w:tr>
      <w:tr w:rsidR="000527CF" w:rsidRPr="00C9494B" w14:paraId="2721FBA3" w14:textId="77777777" w:rsidTr="000527CF">
        <w:trPr>
          <w:trHeight w:val="300"/>
        </w:trPr>
        <w:tc>
          <w:tcPr>
            <w:tcW w:w="1985" w:type="dxa"/>
            <w:gridSpan w:val="2"/>
            <w:noWrap/>
            <w:vAlign w:val="center"/>
            <w:hideMark/>
          </w:tcPr>
          <w:p w14:paraId="2594E51F" w14:textId="77777777" w:rsidR="000527CF" w:rsidRPr="00F777EA" w:rsidRDefault="000527CF" w:rsidP="000527CF">
            <w:pPr>
              <w:spacing w:line="360" w:lineRule="auto"/>
              <w:rPr>
                <w:sz w:val="20"/>
                <w:szCs w:val="20"/>
              </w:rPr>
            </w:pPr>
          </w:p>
        </w:tc>
        <w:tc>
          <w:tcPr>
            <w:tcW w:w="2835" w:type="dxa"/>
            <w:noWrap/>
            <w:vAlign w:val="center"/>
            <w:hideMark/>
          </w:tcPr>
          <w:p w14:paraId="5C269187" w14:textId="77777777" w:rsidR="000527CF" w:rsidRPr="00F777EA" w:rsidRDefault="000527CF" w:rsidP="000527CF">
            <w:pPr>
              <w:spacing w:line="360" w:lineRule="auto"/>
              <w:rPr>
                <w:bCs/>
                <w:sz w:val="20"/>
                <w:szCs w:val="20"/>
              </w:rPr>
            </w:pPr>
            <w:r w:rsidRPr="00F777EA">
              <w:rPr>
                <w:bCs/>
                <w:sz w:val="20"/>
                <w:szCs w:val="20"/>
              </w:rPr>
              <w:t>Ex</w:t>
            </w:r>
          </w:p>
        </w:tc>
        <w:tc>
          <w:tcPr>
            <w:tcW w:w="709" w:type="dxa"/>
            <w:noWrap/>
            <w:vAlign w:val="center"/>
          </w:tcPr>
          <w:p w14:paraId="4EA9DBE2"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243</w:t>
            </w:r>
          </w:p>
        </w:tc>
        <w:tc>
          <w:tcPr>
            <w:tcW w:w="1134" w:type="dxa"/>
            <w:noWrap/>
            <w:vAlign w:val="center"/>
          </w:tcPr>
          <w:p w14:paraId="65653FE5"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17.9</w:t>
            </w:r>
          </w:p>
        </w:tc>
        <w:tc>
          <w:tcPr>
            <w:tcW w:w="567" w:type="dxa"/>
            <w:vAlign w:val="center"/>
          </w:tcPr>
          <w:p w14:paraId="78512960"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78</w:t>
            </w:r>
          </w:p>
        </w:tc>
        <w:tc>
          <w:tcPr>
            <w:tcW w:w="1134" w:type="dxa"/>
            <w:noWrap/>
            <w:vAlign w:val="center"/>
          </w:tcPr>
          <w:p w14:paraId="5CAD4B5F"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17.1</w:t>
            </w:r>
          </w:p>
        </w:tc>
        <w:tc>
          <w:tcPr>
            <w:tcW w:w="1984" w:type="dxa"/>
          </w:tcPr>
          <w:p w14:paraId="7F317352"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-0.8 (-5.1, 3.5)</w:t>
            </w:r>
          </w:p>
        </w:tc>
      </w:tr>
      <w:tr w:rsidR="000527CF" w:rsidRPr="00C9494B" w14:paraId="69CF49B4" w14:textId="77777777" w:rsidTr="000527CF">
        <w:trPr>
          <w:trHeight w:val="300"/>
        </w:trPr>
        <w:tc>
          <w:tcPr>
            <w:tcW w:w="1985" w:type="dxa"/>
            <w:gridSpan w:val="2"/>
            <w:noWrap/>
            <w:vAlign w:val="center"/>
            <w:hideMark/>
          </w:tcPr>
          <w:p w14:paraId="5DBF76F4" w14:textId="77777777" w:rsidR="000527CF" w:rsidRPr="00F777EA" w:rsidRDefault="000527CF" w:rsidP="000527CF">
            <w:pPr>
              <w:spacing w:line="360" w:lineRule="auto"/>
              <w:rPr>
                <w:sz w:val="20"/>
                <w:szCs w:val="20"/>
              </w:rPr>
            </w:pPr>
          </w:p>
        </w:tc>
        <w:tc>
          <w:tcPr>
            <w:tcW w:w="2835" w:type="dxa"/>
            <w:noWrap/>
            <w:vAlign w:val="center"/>
            <w:hideMark/>
          </w:tcPr>
          <w:p w14:paraId="15434735" w14:textId="77777777" w:rsidR="000527CF" w:rsidRPr="00F777EA" w:rsidRDefault="000527CF" w:rsidP="000527CF">
            <w:pPr>
              <w:spacing w:line="360" w:lineRule="auto"/>
              <w:rPr>
                <w:bCs/>
                <w:sz w:val="20"/>
                <w:szCs w:val="20"/>
              </w:rPr>
            </w:pPr>
            <w:r w:rsidRPr="00F777EA">
              <w:rPr>
                <w:bCs/>
                <w:sz w:val="20"/>
                <w:szCs w:val="20"/>
              </w:rPr>
              <w:t>Current</w:t>
            </w:r>
          </w:p>
        </w:tc>
        <w:tc>
          <w:tcPr>
            <w:tcW w:w="709" w:type="dxa"/>
            <w:noWrap/>
            <w:vAlign w:val="center"/>
          </w:tcPr>
          <w:p w14:paraId="510F8A8E"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1021</w:t>
            </w:r>
          </w:p>
        </w:tc>
        <w:tc>
          <w:tcPr>
            <w:tcW w:w="1134" w:type="dxa"/>
            <w:noWrap/>
            <w:vAlign w:val="center"/>
          </w:tcPr>
          <w:p w14:paraId="5C433C4E"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75.2</w:t>
            </w:r>
          </w:p>
        </w:tc>
        <w:tc>
          <w:tcPr>
            <w:tcW w:w="567" w:type="dxa"/>
            <w:vAlign w:val="center"/>
          </w:tcPr>
          <w:p w14:paraId="1A6D6A8F"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348</w:t>
            </w:r>
          </w:p>
        </w:tc>
        <w:tc>
          <w:tcPr>
            <w:tcW w:w="1134" w:type="dxa"/>
            <w:noWrap/>
            <w:vAlign w:val="center"/>
          </w:tcPr>
          <w:p w14:paraId="729DAAD7"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76.3</w:t>
            </w:r>
          </w:p>
        </w:tc>
        <w:tc>
          <w:tcPr>
            <w:tcW w:w="1984" w:type="dxa"/>
          </w:tcPr>
          <w:p w14:paraId="25AFF178"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1.1 (-8.1, 10.3)</w:t>
            </w:r>
          </w:p>
        </w:tc>
      </w:tr>
      <w:tr w:rsidR="000527CF" w:rsidRPr="00C9494B" w14:paraId="2BB312F6" w14:textId="77777777" w:rsidTr="000527CF">
        <w:trPr>
          <w:trHeight w:val="300"/>
        </w:trPr>
        <w:tc>
          <w:tcPr>
            <w:tcW w:w="1985" w:type="dxa"/>
            <w:gridSpan w:val="2"/>
            <w:noWrap/>
            <w:vAlign w:val="center"/>
            <w:hideMark/>
          </w:tcPr>
          <w:p w14:paraId="504B78AC" w14:textId="77777777" w:rsidR="000527CF" w:rsidRPr="00F777EA" w:rsidRDefault="000527CF" w:rsidP="000527CF">
            <w:pPr>
              <w:spacing w:line="360" w:lineRule="auto"/>
              <w:rPr>
                <w:b/>
                <w:bCs/>
                <w:sz w:val="20"/>
                <w:szCs w:val="20"/>
              </w:rPr>
            </w:pPr>
            <w:r w:rsidRPr="00F777EA">
              <w:rPr>
                <w:b/>
                <w:bCs/>
                <w:sz w:val="20"/>
                <w:szCs w:val="20"/>
              </w:rPr>
              <w:t>Employed</w:t>
            </w:r>
          </w:p>
        </w:tc>
        <w:tc>
          <w:tcPr>
            <w:tcW w:w="2835" w:type="dxa"/>
            <w:noWrap/>
            <w:vAlign w:val="center"/>
            <w:hideMark/>
          </w:tcPr>
          <w:p w14:paraId="7A61491B" w14:textId="77777777" w:rsidR="000527CF" w:rsidRPr="00F777EA" w:rsidRDefault="000527CF" w:rsidP="000527CF">
            <w:pPr>
              <w:spacing w:line="360" w:lineRule="auto"/>
              <w:rPr>
                <w:bCs/>
                <w:sz w:val="20"/>
                <w:szCs w:val="20"/>
              </w:rPr>
            </w:pPr>
            <w:r w:rsidRPr="00F777EA">
              <w:rPr>
                <w:bCs/>
                <w:sz w:val="20"/>
                <w:szCs w:val="20"/>
              </w:rPr>
              <w:t>Yes</w:t>
            </w:r>
          </w:p>
        </w:tc>
        <w:tc>
          <w:tcPr>
            <w:tcW w:w="709" w:type="dxa"/>
            <w:noWrap/>
            <w:vAlign w:val="center"/>
          </w:tcPr>
          <w:p w14:paraId="013E7CDC"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528</w:t>
            </w:r>
          </w:p>
        </w:tc>
        <w:tc>
          <w:tcPr>
            <w:tcW w:w="1134" w:type="dxa"/>
            <w:noWrap/>
            <w:vAlign w:val="center"/>
          </w:tcPr>
          <w:p w14:paraId="5548B4B3"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38.4</w:t>
            </w:r>
          </w:p>
        </w:tc>
        <w:tc>
          <w:tcPr>
            <w:tcW w:w="567" w:type="dxa"/>
            <w:vAlign w:val="center"/>
          </w:tcPr>
          <w:p w14:paraId="61491A62"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175</w:t>
            </w:r>
          </w:p>
        </w:tc>
        <w:tc>
          <w:tcPr>
            <w:tcW w:w="1134" w:type="dxa"/>
            <w:noWrap/>
            <w:vAlign w:val="center"/>
          </w:tcPr>
          <w:p w14:paraId="4C86015C"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37.9</w:t>
            </w:r>
          </w:p>
        </w:tc>
        <w:tc>
          <w:tcPr>
            <w:tcW w:w="1984" w:type="dxa"/>
          </w:tcPr>
          <w:p w14:paraId="4BEF0581"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-0.5 (-6.9, 5.9)</w:t>
            </w:r>
          </w:p>
        </w:tc>
      </w:tr>
      <w:tr w:rsidR="000527CF" w:rsidRPr="00C9494B" w14:paraId="1839E66A" w14:textId="77777777" w:rsidTr="000527CF">
        <w:trPr>
          <w:trHeight w:val="300"/>
        </w:trPr>
        <w:tc>
          <w:tcPr>
            <w:tcW w:w="1985" w:type="dxa"/>
            <w:gridSpan w:val="2"/>
            <w:noWrap/>
            <w:vAlign w:val="center"/>
            <w:hideMark/>
          </w:tcPr>
          <w:p w14:paraId="0FEB2CD4" w14:textId="77777777" w:rsidR="000527CF" w:rsidRPr="00F777EA" w:rsidRDefault="000527CF" w:rsidP="000527CF">
            <w:pPr>
              <w:spacing w:line="360" w:lineRule="auto"/>
              <w:rPr>
                <w:b/>
                <w:bCs/>
                <w:sz w:val="20"/>
                <w:szCs w:val="20"/>
              </w:rPr>
            </w:pPr>
            <w:r w:rsidRPr="00F777EA">
              <w:rPr>
                <w:b/>
                <w:bCs/>
                <w:sz w:val="20"/>
                <w:szCs w:val="20"/>
              </w:rPr>
              <w:t>Job type*</w:t>
            </w:r>
          </w:p>
        </w:tc>
        <w:tc>
          <w:tcPr>
            <w:tcW w:w="2835" w:type="dxa"/>
            <w:noWrap/>
            <w:vAlign w:val="center"/>
            <w:hideMark/>
          </w:tcPr>
          <w:p w14:paraId="4C23831A" w14:textId="77777777" w:rsidR="000527CF" w:rsidRPr="00F777EA" w:rsidRDefault="000527CF" w:rsidP="000527CF">
            <w:pPr>
              <w:spacing w:line="360" w:lineRule="auto"/>
              <w:rPr>
                <w:bCs/>
                <w:sz w:val="20"/>
                <w:szCs w:val="20"/>
              </w:rPr>
            </w:pPr>
            <w:r w:rsidRPr="00F777EA">
              <w:rPr>
                <w:bCs/>
                <w:sz w:val="20"/>
                <w:szCs w:val="20"/>
              </w:rPr>
              <w:t>Mainly desk/sedentary</w:t>
            </w:r>
          </w:p>
        </w:tc>
        <w:tc>
          <w:tcPr>
            <w:tcW w:w="709" w:type="dxa"/>
            <w:noWrap/>
            <w:vAlign w:val="center"/>
          </w:tcPr>
          <w:p w14:paraId="09695E3B"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465</w:t>
            </w:r>
          </w:p>
        </w:tc>
        <w:tc>
          <w:tcPr>
            <w:tcW w:w="1134" w:type="dxa"/>
            <w:noWrap/>
            <w:vAlign w:val="center"/>
          </w:tcPr>
          <w:p w14:paraId="2A50B27C"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56.4</w:t>
            </w:r>
          </w:p>
        </w:tc>
        <w:tc>
          <w:tcPr>
            <w:tcW w:w="567" w:type="dxa"/>
            <w:vAlign w:val="center"/>
          </w:tcPr>
          <w:p w14:paraId="74DC0999"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127</w:t>
            </w:r>
          </w:p>
        </w:tc>
        <w:tc>
          <w:tcPr>
            <w:tcW w:w="1134" w:type="dxa"/>
            <w:noWrap/>
            <w:vAlign w:val="center"/>
          </w:tcPr>
          <w:p w14:paraId="38692885"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45.8</w:t>
            </w:r>
          </w:p>
        </w:tc>
        <w:tc>
          <w:tcPr>
            <w:tcW w:w="1984" w:type="dxa"/>
          </w:tcPr>
          <w:p w14:paraId="35444C8F"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-10.6 (-20.0, -1.2)</w:t>
            </w:r>
          </w:p>
        </w:tc>
      </w:tr>
      <w:tr w:rsidR="000527CF" w:rsidRPr="00C9494B" w14:paraId="565F4671" w14:textId="77777777" w:rsidTr="000527CF">
        <w:trPr>
          <w:trHeight w:val="300"/>
        </w:trPr>
        <w:tc>
          <w:tcPr>
            <w:tcW w:w="1985" w:type="dxa"/>
            <w:gridSpan w:val="2"/>
            <w:noWrap/>
            <w:vAlign w:val="center"/>
            <w:hideMark/>
          </w:tcPr>
          <w:p w14:paraId="00492988" w14:textId="77777777" w:rsidR="000527CF" w:rsidRPr="00F777EA" w:rsidRDefault="000527CF" w:rsidP="000527CF">
            <w:pPr>
              <w:spacing w:line="360" w:lineRule="auto"/>
              <w:rPr>
                <w:sz w:val="20"/>
                <w:szCs w:val="20"/>
              </w:rPr>
            </w:pPr>
          </w:p>
        </w:tc>
        <w:tc>
          <w:tcPr>
            <w:tcW w:w="2835" w:type="dxa"/>
            <w:noWrap/>
            <w:vAlign w:val="center"/>
            <w:hideMark/>
          </w:tcPr>
          <w:p w14:paraId="11CB02A7" w14:textId="77777777" w:rsidR="000527CF" w:rsidRPr="00F777EA" w:rsidRDefault="000527CF" w:rsidP="000527CF">
            <w:pPr>
              <w:spacing w:line="360" w:lineRule="auto"/>
              <w:rPr>
                <w:bCs/>
                <w:sz w:val="20"/>
                <w:szCs w:val="20"/>
              </w:rPr>
            </w:pPr>
            <w:r w:rsidRPr="00F777EA">
              <w:rPr>
                <w:bCs/>
                <w:sz w:val="20"/>
                <w:szCs w:val="20"/>
              </w:rPr>
              <w:t>Mainly physical/labour intense</w:t>
            </w:r>
          </w:p>
        </w:tc>
        <w:tc>
          <w:tcPr>
            <w:tcW w:w="709" w:type="dxa"/>
            <w:noWrap/>
            <w:vAlign w:val="center"/>
          </w:tcPr>
          <w:p w14:paraId="343175A5"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360</w:t>
            </w:r>
          </w:p>
        </w:tc>
        <w:tc>
          <w:tcPr>
            <w:tcW w:w="1134" w:type="dxa"/>
            <w:noWrap/>
            <w:vAlign w:val="center"/>
          </w:tcPr>
          <w:p w14:paraId="687B0CE4"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43.6</w:t>
            </w:r>
          </w:p>
        </w:tc>
        <w:tc>
          <w:tcPr>
            <w:tcW w:w="567" w:type="dxa"/>
            <w:vAlign w:val="center"/>
          </w:tcPr>
          <w:p w14:paraId="53AA83F5"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150</w:t>
            </w:r>
          </w:p>
        </w:tc>
        <w:tc>
          <w:tcPr>
            <w:tcW w:w="1134" w:type="dxa"/>
            <w:noWrap/>
            <w:vAlign w:val="center"/>
          </w:tcPr>
          <w:p w14:paraId="4F9534E1"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54.2</w:t>
            </w:r>
          </w:p>
        </w:tc>
        <w:tc>
          <w:tcPr>
            <w:tcW w:w="1984" w:type="dxa"/>
          </w:tcPr>
          <w:p w14:paraId="2A1A84A4"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10.6 (0.9, 20.3)</w:t>
            </w:r>
          </w:p>
        </w:tc>
      </w:tr>
      <w:tr w:rsidR="000527CF" w:rsidRPr="00C9494B" w14:paraId="3605F1B2" w14:textId="77777777" w:rsidTr="000527CF">
        <w:trPr>
          <w:trHeight w:val="300"/>
        </w:trPr>
        <w:tc>
          <w:tcPr>
            <w:tcW w:w="8364" w:type="dxa"/>
            <w:gridSpan w:val="7"/>
            <w:noWrap/>
            <w:vAlign w:val="center"/>
          </w:tcPr>
          <w:p w14:paraId="201E461A" w14:textId="77777777" w:rsidR="000527CF" w:rsidRPr="00F777EA" w:rsidRDefault="000527CF" w:rsidP="000527CF">
            <w:pPr>
              <w:spacing w:line="360" w:lineRule="auto"/>
              <w:rPr>
                <w:b/>
                <w:bCs/>
                <w:sz w:val="20"/>
                <w:szCs w:val="20"/>
              </w:rPr>
            </w:pPr>
            <w:r w:rsidRPr="00F777EA">
              <w:rPr>
                <w:sz w:val="20"/>
                <w:szCs w:val="20"/>
              </w:rPr>
              <w:t>Clinical characteristics</w:t>
            </w:r>
          </w:p>
        </w:tc>
        <w:tc>
          <w:tcPr>
            <w:tcW w:w="1984" w:type="dxa"/>
          </w:tcPr>
          <w:p w14:paraId="4474203F" w14:textId="77777777" w:rsidR="000527CF" w:rsidRPr="00F777EA" w:rsidRDefault="000527CF" w:rsidP="000527CF">
            <w:pPr>
              <w:spacing w:line="360" w:lineRule="auto"/>
              <w:rPr>
                <w:sz w:val="20"/>
                <w:szCs w:val="20"/>
              </w:rPr>
            </w:pPr>
          </w:p>
        </w:tc>
      </w:tr>
      <w:tr w:rsidR="000527CF" w:rsidRPr="00940960" w14:paraId="66DAA5F7" w14:textId="77777777" w:rsidTr="000527CF">
        <w:trPr>
          <w:trHeight w:val="300"/>
        </w:trPr>
        <w:tc>
          <w:tcPr>
            <w:tcW w:w="1985" w:type="dxa"/>
            <w:gridSpan w:val="2"/>
            <w:noWrap/>
            <w:vAlign w:val="center"/>
          </w:tcPr>
          <w:p w14:paraId="1D160738" w14:textId="77777777" w:rsidR="000527CF" w:rsidRPr="00F777EA" w:rsidRDefault="000527CF" w:rsidP="000527CF">
            <w:pPr>
              <w:spacing w:line="360" w:lineRule="auto"/>
              <w:rPr>
                <w:rFonts w:ascii="Calibri" w:eastAsia="Times New Roman" w:hAnsi="Calibri" w:cs="Calibri"/>
                <w:b/>
                <w:bCs/>
                <w:color w:val="000000"/>
                <w:sz w:val="20"/>
                <w:szCs w:val="20"/>
                <w:lang w:eastAsia="en-GB"/>
              </w:rPr>
            </w:pPr>
            <w:r w:rsidRPr="00F777EA">
              <w:rPr>
                <w:rFonts w:ascii="Calibri" w:eastAsia="Times New Roman" w:hAnsi="Calibri" w:cs="Calibri"/>
                <w:b/>
                <w:bCs/>
                <w:color w:val="000000"/>
                <w:sz w:val="20"/>
                <w:szCs w:val="20"/>
                <w:lang w:eastAsia="en-GB"/>
              </w:rPr>
              <w:t>HLA B27 status</w:t>
            </w:r>
            <w:r>
              <w:rPr>
                <w:rFonts w:ascii="Calibri" w:eastAsia="Times New Roman" w:hAnsi="Calibri" w:cs="Calibri"/>
                <w:b/>
                <w:bCs/>
                <w:color w:val="000000"/>
                <w:sz w:val="20"/>
                <w:szCs w:val="20"/>
                <w:lang w:eastAsia="en-GB"/>
              </w:rPr>
              <w:t>*</w:t>
            </w:r>
          </w:p>
        </w:tc>
        <w:tc>
          <w:tcPr>
            <w:tcW w:w="2835" w:type="dxa"/>
            <w:noWrap/>
            <w:vAlign w:val="center"/>
          </w:tcPr>
          <w:p w14:paraId="711FA2BE" w14:textId="77777777" w:rsidR="000527CF" w:rsidRPr="00F777EA" w:rsidRDefault="000527CF" w:rsidP="000527CF">
            <w:pPr>
              <w:spacing w:line="360" w:lineRule="auto"/>
              <w:rPr>
                <w:rFonts w:ascii="Calibri" w:eastAsia="Times New Roman" w:hAnsi="Calibri" w:cs="Calibri"/>
                <w:bCs/>
                <w:sz w:val="20"/>
                <w:szCs w:val="20"/>
                <w:lang w:eastAsia="en-GB"/>
              </w:rPr>
            </w:pPr>
            <w:r w:rsidRPr="00F777EA">
              <w:rPr>
                <w:rFonts w:ascii="Calibri" w:eastAsia="Times New Roman" w:hAnsi="Calibri" w:cs="Calibri"/>
                <w:bCs/>
                <w:sz w:val="20"/>
                <w:szCs w:val="20"/>
                <w:lang w:eastAsia="en-GB"/>
              </w:rPr>
              <w:t>Tested</w:t>
            </w:r>
          </w:p>
        </w:tc>
        <w:tc>
          <w:tcPr>
            <w:tcW w:w="709" w:type="dxa"/>
            <w:noWrap/>
            <w:vAlign w:val="center"/>
          </w:tcPr>
          <w:p w14:paraId="65B34417"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1203</w:t>
            </w:r>
          </w:p>
        </w:tc>
        <w:tc>
          <w:tcPr>
            <w:tcW w:w="1134" w:type="dxa"/>
            <w:noWrap/>
            <w:vAlign w:val="center"/>
          </w:tcPr>
          <w:p w14:paraId="294803F1"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66.4</w:t>
            </w:r>
          </w:p>
        </w:tc>
        <w:tc>
          <w:tcPr>
            <w:tcW w:w="567" w:type="dxa"/>
            <w:vAlign w:val="center"/>
          </w:tcPr>
          <w:p w14:paraId="4ACC095F"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412</w:t>
            </w:r>
          </w:p>
        </w:tc>
        <w:tc>
          <w:tcPr>
            <w:tcW w:w="1134" w:type="dxa"/>
            <w:noWrap/>
            <w:vAlign w:val="center"/>
          </w:tcPr>
          <w:p w14:paraId="10904CAB"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71.2</w:t>
            </w:r>
          </w:p>
        </w:tc>
        <w:tc>
          <w:tcPr>
            <w:tcW w:w="1984" w:type="dxa"/>
          </w:tcPr>
          <w:p w14:paraId="0AD9F6B8"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4.8 (-3.0, 12.6)</w:t>
            </w:r>
          </w:p>
        </w:tc>
      </w:tr>
      <w:tr w:rsidR="000527CF" w:rsidRPr="00C9494B" w14:paraId="07154E75" w14:textId="77777777" w:rsidTr="000527CF">
        <w:trPr>
          <w:trHeight w:val="300"/>
        </w:trPr>
        <w:tc>
          <w:tcPr>
            <w:tcW w:w="1985" w:type="dxa"/>
            <w:gridSpan w:val="2"/>
            <w:noWrap/>
            <w:vAlign w:val="center"/>
            <w:hideMark/>
          </w:tcPr>
          <w:p w14:paraId="6D1DEC9D" w14:textId="77777777" w:rsidR="000527CF" w:rsidRPr="00F777EA" w:rsidRDefault="000527CF" w:rsidP="000527CF">
            <w:pPr>
              <w:spacing w:line="360" w:lineRule="auto"/>
              <w:rPr>
                <w:rFonts w:ascii="Calibri" w:eastAsia="Times New Roman" w:hAnsi="Calibri" w:cs="Calibri"/>
                <w:b/>
                <w:bCs/>
                <w:color w:val="000000"/>
                <w:sz w:val="20"/>
                <w:szCs w:val="20"/>
                <w:lang w:eastAsia="en-GB"/>
              </w:rPr>
            </w:pPr>
            <w:r w:rsidRPr="00F777EA">
              <w:rPr>
                <w:rFonts w:ascii="Calibri" w:eastAsia="Times New Roman" w:hAnsi="Calibri" w:cs="Calibri"/>
                <w:b/>
                <w:bCs/>
                <w:color w:val="000000"/>
                <w:sz w:val="20"/>
                <w:szCs w:val="20"/>
                <w:lang w:eastAsia="en-GB"/>
              </w:rPr>
              <w:t>NSAID</w:t>
            </w:r>
          </w:p>
        </w:tc>
        <w:tc>
          <w:tcPr>
            <w:tcW w:w="2835" w:type="dxa"/>
            <w:noWrap/>
            <w:vAlign w:val="center"/>
            <w:hideMark/>
          </w:tcPr>
          <w:p w14:paraId="300B34DA" w14:textId="77777777" w:rsidR="000527CF" w:rsidRPr="00F777EA" w:rsidRDefault="000527CF" w:rsidP="000527CF">
            <w:pPr>
              <w:spacing w:line="360" w:lineRule="auto"/>
              <w:rPr>
                <w:rFonts w:ascii="Calibri" w:eastAsia="Times New Roman" w:hAnsi="Calibri" w:cs="Calibri"/>
                <w:bCs/>
                <w:sz w:val="20"/>
                <w:szCs w:val="20"/>
                <w:lang w:eastAsia="en-GB"/>
              </w:rPr>
            </w:pPr>
            <w:r w:rsidRPr="00F777EA">
              <w:rPr>
                <w:rFonts w:ascii="Calibri" w:eastAsia="Times New Roman" w:hAnsi="Calibri" w:cs="Calibri"/>
                <w:bCs/>
                <w:sz w:val="20"/>
                <w:szCs w:val="20"/>
                <w:lang w:eastAsia="en-GB"/>
              </w:rPr>
              <w:t>Prescribed (last 6m)</w:t>
            </w:r>
          </w:p>
        </w:tc>
        <w:tc>
          <w:tcPr>
            <w:tcW w:w="709" w:type="dxa"/>
            <w:noWrap/>
            <w:vAlign w:val="center"/>
          </w:tcPr>
          <w:p w14:paraId="38F765BD"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1340</w:t>
            </w:r>
          </w:p>
        </w:tc>
        <w:tc>
          <w:tcPr>
            <w:tcW w:w="1134" w:type="dxa"/>
            <w:noWrap/>
            <w:vAlign w:val="center"/>
          </w:tcPr>
          <w:p w14:paraId="0606D5A3"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74.6</w:t>
            </w:r>
          </w:p>
        </w:tc>
        <w:tc>
          <w:tcPr>
            <w:tcW w:w="567" w:type="dxa"/>
            <w:vAlign w:val="center"/>
          </w:tcPr>
          <w:p w14:paraId="4F3E76C0"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431</w:t>
            </w:r>
          </w:p>
        </w:tc>
        <w:tc>
          <w:tcPr>
            <w:tcW w:w="1134" w:type="dxa"/>
            <w:noWrap/>
            <w:vAlign w:val="center"/>
          </w:tcPr>
          <w:p w14:paraId="2A5E87DB"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75.0</w:t>
            </w:r>
          </w:p>
        </w:tc>
        <w:tc>
          <w:tcPr>
            <w:tcW w:w="1984" w:type="dxa"/>
          </w:tcPr>
          <w:p w14:paraId="078EA9D0"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0.4 (-7.7, 8.5)</w:t>
            </w:r>
          </w:p>
        </w:tc>
      </w:tr>
      <w:tr w:rsidR="000527CF" w:rsidRPr="00C9494B" w14:paraId="75AAEC2E" w14:textId="77777777" w:rsidTr="000527CF">
        <w:trPr>
          <w:trHeight w:val="300"/>
        </w:trPr>
        <w:tc>
          <w:tcPr>
            <w:tcW w:w="1985" w:type="dxa"/>
            <w:gridSpan w:val="2"/>
            <w:noWrap/>
            <w:vAlign w:val="center"/>
            <w:hideMark/>
          </w:tcPr>
          <w:p w14:paraId="576F9354" w14:textId="77777777" w:rsidR="000527CF" w:rsidRPr="00F777EA" w:rsidRDefault="000527CF" w:rsidP="000527CF">
            <w:pPr>
              <w:spacing w:line="360" w:lineRule="auto"/>
              <w:rPr>
                <w:rFonts w:ascii="Calibri" w:eastAsia="Times New Roman" w:hAnsi="Calibri" w:cs="Calibri"/>
                <w:b/>
                <w:bCs/>
                <w:color w:val="000000"/>
                <w:sz w:val="20"/>
                <w:szCs w:val="20"/>
                <w:lang w:eastAsia="en-GB"/>
              </w:rPr>
            </w:pPr>
            <w:r w:rsidRPr="00F777EA">
              <w:rPr>
                <w:rFonts w:ascii="Calibri" w:eastAsia="Times New Roman" w:hAnsi="Calibri" w:cs="Calibri"/>
                <w:b/>
                <w:bCs/>
                <w:color w:val="000000"/>
                <w:sz w:val="20"/>
                <w:szCs w:val="20"/>
                <w:lang w:eastAsia="en-GB"/>
              </w:rPr>
              <w:t>DMARD</w:t>
            </w:r>
          </w:p>
        </w:tc>
        <w:tc>
          <w:tcPr>
            <w:tcW w:w="2835" w:type="dxa"/>
            <w:noWrap/>
            <w:vAlign w:val="center"/>
            <w:hideMark/>
          </w:tcPr>
          <w:p w14:paraId="6E73D986" w14:textId="77777777" w:rsidR="000527CF" w:rsidRPr="00F777EA" w:rsidRDefault="000527CF" w:rsidP="000527CF">
            <w:pPr>
              <w:spacing w:line="360" w:lineRule="auto"/>
              <w:rPr>
                <w:rFonts w:ascii="Calibri" w:eastAsia="Times New Roman" w:hAnsi="Calibri" w:cs="Calibri"/>
                <w:bCs/>
                <w:sz w:val="20"/>
                <w:szCs w:val="20"/>
                <w:lang w:eastAsia="en-GB"/>
              </w:rPr>
            </w:pPr>
            <w:r w:rsidRPr="00F777EA">
              <w:rPr>
                <w:rFonts w:ascii="Calibri" w:eastAsia="Times New Roman" w:hAnsi="Calibri" w:cs="Calibri"/>
                <w:bCs/>
                <w:sz w:val="20"/>
                <w:szCs w:val="20"/>
                <w:lang w:eastAsia="en-GB"/>
              </w:rPr>
              <w:t>Prescribed (last 6m)</w:t>
            </w:r>
          </w:p>
        </w:tc>
        <w:tc>
          <w:tcPr>
            <w:tcW w:w="709" w:type="dxa"/>
            <w:noWrap/>
            <w:vAlign w:val="center"/>
          </w:tcPr>
          <w:p w14:paraId="6D6CEBFA"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170</w:t>
            </w:r>
          </w:p>
        </w:tc>
        <w:tc>
          <w:tcPr>
            <w:tcW w:w="1134" w:type="dxa"/>
            <w:noWrap/>
            <w:vAlign w:val="center"/>
          </w:tcPr>
          <w:p w14:paraId="06A5D13B"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13.4</w:t>
            </w:r>
          </w:p>
        </w:tc>
        <w:tc>
          <w:tcPr>
            <w:tcW w:w="567" w:type="dxa"/>
            <w:vAlign w:val="center"/>
          </w:tcPr>
          <w:p w14:paraId="22587E35"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63</w:t>
            </w:r>
          </w:p>
        </w:tc>
        <w:tc>
          <w:tcPr>
            <w:tcW w:w="1134" w:type="dxa"/>
            <w:noWrap/>
            <w:vAlign w:val="center"/>
          </w:tcPr>
          <w:p w14:paraId="37EE6C74"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15.7</w:t>
            </w:r>
          </w:p>
        </w:tc>
        <w:tc>
          <w:tcPr>
            <w:tcW w:w="1984" w:type="dxa"/>
          </w:tcPr>
          <w:p w14:paraId="50C376A1"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2.3 (-1.9, 6.5)</w:t>
            </w:r>
          </w:p>
        </w:tc>
      </w:tr>
      <w:tr w:rsidR="000527CF" w:rsidRPr="00C9494B" w14:paraId="297651D5" w14:textId="77777777" w:rsidTr="000527CF">
        <w:trPr>
          <w:trHeight w:val="300"/>
        </w:trPr>
        <w:tc>
          <w:tcPr>
            <w:tcW w:w="1985" w:type="dxa"/>
            <w:gridSpan w:val="2"/>
            <w:noWrap/>
            <w:vAlign w:val="center"/>
            <w:hideMark/>
          </w:tcPr>
          <w:p w14:paraId="39339DEB" w14:textId="77777777" w:rsidR="000527CF" w:rsidRPr="00F777EA" w:rsidRDefault="000527CF" w:rsidP="000527CF">
            <w:pPr>
              <w:spacing w:line="360" w:lineRule="auto"/>
              <w:rPr>
                <w:rFonts w:ascii="Calibri" w:eastAsia="Times New Roman" w:hAnsi="Calibri" w:cs="Calibri"/>
                <w:b/>
                <w:bCs/>
                <w:color w:val="000000"/>
                <w:sz w:val="20"/>
                <w:szCs w:val="20"/>
                <w:lang w:eastAsia="en-GB"/>
              </w:rPr>
            </w:pPr>
            <w:r w:rsidRPr="00F777EA">
              <w:rPr>
                <w:rFonts w:ascii="Calibri" w:eastAsia="Times New Roman" w:hAnsi="Calibri" w:cs="Calibri"/>
                <w:b/>
                <w:bCs/>
                <w:color w:val="000000"/>
                <w:sz w:val="20"/>
                <w:szCs w:val="20"/>
                <w:lang w:eastAsia="en-GB"/>
              </w:rPr>
              <w:lastRenderedPageBreak/>
              <w:t>Images taken</w:t>
            </w:r>
          </w:p>
        </w:tc>
        <w:tc>
          <w:tcPr>
            <w:tcW w:w="2835" w:type="dxa"/>
            <w:noWrap/>
            <w:vAlign w:val="center"/>
            <w:hideMark/>
          </w:tcPr>
          <w:p w14:paraId="0C3E07EE" w14:textId="77777777" w:rsidR="000527CF" w:rsidRPr="00F777EA" w:rsidRDefault="000527CF" w:rsidP="000527CF">
            <w:pPr>
              <w:spacing w:line="360" w:lineRule="auto"/>
              <w:rPr>
                <w:rFonts w:ascii="Calibri" w:eastAsia="Times New Roman" w:hAnsi="Calibri" w:cs="Calibri"/>
                <w:bCs/>
                <w:sz w:val="20"/>
                <w:szCs w:val="20"/>
                <w:lang w:eastAsia="en-GB"/>
              </w:rPr>
            </w:pPr>
            <w:r w:rsidRPr="00F777EA">
              <w:rPr>
                <w:rFonts w:ascii="Calibri" w:eastAsia="Times New Roman" w:hAnsi="Calibri" w:cs="Calibri"/>
                <w:bCs/>
                <w:sz w:val="20"/>
                <w:szCs w:val="20"/>
                <w:lang w:eastAsia="en-GB"/>
              </w:rPr>
              <w:t>Xray</w:t>
            </w:r>
          </w:p>
        </w:tc>
        <w:tc>
          <w:tcPr>
            <w:tcW w:w="709" w:type="dxa"/>
            <w:noWrap/>
            <w:vAlign w:val="center"/>
          </w:tcPr>
          <w:p w14:paraId="42C2FAD8"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1493</w:t>
            </w:r>
          </w:p>
        </w:tc>
        <w:tc>
          <w:tcPr>
            <w:tcW w:w="1134" w:type="dxa"/>
            <w:noWrap/>
            <w:vAlign w:val="center"/>
          </w:tcPr>
          <w:p w14:paraId="4D1E11F3"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82.4</w:t>
            </w:r>
          </w:p>
        </w:tc>
        <w:tc>
          <w:tcPr>
            <w:tcW w:w="567" w:type="dxa"/>
            <w:vAlign w:val="center"/>
          </w:tcPr>
          <w:p w14:paraId="15A37D2F"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490</w:t>
            </w:r>
          </w:p>
        </w:tc>
        <w:tc>
          <w:tcPr>
            <w:tcW w:w="1134" w:type="dxa"/>
            <w:noWrap/>
            <w:vAlign w:val="center"/>
          </w:tcPr>
          <w:p w14:paraId="3C0628C0"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84.6</w:t>
            </w:r>
          </w:p>
        </w:tc>
        <w:tc>
          <w:tcPr>
            <w:tcW w:w="1984" w:type="dxa"/>
          </w:tcPr>
          <w:p w14:paraId="53561BD3"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2.2 (-6.3, 10.7)</w:t>
            </w:r>
          </w:p>
        </w:tc>
      </w:tr>
      <w:tr w:rsidR="000527CF" w:rsidRPr="00C9494B" w14:paraId="19E39982" w14:textId="77777777" w:rsidTr="000527CF">
        <w:trPr>
          <w:trHeight w:val="300"/>
        </w:trPr>
        <w:tc>
          <w:tcPr>
            <w:tcW w:w="1985" w:type="dxa"/>
            <w:gridSpan w:val="2"/>
            <w:noWrap/>
            <w:vAlign w:val="center"/>
            <w:hideMark/>
          </w:tcPr>
          <w:p w14:paraId="3B2E2C99" w14:textId="77777777" w:rsidR="000527CF" w:rsidRPr="00F777EA" w:rsidRDefault="000527CF" w:rsidP="000527CF">
            <w:pPr>
              <w:spacing w:line="360" w:lineRule="auto"/>
              <w:rPr>
                <w:rFonts w:ascii="Calibri" w:eastAsia="Times New Roman" w:hAnsi="Calibri" w:cs="Calibri"/>
                <w:color w:val="000000"/>
                <w:sz w:val="20"/>
                <w:szCs w:val="20"/>
                <w:lang w:eastAsia="en-GB"/>
              </w:rPr>
            </w:pPr>
          </w:p>
        </w:tc>
        <w:tc>
          <w:tcPr>
            <w:tcW w:w="2835" w:type="dxa"/>
            <w:noWrap/>
            <w:vAlign w:val="center"/>
            <w:hideMark/>
          </w:tcPr>
          <w:p w14:paraId="7571C9B6" w14:textId="77777777" w:rsidR="000527CF" w:rsidRPr="00F777EA" w:rsidRDefault="000527CF" w:rsidP="000527CF">
            <w:pPr>
              <w:spacing w:line="360" w:lineRule="auto"/>
              <w:rPr>
                <w:rFonts w:ascii="Calibri" w:eastAsia="Times New Roman" w:hAnsi="Calibri" w:cs="Calibri"/>
                <w:bCs/>
                <w:sz w:val="20"/>
                <w:szCs w:val="20"/>
                <w:lang w:eastAsia="en-GB"/>
              </w:rPr>
            </w:pPr>
            <w:r w:rsidRPr="00F777EA">
              <w:rPr>
                <w:rFonts w:ascii="Calibri" w:eastAsia="Times New Roman" w:hAnsi="Calibri" w:cs="Calibri"/>
                <w:bCs/>
                <w:sz w:val="20"/>
                <w:szCs w:val="20"/>
                <w:lang w:eastAsia="en-GB"/>
              </w:rPr>
              <w:t>MRI*</w:t>
            </w:r>
          </w:p>
        </w:tc>
        <w:tc>
          <w:tcPr>
            <w:tcW w:w="709" w:type="dxa"/>
            <w:noWrap/>
            <w:vAlign w:val="center"/>
          </w:tcPr>
          <w:p w14:paraId="29544D0B"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1225</w:t>
            </w:r>
          </w:p>
        </w:tc>
        <w:tc>
          <w:tcPr>
            <w:tcW w:w="1134" w:type="dxa"/>
            <w:noWrap/>
            <w:vAlign w:val="center"/>
          </w:tcPr>
          <w:p w14:paraId="221C77A3"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67.6</w:t>
            </w:r>
          </w:p>
        </w:tc>
        <w:tc>
          <w:tcPr>
            <w:tcW w:w="567" w:type="dxa"/>
            <w:vAlign w:val="center"/>
          </w:tcPr>
          <w:p w14:paraId="39267D7C"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361</w:t>
            </w:r>
          </w:p>
        </w:tc>
        <w:tc>
          <w:tcPr>
            <w:tcW w:w="1134" w:type="dxa"/>
            <w:noWrap/>
            <w:vAlign w:val="center"/>
          </w:tcPr>
          <w:p w14:paraId="14A8CCA6"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62.3</w:t>
            </w:r>
          </w:p>
        </w:tc>
        <w:tc>
          <w:tcPr>
            <w:tcW w:w="1984" w:type="dxa"/>
          </w:tcPr>
          <w:p w14:paraId="2ABFC48A"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-5.3 (-12.7, 2.1)</w:t>
            </w:r>
          </w:p>
        </w:tc>
      </w:tr>
      <w:tr w:rsidR="000527CF" w:rsidRPr="00C9494B" w14:paraId="19D438F8" w14:textId="77777777" w:rsidTr="000527CF">
        <w:trPr>
          <w:trHeight w:val="300"/>
        </w:trPr>
        <w:tc>
          <w:tcPr>
            <w:tcW w:w="1985" w:type="dxa"/>
            <w:gridSpan w:val="2"/>
            <w:noWrap/>
            <w:vAlign w:val="center"/>
            <w:hideMark/>
          </w:tcPr>
          <w:p w14:paraId="4B84CC9E" w14:textId="77777777" w:rsidR="000527CF" w:rsidRPr="00F777EA" w:rsidRDefault="000527CF" w:rsidP="000527CF">
            <w:pPr>
              <w:spacing w:line="360" w:lineRule="auto"/>
              <w:rPr>
                <w:rFonts w:ascii="Calibri" w:eastAsia="Times New Roman" w:hAnsi="Calibri" w:cs="Calibri"/>
                <w:b/>
                <w:bCs/>
                <w:color w:val="000000"/>
                <w:sz w:val="20"/>
                <w:szCs w:val="20"/>
                <w:lang w:eastAsia="en-GB"/>
              </w:rPr>
            </w:pPr>
            <w:r w:rsidRPr="00F777EA">
              <w:rPr>
                <w:rFonts w:ascii="Calibri" w:eastAsia="Times New Roman" w:hAnsi="Calibri" w:cs="Calibri"/>
                <w:b/>
                <w:bCs/>
                <w:color w:val="000000"/>
                <w:sz w:val="20"/>
                <w:szCs w:val="20"/>
                <w:lang w:eastAsia="en-GB"/>
              </w:rPr>
              <w:t>ESM (history)</w:t>
            </w:r>
          </w:p>
        </w:tc>
        <w:tc>
          <w:tcPr>
            <w:tcW w:w="2835" w:type="dxa"/>
            <w:noWrap/>
            <w:vAlign w:val="center"/>
            <w:hideMark/>
          </w:tcPr>
          <w:p w14:paraId="40AAB2AC" w14:textId="77777777" w:rsidR="000527CF" w:rsidRPr="00F777EA" w:rsidRDefault="000527CF" w:rsidP="000527CF">
            <w:pPr>
              <w:spacing w:line="360" w:lineRule="auto"/>
              <w:rPr>
                <w:rFonts w:ascii="Calibri" w:eastAsia="Times New Roman" w:hAnsi="Calibri" w:cs="Calibri"/>
                <w:bCs/>
                <w:sz w:val="20"/>
                <w:szCs w:val="20"/>
                <w:lang w:eastAsia="en-GB"/>
              </w:rPr>
            </w:pPr>
            <w:r w:rsidRPr="00F777EA">
              <w:rPr>
                <w:rFonts w:ascii="Calibri" w:eastAsia="Times New Roman" w:hAnsi="Calibri" w:cs="Calibri"/>
                <w:bCs/>
                <w:sz w:val="20"/>
                <w:szCs w:val="20"/>
                <w:lang w:eastAsia="en-GB"/>
              </w:rPr>
              <w:t>Uveitis present</w:t>
            </w:r>
          </w:p>
        </w:tc>
        <w:tc>
          <w:tcPr>
            <w:tcW w:w="709" w:type="dxa"/>
            <w:noWrap/>
            <w:vAlign w:val="center"/>
          </w:tcPr>
          <w:p w14:paraId="6F955230"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433</w:t>
            </w:r>
          </w:p>
        </w:tc>
        <w:tc>
          <w:tcPr>
            <w:tcW w:w="1134" w:type="dxa"/>
            <w:noWrap/>
            <w:vAlign w:val="center"/>
          </w:tcPr>
          <w:p w14:paraId="4E7EF63F"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24.1</w:t>
            </w:r>
          </w:p>
        </w:tc>
        <w:tc>
          <w:tcPr>
            <w:tcW w:w="567" w:type="dxa"/>
            <w:vAlign w:val="center"/>
          </w:tcPr>
          <w:p w14:paraId="77B99DA2"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128</w:t>
            </w:r>
          </w:p>
        </w:tc>
        <w:tc>
          <w:tcPr>
            <w:tcW w:w="1134" w:type="dxa"/>
            <w:noWrap/>
            <w:vAlign w:val="center"/>
          </w:tcPr>
          <w:p w14:paraId="26E14C62"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22.3</w:t>
            </w:r>
          </w:p>
        </w:tc>
        <w:tc>
          <w:tcPr>
            <w:tcW w:w="1984" w:type="dxa"/>
          </w:tcPr>
          <w:p w14:paraId="2C3C213F"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-1.8 (-6.2, 2.6)</w:t>
            </w:r>
          </w:p>
        </w:tc>
      </w:tr>
      <w:tr w:rsidR="000527CF" w:rsidRPr="00C9494B" w14:paraId="05DC5A74" w14:textId="77777777" w:rsidTr="000527CF">
        <w:trPr>
          <w:trHeight w:val="300"/>
        </w:trPr>
        <w:tc>
          <w:tcPr>
            <w:tcW w:w="1985" w:type="dxa"/>
            <w:gridSpan w:val="2"/>
            <w:noWrap/>
            <w:vAlign w:val="center"/>
            <w:hideMark/>
          </w:tcPr>
          <w:p w14:paraId="7D9A35B7" w14:textId="77777777" w:rsidR="000527CF" w:rsidRPr="00F777EA" w:rsidRDefault="000527CF" w:rsidP="000527CF">
            <w:pPr>
              <w:spacing w:line="360" w:lineRule="auto"/>
              <w:rPr>
                <w:rFonts w:ascii="Calibri" w:eastAsia="Times New Roman" w:hAnsi="Calibri" w:cs="Calibri"/>
                <w:color w:val="000000"/>
                <w:sz w:val="20"/>
                <w:szCs w:val="20"/>
                <w:lang w:eastAsia="en-GB"/>
              </w:rPr>
            </w:pPr>
          </w:p>
        </w:tc>
        <w:tc>
          <w:tcPr>
            <w:tcW w:w="2835" w:type="dxa"/>
            <w:noWrap/>
            <w:vAlign w:val="center"/>
            <w:hideMark/>
          </w:tcPr>
          <w:p w14:paraId="200BB374" w14:textId="77777777" w:rsidR="000527CF" w:rsidRPr="00F777EA" w:rsidRDefault="000527CF" w:rsidP="000527CF">
            <w:pPr>
              <w:spacing w:line="360" w:lineRule="auto"/>
              <w:rPr>
                <w:rFonts w:ascii="Calibri" w:eastAsia="Times New Roman" w:hAnsi="Calibri" w:cs="Calibri"/>
                <w:bCs/>
                <w:sz w:val="20"/>
                <w:szCs w:val="20"/>
                <w:lang w:eastAsia="en-GB"/>
              </w:rPr>
            </w:pPr>
            <w:r w:rsidRPr="00F777EA">
              <w:rPr>
                <w:rFonts w:ascii="Calibri" w:eastAsia="Times New Roman" w:hAnsi="Calibri" w:cs="Calibri"/>
                <w:bCs/>
                <w:color w:val="000000"/>
                <w:sz w:val="20"/>
                <w:szCs w:val="20"/>
                <w:lang w:eastAsia="en-GB"/>
              </w:rPr>
              <w:t xml:space="preserve">Psoriasis </w:t>
            </w:r>
            <w:r w:rsidRPr="00F777EA">
              <w:rPr>
                <w:rFonts w:ascii="Calibri" w:eastAsia="Times New Roman" w:hAnsi="Calibri" w:cs="Calibri"/>
                <w:bCs/>
                <w:sz w:val="20"/>
                <w:szCs w:val="20"/>
                <w:lang w:eastAsia="en-GB"/>
              </w:rPr>
              <w:t>present</w:t>
            </w:r>
          </w:p>
        </w:tc>
        <w:tc>
          <w:tcPr>
            <w:tcW w:w="709" w:type="dxa"/>
            <w:noWrap/>
            <w:vAlign w:val="center"/>
          </w:tcPr>
          <w:p w14:paraId="7BF03A49"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203</w:t>
            </w:r>
          </w:p>
        </w:tc>
        <w:tc>
          <w:tcPr>
            <w:tcW w:w="1134" w:type="dxa"/>
            <w:noWrap/>
            <w:vAlign w:val="center"/>
          </w:tcPr>
          <w:p w14:paraId="49F8F7DB"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11.3</w:t>
            </w:r>
          </w:p>
        </w:tc>
        <w:tc>
          <w:tcPr>
            <w:tcW w:w="567" w:type="dxa"/>
            <w:vAlign w:val="center"/>
          </w:tcPr>
          <w:p w14:paraId="6F4977C7"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59</w:t>
            </w:r>
          </w:p>
        </w:tc>
        <w:tc>
          <w:tcPr>
            <w:tcW w:w="1134" w:type="dxa"/>
            <w:noWrap/>
            <w:vAlign w:val="center"/>
          </w:tcPr>
          <w:p w14:paraId="70850AB8"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10.3</w:t>
            </w:r>
          </w:p>
        </w:tc>
        <w:tc>
          <w:tcPr>
            <w:tcW w:w="1984" w:type="dxa"/>
          </w:tcPr>
          <w:p w14:paraId="3AF937BE"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-1.0 (-3.9, 1.9)</w:t>
            </w:r>
          </w:p>
        </w:tc>
      </w:tr>
      <w:tr w:rsidR="000527CF" w:rsidRPr="00C9494B" w14:paraId="197C455B" w14:textId="77777777" w:rsidTr="000527CF">
        <w:trPr>
          <w:trHeight w:val="300"/>
        </w:trPr>
        <w:tc>
          <w:tcPr>
            <w:tcW w:w="1985" w:type="dxa"/>
            <w:gridSpan w:val="2"/>
            <w:noWrap/>
            <w:vAlign w:val="center"/>
          </w:tcPr>
          <w:p w14:paraId="7186D33A" w14:textId="77777777" w:rsidR="000527CF" w:rsidRPr="00F777EA" w:rsidRDefault="000527CF" w:rsidP="000527CF">
            <w:pPr>
              <w:spacing w:line="360" w:lineRule="auto"/>
              <w:rPr>
                <w:rFonts w:ascii="Calibri" w:eastAsia="Times New Roman" w:hAnsi="Calibri" w:cs="Calibri"/>
                <w:b/>
                <w:bCs/>
                <w:color w:val="000000"/>
                <w:sz w:val="20"/>
                <w:szCs w:val="20"/>
                <w:lang w:eastAsia="en-GB"/>
              </w:rPr>
            </w:pPr>
          </w:p>
        </w:tc>
        <w:tc>
          <w:tcPr>
            <w:tcW w:w="2835" w:type="dxa"/>
            <w:noWrap/>
            <w:vAlign w:val="center"/>
          </w:tcPr>
          <w:p w14:paraId="5C625606" w14:textId="77777777" w:rsidR="000527CF" w:rsidRPr="00F777EA" w:rsidRDefault="000527CF" w:rsidP="000527CF">
            <w:pPr>
              <w:spacing w:line="360" w:lineRule="auto"/>
              <w:rPr>
                <w:rFonts w:ascii="Calibri" w:eastAsia="Times New Roman" w:hAnsi="Calibri" w:cs="Calibri"/>
                <w:bCs/>
                <w:sz w:val="20"/>
                <w:szCs w:val="20"/>
                <w:lang w:eastAsia="en-GB"/>
              </w:rPr>
            </w:pPr>
            <w:r w:rsidRPr="00F777EA">
              <w:rPr>
                <w:rFonts w:ascii="Calibri" w:eastAsia="Times New Roman" w:hAnsi="Calibri" w:cs="Calibri"/>
                <w:bCs/>
                <w:color w:val="000000"/>
                <w:sz w:val="20"/>
                <w:szCs w:val="20"/>
                <w:lang w:eastAsia="en-GB"/>
              </w:rPr>
              <w:t xml:space="preserve">IBD </w:t>
            </w:r>
            <w:r w:rsidRPr="00F777EA">
              <w:rPr>
                <w:rFonts w:ascii="Calibri" w:eastAsia="Times New Roman" w:hAnsi="Calibri" w:cs="Calibri"/>
                <w:bCs/>
                <w:sz w:val="20"/>
                <w:szCs w:val="20"/>
                <w:lang w:eastAsia="en-GB"/>
              </w:rPr>
              <w:t>present</w:t>
            </w:r>
          </w:p>
        </w:tc>
        <w:tc>
          <w:tcPr>
            <w:tcW w:w="709" w:type="dxa"/>
            <w:noWrap/>
            <w:vAlign w:val="center"/>
          </w:tcPr>
          <w:p w14:paraId="438B0B0E"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190</w:t>
            </w:r>
          </w:p>
        </w:tc>
        <w:tc>
          <w:tcPr>
            <w:tcW w:w="1134" w:type="dxa"/>
            <w:noWrap/>
            <w:vAlign w:val="center"/>
          </w:tcPr>
          <w:p w14:paraId="483400FC"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10.6</w:t>
            </w:r>
          </w:p>
        </w:tc>
        <w:tc>
          <w:tcPr>
            <w:tcW w:w="567" w:type="dxa"/>
            <w:vAlign w:val="center"/>
          </w:tcPr>
          <w:p w14:paraId="0E16A8C7"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54</w:t>
            </w:r>
          </w:p>
        </w:tc>
        <w:tc>
          <w:tcPr>
            <w:tcW w:w="1134" w:type="dxa"/>
            <w:noWrap/>
            <w:vAlign w:val="center"/>
          </w:tcPr>
          <w:p w14:paraId="16559CFB"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9.4</w:t>
            </w:r>
          </w:p>
        </w:tc>
        <w:tc>
          <w:tcPr>
            <w:tcW w:w="1984" w:type="dxa"/>
          </w:tcPr>
          <w:p w14:paraId="6D7415FC"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-1.2 (-4.0, 1.6)</w:t>
            </w:r>
          </w:p>
        </w:tc>
      </w:tr>
      <w:tr w:rsidR="000527CF" w:rsidRPr="00C9494B" w14:paraId="50FC03E2" w14:textId="77777777" w:rsidTr="000527CF">
        <w:trPr>
          <w:trHeight w:val="300"/>
        </w:trPr>
        <w:tc>
          <w:tcPr>
            <w:tcW w:w="1985" w:type="dxa"/>
            <w:gridSpan w:val="2"/>
            <w:noWrap/>
            <w:vAlign w:val="center"/>
          </w:tcPr>
          <w:p w14:paraId="4F7D819C" w14:textId="77777777" w:rsidR="000527CF" w:rsidRPr="00F777EA" w:rsidRDefault="000527CF" w:rsidP="000527CF">
            <w:pPr>
              <w:spacing w:line="360" w:lineRule="auto"/>
              <w:rPr>
                <w:rFonts w:ascii="Calibri" w:eastAsia="Times New Roman" w:hAnsi="Calibri" w:cs="Calibri"/>
                <w:color w:val="000000"/>
                <w:sz w:val="20"/>
                <w:szCs w:val="20"/>
                <w:lang w:eastAsia="en-GB"/>
              </w:rPr>
            </w:pPr>
          </w:p>
        </w:tc>
        <w:tc>
          <w:tcPr>
            <w:tcW w:w="2835" w:type="dxa"/>
            <w:noWrap/>
            <w:vAlign w:val="center"/>
          </w:tcPr>
          <w:p w14:paraId="1CE21770" w14:textId="77777777" w:rsidR="000527CF" w:rsidRPr="00F777EA" w:rsidRDefault="000527CF" w:rsidP="000527CF">
            <w:pPr>
              <w:spacing w:line="360" w:lineRule="auto"/>
              <w:rPr>
                <w:rFonts w:ascii="Calibri" w:eastAsia="Times New Roman" w:hAnsi="Calibri" w:cs="Calibri"/>
                <w:bCs/>
                <w:sz w:val="20"/>
                <w:szCs w:val="20"/>
                <w:lang w:eastAsia="en-GB"/>
              </w:rPr>
            </w:pPr>
            <w:r w:rsidRPr="00F777EA">
              <w:rPr>
                <w:rFonts w:ascii="Calibri" w:eastAsia="Times New Roman" w:hAnsi="Calibri" w:cs="Calibri"/>
                <w:bCs/>
                <w:color w:val="000000"/>
                <w:sz w:val="20"/>
                <w:szCs w:val="20"/>
                <w:lang w:eastAsia="en-GB"/>
              </w:rPr>
              <w:t xml:space="preserve">Dactylitis </w:t>
            </w:r>
            <w:r w:rsidRPr="00F777EA">
              <w:rPr>
                <w:rFonts w:ascii="Calibri" w:eastAsia="Times New Roman" w:hAnsi="Calibri" w:cs="Calibri"/>
                <w:bCs/>
                <w:sz w:val="20"/>
                <w:szCs w:val="20"/>
                <w:lang w:eastAsia="en-GB"/>
              </w:rPr>
              <w:t>present</w:t>
            </w:r>
          </w:p>
        </w:tc>
        <w:tc>
          <w:tcPr>
            <w:tcW w:w="709" w:type="dxa"/>
            <w:noWrap/>
            <w:vAlign w:val="center"/>
          </w:tcPr>
          <w:p w14:paraId="28A9EE65"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69</w:t>
            </w:r>
          </w:p>
        </w:tc>
        <w:tc>
          <w:tcPr>
            <w:tcW w:w="1134" w:type="dxa"/>
            <w:noWrap/>
            <w:vAlign w:val="center"/>
          </w:tcPr>
          <w:p w14:paraId="1A2B4FD7"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3.8</w:t>
            </w:r>
          </w:p>
        </w:tc>
        <w:tc>
          <w:tcPr>
            <w:tcW w:w="567" w:type="dxa"/>
            <w:vAlign w:val="center"/>
          </w:tcPr>
          <w:p w14:paraId="0AA2B8F6"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25</w:t>
            </w:r>
          </w:p>
        </w:tc>
        <w:tc>
          <w:tcPr>
            <w:tcW w:w="1134" w:type="dxa"/>
            <w:noWrap/>
            <w:vAlign w:val="center"/>
          </w:tcPr>
          <w:p w14:paraId="1F9E5E48"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4.3</w:t>
            </w:r>
          </w:p>
        </w:tc>
        <w:tc>
          <w:tcPr>
            <w:tcW w:w="1984" w:type="dxa"/>
          </w:tcPr>
          <w:p w14:paraId="1993AA61"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0.5 (-1.2, 2.2)</w:t>
            </w:r>
          </w:p>
        </w:tc>
      </w:tr>
      <w:tr w:rsidR="000527CF" w:rsidRPr="00C9494B" w14:paraId="53E5D360" w14:textId="77777777" w:rsidTr="000527CF">
        <w:trPr>
          <w:trHeight w:val="300"/>
        </w:trPr>
        <w:tc>
          <w:tcPr>
            <w:tcW w:w="1985" w:type="dxa"/>
            <w:gridSpan w:val="2"/>
            <w:noWrap/>
            <w:vAlign w:val="center"/>
            <w:hideMark/>
          </w:tcPr>
          <w:p w14:paraId="6F2DDB3A" w14:textId="77777777" w:rsidR="000527CF" w:rsidRPr="00F777EA" w:rsidRDefault="000527CF" w:rsidP="000527CF">
            <w:pPr>
              <w:spacing w:line="360" w:lineRule="auto"/>
              <w:rPr>
                <w:rFonts w:ascii="Calibri" w:eastAsia="Times New Roman" w:hAnsi="Calibri" w:cs="Calibri"/>
                <w:b/>
                <w:bCs/>
                <w:color w:val="000000"/>
                <w:sz w:val="20"/>
                <w:szCs w:val="20"/>
                <w:lang w:eastAsia="en-GB"/>
              </w:rPr>
            </w:pPr>
          </w:p>
        </w:tc>
        <w:tc>
          <w:tcPr>
            <w:tcW w:w="2835" w:type="dxa"/>
            <w:noWrap/>
            <w:vAlign w:val="center"/>
            <w:hideMark/>
          </w:tcPr>
          <w:p w14:paraId="4D403003" w14:textId="77777777" w:rsidR="000527CF" w:rsidRPr="00F777EA" w:rsidRDefault="000527CF" w:rsidP="000527CF">
            <w:pPr>
              <w:spacing w:line="360" w:lineRule="auto"/>
              <w:rPr>
                <w:rFonts w:ascii="Calibri" w:eastAsia="Times New Roman" w:hAnsi="Calibri" w:cs="Calibri"/>
                <w:bCs/>
                <w:sz w:val="20"/>
                <w:szCs w:val="20"/>
                <w:lang w:eastAsia="en-GB"/>
              </w:rPr>
            </w:pPr>
            <w:r w:rsidRPr="00F777EA">
              <w:rPr>
                <w:rFonts w:ascii="Calibri" w:eastAsia="Times New Roman" w:hAnsi="Calibri" w:cs="Calibri"/>
                <w:bCs/>
                <w:color w:val="000000"/>
                <w:sz w:val="20"/>
                <w:szCs w:val="20"/>
                <w:lang w:eastAsia="en-GB"/>
              </w:rPr>
              <w:t xml:space="preserve">Enthesitis </w:t>
            </w:r>
            <w:r w:rsidRPr="00F777EA">
              <w:rPr>
                <w:rFonts w:ascii="Calibri" w:eastAsia="Times New Roman" w:hAnsi="Calibri" w:cs="Calibri"/>
                <w:bCs/>
                <w:sz w:val="20"/>
                <w:szCs w:val="20"/>
                <w:lang w:eastAsia="en-GB"/>
              </w:rPr>
              <w:t>present</w:t>
            </w:r>
          </w:p>
        </w:tc>
        <w:tc>
          <w:tcPr>
            <w:tcW w:w="709" w:type="dxa"/>
            <w:noWrap/>
            <w:vAlign w:val="center"/>
          </w:tcPr>
          <w:p w14:paraId="327ECB51"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174</w:t>
            </w:r>
          </w:p>
        </w:tc>
        <w:tc>
          <w:tcPr>
            <w:tcW w:w="1134" w:type="dxa"/>
            <w:noWrap/>
            <w:vAlign w:val="center"/>
          </w:tcPr>
          <w:p w14:paraId="454AAF4D"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9.9</w:t>
            </w:r>
          </w:p>
        </w:tc>
        <w:tc>
          <w:tcPr>
            <w:tcW w:w="567" w:type="dxa"/>
            <w:vAlign w:val="center"/>
          </w:tcPr>
          <w:p w14:paraId="5D3404BF"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65</w:t>
            </w:r>
          </w:p>
        </w:tc>
        <w:tc>
          <w:tcPr>
            <w:tcW w:w="1134" w:type="dxa"/>
            <w:noWrap/>
            <w:vAlign w:val="center"/>
          </w:tcPr>
          <w:p w14:paraId="2FA7032E"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11.3</w:t>
            </w:r>
          </w:p>
        </w:tc>
        <w:tc>
          <w:tcPr>
            <w:tcW w:w="1984" w:type="dxa"/>
          </w:tcPr>
          <w:p w14:paraId="3531D5DA"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1.4 (-1.36, 4.4)</w:t>
            </w:r>
          </w:p>
        </w:tc>
      </w:tr>
      <w:tr w:rsidR="000527CF" w:rsidRPr="00C9494B" w14:paraId="101E5BCC" w14:textId="77777777" w:rsidTr="000527CF">
        <w:trPr>
          <w:trHeight w:val="300"/>
        </w:trPr>
        <w:tc>
          <w:tcPr>
            <w:tcW w:w="1985" w:type="dxa"/>
            <w:gridSpan w:val="2"/>
            <w:noWrap/>
            <w:vAlign w:val="center"/>
            <w:hideMark/>
          </w:tcPr>
          <w:p w14:paraId="32EAF925" w14:textId="77777777" w:rsidR="000527CF" w:rsidRPr="00F777EA" w:rsidRDefault="000527CF" w:rsidP="000527CF">
            <w:pPr>
              <w:spacing w:line="360" w:lineRule="auto"/>
              <w:rPr>
                <w:rFonts w:ascii="Calibri" w:eastAsia="Times New Roman" w:hAnsi="Calibri" w:cs="Calibri"/>
                <w:color w:val="000000"/>
                <w:sz w:val="20"/>
                <w:szCs w:val="20"/>
                <w:lang w:eastAsia="en-GB"/>
              </w:rPr>
            </w:pPr>
          </w:p>
        </w:tc>
        <w:tc>
          <w:tcPr>
            <w:tcW w:w="2835" w:type="dxa"/>
            <w:noWrap/>
            <w:vAlign w:val="center"/>
            <w:hideMark/>
          </w:tcPr>
          <w:p w14:paraId="7B64D029" w14:textId="77777777" w:rsidR="000527CF" w:rsidRPr="00F777EA" w:rsidRDefault="000527CF" w:rsidP="000527CF">
            <w:pPr>
              <w:spacing w:line="360" w:lineRule="auto"/>
              <w:rPr>
                <w:rFonts w:ascii="Calibri" w:eastAsia="Times New Roman" w:hAnsi="Calibri" w:cs="Calibri"/>
                <w:bCs/>
                <w:sz w:val="20"/>
                <w:szCs w:val="20"/>
                <w:lang w:eastAsia="en-GB"/>
              </w:rPr>
            </w:pPr>
            <w:r w:rsidRPr="00F777EA">
              <w:rPr>
                <w:rFonts w:ascii="Calibri" w:eastAsia="Times New Roman" w:hAnsi="Calibri" w:cs="Calibri"/>
                <w:bCs/>
                <w:color w:val="000000"/>
                <w:sz w:val="20"/>
                <w:szCs w:val="20"/>
                <w:lang w:eastAsia="en-GB"/>
              </w:rPr>
              <w:t>PJD present</w:t>
            </w:r>
          </w:p>
        </w:tc>
        <w:tc>
          <w:tcPr>
            <w:tcW w:w="709" w:type="dxa"/>
            <w:noWrap/>
            <w:vAlign w:val="center"/>
          </w:tcPr>
          <w:p w14:paraId="6592BF49"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320</w:t>
            </w:r>
          </w:p>
        </w:tc>
        <w:tc>
          <w:tcPr>
            <w:tcW w:w="1134" w:type="dxa"/>
            <w:noWrap/>
            <w:vAlign w:val="center"/>
          </w:tcPr>
          <w:p w14:paraId="49C1403D"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17.8</w:t>
            </w:r>
          </w:p>
        </w:tc>
        <w:tc>
          <w:tcPr>
            <w:tcW w:w="567" w:type="dxa"/>
            <w:vAlign w:val="center"/>
          </w:tcPr>
          <w:p w14:paraId="15CA5382"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116</w:t>
            </w:r>
          </w:p>
        </w:tc>
        <w:tc>
          <w:tcPr>
            <w:tcW w:w="1134" w:type="dxa"/>
            <w:noWrap/>
            <w:vAlign w:val="center"/>
          </w:tcPr>
          <w:p w14:paraId="0DF2528F" w14:textId="77777777" w:rsidR="000527CF" w:rsidRPr="00F777EA" w:rsidRDefault="000527CF" w:rsidP="000527CF">
            <w:pPr>
              <w:spacing w:line="360" w:lineRule="auto"/>
              <w:jc w:val="center"/>
              <w:rPr>
                <w:rFonts w:ascii="Calibri" w:hAnsi="Calibri"/>
                <w:color w:val="000000"/>
                <w:sz w:val="20"/>
                <w:szCs w:val="20"/>
              </w:rPr>
            </w:pPr>
            <w:r w:rsidRPr="00F777EA">
              <w:rPr>
                <w:rFonts w:ascii="Calibri" w:hAnsi="Calibri"/>
                <w:color w:val="000000"/>
                <w:sz w:val="20"/>
                <w:szCs w:val="20"/>
              </w:rPr>
              <w:t>20.2</w:t>
            </w:r>
          </w:p>
        </w:tc>
        <w:tc>
          <w:tcPr>
            <w:tcW w:w="1984" w:type="dxa"/>
          </w:tcPr>
          <w:p w14:paraId="2455F17F" w14:textId="77777777" w:rsidR="000527CF" w:rsidRPr="00F777EA" w:rsidRDefault="000527CF" w:rsidP="000527CF">
            <w:pPr>
              <w:spacing w:line="360" w:lineRule="auto"/>
              <w:jc w:val="center"/>
              <w:rPr>
                <w:rFonts w:ascii="Calibri" w:hAnsi="Calibri"/>
                <w:color w:val="000000"/>
                <w:sz w:val="20"/>
                <w:szCs w:val="20"/>
              </w:rPr>
            </w:pPr>
            <w:r>
              <w:rPr>
                <w:rFonts w:ascii="Calibri" w:hAnsi="Calibri"/>
                <w:color w:val="000000"/>
                <w:sz w:val="20"/>
                <w:szCs w:val="20"/>
              </w:rPr>
              <w:t>2.4 (-1.7, 6.5)</w:t>
            </w:r>
          </w:p>
        </w:tc>
      </w:tr>
      <w:tr w:rsidR="000527CF" w:rsidRPr="00C9494B" w14:paraId="513682A6" w14:textId="77777777" w:rsidTr="000527CF">
        <w:trPr>
          <w:trHeight w:val="300"/>
        </w:trPr>
        <w:tc>
          <w:tcPr>
            <w:tcW w:w="8364" w:type="dxa"/>
            <w:gridSpan w:val="7"/>
            <w:noWrap/>
            <w:vAlign w:val="center"/>
          </w:tcPr>
          <w:p w14:paraId="77B45F99" w14:textId="77777777" w:rsidR="000527CF" w:rsidRPr="00F777EA" w:rsidRDefault="000527CF" w:rsidP="000527CF">
            <w:pPr>
              <w:spacing w:line="360" w:lineRule="auto"/>
              <w:rPr>
                <w:b/>
                <w:bCs/>
                <w:sz w:val="20"/>
                <w:szCs w:val="20"/>
              </w:rPr>
            </w:pPr>
            <w:r w:rsidRPr="00F777EA">
              <w:rPr>
                <w:sz w:val="20"/>
                <w:szCs w:val="20"/>
              </w:rPr>
              <w:t>Patient reported characteristics</w:t>
            </w:r>
          </w:p>
        </w:tc>
        <w:tc>
          <w:tcPr>
            <w:tcW w:w="1984" w:type="dxa"/>
          </w:tcPr>
          <w:p w14:paraId="5DC45D27" w14:textId="77777777" w:rsidR="000527CF" w:rsidRPr="00F777EA" w:rsidRDefault="000527CF" w:rsidP="000527CF">
            <w:pPr>
              <w:spacing w:line="360" w:lineRule="auto"/>
              <w:rPr>
                <w:sz w:val="20"/>
                <w:szCs w:val="20"/>
              </w:rPr>
            </w:pPr>
          </w:p>
        </w:tc>
      </w:tr>
      <w:tr w:rsidR="000527CF" w:rsidRPr="00C9494B" w14:paraId="2FCD6010" w14:textId="77777777" w:rsidTr="000527CF">
        <w:trPr>
          <w:trHeight w:val="300"/>
        </w:trPr>
        <w:tc>
          <w:tcPr>
            <w:tcW w:w="1985" w:type="dxa"/>
            <w:gridSpan w:val="2"/>
            <w:noWrap/>
            <w:vAlign w:val="center"/>
          </w:tcPr>
          <w:p w14:paraId="333F0035" w14:textId="77777777" w:rsidR="000527CF" w:rsidRPr="00F777EA" w:rsidRDefault="000527CF" w:rsidP="000527CF">
            <w:pPr>
              <w:spacing w:line="360" w:lineRule="auto"/>
              <w:rPr>
                <w:rFonts w:ascii="Calibri" w:eastAsia="Times New Roman" w:hAnsi="Calibri" w:cs="Calibri"/>
                <w:b/>
                <w:bCs/>
                <w:color w:val="000000"/>
                <w:sz w:val="20"/>
                <w:szCs w:val="20"/>
                <w:lang w:eastAsia="en-GB"/>
              </w:rPr>
            </w:pPr>
          </w:p>
        </w:tc>
        <w:tc>
          <w:tcPr>
            <w:tcW w:w="2835" w:type="dxa"/>
            <w:noWrap/>
            <w:vAlign w:val="center"/>
          </w:tcPr>
          <w:p w14:paraId="12F7CC4B" w14:textId="77777777" w:rsidR="000527CF" w:rsidRPr="00F777EA" w:rsidRDefault="000527CF" w:rsidP="000527CF">
            <w:pPr>
              <w:spacing w:line="360" w:lineRule="auto"/>
              <w:rPr>
                <w:rFonts w:ascii="Calibri" w:eastAsia="Times New Roman" w:hAnsi="Calibri" w:cs="Calibri"/>
                <w:sz w:val="20"/>
                <w:szCs w:val="20"/>
                <w:lang w:eastAsia="en-GB"/>
              </w:rPr>
            </w:pPr>
          </w:p>
        </w:tc>
        <w:tc>
          <w:tcPr>
            <w:tcW w:w="709" w:type="dxa"/>
            <w:noWrap/>
            <w:vAlign w:val="center"/>
          </w:tcPr>
          <w:p w14:paraId="47652752" w14:textId="77777777" w:rsidR="000527CF" w:rsidRPr="00F777EA" w:rsidRDefault="000527CF" w:rsidP="000527CF">
            <w:pPr>
              <w:spacing w:line="360" w:lineRule="auto"/>
              <w:jc w:val="center"/>
              <w:rPr>
                <w:b/>
                <w:bCs/>
                <w:sz w:val="20"/>
                <w:szCs w:val="20"/>
              </w:rPr>
            </w:pPr>
            <w:r w:rsidRPr="00F777EA">
              <w:rPr>
                <w:b/>
                <w:bCs/>
                <w:sz w:val="20"/>
                <w:szCs w:val="20"/>
              </w:rPr>
              <w:t>N.</w:t>
            </w:r>
          </w:p>
        </w:tc>
        <w:tc>
          <w:tcPr>
            <w:tcW w:w="1134" w:type="dxa"/>
            <w:noWrap/>
            <w:vAlign w:val="center"/>
          </w:tcPr>
          <w:p w14:paraId="0EA258F9" w14:textId="60ED4794" w:rsidR="000527CF" w:rsidRPr="00F777EA" w:rsidRDefault="000527CF" w:rsidP="000527CF">
            <w:pPr>
              <w:spacing w:line="360" w:lineRule="auto"/>
              <w:jc w:val="center"/>
              <w:rPr>
                <w:b/>
                <w:bCs/>
                <w:sz w:val="20"/>
                <w:szCs w:val="20"/>
              </w:rPr>
            </w:pPr>
            <w:r>
              <w:rPr>
                <w:b/>
                <w:bCs/>
                <w:sz w:val="20"/>
                <w:szCs w:val="20"/>
              </w:rPr>
              <w:t>mean</w:t>
            </w:r>
            <w:r w:rsidR="001F7D2C">
              <w:rPr>
                <w:b/>
                <w:bCs/>
                <w:sz w:val="20"/>
                <w:szCs w:val="20"/>
              </w:rPr>
              <w:t xml:space="preserve"> (SD)</w:t>
            </w:r>
          </w:p>
        </w:tc>
        <w:tc>
          <w:tcPr>
            <w:tcW w:w="567" w:type="dxa"/>
            <w:vAlign w:val="center"/>
          </w:tcPr>
          <w:p w14:paraId="053BF651" w14:textId="77777777" w:rsidR="000527CF" w:rsidRPr="00F777EA" w:rsidRDefault="000527CF" w:rsidP="000527CF">
            <w:pPr>
              <w:spacing w:line="360" w:lineRule="auto"/>
              <w:jc w:val="center"/>
              <w:rPr>
                <w:b/>
                <w:bCs/>
                <w:sz w:val="20"/>
                <w:szCs w:val="20"/>
              </w:rPr>
            </w:pPr>
            <w:r w:rsidRPr="00F777EA">
              <w:rPr>
                <w:b/>
                <w:bCs/>
                <w:sz w:val="20"/>
                <w:szCs w:val="20"/>
              </w:rPr>
              <w:t>N.</w:t>
            </w:r>
          </w:p>
        </w:tc>
        <w:tc>
          <w:tcPr>
            <w:tcW w:w="1134" w:type="dxa"/>
            <w:noWrap/>
            <w:vAlign w:val="center"/>
          </w:tcPr>
          <w:p w14:paraId="68653B31" w14:textId="55BD90DF" w:rsidR="000527CF" w:rsidRPr="00F777EA" w:rsidRDefault="000527CF" w:rsidP="000527CF">
            <w:pPr>
              <w:spacing w:line="360" w:lineRule="auto"/>
              <w:jc w:val="center"/>
              <w:rPr>
                <w:b/>
                <w:bCs/>
                <w:sz w:val="20"/>
                <w:szCs w:val="20"/>
              </w:rPr>
            </w:pPr>
            <w:r>
              <w:rPr>
                <w:b/>
                <w:bCs/>
                <w:sz w:val="20"/>
                <w:szCs w:val="20"/>
              </w:rPr>
              <w:t>mean</w:t>
            </w:r>
            <w:r w:rsidR="001F7D2C">
              <w:rPr>
                <w:b/>
                <w:bCs/>
                <w:sz w:val="20"/>
                <w:szCs w:val="20"/>
              </w:rPr>
              <w:t xml:space="preserve"> (SD)</w:t>
            </w:r>
          </w:p>
        </w:tc>
        <w:tc>
          <w:tcPr>
            <w:tcW w:w="1984" w:type="dxa"/>
          </w:tcPr>
          <w:p w14:paraId="0E9CC8BB" w14:textId="77777777" w:rsidR="000527CF" w:rsidRPr="00F777EA" w:rsidRDefault="000527CF" w:rsidP="000527CF">
            <w:pPr>
              <w:spacing w:line="360" w:lineRule="auto"/>
              <w:jc w:val="center"/>
              <w:rPr>
                <w:b/>
                <w:bCs/>
                <w:sz w:val="20"/>
                <w:szCs w:val="20"/>
              </w:rPr>
            </w:pPr>
            <w:r>
              <w:rPr>
                <w:b/>
                <w:bCs/>
                <w:sz w:val="20"/>
                <w:szCs w:val="20"/>
              </w:rPr>
              <w:t>mean diff (95% CI)</w:t>
            </w:r>
          </w:p>
        </w:tc>
      </w:tr>
      <w:tr w:rsidR="000527CF" w:rsidRPr="00C9494B" w14:paraId="7565915F" w14:textId="77777777" w:rsidTr="000527CF">
        <w:trPr>
          <w:trHeight w:val="300"/>
        </w:trPr>
        <w:tc>
          <w:tcPr>
            <w:tcW w:w="1985" w:type="dxa"/>
            <w:gridSpan w:val="2"/>
            <w:noWrap/>
            <w:vAlign w:val="center"/>
          </w:tcPr>
          <w:p w14:paraId="74EB0D24" w14:textId="77777777" w:rsidR="000527CF" w:rsidRPr="00F777EA" w:rsidRDefault="000527CF" w:rsidP="000527CF">
            <w:pPr>
              <w:spacing w:line="360" w:lineRule="auto"/>
              <w:rPr>
                <w:rFonts w:ascii="Calibri" w:eastAsia="Times New Roman" w:hAnsi="Calibri" w:cs="Calibri"/>
                <w:b/>
                <w:bCs/>
                <w:color w:val="000000"/>
                <w:sz w:val="20"/>
                <w:szCs w:val="20"/>
                <w:lang w:eastAsia="en-GB"/>
              </w:rPr>
            </w:pPr>
            <w:r w:rsidRPr="00F777EA">
              <w:rPr>
                <w:rFonts w:ascii="Calibri" w:eastAsia="Times New Roman" w:hAnsi="Calibri" w:cs="Calibri"/>
                <w:b/>
                <w:bCs/>
                <w:color w:val="000000"/>
                <w:sz w:val="20"/>
                <w:szCs w:val="20"/>
                <w:lang w:eastAsia="en-GB"/>
              </w:rPr>
              <w:t>Referral delay</w:t>
            </w:r>
          </w:p>
        </w:tc>
        <w:tc>
          <w:tcPr>
            <w:tcW w:w="2835" w:type="dxa"/>
            <w:noWrap/>
            <w:vAlign w:val="center"/>
          </w:tcPr>
          <w:p w14:paraId="78641B48" w14:textId="1DB4E69D" w:rsidR="000527CF" w:rsidRPr="00F777EA" w:rsidRDefault="001A2E0B" w:rsidP="000527CF">
            <w:pPr>
              <w:spacing w:line="360" w:lineRule="auto"/>
              <w:rPr>
                <w:rFonts w:ascii="Calibri" w:eastAsia="Times New Roman" w:hAnsi="Calibri" w:cs="Calibri"/>
                <w:sz w:val="20"/>
                <w:szCs w:val="20"/>
                <w:lang w:eastAsia="en-GB"/>
              </w:rPr>
            </w:pPr>
            <w:r w:rsidRPr="00F777EA">
              <w:rPr>
                <w:rFonts w:ascii="Calibri" w:eastAsia="Times New Roman" w:hAnsi="Calibri" w:cs="Calibri"/>
                <w:sz w:val="20"/>
                <w:szCs w:val="20"/>
                <w:lang w:eastAsia="en-GB"/>
              </w:rPr>
              <w:t>Y</w:t>
            </w:r>
            <w:r w:rsidR="000527CF" w:rsidRPr="00F777EA">
              <w:rPr>
                <w:rFonts w:ascii="Calibri" w:eastAsia="Times New Roman" w:hAnsi="Calibri" w:cs="Calibri"/>
                <w:sz w:val="20"/>
                <w:szCs w:val="20"/>
                <w:lang w:eastAsia="en-GB"/>
              </w:rPr>
              <w:t>ears</w:t>
            </w:r>
          </w:p>
        </w:tc>
        <w:tc>
          <w:tcPr>
            <w:tcW w:w="709" w:type="dxa"/>
            <w:noWrap/>
            <w:vAlign w:val="center"/>
          </w:tcPr>
          <w:p w14:paraId="33778714"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1784</w:t>
            </w:r>
          </w:p>
        </w:tc>
        <w:tc>
          <w:tcPr>
            <w:tcW w:w="1134" w:type="dxa"/>
            <w:noWrap/>
            <w:vAlign w:val="center"/>
          </w:tcPr>
          <w:p w14:paraId="0B85CFBA" w14:textId="6D07FD37" w:rsidR="000527CF" w:rsidRPr="00F777EA" w:rsidRDefault="000527CF" w:rsidP="000527CF">
            <w:pPr>
              <w:spacing w:line="36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7.8</w:t>
            </w:r>
            <w:r w:rsidR="00BE3ED3">
              <w:rPr>
                <w:rFonts w:ascii="Calibri" w:hAnsi="Calibri" w:cs="Calibri"/>
                <w:color w:val="000000"/>
                <w:sz w:val="20"/>
                <w:szCs w:val="20"/>
              </w:rPr>
              <w:t xml:space="preserve"> (</w:t>
            </w:r>
            <w:r w:rsidR="00FB619D">
              <w:rPr>
                <w:rFonts w:ascii="Calibri" w:hAnsi="Calibri" w:cs="Calibri"/>
                <w:color w:val="000000"/>
                <w:sz w:val="20"/>
                <w:szCs w:val="20"/>
              </w:rPr>
              <w:t>9.8)</w:t>
            </w:r>
          </w:p>
        </w:tc>
        <w:tc>
          <w:tcPr>
            <w:tcW w:w="567" w:type="dxa"/>
            <w:vAlign w:val="center"/>
          </w:tcPr>
          <w:p w14:paraId="277ED4A9"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571</w:t>
            </w:r>
          </w:p>
        </w:tc>
        <w:tc>
          <w:tcPr>
            <w:tcW w:w="1134" w:type="dxa"/>
            <w:noWrap/>
            <w:vAlign w:val="center"/>
          </w:tcPr>
          <w:p w14:paraId="47B112D0" w14:textId="4A4EFB7F" w:rsidR="000527CF" w:rsidRPr="00F777EA" w:rsidRDefault="000527CF" w:rsidP="000527CF">
            <w:pPr>
              <w:spacing w:line="36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8.6</w:t>
            </w:r>
            <w:r w:rsidR="00FE3FB6">
              <w:rPr>
                <w:rFonts w:ascii="Calibri" w:hAnsi="Calibri" w:cs="Calibri"/>
                <w:color w:val="000000"/>
                <w:sz w:val="20"/>
                <w:szCs w:val="20"/>
              </w:rPr>
              <w:t xml:space="preserve"> (</w:t>
            </w:r>
            <w:r w:rsidR="00FB619D">
              <w:rPr>
                <w:rFonts w:ascii="Calibri" w:hAnsi="Calibri" w:cs="Calibri"/>
                <w:color w:val="000000"/>
                <w:sz w:val="20"/>
                <w:szCs w:val="20"/>
              </w:rPr>
              <w:t>10.2)</w:t>
            </w:r>
          </w:p>
        </w:tc>
        <w:tc>
          <w:tcPr>
            <w:tcW w:w="1984" w:type="dxa"/>
          </w:tcPr>
          <w:p w14:paraId="6F2B90F9" w14:textId="7DCB0DF7" w:rsidR="000527CF" w:rsidRPr="006D6553" w:rsidRDefault="000527CF" w:rsidP="000527CF">
            <w:pPr>
              <w:spacing w:line="360" w:lineRule="auto"/>
              <w:jc w:val="center"/>
              <w:rPr>
                <w:rFonts w:ascii="Calibri" w:eastAsia="Times New Roman" w:hAnsi="Calibri" w:cs="Calibri"/>
                <w:color w:val="FF0000"/>
                <w:sz w:val="20"/>
                <w:szCs w:val="20"/>
                <w:lang w:eastAsia="en-GB"/>
              </w:rPr>
            </w:pPr>
            <w:r w:rsidRPr="006D6553">
              <w:rPr>
                <w:rFonts w:ascii="Calibri" w:eastAsia="Times New Roman" w:hAnsi="Calibri" w:cs="Calibri"/>
                <w:sz w:val="20"/>
                <w:szCs w:val="20"/>
                <w:lang w:eastAsia="en-GB"/>
              </w:rPr>
              <w:t>0.8 (</w:t>
            </w:r>
            <w:r w:rsidR="006D6553" w:rsidRPr="006D6553">
              <w:rPr>
                <w:rFonts w:ascii="Calibri" w:eastAsia="Times New Roman" w:hAnsi="Calibri" w:cs="Calibri"/>
                <w:sz w:val="20"/>
                <w:szCs w:val="20"/>
                <w:lang w:eastAsia="en-GB"/>
              </w:rPr>
              <w:t>-</w:t>
            </w:r>
            <w:r w:rsidRPr="006D6553">
              <w:rPr>
                <w:rFonts w:ascii="Calibri" w:eastAsia="Times New Roman" w:hAnsi="Calibri" w:cs="Calibri"/>
                <w:sz w:val="20"/>
                <w:szCs w:val="20"/>
                <w:lang w:eastAsia="en-GB"/>
              </w:rPr>
              <w:t>0.</w:t>
            </w:r>
            <w:r w:rsidR="006D6553" w:rsidRPr="006D6553">
              <w:rPr>
                <w:rFonts w:ascii="Calibri" w:eastAsia="Times New Roman" w:hAnsi="Calibri" w:cs="Calibri"/>
                <w:sz w:val="20"/>
                <w:szCs w:val="20"/>
                <w:lang w:eastAsia="en-GB"/>
              </w:rPr>
              <w:t>2</w:t>
            </w:r>
            <w:r w:rsidRPr="006D6553">
              <w:rPr>
                <w:rFonts w:ascii="Calibri" w:eastAsia="Times New Roman" w:hAnsi="Calibri" w:cs="Calibri"/>
                <w:sz w:val="20"/>
                <w:szCs w:val="20"/>
                <w:lang w:eastAsia="en-GB"/>
              </w:rPr>
              <w:t>, 1.</w:t>
            </w:r>
            <w:r w:rsidR="006D6553" w:rsidRPr="006D6553">
              <w:rPr>
                <w:rFonts w:ascii="Calibri" w:eastAsia="Times New Roman" w:hAnsi="Calibri" w:cs="Calibri"/>
                <w:sz w:val="20"/>
                <w:szCs w:val="20"/>
                <w:lang w:eastAsia="en-GB"/>
              </w:rPr>
              <w:t>7</w:t>
            </w:r>
            <w:r w:rsidRPr="006D6553">
              <w:rPr>
                <w:rFonts w:ascii="Calibri" w:eastAsia="Times New Roman" w:hAnsi="Calibri" w:cs="Calibri"/>
                <w:sz w:val="20"/>
                <w:szCs w:val="20"/>
                <w:lang w:eastAsia="en-GB"/>
              </w:rPr>
              <w:t>)</w:t>
            </w:r>
          </w:p>
        </w:tc>
      </w:tr>
      <w:tr w:rsidR="000527CF" w:rsidRPr="00C9494B" w14:paraId="3061B508" w14:textId="77777777" w:rsidTr="000527CF">
        <w:trPr>
          <w:trHeight w:val="300"/>
        </w:trPr>
        <w:tc>
          <w:tcPr>
            <w:tcW w:w="1985" w:type="dxa"/>
            <w:gridSpan w:val="2"/>
            <w:noWrap/>
            <w:vAlign w:val="center"/>
            <w:hideMark/>
          </w:tcPr>
          <w:p w14:paraId="5486DF86" w14:textId="77777777" w:rsidR="000527CF" w:rsidRPr="00F777EA" w:rsidRDefault="000527CF" w:rsidP="000527CF">
            <w:pPr>
              <w:spacing w:line="360" w:lineRule="auto"/>
              <w:rPr>
                <w:rFonts w:cstheme="minorHAnsi"/>
                <w:b/>
                <w:sz w:val="20"/>
                <w:szCs w:val="20"/>
              </w:rPr>
            </w:pPr>
            <w:r w:rsidRPr="00F777EA">
              <w:rPr>
                <w:rFonts w:cstheme="minorHAnsi"/>
                <w:b/>
                <w:sz w:val="20"/>
                <w:szCs w:val="20"/>
              </w:rPr>
              <w:t>Disease Activity</w:t>
            </w:r>
          </w:p>
        </w:tc>
        <w:tc>
          <w:tcPr>
            <w:tcW w:w="2835" w:type="dxa"/>
            <w:noWrap/>
            <w:vAlign w:val="center"/>
            <w:hideMark/>
          </w:tcPr>
          <w:p w14:paraId="5539F4D1" w14:textId="77777777" w:rsidR="000527CF" w:rsidRPr="00F777EA" w:rsidRDefault="000527CF" w:rsidP="000527CF">
            <w:pPr>
              <w:spacing w:line="360" w:lineRule="auto"/>
              <w:rPr>
                <w:rFonts w:cstheme="minorHAnsi"/>
                <w:sz w:val="20"/>
                <w:szCs w:val="20"/>
              </w:rPr>
            </w:pPr>
            <w:r w:rsidRPr="00F777EA">
              <w:rPr>
                <w:rFonts w:cstheme="minorHAnsi"/>
                <w:sz w:val="20"/>
                <w:szCs w:val="20"/>
              </w:rPr>
              <w:t>BASDAI:</w:t>
            </w:r>
            <w:r w:rsidRPr="00F777EA">
              <w:rPr>
                <w:rFonts w:eastAsia="Times New Roman" w:cstheme="minorHAnsi"/>
                <w:bCs/>
                <w:sz w:val="20"/>
                <w:szCs w:val="20"/>
                <w:lang w:eastAsia="en-GB"/>
              </w:rPr>
              <w:t xml:space="preserve"> 0 (best) – 10 (worst)</w:t>
            </w:r>
          </w:p>
        </w:tc>
        <w:tc>
          <w:tcPr>
            <w:tcW w:w="709" w:type="dxa"/>
            <w:noWrap/>
            <w:vAlign w:val="center"/>
          </w:tcPr>
          <w:p w14:paraId="2B71C74D"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1364</w:t>
            </w:r>
          </w:p>
        </w:tc>
        <w:tc>
          <w:tcPr>
            <w:tcW w:w="1134" w:type="dxa"/>
            <w:noWrap/>
            <w:vAlign w:val="center"/>
          </w:tcPr>
          <w:p w14:paraId="46F7927D" w14:textId="60A9B6B6" w:rsidR="000527CF" w:rsidRPr="00F777EA" w:rsidRDefault="000527CF" w:rsidP="000527CF">
            <w:pPr>
              <w:spacing w:line="36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4.9</w:t>
            </w:r>
            <w:r w:rsidR="00BE3ED3">
              <w:rPr>
                <w:rFonts w:ascii="Calibri" w:hAnsi="Calibri" w:cs="Calibri"/>
                <w:color w:val="000000"/>
                <w:sz w:val="20"/>
                <w:szCs w:val="20"/>
              </w:rPr>
              <w:t xml:space="preserve"> (</w:t>
            </w:r>
            <w:r w:rsidR="00FB619D">
              <w:rPr>
                <w:rFonts w:ascii="Calibri" w:hAnsi="Calibri" w:cs="Calibri"/>
                <w:color w:val="000000"/>
                <w:sz w:val="20"/>
                <w:szCs w:val="20"/>
              </w:rPr>
              <w:t>2.6)</w:t>
            </w:r>
          </w:p>
        </w:tc>
        <w:tc>
          <w:tcPr>
            <w:tcW w:w="567" w:type="dxa"/>
            <w:vAlign w:val="center"/>
          </w:tcPr>
          <w:p w14:paraId="22BBA41F"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454</w:t>
            </w:r>
          </w:p>
        </w:tc>
        <w:tc>
          <w:tcPr>
            <w:tcW w:w="1134" w:type="dxa"/>
            <w:noWrap/>
            <w:vAlign w:val="center"/>
          </w:tcPr>
          <w:p w14:paraId="13940385" w14:textId="2B5CB854"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4.</w:t>
            </w:r>
            <w:r>
              <w:rPr>
                <w:rFonts w:ascii="Calibri" w:eastAsia="Times New Roman" w:hAnsi="Calibri" w:cs="Calibri"/>
                <w:color w:val="000000"/>
                <w:sz w:val="20"/>
                <w:szCs w:val="20"/>
                <w:lang w:eastAsia="en-GB"/>
              </w:rPr>
              <w:t>7</w:t>
            </w:r>
            <w:r w:rsidR="00FE3FB6">
              <w:rPr>
                <w:rFonts w:ascii="Calibri" w:hAnsi="Calibri" w:cs="Calibri"/>
                <w:color w:val="000000"/>
                <w:sz w:val="20"/>
                <w:szCs w:val="20"/>
              </w:rPr>
              <w:t xml:space="preserve"> (</w:t>
            </w:r>
            <w:r w:rsidR="00FB619D">
              <w:rPr>
                <w:rFonts w:ascii="Calibri" w:hAnsi="Calibri" w:cs="Calibri"/>
                <w:color w:val="000000"/>
                <w:sz w:val="20"/>
                <w:szCs w:val="20"/>
              </w:rPr>
              <w:t>2.5)</w:t>
            </w:r>
          </w:p>
        </w:tc>
        <w:tc>
          <w:tcPr>
            <w:tcW w:w="1984" w:type="dxa"/>
          </w:tcPr>
          <w:p w14:paraId="3057B905" w14:textId="48249689" w:rsidR="000527CF" w:rsidRPr="006D6553" w:rsidRDefault="000527CF" w:rsidP="000527CF">
            <w:pPr>
              <w:spacing w:line="360" w:lineRule="auto"/>
              <w:jc w:val="center"/>
              <w:rPr>
                <w:rFonts w:ascii="Calibri" w:eastAsia="Times New Roman" w:hAnsi="Calibri" w:cs="Calibri"/>
                <w:color w:val="FF0000"/>
                <w:sz w:val="20"/>
                <w:szCs w:val="20"/>
                <w:lang w:eastAsia="en-GB"/>
              </w:rPr>
            </w:pPr>
            <w:r w:rsidRPr="006D6553">
              <w:rPr>
                <w:rFonts w:ascii="Calibri" w:eastAsia="Times New Roman" w:hAnsi="Calibri" w:cs="Calibri"/>
                <w:sz w:val="20"/>
                <w:szCs w:val="20"/>
                <w:lang w:eastAsia="en-GB"/>
              </w:rPr>
              <w:t>-0.2 (-0.4, 0.</w:t>
            </w:r>
            <w:r w:rsidR="006D6553" w:rsidRPr="006D6553">
              <w:rPr>
                <w:rFonts w:ascii="Calibri" w:eastAsia="Times New Roman" w:hAnsi="Calibri" w:cs="Calibri"/>
                <w:sz w:val="20"/>
                <w:szCs w:val="20"/>
                <w:lang w:eastAsia="en-GB"/>
              </w:rPr>
              <w:t>1</w:t>
            </w:r>
            <w:r w:rsidRPr="006D6553">
              <w:rPr>
                <w:rFonts w:ascii="Calibri" w:eastAsia="Times New Roman" w:hAnsi="Calibri" w:cs="Calibri"/>
                <w:sz w:val="20"/>
                <w:szCs w:val="20"/>
                <w:lang w:eastAsia="en-GB"/>
              </w:rPr>
              <w:t>)</w:t>
            </w:r>
          </w:p>
        </w:tc>
      </w:tr>
      <w:tr w:rsidR="000527CF" w:rsidRPr="00C9494B" w14:paraId="0984CD6E" w14:textId="77777777" w:rsidTr="000527CF">
        <w:trPr>
          <w:trHeight w:val="300"/>
        </w:trPr>
        <w:tc>
          <w:tcPr>
            <w:tcW w:w="1985" w:type="dxa"/>
            <w:gridSpan w:val="2"/>
            <w:noWrap/>
            <w:vAlign w:val="center"/>
            <w:hideMark/>
          </w:tcPr>
          <w:p w14:paraId="2F6AC0EF" w14:textId="77777777" w:rsidR="000527CF" w:rsidRPr="00F777EA" w:rsidRDefault="000527CF" w:rsidP="000527CF">
            <w:pPr>
              <w:spacing w:line="360" w:lineRule="auto"/>
              <w:rPr>
                <w:rFonts w:cstheme="minorHAnsi"/>
                <w:sz w:val="20"/>
                <w:szCs w:val="20"/>
              </w:rPr>
            </w:pPr>
            <w:r w:rsidRPr="00F777EA">
              <w:rPr>
                <w:rFonts w:cstheme="minorHAnsi"/>
                <w:b/>
                <w:sz w:val="20"/>
                <w:szCs w:val="20"/>
              </w:rPr>
              <w:t xml:space="preserve">Physical Function </w:t>
            </w:r>
          </w:p>
        </w:tc>
        <w:tc>
          <w:tcPr>
            <w:tcW w:w="2835" w:type="dxa"/>
            <w:noWrap/>
            <w:vAlign w:val="center"/>
            <w:hideMark/>
          </w:tcPr>
          <w:p w14:paraId="2D78602D" w14:textId="77777777" w:rsidR="000527CF" w:rsidRPr="00F777EA" w:rsidRDefault="000527CF" w:rsidP="000527CF">
            <w:pPr>
              <w:spacing w:line="360" w:lineRule="auto"/>
              <w:rPr>
                <w:rFonts w:cstheme="minorHAnsi"/>
                <w:sz w:val="20"/>
                <w:szCs w:val="20"/>
              </w:rPr>
            </w:pPr>
            <w:r w:rsidRPr="00F777EA">
              <w:rPr>
                <w:rFonts w:eastAsia="Times New Roman" w:cstheme="minorHAnsi"/>
                <w:bCs/>
                <w:sz w:val="20"/>
                <w:szCs w:val="20"/>
                <w:lang w:eastAsia="en-GB"/>
              </w:rPr>
              <w:t>BASFI: 0 (best) – 10 (worst)</w:t>
            </w:r>
          </w:p>
        </w:tc>
        <w:tc>
          <w:tcPr>
            <w:tcW w:w="709" w:type="dxa"/>
            <w:noWrap/>
            <w:vAlign w:val="center"/>
          </w:tcPr>
          <w:p w14:paraId="7E0E5F88"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1374</w:t>
            </w:r>
          </w:p>
        </w:tc>
        <w:tc>
          <w:tcPr>
            <w:tcW w:w="1134" w:type="dxa"/>
            <w:noWrap/>
            <w:vAlign w:val="center"/>
          </w:tcPr>
          <w:p w14:paraId="0873E5A9" w14:textId="7DA93D83" w:rsidR="000527CF" w:rsidRPr="00F777EA" w:rsidRDefault="000527CF" w:rsidP="000527CF">
            <w:pPr>
              <w:spacing w:line="36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w:t>
            </w:r>
            <w:r w:rsidR="003B0186">
              <w:rPr>
                <w:rFonts w:ascii="Calibri" w:eastAsia="Times New Roman" w:hAnsi="Calibri" w:cs="Calibri"/>
                <w:color w:val="000000"/>
                <w:sz w:val="20"/>
                <w:szCs w:val="20"/>
                <w:lang w:eastAsia="en-GB"/>
              </w:rPr>
              <w:t>6</w:t>
            </w:r>
            <w:r w:rsidR="00BE3ED3">
              <w:rPr>
                <w:rFonts w:ascii="Calibri" w:hAnsi="Calibri" w:cs="Calibri"/>
                <w:color w:val="000000"/>
                <w:sz w:val="20"/>
                <w:szCs w:val="20"/>
              </w:rPr>
              <w:t xml:space="preserve"> (</w:t>
            </w:r>
            <w:r w:rsidR="00FB619D">
              <w:rPr>
                <w:rFonts w:ascii="Calibri" w:hAnsi="Calibri" w:cs="Calibri"/>
                <w:color w:val="000000"/>
                <w:sz w:val="20"/>
                <w:szCs w:val="20"/>
              </w:rPr>
              <w:t>2.9)</w:t>
            </w:r>
          </w:p>
        </w:tc>
        <w:tc>
          <w:tcPr>
            <w:tcW w:w="567" w:type="dxa"/>
            <w:vAlign w:val="center"/>
          </w:tcPr>
          <w:p w14:paraId="613E449B"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461</w:t>
            </w:r>
          </w:p>
        </w:tc>
        <w:tc>
          <w:tcPr>
            <w:tcW w:w="1134" w:type="dxa"/>
            <w:noWrap/>
            <w:vAlign w:val="center"/>
          </w:tcPr>
          <w:p w14:paraId="2CDAE1B3" w14:textId="64311E83" w:rsidR="000527CF" w:rsidRPr="00F777EA" w:rsidRDefault="000527CF" w:rsidP="000527CF">
            <w:pPr>
              <w:spacing w:line="36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4.7</w:t>
            </w:r>
            <w:r w:rsidR="00FE3FB6">
              <w:rPr>
                <w:rFonts w:ascii="Calibri" w:hAnsi="Calibri" w:cs="Calibri"/>
                <w:color w:val="000000"/>
                <w:sz w:val="20"/>
                <w:szCs w:val="20"/>
              </w:rPr>
              <w:t xml:space="preserve"> (</w:t>
            </w:r>
            <w:r w:rsidR="00FB619D">
              <w:rPr>
                <w:rFonts w:ascii="Calibri" w:hAnsi="Calibri" w:cs="Calibri"/>
                <w:color w:val="000000"/>
                <w:sz w:val="20"/>
                <w:szCs w:val="20"/>
              </w:rPr>
              <w:t>2.8)</w:t>
            </w:r>
          </w:p>
        </w:tc>
        <w:tc>
          <w:tcPr>
            <w:tcW w:w="1984" w:type="dxa"/>
          </w:tcPr>
          <w:p w14:paraId="64115F60" w14:textId="070EC956" w:rsidR="000527CF" w:rsidRPr="006D6553" w:rsidRDefault="000527CF" w:rsidP="000527CF">
            <w:pPr>
              <w:spacing w:line="360" w:lineRule="auto"/>
              <w:jc w:val="center"/>
              <w:rPr>
                <w:rFonts w:ascii="Calibri" w:eastAsia="Times New Roman" w:hAnsi="Calibri" w:cs="Calibri"/>
                <w:color w:val="FF0000"/>
                <w:sz w:val="20"/>
                <w:szCs w:val="20"/>
                <w:lang w:eastAsia="en-GB"/>
              </w:rPr>
            </w:pPr>
            <w:r w:rsidRPr="006D6553">
              <w:rPr>
                <w:rFonts w:ascii="Calibri" w:eastAsia="Times New Roman" w:hAnsi="Calibri" w:cs="Calibri"/>
                <w:sz w:val="20"/>
                <w:szCs w:val="20"/>
                <w:lang w:eastAsia="en-GB"/>
              </w:rPr>
              <w:t>0</w:t>
            </w:r>
            <w:r w:rsidR="003B0186">
              <w:rPr>
                <w:rFonts w:ascii="Calibri" w:eastAsia="Times New Roman" w:hAnsi="Calibri" w:cs="Calibri"/>
                <w:sz w:val="20"/>
                <w:szCs w:val="20"/>
                <w:lang w:eastAsia="en-GB"/>
              </w:rPr>
              <w:t>.1</w:t>
            </w:r>
            <w:r w:rsidRPr="006D6553">
              <w:rPr>
                <w:rFonts w:ascii="Calibri" w:eastAsia="Times New Roman" w:hAnsi="Calibri" w:cs="Calibri"/>
                <w:sz w:val="20"/>
                <w:szCs w:val="20"/>
                <w:lang w:eastAsia="en-GB"/>
              </w:rPr>
              <w:t xml:space="preserve"> (-0.</w:t>
            </w:r>
            <w:r w:rsidR="006D6553" w:rsidRPr="006D6553">
              <w:rPr>
                <w:rFonts w:ascii="Calibri" w:eastAsia="Times New Roman" w:hAnsi="Calibri" w:cs="Calibri"/>
                <w:sz w:val="20"/>
                <w:szCs w:val="20"/>
                <w:lang w:eastAsia="en-GB"/>
              </w:rPr>
              <w:t>4</w:t>
            </w:r>
            <w:r w:rsidRPr="006D6553">
              <w:rPr>
                <w:rFonts w:ascii="Calibri" w:eastAsia="Times New Roman" w:hAnsi="Calibri" w:cs="Calibri"/>
                <w:sz w:val="20"/>
                <w:szCs w:val="20"/>
                <w:lang w:eastAsia="en-GB"/>
              </w:rPr>
              <w:t>, 0.2)</w:t>
            </w:r>
          </w:p>
        </w:tc>
      </w:tr>
      <w:tr w:rsidR="000527CF" w:rsidRPr="00C9494B" w14:paraId="26510385" w14:textId="77777777" w:rsidTr="000527CF">
        <w:trPr>
          <w:trHeight w:val="300"/>
        </w:trPr>
        <w:tc>
          <w:tcPr>
            <w:tcW w:w="1985" w:type="dxa"/>
            <w:gridSpan w:val="2"/>
            <w:noWrap/>
            <w:vAlign w:val="center"/>
            <w:hideMark/>
          </w:tcPr>
          <w:p w14:paraId="46C9A97C" w14:textId="77777777" w:rsidR="000527CF" w:rsidRPr="00F777EA" w:rsidRDefault="000527CF" w:rsidP="000527CF">
            <w:pPr>
              <w:spacing w:line="360" w:lineRule="auto"/>
              <w:rPr>
                <w:rFonts w:cstheme="minorHAnsi"/>
                <w:sz w:val="20"/>
                <w:szCs w:val="20"/>
              </w:rPr>
            </w:pPr>
            <w:r w:rsidRPr="00F777EA">
              <w:rPr>
                <w:rFonts w:cstheme="minorHAnsi"/>
                <w:b/>
                <w:sz w:val="20"/>
                <w:szCs w:val="20"/>
              </w:rPr>
              <w:t>Spinal Mobility</w:t>
            </w:r>
          </w:p>
        </w:tc>
        <w:tc>
          <w:tcPr>
            <w:tcW w:w="2835" w:type="dxa"/>
            <w:noWrap/>
            <w:vAlign w:val="center"/>
            <w:hideMark/>
          </w:tcPr>
          <w:p w14:paraId="4177E08D" w14:textId="77777777" w:rsidR="000527CF" w:rsidRPr="00F777EA" w:rsidRDefault="000527CF" w:rsidP="000527CF">
            <w:pPr>
              <w:spacing w:line="360" w:lineRule="auto"/>
              <w:rPr>
                <w:rFonts w:cstheme="minorHAnsi"/>
                <w:sz w:val="20"/>
                <w:szCs w:val="20"/>
              </w:rPr>
            </w:pPr>
            <w:r w:rsidRPr="00F777EA">
              <w:rPr>
                <w:rFonts w:eastAsia="Times New Roman" w:cstheme="minorHAnsi"/>
                <w:bCs/>
                <w:sz w:val="20"/>
                <w:szCs w:val="20"/>
                <w:lang w:eastAsia="en-GB"/>
              </w:rPr>
              <w:t>BASMI: 0 (best) – 10 (worst)</w:t>
            </w:r>
          </w:p>
        </w:tc>
        <w:tc>
          <w:tcPr>
            <w:tcW w:w="709" w:type="dxa"/>
            <w:noWrap/>
            <w:vAlign w:val="center"/>
          </w:tcPr>
          <w:p w14:paraId="2EEE4748"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1288</w:t>
            </w:r>
          </w:p>
        </w:tc>
        <w:tc>
          <w:tcPr>
            <w:tcW w:w="1134" w:type="dxa"/>
            <w:noWrap/>
            <w:vAlign w:val="center"/>
          </w:tcPr>
          <w:p w14:paraId="063168A1" w14:textId="76643745" w:rsidR="000527CF" w:rsidRPr="003B0186" w:rsidRDefault="000527CF" w:rsidP="000527CF">
            <w:pPr>
              <w:spacing w:line="360" w:lineRule="auto"/>
              <w:jc w:val="center"/>
              <w:rPr>
                <w:rFonts w:ascii="Calibri" w:eastAsia="Times New Roman" w:hAnsi="Calibri" w:cs="Calibri"/>
                <w:sz w:val="20"/>
                <w:szCs w:val="20"/>
                <w:lang w:eastAsia="en-GB"/>
              </w:rPr>
            </w:pPr>
            <w:r w:rsidRPr="003B0186">
              <w:rPr>
                <w:rFonts w:ascii="Calibri" w:eastAsia="Times New Roman" w:hAnsi="Calibri" w:cs="Calibri"/>
                <w:sz w:val="20"/>
                <w:szCs w:val="20"/>
                <w:lang w:eastAsia="en-GB"/>
              </w:rPr>
              <w:t xml:space="preserve">3.9 </w:t>
            </w:r>
            <w:r w:rsidR="00BE3ED3">
              <w:rPr>
                <w:rFonts w:ascii="Calibri" w:hAnsi="Calibri" w:cs="Calibri"/>
                <w:color w:val="000000"/>
                <w:sz w:val="20"/>
                <w:szCs w:val="20"/>
              </w:rPr>
              <w:t>(</w:t>
            </w:r>
            <w:r w:rsidR="00FB619D">
              <w:rPr>
                <w:rFonts w:ascii="Calibri" w:hAnsi="Calibri" w:cs="Calibri"/>
                <w:color w:val="000000"/>
                <w:sz w:val="20"/>
                <w:szCs w:val="20"/>
              </w:rPr>
              <w:t>2.0)</w:t>
            </w:r>
          </w:p>
        </w:tc>
        <w:tc>
          <w:tcPr>
            <w:tcW w:w="567" w:type="dxa"/>
            <w:vAlign w:val="center"/>
          </w:tcPr>
          <w:p w14:paraId="3087A94D" w14:textId="77777777" w:rsidR="000527CF" w:rsidRPr="003B0186" w:rsidRDefault="000527CF" w:rsidP="000527CF">
            <w:pPr>
              <w:spacing w:line="360" w:lineRule="auto"/>
              <w:jc w:val="center"/>
              <w:rPr>
                <w:rFonts w:ascii="Calibri" w:eastAsia="Times New Roman" w:hAnsi="Calibri" w:cs="Calibri"/>
                <w:sz w:val="20"/>
                <w:szCs w:val="20"/>
                <w:lang w:eastAsia="en-GB"/>
              </w:rPr>
            </w:pPr>
            <w:r w:rsidRPr="003B0186">
              <w:rPr>
                <w:rFonts w:ascii="Calibri" w:eastAsia="Times New Roman" w:hAnsi="Calibri" w:cs="Calibri"/>
                <w:sz w:val="20"/>
                <w:szCs w:val="20"/>
                <w:lang w:eastAsia="en-GB"/>
              </w:rPr>
              <w:t>453</w:t>
            </w:r>
          </w:p>
        </w:tc>
        <w:tc>
          <w:tcPr>
            <w:tcW w:w="1134" w:type="dxa"/>
            <w:noWrap/>
            <w:vAlign w:val="center"/>
          </w:tcPr>
          <w:p w14:paraId="5F76CD61" w14:textId="458F705A" w:rsidR="000527CF" w:rsidRPr="003B0186" w:rsidRDefault="000527CF" w:rsidP="000527CF">
            <w:pPr>
              <w:spacing w:line="360" w:lineRule="auto"/>
              <w:jc w:val="center"/>
              <w:rPr>
                <w:rFonts w:ascii="Calibri" w:eastAsia="Times New Roman" w:hAnsi="Calibri" w:cs="Calibri"/>
                <w:sz w:val="20"/>
                <w:szCs w:val="20"/>
                <w:lang w:eastAsia="en-GB"/>
              </w:rPr>
            </w:pPr>
            <w:r w:rsidRPr="003B0186">
              <w:rPr>
                <w:rFonts w:ascii="Calibri" w:eastAsia="Times New Roman" w:hAnsi="Calibri" w:cs="Calibri"/>
                <w:sz w:val="20"/>
                <w:szCs w:val="20"/>
                <w:lang w:eastAsia="en-GB"/>
              </w:rPr>
              <w:t>3.9</w:t>
            </w:r>
            <w:r w:rsidR="00FE3FB6">
              <w:rPr>
                <w:rFonts w:ascii="Calibri" w:hAnsi="Calibri" w:cs="Calibri"/>
                <w:color w:val="000000"/>
                <w:sz w:val="20"/>
                <w:szCs w:val="20"/>
              </w:rPr>
              <w:t xml:space="preserve"> (</w:t>
            </w:r>
            <w:r w:rsidR="00FB619D">
              <w:rPr>
                <w:rFonts w:ascii="Calibri" w:hAnsi="Calibri" w:cs="Calibri"/>
                <w:color w:val="000000"/>
                <w:sz w:val="20"/>
                <w:szCs w:val="20"/>
              </w:rPr>
              <w:t>1.9)</w:t>
            </w:r>
          </w:p>
        </w:tc>
        <w:tc>
          <w:tcPr>
            <w:tcW w:w="1984" w:type="dxa"/>
          </w:tcPr>
          <w:p w14:paraId="6BB1FD58" w14:textId="6B3B7253" w:rsidR="000527CF" w:rsidRPr="003B0186" w:rsidRDefault="000527CF" w:rsidP="000527CF">
            <w:pPr>
              <w:spacing w:line="360" w:lineRule="auto"/>
              <w:jc w:val="center"/>
              <w:rPr>
                <w:rFonts w:ascii="Calibri" w:eastAsia="Times New Roman" w:hAnsi="Calibri" w:cs="Calibri"/>
                <w:sz w:val="20"/>
                <w:szCs w:val="20"/>
                <w:lang w:eastAsia="en-GB"/>
              </w:rPr>
            </w:pPr>
            <w:r w:rsidRPr="003B0186">
              <w:rPr>
                <w:rFonts w:ascii="Calibri" w:eastAsia="Times New Roman" w:hAnsi="Calibri" w:cs="Calibri"/>
                <w:sz w:val="20"/>
                <w:szCs w:val="20"/>
                <w:lang w:eastAsia="en-GB"/>
              </w:rPr>
              <w:t>0 (-0</w:t>
            </w:r>
            <w:r w:rsidR="003B0186" w:rsidRPr="003B0186">
              <w:rPr>
                <w:rFonts w:ascii="Calibri" w:eastAsia="Times New Roman" w:hAnsi="Calibri" w:cs="Calibri"/>
                <w:sz w:val="20"/>
                <w:szCs w:val="20"/>
                <w:lang w:eastAsia="en-GB"/>
              </w:rPr>
              <w:t>2</w:t>
            </w:r>
            <w:r w:rsidRPr="003B0186">
              <w:rPr>
                <w:rFonts w:ascii="Calibri" w:eastAsia="Times New Roman" w:hAnsi="Calibri" w:cs="Calibri"/>
                <w:sz w:val="20"/>
                <w:szCs w:val="20"/>
                <w:lang w:eastAsia="en-GB"/>
              </w:rPr>
              <w:t>, 0.</w:t>
            </w:r>
            <w:r w:rsidR="003B0186" w:rsidRPr="003B0186">
              <w:rPr>
                <w:rFonts w:ascii="Calibri" w:eastAsia="Times New Roman" w:hAnsi="Calibri" w:cs="Calibri"/>
                <w:sz w:val="20"/>
                <w:szCs w:val="20"/>
                <w:lang w:eastAsia="en-GB"/>
              </w:rPr>
              <w:t>3</w:t>
            </w:r>
            <w:r w:rsidRPr="003B0186">
              <w:rPr>
                <w:rFonts w:ascii="Calibri" w:eastAsia="Times New Roman" w:hAnsi="Calibri" w:cs="Calibri"/>
                <w:sz w:val="20"/>
                <w:szCs w:val="20"/>
                <w:lang w:eastAsia="en-GB"/>
              </w:rPr>
              <w:t>)</w:t>
            </w:r>
          </w:p>
        </w:tc>
      </w:tr>
      <w:tr w:rsidR="000527CF" w:rsidRPr="00C9494B" w14:paraId="24785EB0" w14:textId="77777777" w:rsidTr="000527CF">
        <w:trPr>
          <w:trHeight w:val="300"/>
        </w:trPr>
        <w:tc>
          <w:tcPr>
            <w:tcW w:w="1985" w:type="dxa"/>
            <w:gridSpan w:val="2"/>
            <w:noWrap/>
            <w:vAlign w:val="center"/>
            <w:hideMark/>
          </w:tcPr>
          <w:p w14:paraId="0D00C42F" w14:textId="77777777" w:rsidR="000527CF" w:rsidRPr="00F777EA" w:rsidRDefault="000527CF" w:rsidP="000527CF">
            <w:pPr>
              <w:spacing w:line="360" w:lineRule="auto"/>
              <w:rPr>
                <w:rFonts w:cstheme="minorHAnsi"/>
                <w:sz w:val="20"/>
                <w:szCs w:val="20"/>
              </w:rPr>
            </w:pPr>
            <w:r w:rsidRPr="00F777EA">
              <w:rPr>
                <w:rFonts w:cstheme="minorHAnsi"/>
                <w:b/>
                <w:sz w:val="20"/>
                <w:szCs w:val="20"/>
              </w:rPr>
              <w:t>Global Health</w:t>
            </w:r>
          </w:p>
        </w:tc>
        <w:tc>
          <w:tcPr>
            <w:tcW w:w="2835" w:type="dxa"/>
            <w:noWrap/>
            <w:vAlign w:val="center"/>
            <w:hideMark/>
          </w:tcPr>
          <w:p w14:paraId="717301C2" w14:textId="77777777" w:rsidR="000527CF" w:rsidRPr="00F777EA" w:rsidRDefault="000527CF" w:rsidP="000527CF">
            <w:pPr>
              <w:spacing w:line="360" w:lineRule="auto"/>
              <w:rPr>
                <w:rFonts w:cstheme="minorHAnsi"/>
                <w:sz w:val="20"/>
                <w:szCs w:val="20"/>
              </w:rPr>
            </w:pPr>
            <w:r w:rsidRPr="00F777EA">
              <w:rPr>
                <w:rFonts w:eastAsia="Times New Roman" w:cstheme="minorHAnsi"/>
                <w:bCs/>
                <w:sz w:val="20"/>
                <w:szCs w:val="20"/>
                <w:lang w:eastAsia="en-GB"/>
              </w:rPr>
              <w:t>BASG: 0 (best) – 10 (worst)</w:t>
            </w:r>
          </w:p>
        </w:tc>
        <w:tc>
          <w:tcPr>
            <w:tcW w:w="709" w:type="dxa"/>
            <w:noWrap/>
            <w:vAlign w:val="center"/>
          </w:tcPr>
          <w:p w14:paraId="641762A4"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1364</w:t>
            </w:r>
          </w:p>
        </w:tc>
        <w:tc>
          <w:tcPr>
            <w:tcW w:w="1134" w:type="dxa"/>
            <w:noWrap/>
            <w:vAlign w:val="center"/>
          </w:tcPr>
          <w:p w14:paraId="70300E75" w14:textId="5E4E2166"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5.</w:t>
            </w:r>
            <w:r>
              <w:rPr>
                <w:rFonts w:ascii="Calibri" w:eastAsia="Times New Roman" w:hAnsi="Calibri" w:cs="Calibri"/>
                <w:color w:val="000000"/>
                <w:sz w:val="20"/>
                <w:szCs w:val="20"/>
                <w:lang w:eastAsia="en-GB"/>
              </w:rPr>
              <w:t>2</w:t>
            </w:r>
            <w:r w:rsidR="00BE3ED3">
              <w:rPr>
                <w:rFonts w:ascii="Calibri" w:hAnsi="Calibri" w:cs="Calibri"/>
                <w:color w:val="000000"/>
                <w:sz w:val="20"/>
                <w:szCs w:val="20"/>
              </w:rPr>
              <w:t xml:space="preserve"> (</w:t>
            </w:r>
            <w:r w:rsidR="00FB619D">
              <w:rPr>
                <w:rFonts w:ascii="Calibri" w:hAnsi="Calibri" w:cs="Calibri"/>
                <w:color w:val="000000"/>
                <w:sz w:val="20"/>
                <w:szCs w:val="20"/>
              </w:rPr>
              <w:t>2.8)</w:t>
            </w:r>
          </w:p>
        </w:tc>
        <w:tc>
          <w:tcPr>
            <w:tcW w:w="567" w:type="dxa"/>
            <w:vAlign w:val="center"/>
          </w:tcPr>
          <w:p w14:paraId="7EA79962"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458</w:t>
            </w:r>
          </w:p>
        </w:tc>
        <w:tc>
          <w:tcPr>
            <w:tcW w:w="1134" w:type="dxa"/>
            <w:noWrap/>
            <w:vAlign w:val="center"/>
          </w:tcPr>
          <w:p w14:paraId="7EB4409B" w14:textId="04A2E936" w:rsidR="000527CF" w:rsidRPr="00F777EA" w:rsidRDefault="000527CF" w:rsidP="000527CF">
            <w:pPr>
              <w:spacing w:line="36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4.9</w:t>
            </w:r>
            <w:r w:rsidR="00FE3FB6">
              <w:rPr>
                <w:rFonts w:ascii="Calibri" w:hAnsi="Calibri" w:cs="Calibri"/>
                <w:color w:val="000000"/>
                <w:sz w:val="20"/>
                <w:szCs w:val="20"/>
              </w:rPr>
              <w:t xml:space="preserve"> (</w:t>
            </w:r>
            <w:r w:rsidR="00FB619D">
              <w:rPr>
                <w:rFonts w:ascii="Calibri" w:hAnsi="Calibri" w:cs="Calibri"/>
                <w:color w:val="000000"/>
                <w:sz w:val="20"/>
                <w:szCs w:val="20"/>
              </w:rPr>
              <w:t>2.7)</w:t>
            </w:r>
          </w:p>
        </w:tc>
        <w:tc>
          <w:tcPr>
            <w:tcW w:w="1984" w:type="dxa"/>
          </w:tcPr>
          <w:p w14:paraId="641F6BD3" w14:textId="31C9BDB6" w:rsidR="000527CF" w:rsidRPr="006D6553" w:rsidRDefault="000527CF" w:rsidP="000527CF">
            <w:pPr>
              <w:spacing w:line="360" w:lineRule="auto"/>
              <w:jc w:val="center"/>
              <w:rPr>
                <w:rFonts w:ascii="Calibri" w:eastAsia="Times New Roman" w:hAnsi="Calibri" w:cs="Calibri"/>
                <w:color w:val="FF0000"/>
                <w:sz w:val="20"/>
                <w:szCs w:val="20"/>
                <w:lang w:eastAsia="en-GB"/>
              </w:rPr>
            </w:pPr>
            <w:r w:rsidRPr="003B0186">
              <w:rPr>
                <w:rFonts w:ascii="Calibri" w:eastAsia="Times New Roman" w:hAnsi="Calibri" w:cs="Calibri"/>
                <w:sz w:val="20"/>
                <w:szCs w:val="20"/>
                <w:lang w:eastAsia="en-GB"/>
              </w:rPr>
              <w:t>-0.3 (-0.5, 0.1)</w:t>
            </w:r>
          </w:p>
        </w:tc>
      </w:tr>
      <w:tr w:rsidR="000527CF" w:rsidRPr="00C9494B" w14:paraId="37304742" w14:textId="77777777" w:rsidTr="000527CF">
        <w:trPr>
          <w:trHeight w:val="300"/>
        </w:trPr>
        <w:tc>
          <w:tcPr>
            <w:tcW w:w="1985" w:type="dxa"/>
            <w:gridSpan w:val="2"/>
            <w:noWrap/>
            <w:vAlign w:val="center"/>
            <w:hideMark/>
          </w:tcPr>
          <w:p w14:paraId="38D54208" w14:textId="77777777" w:rsidR="000527CF" w:rsidRPr="00F777EA" w:rsidRDefault="000527CF" w:rsidP="000527CF">
            <w:pPr>
              <w:spacing w:line="360" w:lineRule="auto"/>
              <w:rPr>
                <w:rFonts w:cstheme="minorHAnsi"/>
                <w:sz w:val="20"/>
                <w:szCs w:val="20"/>
              </w:rPr>
            </w:pPr>
            <w:r w:rsidRPr="00F777EA">
              <w:rPr>
                <w:rFonts w:cstheme="minorHAnsi"/>
                <w:b/>
                <w:sz w:val="20"/>
                <w:szCs w:val="20"/>
              </w:rPr>
              <w:t>Spinal Pain</w:t>
            </w:r>
          </w:p>
        </w:tc>
        <w:tc>
          <w:tcPr>
            <w:tcW w:w="2835" w:type="dxa"/>
            <w:noWrap/>
            <w:vAlign w:val="center"/>
            <w:hideMark/>
          </w:tcPr>
          <w:p w14:paraId="6852FA4E" w14:textId="77777777" w:rsidR="000527CF" w:rsidRPr="00F777EA" w:rsidRDefault="000527CF" w:rsidP="000527CF">
            <w:pPr>
              <w:spacing w:line="360" w:lineRule="auto"/>
              <w:rPr>
                <w:rFonts w:cstheme="minorHAnsi"/>
                <w:sz w:val="20"/>
                <w:szCs w:val="20"/>
              </w:rPr>
            </w:pPr>
            <w:r w:rsidRPr="00F777EA">
              <w:rPr>
                <w:rFonts w:eastAsia="Times New Roman" w:cstheme="minorHAnsi"/>
                <w:bCs/>
                <w:sz w:val="20"/>
                <w:szCs w:val="20"/>
                <w:lang w:eastAsia="en-GB"/>
              </w:rPr>
              <w:t>VAS: 0 (best) – 10 (worst)</w:t>
            </w:r>
          </w:p>
        </w:tc>
        <w:tc>
          <w:tcPr>
            <w:tcW w:w="709" w:type="dxa"/>
            <w:noWrap/>
            <w:vAlign w:val="center"/>
          </w:tcPr>
          <w:p w14:paraId="52597487"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1366</w:t>
            </w:r>
          </w:p>
        </w:tc>
        <w:tc>
          <w:tcPr>
            <w:tcW w:w="1134" w:type="dxa"/>
            <w:noWrap/>
            <w:vAlign w:val="center"/>
          </w:tcPr>
          <w:p w14:paraId="4CD831FD" w14:textId="4DE827DD" w:rsidR="000527CF" w:rsidRPr="00F777EA" w:rsidRDefault="000527CF" w:rsidP="000527CF">
            <w:pPr>
              <w:spacing w:line="36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4.5</w:t>
            </w:r>
            <w:r w:rsidR="00BE3ED3">
              <w:rPr>
                <w:rFonts w:ascii="Calibri" w:hAnsi="Calibri" w:cs="Calibri"/>
                <w:color w:val="000000"/>
                <w:sz w:val="20"/>
                <w:szCs w:val="20"/>
              </w:rPr>
              <w:t xml:space="preserve"> (</w:t>
            </w:r>
            <w:r w:rsidR="00FB619D">
              <w:rPr>
                <w:rFonts w:ascii="Calibri" w:hAnsi="Calibri" w:cs="Calibri"/>
                <w:color w:val="000000"/>
                <w:sz w:val="20"/>
                <w:szCs w:val="20"/>
              </w:rPr>
              <w:t>3.0)</w:t>
            </w:r>
          </w:p>
        </w:tc>
        <w:tc>
          <w:tcPr>
            <w:tcW w:w="567" w:type="dxa"/>
            <w:vAlign w:val="center"/>
          </w:tcPr>
          <w:p w14:paraId="1D0293AD"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457</w:t>
            </w:r>
          </w:p>
        </w:tc>
        <w:tc>
          <w:tcPr>
            <w:tcW w:w="1134" w:type="dxa"/>
            <w:noWrap/>
            <w:vAlign w:val="center"/>
          </w:tcPr>
          <w:p w14:paraId="06E80262" w14:textId="1F07F1CE" w:rsidR="000527CF" w:rsidRPr="003B0186" w:rsidRDefault="000527CF" w:rsidP="000527CF">
            <w:pPr>
              <w:spacing w:line="360" w:lineRule="auto"/>
              <w:jc w:val="center"/>
              <w:rPr>
                <w:rFonts w:ascii="Calibri" w:eastAsia="Times New Roman" w:hAnsi="Calibri" w:cs="Calibri"/>
                <w:sz w:val="20"/>
                <w:szCs w:val="20"/>
                <w:lang w:eastAsia="en-GB"/>
              </w:rPr>
            </w:pPr>
            <w:r w:rsidRPr="003B0186">
              <w:rPr>
                <w:rFonts w:ascii="Calibri" w:eastAsia="Times New Roman" w:hAnsi="Calibri" w:cs="Calibri"/>
                <w:sz w:val="20"/>
                <w:szCs w:val="20"/>
                <w:lang w:eastAsia="en-GB"/>
              </w:rPr>
              <w:t>4.4</w:t>
            </w:r>
            <w:r w:rsidR="00FE3FB6">
              <w:rPr>
                <w:rFonts w:ascii="Calibri" w:hAnsi="Calibri" w:cs="Calibri"/>
                <w:color w:val="000000"/>
                <w:sz w:val="20"/>
                <w:szCs w:val="20"/>
              </w:rPr>
              <w:t xml:space="preserve"> (</w:t>
            </w:r>
            <w:r w:rsidR="00FB619D">
              <w:rPr>
                <w:rFonts w:ascii="Calibri" w:hAnsi="Calibri" w:cs="Calibri"/>
                <w:color w:val="000000"/>
                <w:sz w:val="20"/>
                <w:szCs w:val="20"/>
              </w:rPr>
              <w:t>2.9)</w:t>
            </w:r>
          </w:p>
        </w:tc>
        <w:tc>
          <w:tcPr>
            <w:tcW w:w="1984" w:type="dxa"/>
          </w:tcPr>
          <w:p w14:paraId="0DB0155D" w14:textId="397329B6" w:rsidR="000527CF" w:rsidRPr="003B0186" w:rsidRDefault="000527CF" w:rsidP="000527CF">
            <w:pPr>
              <w:spacing w:line="360" w:lineRule="auto"/>
              <w:jc w:val="center"/>
              <w:rPr>
                <w:rFonts w:ascii="Calibri" w:eastAsia="Times New Roman" w:hAnsi="Calibri" w:cs="Calibri"/>
                <w:sz w:val="20"/>
                <w:szCs w:val="20"/>
                <w:lang w:eastAsia="en-GB"/>
              </w:rPr>
            </w:pPr>
            <w:r w:rsidRPr="003B0186">
              <w:rPr>
                <w:rFonts w:ascii="Calibri" w:eastAsia="Times New Roman" w:hAnsi="Calibri" w:cs="Calibri"/>
                <w:sz w:val="20"/>
                <w:szCs w:val="20"/>
                <w:lang w:eastAsia="en-GB"/>
              </w:rPr>
              <w:t>-0.1 (-0.</w:t>
            </w:r>
            <w:r w:rsidR="003B0186" w:rsidRPr="003B0186">
              <w:rPr>
                <w:rFonts w:ascii="Calibri" w:eastAsia="Times New Roman" w:hAnsi="Calibri" w:cs="Calibri"/>
                <w:sz w:val="20"/>
                <w:szCs w:val="20"/>
                <w:lang w:eastAsia="en-GB"/>
              </w:rPr>
              <w:t>4</w:t>
            </w:r>
            <w:r w:rsidRPr="003B0186">
              <w:rPr>
                <w:rFonts w:ascii="Calibri" w:eastAsia="Times New Roman" w:hAnsi="Calibri" w:cs="Calibri"/>
                <w:sz w:val="20"/>
                <w:szCs w:val="20"/>
                <w:lang w:eastAsia="en-GB"/>
              </w:rPr>
              <w:t>, 0.</w:t>
            </w:r>
            <w:r w:rsidR="003B0186" w:rsidRPr="003B0186">
              <w:rPr>
                <w:rFonts w:ascii="Calibri" w:eastAsia="Times New Roman" w:hAnsi="Calibri" w:cs="Calibri"/>
                <w:sz w:val="20"/>
                <w:szCs w:val="20"/>
                <w:lang w:eastAsia="en-GB"/>
              </w:rPr>
              <w:t>2</w:t>
            </w:r>
            <w:r w:rsidRPr="003B0186">
              <w:rPr>
                <w:rFonts w:ascii="Calibri" w:eastAsia="Times New Roman" w:hAnsi="Calibri" w:cs="Calibri"/>
                <w:sz w:val="20"/>
                <w:szCs w:val="20"/>
                <w:lang w:eastAsia="en-GB"/>
              </w:rPr>
              <w:t>)</w:t>
            </w:r>
          </w:p>
        </w:tc>
      </w:tr>
      <w:tr w:rsidR="000527CF" w:rsidRPr="00C9494B" w14:paraId="03CD227A" w14:textId="77777777" w:rsidTr="000527CF">
        <w:trPr>
          <w:trHeight w:val="300"/>
        </w:trPr>
        <w:tc>
          <w:tcPr>
            <w:tcW w:w="1985" w:type="dxa"/>
            <w:gridSpan w:val="2"/>
            <w:noWrap/>
            <w:vAlign w:val="center"/>
            <w:hideMark/>
          </w:tcPr>
          <w:p w14:paraId="522A8AD6" w14:textId="77777777" w:rsidR="000527CF" w:rsidRPr="00F777EA" w:rsidRDefault="000527CF" w:rsidP="000527CF">
            <w:pPr>
              <w:spacing w:line="360" w:lineRule="auto"/>
              <w:rPr>
                <w:rFonts w:ascii="Calibri" w:eastAsia="Times New Roman" w:hAnsi="Calibri" w:cs="Calibri"/>
                <w:b/>
                <w:bCs/>
                <w:color w:val="000000"/>
                <w:sz w:val="20"/>
                <w:szCs w:val="20"/>
                <w:lang w:eastAsia="en-GB"/>
              </w:rPr>
            </w:pPr>
            <w:r w:rsidRPr="00F777EA">
              <w:rPr>
                <w:rFonts w:ascii="Calibri" w:eastAsia="Times New Roman" w:hAnsi="Calibri" w:cs="Calibri"/>
                <w:b/>
                <w:bCs/>
                <w:color w:val="000000"/>
                <w:sz w:val="20"/>
                <w:szCs w:val="20"/>
                <w:lang w:eastAsia="en-GB"/>
              </w:rPr>
              <w:t>SF12 MCS*</w:t>
            </w:r>
          </w:p>
        </w:tc>
        <w:tc>
          <w:tcPr>
            <w:tcW w:w="2835" w:type="dxa"/>
            <w:noWrap/>
            <w:vAlign w:val="center"/>
            <w:hideMark/>
          </w:tcPr>
          <w:p w14:paraId="451D281B" w14:textId="77777777" w:rsidR="000527CF" w:rsidRPr="00F777EA" w:rsidRDefault="000527CF" w:rsidP="000527CF">
            <w:pPr>
              <w:spacing w:line="360" w:lineRule="auto"/>
              <w:rPr>
                <w:rFonts w:ascii="Calibri" w:eastAsia="Times New Roman" w:hAnsi="Calibri" w:cs="Calibri"/>
                <w:color w:val="000000"/>
                <w:sz w:val="20"/>
                <w:szCs w:val="20"/>
                <w:lang w:eastAsia="en-GB"/>
              </w:rPr>
            </w:pPr>
            <w:r w:rsidRPr="00F777EA">
              <w:rPr>
                <w:rFonts w:eastAsia="Times New Roman" w:cstheme="minorHAnsi"/>
                <w:bCs/>
                <w:sz w:val="20"/>
                <w:szCs w:val="20"/>
                <w:lang w:eastAsia="en-GB"/>
              </w:rPr>
              <w:t>Scored: 0 (worst) – 100 (best)</w:t>
            </w:r>
          </w:p>
        </w:tc>
        <w:tc>
          <w:tcPr>
            <w:tcW w:w="709" w:type="dxa"/>
            <w:noWrap/>
            <w:vAlign w:val="center"/>
          </w:tcPr>
          <w:p w14:paraId="0A987106"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1332</w:t>
            </w:r>
          </w:p>
        </w:tc>
        <w:tc>
          <w:tcPr>
            <w:tcW w:w="1134" w:type="dxa"/>
            <w:noWrap/>
            <w:vAlign w:val="center"/>
          </w:tcPr>
          <w:p w14:paraId="1534A529" w14:textId="205895D9"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45.</w:t>
            </w:r>
            <w:r>
              <w:rPr>
                <w:rFonts w:ascii="Calibri" w:eastAsia="Times New Roman" w:hAnsi="Calibri" w:cs="Calibri"/>
                <w:color w:val="000000"/>
                <w:sz w:val="20"/>
                <w:szCs w:val="20"/>
                <w:lang w:eastAsia="en-GB"/>
              </w:rPr>
              <w:t>3</w:t>
            </w:r>
            <w:r w:rsidR="00BE3ED3">
              <w:rPr>
                <w:rFonts w:ascii="Calibri" w:hAnsi="Calibri" w:cs="Calibri"/>
                <w:color w:val="000000"/>
                <w:sz w:val="20"/>
                <w:szCs w:val="20"/>
              </w:rPr>
              <w:t xml:space="preserve"> (</w:t>
            </w:r>
            <w:r w:rsidR="00FB619D">
              <w:rPr>
                <w:rFonts w:ascii="Calibri" w:hAnsi="Calibri" w:cs="Calibri"/>
                <w:color w:val="000000"/>
                <w:sz w:val="20"/>
                <w:szCs w:val="20"/>
              </w:rPr>
              <w:t>11.6)</w:t>
            </w:r>
          </w:p>
        </w:tc>
        <w:tc>
          <w:tcPr>
            <w:tcW w:w="567" w:type="dxa"/>
            <w:vAlign w:val="center"/>
          </w:tcPr>
          <w:p w14:paraId="1FB0CF4B"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455</w:t>
            </w:r>
          </w:p>
        </w:tc>
        <w:tc>
          <w:tcPr>
            <w:tcW w:w="1134" w:type="dxa"/>
            <w:noWrap/>
            <w:vAlign w:val="center"/>
          </w:tcPr>
          <w:p w14:paraId="5D0D28F7" w14:textId="59884F7E" w:rsidR="000527CF" w:rsidRPr="00F777EA" w:rsidRDefault="000527CF" w:rsidP="000527CF">
            <w:pPr>
              <w:spacing w:line="36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47.6</w:t>
            </w:r>
            <w:r w:rsidR="00FE3FB6">
              <w:rPr>
                <w:rFonts w:ascii="Calibri" w:hAnsi="Calibri" w:cs="Calibri"/>
                <w:color w:val="000000"/>
                <w:sz w:val="20"/>
                <w:szCs w:val="20"/>
              </w:rPr>
              <w:t xml:space="preserve"> (</w:t>
            </w:r>
            <w:r w:rsidR="00FB619D">
              <w:rPr>
                <w:rFonts w:ascii="Calibri" w:hAnsi="Calibri" w:cs="Calibri"/>
                <w:color w:val="000000"/>
                <w:sz w:val="20"/>
                <w:szCs w:val="20"/>
              </w:rPr>
              <w:t>11.1)</w:t>
            </w:r>
          </w:p>
        </w:tc>
        <w:tc>
          <w:tcPr>
            <w:tcW w:w="1984" w:type="dxa"/>
          </w:tcPr>
          <w:p w14:paraId="5CE978D3" w14:textId="7783498C" w:rsidR="000527CF" w:rsidRPr="006D6553" w:rsidRDefault="000527CF" w:rsidP="000527CF">
            <w:pPr>
              <w:spacing w:line="360" w:lineRule="auto"/>
              <w:jc w:val="center"/>
              <w:rPr>
                <w:rFonts w:ascii="Calibri" w:eastAsia="Times New Roman" w:hAnsi="Calibri" w:cs="Calibri"/>
                <w:color w:val="FF0000"/>
                <w:sz w:val="20"/>
                <w:szCs w:val="20"/>
                <w:lang w:eastAsia="en-GB"/>
              </w:rPr>
            </w:pPr>
            <w:r w:rsidRPr="003B0186">
              <w:rPr>
                <w:rFonts w:ascii="Calibri" w:eastAsia="Times New Roman" w:hAnsi="Calibri" w:cs="Calibri"/>
                <w:sz w:val="20"/>
                <w:szCs w:val="20"/>
                <w:lang w:eastAsia="en-GB"/>
              </w:rPr>
              <w:t>2.3 (1.</w:t>
            </w:r>
            <w:r w:rsidR="003B0186" w:rsidRPr="003B0186">
              <w:rPr>
                <w:rFonts w:ascii="Calibri" w:eastAsia="Times New Roman" w:hAnsi="Calibri" w:cs="Calibri"/>
                <w:sz w:val="20"/>
                <w:szCs w:val="20"/>
                <w:lang w:eastAsia="en-GB"/>
              </w:rPr>
              <w:t>1</w:t>
            </w:r>
            <w:r w:rsidRPr="003B0186">
              <w:rPr>
                <w:rFonts w:ascii="Calibri" w:eastAsia="Times New Roman" w:hAnsi="Calibri" w:cs="Calibri"/>
                <w:sz w:val="20"/>
                <w:szCs w:val="20"/>
                <w:lang w:eastAsia="en-GB"/>
              </w:rPr>
              <w:t xml:space="preserve">, </w:t>
            </w:r>
            <w:r w:rsidR="003B0186" w:rsidRPr="003B0186">
              <w:rPr>
                <w:rFonts w:ascii="Calibri" w:eastAsia="Times New Roman" w:hAnsi="Calibri" w:cs="Calibri"/>
                <w:sz w:val="20"/>
                <w:szCs w:val="20"/>
                <w:lang w:eastAsia="en-GB"/>
              </w:rPr>
              <w:t>3.5</w:t>
            </w:r>
            <w:r w:rsidRPr="003B0186">
              <w:rPr>
                <w:rFonts w:ascii="Calibri" w:eastAsia="Times New Roman" w:hAnsi="Calibri" w:cs="Calibri"/>
                <w:sz w:val="20"/>
                <w:szCs w:val="20"/>
                <w:lang w:eastAsia="en-GB"/>
              </w:rPr>
              <w:t>)</w:t>
            </w:r>
          </w:p>
        </w:tc>
      </w:tr>
      <w:tr w:rsidR="000527CF" w:rsidRPr="00C9494B" w14:paraId="753DE5CA" w14:textId="77777777" w:rsidTr="000527CF">
        <w:trPr>
          <w:trHeight w:val="300"/>
        </w:trPr>
        <w:tc>
          <w:tcPr>
            <w:tcW w:w="1985" w:type="dxa"/>
            <w:gridSpan w:val="2"/>
            <w:noWrap/>
            <w:vAlign w:val="center"/>
            <w:hideMark/>
          </w:tcPr>
          <w:p w14:paraId="6FB06468" w14:textId="77777777" w:rsidR="000527CF" w:rsidRPr="00F777EA" w:rsidRDefault="000527CF" w:rsidP="000527CF">
            <w:pPr>
              <w:spacing w:line="360" w:lineRule="auto"/>
              <w:rPr>
                <w:rFonts w:ascii="Calibri" w:eastAsia="Times New Roman" w:hAnsi="Calibri" w:cs="Calibri"/>
                <w:b/>
                <w:bCs/>
                <w:color w:val="000000"/>
                <w:sz w:val="20"/>
                <w:szCs w:val="20"/>
                <w:lang w:eastAsia="en-GB"/>
              </w:rPr>
            </w:pPr>
            <w:r w:rsidRPr="00F777EA">
              <w:rPr>
                <w:rFonts w:ascii="Calibri" w:eastAsia="Times New Roman" w:hAnsi="Calibri" w:cs="Calibri"/>
                <w:b/>
                <w:bCs/>
                <w:color w:val="000000"/>
                <w:sz w:val="20"/>
                <w:szCs w:val="20"/>
                <w:lang w:eastAsia="en-GB"/>
              </w:rPr>
              <w:t>SF12 PCS</w:t>
            </w:r>
          </w:p>
        </w:tc>
        <w:tc>
          <w:tcPr>
            <w:tcW w:w="2835" w:type="dxa"/>
            <w:noWrap/>
            <w:vAlign w:val="center"/>
          </w:tcPr>
          <w:p w14:paraId="5D08CB90" w14:textId="77777777" w:rsidR="000527CF" w:rsidRPr="00F777EA" w:rsidRDefault="000527CF" w:rsidP="000527CF">
            <w:pPr>
              <w:spacing w:line="360" w:lineRule="auto"/>
              <w:rPr>
                <w:rFonts w:ascii="Calibri" w:eastAsia="Times New Roman" w:hAnsi="Calibri" w:cs="Calibri"/>
                <w:color w:val="000000"/>
                <w:sz w:val="20"/>
                <w:szCs w:val="20"/>
                <w:lang w:eastAsia="en-GB"/>
              </w:rPr>
            </w:pPr>
            <w:r w:rsidRPr="00F777EA">
              <w:rPr>
                <w:rFonts w:eastAsia="Times New Roman" w:cstheme="minorHAnsi"/>
                <w:bCs/>
                <w:sz w:val="20"/>
                <w:szCs w:val="20"/>
                <w:lang w:eastAsia="en-GB"/>
              </w:rPr>
              <w:t>Scored: 0 (worst) – 100 (best)</w:t>
            </w:r>
          </w:p>
        </w:tc>
        <w:tc>
          <w:tcPr>
            <w:tcW w:w="709" w:type="dxa"/>
            <w:noWrap/>
            <w:vAlign w:val="center"/>
          </w:tcPr>
          <w:p w14:paraId="35762ECD"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1332</w:t>
            </w:r>
          </w:p>
        </w:tc>
        <w:tc>
          <w:tcPr>
            <w:tcW w:w="1134" w:type="dxa"/>
            <w:noWrap/>
            <w:vAlign w:val="center"/>
          </w:tcPr>
          <w:p w14:paraId="11EE3FFF" w14:textId="72A789A6"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38.</w:t>
            </w:r>
            <w:r>
              <w:rPr>
                <w:rFonts w:ascii="Calibri" w:eastAsia="Times New Roman" w:hAnsi="Calibri" w:cs="Calibri"/>
                <w:color w:val="000000"/>
                <w:sz w:val="20"/>
                <w:szCs w:val="20"/>
                <w:lang w:eastAsia="en-GB"/>
              </w:rPr>
              <w:t>4</w:t>
            </w:r>
            <w:r w:rsidR="00BE3ED3">
              <w:rPr>
                <w:rFonts w:ascii="Calibri" w:hAnsi="Calibri" w:cs="Calibri"/>
                <w:color w:val="000000"/>
                <w:sz w:val="20"/>
                <w:szCs w:val="20"/>
              </w:rPr>
              <w:t xml:space="preserve"> (</w:t>
            </w:r>
            <w:r w:rsidR="00FB619D">
              <w:rPr>
                <w:rFonts w:ascii="Calibri" w:hAnsi="Calibri" w:cs="Calibri"/>
                <w:color w:val="000000"/>
                <w:sz w:val="20"/>
                <w:szCs w:val="20"/>
              </w:rPr>
              <w:t>11.9)</w:t>
            </w:r>
          </w:p>
        </w:tc>
        <w:tc>
          <w:tcPr>
            <w:tcW w:w="567" w:type="dxa"/>
            <w:vAlign w:val="center"/>
          </w:tcPr>
          <w:p w14:paraId="7C19E516"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455</w:t>
            </w:r>
          </w:p>
        </w:tc>
        <w:tc>
          <w:tcPr>
            <w:tcW w:w="1134" w:type="dxa"/>
            <w:noWrap/>
            <w:vAlign w:val="center"/>
          </w:tcPr>
          <w:p w14:paraId="087679D4" w14:textId="0DC4FF71" w:rsidR="000527CF" w:rsidRPr="003B0186" w:rsidRDefault="000527CF" w:rsidP="000527CF">
            <w:pPr>
              <w:spacing w:line="360" w:lineRule="auto"/>
              <w:jc w:val="center"/>
              <w:rPr>
                <w:rFonts w:ascii="Calibri" w:eastAsia="Times New Roman" w:hAnsi="Calibri" w:cs="Calibri"/>
                <w:sz w:val="20"/>
                <w:szCs w:val="20"/>
                <w:lang w:eastAsia="en-GB"/>
              </w:rPr>
            </w:pPr>
            <w:r w:rsidRPr="003B0186">
              <w:rPr>
                <w:rFonts w:ascii="Calibri" w:eastAsia="Times New Roman" w:hAnsi="Calibri" w:cs="Calibri"/>
                <w:sz w:val="20"/>
                <w:szCs w:val="20"/>
                <w:lang w:eastAsia="en-GB"/>
              </w:rPr>
              <w:t>38.1</w:t>
            </w:r>
            <w:r w:rsidR="00FE3FB6">
              <w:rPr>
                <w:rFonts w:ascii="Calibri" w:hAnsi="Calibri" w:cs="Calibri"/>
                <w:color w:val="000000"/>
                <w:sz w:val="20"/>
                <w:szCs w:val="20"/>
              </w:rPr>
              <w:t xml:space="preserve"> (</w:t>
            </w:r>
            <w:r w:rsidR="00FB619D">
              <w:rPr>
                <w:rFonts w:ascii="Calibri" w:hAnsi="Calibri" w:cs="Calibri"/>
                <w:color w:val="000000"/>
                <w:sz w:val="20"/>
                <w:szCs w:val="20"/>
              </w:rPr>
              <w:t>11.9)</w:t>
            </w:r>
          </w:p>
        </w:tc>
        <w:tc>
          <w:tcPr>
            <w:tcW w:w="1984" w:type="dxa"/>
          </w:tcPr>
          <w:p w14:paraId="442C5ECE" w14:textId="3BA21F14" w:rsidR="000527CF" w:rsidRPr="003B0186" w:rsidRDefault="000527CF" w:rsidP="000527CF">
            <w:pPr>
              <w:spacing w:line="360" w:lineRule="auto"/>
              <w:jc w:val="center"/>
              <w:rPr>
                <w:rFonts w:ascii="Calibri" w:eastAsia="Times New Roman" w:hAnsi="Calibri" w:cs="Calibri"/>
                <w:sz w:val="20"/>
                <w:szCs w:val="20"/>
                <w:lang w:eastAsia="en-GB"/>
              </w:rPr>
            </w:pPr>
            <w:r w:rsidRPr="003B0186">
              <w:rPr>
                <w:rFonts w:ascii="Calibri" w:eastAsia="Times New Roman" w:hAnsi="Calibri" w:cs="Calibri"/>
                <w:sz w:val="20"/>
                <w:szCs w:val="20"/>
                <w:lang w:eastAsia="en-GB"/>
              </w:rPr>
              <w:t>-0.3 (-</w:t>
            </w:r>
            <w:r w:rsidR="003B0186" w:rsidRPr="003B0186">
              <w:rPr>
                <w:rFonts w:ascii="Calibri" w:eastAsia="Times New Roman" w:hAnsi="Calibri" w:cs="Calibri"/>
                <w:sz w:val="20"/>
                <w:szCs w:val="20"/>
                <w:lang w:eastAsia="en-GB"/>
              </w:rPr>
              <w:t>1.6</w:t>
            </w:r>
            <w:r w:rsidRPr="003B0186">
              <w:rPr>
                <w:rFonts w:ascii="Calibri" w:eastAsia="Times New Roman" w:hAnsi="Calibri" w:cs="Calibri"/>
                <w:sz w:val="20"/>
                <w:szCs w:val="20"/>
                <w:lang w:eastAsia="en-GB"/>
              </w:rPr>
              <w:t xml:space="preserve">, </w:t>
            </w:r>
            <w:r w:rsidR="003B0186" w:rsidRPr="003B0186">
              <w:rPr>
                <w:rFonts w:ascii="Calibri" w:eastAsia="Times New Roman" w:hAnsi="Calibri" w:cs="Calibri"/>
                <w:sz w:val="20"/>
                <w:szCs w:val="20"/>
                <w:lang w:eastAsia="en-GB"/>
              </w:rPr>
              <w:t>1.0</w:t>
            </w:r>
            <w:r w:rsidRPr="003B0186">
              <w:rPr>
                <w:rFonts w:ascii="Calibri" w:eastAsia="Times New Roman" w:hAnsi="Calibri" w:cs="Calibri"/>
                <w:sz w:val="20"/>
                <w:szCs w:val="20"/>
                <w:lang w:eastAsia="en-GB"/>
              </w:rPr>
              <w:t>)</w:t>
            </w:r>
          </w:p>
        </w:tc>
      </w:tr>
      <w:tr w:rsidR="000527CF" w:rsidRPr="00C9494B" w14:paraId="392A7CF0" w14:textId="77777777" w:rsidTr="000527CF">
        <w:trPr>
          <w:trHeight w:val="300"/>
        </w:trPr>
        <w:tc>
          <w:tcPr>
            <w:tcW w:w="1985" w:type="dxa"/>
            <w:gridSpan w:val="2"/>
            <w:noWrap/>
            <w:vAlign w:val="center"/>
            <w:hideMark/>
          </w:tcPr>
          <w:p w14:paraId="62A5783B" w14:textId="77777777" w:rsidR="000527CF" w:rsidRPr="00F777EA" w:rsidRDefault="000527CF" w:rsidP="000527CF">
            <w:pPr>
              <w:spacing w:line="360" w:lineRule="auto"/>
              <w:rPr>
                <w:rFonts w:cstheme="minorHAnsi"/>
                <w:sz w:val="20"/>
                <w:szCs w:val="20"/>
              </w:rPr>
            </w:pPr>
            <w:r w:rsidRPr="00F777EA">
              <w:rPr>
                <w:rFonts w:cstheme="minorHAnsi"/>
                <w:b/>
                <w:sz w:val="20"/>
                <w:szCs w:val="20"/>
              </w:rPr>
              <w:t>Quality of Life</w:t>
            </w:r>
          </w:p>
        </w:tc>
        <w:tc>
          <w:tcPr>
            <w:tcW w:w="2835" w:type="dxa"/>
            <w:noWrap/>
            <w:vAlign w:val="center"/>
          </w:tcPr>
          <w:p w14:paraId="01026766" w14:textId="77777777" w:rsidR="000527CF" w:rsidRPr="00F777EA" w:rsidRDefault="000527CF" w:rsidP="000527CF">
            <w:pPr>
              <w:spacing w:line="360" w:lineRule="auto"/>
              <w:rPr>
                <w:rFonts w:cstheme="minorHAnsi"/>
                <w:sz w:val="20"/>
                <w:szCs w:val="20"/>
              </w:rPr>
            </w:pPr>
            <w:r w:rsidRPr="00F777EA">
              <w:rPr>
                <w:rFonts w:eastAsia="Times New Roman" w:cstheme="minorHAnsi"/>
                <w:bCs/>
                <w:sz w:val="20"/>
                <w:szCs w:val="20"/>
                <w:lang w:eastAsia="en-GB"/>
              </w:rPr>
              <w:t>ASQoL: 0 (best) – 18 (worst)</w:t>
            </w:r>
          </w:p>
        </w:tc>
        <w:tc>
          <w:tcPr>
            <w:tcW w:w="709" w:type="dxa"/>
            <w:noWrap/>
            <w:vAlign w:val="center"/>
          </w:tcPr>
          <w:p w14:paraId="5445601D"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1362</w:t>
            </w:r>
          </w:p>
        </w:tc>
        <w:tc>
          <w:tcPr>
            <w:tcW w:w="1134" w:type="dxa"/>
            <w:noWrap/>
            <w:vAlign w:val="center"/>
          </w:tcPr>
          <w:p w14:paraId="04850AE3" w14:textId="65AAD4B5" w:rsidR="000527CF" w:rsidRPr="00F777EA" w:rsidRDefault="000527CF" w:rsidP="000527CF">
            <w:pPr>
              <w:spacing w:line="36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8.8</w:t>
            </w:r>
            <w:r w:rsidR="00BE3ED3">
              <w:rPr>
                <w:rFonts w:ascii="Calibri" w:hAnsi="Calibri" w:cs="Calibri"/>
                <w:color w:val="000000"/>
                <w:sz w:val="20"/>
                <w:szCs w:val="20"/>
              </w:rPr>
              <w:t xml:space="preserve"> (</w:t>
            </w:r>
            <w:r w:rsidR="00FB619D">
              <w:rPr>
                <w:rFonts w:ascii="Calibri" w:hAnsi="Calibri" w:cs="Calibri"/>
                <w:color w:val="000000"/>
                <w:sz w:val="20"/>
                <w:szCs w:val="20"/>
              </w:rPr>
              <w:t>5.8)</w:t>
            </w:r>
          </w:p>
        </w:tc>
        <w:tc>
          <w:tcPr>
            <w:tcW w:w="567" w:type="dxa"/>
            <w:vAlign w:val="center"/>
          </w:tcPr>
          <w:p w14:paraId="7EFF56F1"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458</w:t>
            </w:r>
          </w:p>
        </w:tc>
        <w:tc>
          <w:tcPr>
            <w:tcW w:w="1134" w:type="dxa"/>
            <w:noWrap/>
            <w:vAlign w:val="center"/>
          </w:tcPr>
          <w:p w14:paraId="24B74966" w14:textId="673802F6"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8.</w:t>
            </w:r>
            <w:r>
              <w:rPr>
                <w:rFonts w:ascii="Calibri" w:eastAsia="Times New Roman" w:hAnsi="Calibri" w:cs="Calibri"/>
                <w:color w:val="000000"/>
                <w:sz w:val="20"/>
                <w:szCs w:val="20"/>
                <w:lang w:eastAsia="en-GB"/>
              </w:rPr>
              <w:t>3</w:t>
            </w:r>
            <w:r w:rsidR="00FE3FB6">
              <w:rPr>
                <w:rFonts w:ascii="Calibri" w:hAnsi="Calibri" w:cs="Calibri"/>
                <w:color w:val="000000"/>
                <w:sz w:val="20"/>
                <w:szCs w:val="20"/>
              </w:rPr>
              <w:t xml:space="preserve"> (</w:t>
            </w:r>
            <w:r w:rsidR="00FB619D">
              <w:rPr>
                <w:rFonts w:ascii="Calibri" w:hAnsi="Calibri" w:cs="Calibri"/>
                <w:color w:val="000000"/>
                <w:sz w:val="20"/>
                <w:szCs w:val="20"/>
              </w:rPr>
              <w:t>5.5)</w:t>
            </w:r>
          </w:p>
        </w:tc>
        <w:tc>
          <w:tcPr>
            <w:tcW w:w="1984" w:type="dxa"/>
          </w:tcPr>
          <w:p w14:paraId="26878C9F" w14:textId="5B1AE4D6" w:rsidR="000527CF" w:rsidRPr="006D6553" w:rsidRDefault="000527CF" w:rsidP="000527CF">
            <w:pPr>
              <w:spacing w:line="360" w:lineRule="auto"/>
              <w:jc w:val="center"/>
              <w:rPr>
                <w:rFonts w:ascii="Calibri" w:eastAsia="Times New Roman" w:hAnsi="Calibri" w:cs="Calibri"/>
                <w:color w:val="FF0000"/>
                <w:sz w:val="20"/>
                <w:szCs w:val="20"/>
                <w:lang w:eastAsia="en-GB"/>
              </w:rPr>
            </w:pPr>
            <w:r w:rsidRPr="003B0186">
              <w:rPr>
                <w:rFonts w:ascii="Calibri" w:eastAsia="Times New Roman" w:hAnsi="Calibri" w:cs="Calibri"/>
                <w:sz w:val="20"/>
                <w:szCs w:val="20"/>
                <w:lang w:eastAsia="en-GB"/>
              </w:rPr>
              <w:t>-0.5 (-</w:t>
            </w:r>
            <w:r w:rsidR="003B0186" w:rsidRPr="003B0186">
              <w:rPr>
                <w:rFonts w:ascii="Calibri" w:eastAsia="Times New Roman" w:hAnsi="Calibri" w:cs="Calibri"/>
                <w:sz w:val="20"/>
                <w:szCs w:val="20"/>
                <w:lang w:eastAsia="en-GB"/>
              </w:rPr>
              <w:t>1.1</w:t>
            </w:r>
            <w:r w:rsidRPr="003B0186">
              <w:rPr>
                <w:rFonts w:ascii="Calibri" w:eastAsia="Times New Roman" w:hAnsi="Calibri" w:cs="Calibri"/>
                <w:sz w:val="20"/>
                <w:szCs w:val="20"/>
                <w:lang w:eastAsia="en-GB"/>
              </w:rPr>
              <w:t>, 0.</w:t>
            </w:r>
            <w:r w:rsidR="003B0186" w:rsidRPr="003B0186">
              <w:rPr>
                <w:rFonts w:ascii="Calibri" w:eastAsia="Times New Roman" w:hAnsi="Calibri" w:cs="Calibri"/>
                <w:sz w:val="20"/>
                <w:szCs w:val="20"/>
                <w:lang w:eastAsia="en-GB"/>
              </w:rPr>
              <w:t>1</w:t>
            </w:r>
            <w:r w:rsidRPr="003B0186">
              <w:rPr>
                <w:rFonts w:ascii="Calibri" w:eastAsia="Times New Roman" w:hAnsi="Calibri" w:cs="Calibri"/>
                <w:sz w:val="20"/>
                <w:szCs w:val="20"/>
                <w:lang w:eastAsia="en-GB"/>
              </w:rPr>
              <w:t>)</w:t>
            </w:r>
          </w:p>
        </w:tc>
      </w:tr>
      <w:tr w:rsidR="000527CF" w:rsidRPr="00C9494B" w14:paraId="10493599" w14:textId="77777777" w:rsidTr="000527CF">
        <w:trPr>
          <w:trHeight w:val="300"/>
        </w:trPr>
        <w:tc>
          <w:tcPr>
            <w:tcW w:w="1985" w:type="dxa"/>
            <w:gridSpan w:val="2"/>
            <w:noWrap/>
            <w:vAlign w:val="center"/>
            <w:hideMark/>
          </w:tcPr>
          <w:p w14:paraId="2E07E07A" w14:textId="77777777" w:rsidR="000527CF" w:rsidRPr="00F777EA" w:rsidRDefault="000527CF" w:rsidP="000527CF">
            <w:pPr>
              <w:spacing w:line="360" w:lineRule="auto"/>
              <w:rPr>
                <w:rFonts w:cstheme="minorHAnsi"/>
                <w:sz w:val="20"/>
                <w:szCs w:val="20"/>
              </w:rPr>
            </w:pPr>
            <w:r w:rsidRPr="00F777EA">
              <w:rPr>
                <w:rFonts w:cstheme="minorHAnsi"/>
                <w:b/>
                <w:sz w:val="20"/>
                <w:szCs w:val="20"/>
              </w:rPr>
              <w:t>Anxiety</w:t>
            </w:r>
            <w:r w:rsidRPr="00F777EA">
              <w:rPr>
                <w:rFonts w:cstheme="minorHAnsi"/>
                <w:sz w:val="20"/>
                <w:szCs w:val="20"/>
              </w:rPr>
              <w:t>*</w:t>
            </w:r>
          </w:p>
        </w:tc>
        <w:tc>
          <w:tcPr>
            <w:tcW w:w="2835" w:type="dxa"/>
            <w:noWrap/>
            <w:vAlign w:val="center"/>
          </w:tcPr>
          <w:p w14:paraId="7F3B6143" w14:textId="77777777" w:rsidR="000527CF" w:rsidRPr="00F777EA" w:rsidRDefault="000527CF" w:rsidP="000527CF">
            <w:pPr>
              <w:spacing w:line="360" w:lineRule="auto"/>
              <w:rPr>
                <w:rFonts w:cstheme="minorHAnsi"/>
                <w:sz w:val="20"/>
                <w:szCs w:val="20"/>
              </w:rPr>
            </w:pPr>
            <w:r w:rsidRPr="00F777EA">
              <w:rPr>
                <w:rFonts w:eastAsia="Times New Roman" w:cstheme="minorHAnsi"/>
                <w:bCs/>
                <w:sz w:val="20"/>
                <w:szCs w:val="20"/>
                <w:lang w:eastAsia="en-GB"/>
              </w:rPr>
              <w:t>HADS:  0 (best) – 21 (worst)</w:t>
            </w:r>
          </w:p>
        </w:tc>
        <w:tc>
          <w:tcPr>
            <w:tcW w:w="709" w:type="dxa"/>
            <w:noWrap/>
            <w:vAlign w:val="center"/>
          </w:tcPr>
          <w:p w14:paraId="240F4958"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1362</w:t>
            </w:r>
          </w:p>
        </w:tc>
        <w:tc>
          <w:tcPr>
            <w:tcW w:w="1134" w:type="dxa"/>
            <w:noWrap/>
            <w:vAlign w:val="center"/>
          </w:tcPr>
          <w:p w14:paraId="797D6E23" w14:textId="251E8954"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7.</w:t>
            </w:r>
            <w:r>
              <w:rPr>
                <w:rFonts w:ascii="Calibri" w:eastAsia="Times New Roman" w:hAnsi="Calibri" w:cs="Calibri"/>
                <w:color w:val="000000"/>
                <w:sz w:val="20"/>
                <w:szCs w:val="20"/>
                <w:lang w:eastAsia="en-GB"/>
              </w:rPr>
              <w:t>9</w:t>
            </w:r>
            <w:r w:rsidR="00BE3ED3">
              <w:rPr>
                <w:rFonts w:ascii="Calibri" w:hAnsi="Calibri" w:cs="Calibri"/>
                <w:color w:val="000000"/>
                <w:sz w:val="20"/>
                <w:szCs w:val="20"/>
              </w:rPr>
              <w:t xml:space="preserve"> (</w:t>
            </w:r>
            <w:r w:rsidR="00FB619D">
              <w:rPr>
                <w:rFonts w:ascii="Calibri" w:hAnsi="Calibri" w:cs="Calibri"/>
                <w:color w:val="000000"/>
                <w:sz w:val="20"/>
                <w:szCs w:val="20"/>
              </w:rPr>
              <w:t>4.8)</w:t>
            </w:r>
          </w:p>
        </w:tc>
        <w:tc>
          <w:tcPr>
            <w:tcW w:w="567" w:type="dxa"/>
            <w:vAlign w:val="center"/>
          </w:tcPr>
          <w:p w14:paraId="5BF72541"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455</w:t>
            </w:r>
          </w:p>
        </w:tc>
        <w:tc>
          <w:tcPr>
            <w:tcW w:w="1134" w:type="dxa"/>
            <w:noWrap/>
            <w:vAlign w:val="center"/>
          </w:tcPr>
          <w:p w14:paraId="335D2839" w14:textId="122946D6"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7.</w:t>
            </w:r>
            <w:r>
              <w:rPr>
                <w:rFonts w:ascii="Calibri" w:eastAsia="Times New Roman" w:hAnsi="Calibri" w:cs="Calibri"/>
                <w:color w:val="000000"/>
                <w:sz w:val="20"/>
                <w:szCs w:val="20"/>
                <w:lang w:eastAsia="en-GB"/>
              </w:rPr>
              <w:t>1</w:t>
            </w:r>
            <w:r w:rsidR="00FE3FB6">
              <w:rPr>
                <w:rFonts w:ascii="Calibri" w:hAnsi="Calibri" w:cs="Calibri"/>
                <w:color w:val="000000"/>
                <w:sz w:val="20"/>
                <w:szCs w:val="20"/>
              </w:rPr>
              <w:t xml:space="preserve"> (</w:t>
            </w:r>
            <w:r w:rsidR="00FB619D">
              <w:rPr>
                <w:rFonts w:ascii="Calibri" w:hAnsi="Calibri" w:cs="Calibri"/>
                <w:color w:val="000000"/>
                <w:sz w:val="20"/>
                <w:szCs w:val="20"/>
              </w:rPr>
              <w:t>4.6)</w:t>
            </w:r>
          </w:p>
        </w:tc>
        <w:tc>
          <w:tcPr>
            <w:tcW w:w="1984" w:type="dxa"/>
          </w:tcPr>
          <w:p w14:paraId="17DCE4FB" w14:textId="4BBAE11F" w:rsidR="000527CF" w:rsidRPr="006D6553" w:rsidRDefault="000527CF" w:rsidP="000527CF">
            <w:pPr>
              <w:spacing w:line="360" w:lineRule="auto"/>
              <w:jc w:val="center"/>
              <w:rPr>
                <w:rFonts w:ascii="Calibri" w:eastAsia="Times New Roman" w:hAnsi="Calibri" w:cs="Calibri"/>
                <w:color w:val="FF0000"/>
                <w:sz w:val="20"/>
                <w:szCs w:val="20"/>
                <w:lang w:eastAsia="en-GB"/>
              </w:rPr>
            </w:pPr>
            <w:r w:rsidRPr="003B0186">
              <w:rPr>
                <w:rFonts w:ascii="Calibri" w:eastAsia="Times New Roman" w:hAnsi="Calibri" w:cs="Calibri"/>
                <w:sz w:val="20"/>
                <w:szCs w:val="20"/>
                <w:lang w:eastAsia="en-GB"/>
              </w:rPr>
              <w:t>-0.8 (-1.</w:t>
            </w:r>
            <w:r w:rsidR="003B0186" w:rsidRPr="003B0186">
              <w:rPr>
                <w:rFonts w:ascii="Calibri" w:eastAsia="Times New Roman" w:hAnsi="Calibri" w:cs="Calibri"/>
                <w:sz w:val="20"/>
                <w:szCs w:val="20"/>
                <w:lang w:eastAsia="en-GB"/>
              </w:rPr>
              <w:t>3</w:t>
            </w:r>
            <w:r w:rsidRPr="003B0186">
              <w:rPr>
                <w:rFonts w:ascii="Calibri" w:eastAsia="Times New Roman" w:hAnsi="Calibri" w:cs="Calibri"/>
                <w:sz w:val="20"/>
                <w:szCs w:val="20"/>
                <w:lang w:eastAsia="en-GB"/>
              </w:rPr>
              <w:t>, -0.</w:t>
            </w:r>
            <w:r w:rsidR="003B0186" w:rsidRPr="003B0186">
              <w:rPr>
                <w:rFonts w:ascii="Calibri" w:eastAsia="Times New Roman" w:hAnsi="Calibri" w:cs="Calibri"/>
                <w:sz w:val="20"/>
                <w:szCs w:val="20"/>
                <w:lang w:eastAsia="en-GB"/>
              </w:rPr>
              <w:t>3</w:t>
            </w:r>
            <w:r w:rsidRPr="003B0186">
              <w:rPr>
                <w:rFonts w:ascii="Calibri" w:eastAsia="Times New Roman" w:hAnsi="Calibri" w:cs="Calibri"/>
                <w:sz w:val="20"/>
                <w:szCs w:val="20"/>
                <w:lang w:eastAsia="en-GB"/>
              </w:rPr>
              <w:t>)</w:t>
            </w:r>
          </w:p>
        </w:tc>
      </w:tr>
      <w:tr w:rsidR="000527CF" w:rsidRPr="00C9494B" w14:paraId="1ABD4905" w14:textId="77777777" w:rsidTr="000527CF">
        <w:trPr>
          <w:trHeight w:val="300"/>
        </w:trPr>
        <w:tc>
          <w:tcPr>
            <w:tcW w:w="1985" w:type="dxa"/>
            <w:gridSpan w:val="2"/>
            <w:noWrap/>
            <w:vAlign w:val="center"/>
            <w:hideMark/>
          </w:tcPr>
          <w:p w14:paraId="6399DBD6" w14:textId="77777777" w:rsidR="000527CF" w:rsidRPr="00F777EA" w:rsidRDefault="000527CF" w:rsidP="000527CF">
            <w:pPr>
              <w:spacing w:line="360" w:lineRule="auto"/>
              <w:rPr>
                <w:rFonts w:cstheme="minorHAnsi"/>
                <w:sz w:val="20"/>
                <w:szCs w:val="20"/>
              </w:rPr>
            </w:pPr>
            <w:r w:rsidRPr="00F777EA">
              <w:rPr>
                <w:rFonts w:cstheme="minorHAnsi"/>
                <w:b/>
                <w:sz w:val="20"/>
                <w:szCs w:val="20"/>
              </w:rPr>
              <w:t xml:space="preserve">Depression* </w:t>
            </w:r>
          </w:p>
        </w:tc>
        <w:tc>
          <w:tcPr>
            <w:tcW w:w="2835" w:type="dxa"/>
            <w:noWrap/>
            <w:vAlign w:val="center"/>
          </w:tcPr>
          <w:p w14:paraId="209395DB" w14:textId="77777777" w:rsidR="000527CF" w:rsidRPr="00F777EA" w:rsidRDefault="000527CF" w:rsidP="000527CF">
            <w:pPr>
              <w:spacing w:line="360" w:lineRule="auto"/>
              <w:rPr>
                <w:rFonts w:cstheme="minorHAnsi"/>
                <w:sz w:val="20"/>
                <w:szCs w:val="20"/>
              </w:rPr>
            </w:pPr>
            <w:r w:rsidRPr="00F777EA">
              <w:rPr>
                <w:rFonts w:eastAsia="Times New Roman" w:cstheme="minorHAnsi"/>
                <w:bCs/>
                <w:sz w:val="20"/>
                <w:szCs w:val="20"/>
                <w:lang w:eastAsia="en-GB"/>
              </w:rPr>
              <w:t>HADS:  0 (best) – 21 (worst)</w:t>
            </w:r>
          </w:p>
        </w:tc>
        <w:tc>
          <w:tcPr>
            <w:tcW w:w="709" w:type="dxa"/>
            <w:noWrap/>
            <w:vAlign w:val="center"/>
          </w:tcPr>
          <w:p w14:paraId="58E8C8BA"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1362</w:t>
            </w:r>
          </w:p>
        </w:tc>
        <w:tc>
          <w:tcPr>
            <w:tcW w:w="1134" w:type="dxa"/>
            <w:noWrap/>
            <w:vAlign w:val="center"/>
          </w:tcPr>
          <w:p w14:paraId="75695D10" w14:textId="28B19498"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6.</w:t>
            </w:r>
            <w:r>
              <w:rPr>
                <w:rFonts w:ascii="Calibri" w:eastAsia="Times New Roman" w:hAnsi="Calibri" w:cs="Calibri"/>
                <w:color w:val="000000"/>
                <w:sz w:val="20"/>
                <w:szCs w:val="20"/>
                <w:lang w:eastAsia="en-GB"/>
              </w:rPr>
              <w:t>1</w:t>
            </w:r>
            <w:r w:rsidR="00BE3ED3">
              <w:rPr>
                <w:rFonts w:ascii="Calibri" w:hAnsi="Calibri" w:cs="Calibri"/>
                <w:color w:val="000000"/>
                <w:sz w:val="20"/>
                <w:szCs w:val="20"/>
              </w:rPr>
              <w:t xml:space="preserve"> (</w:t>
            </w:r>
            <w:r w:rsidR="00FB619D">
              <w:rPr>
                <w:rFonts w:ascii="Calibri" w:hAnsi="Calibri" w:cs="Calibri"/>
                <w:color w:val="000000"/>
                <w:sz w:val="20"/>
                <w:szCs w:val="20"/>
              </w:rPr>
              <w:t>4.2)</w:t>
            </w:r>
          </w:p>
        </w:tc>
        <w:tc>
          <w:tcPr>
            <w:tcW w:w="567" w:type="dxa"/>
            <w:vAlign w:val="center"/>
          </w:tcPr>
          <w:p w14:paraId="66241251"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455</w:t>
            </w:r>
          </w:p>
        </w:tc>
        <w:tc>
          <w:tcPr>
            <w:tcW w:w="1134" w:type="dxa"/>
            <w:noWrap/>
            <w:vAlign w:val="center"/>
          </w:tcPr>
          <w:p w14:paraId="10DF8FA9" w14:textId="7E8248EF"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5.</w:t>
            </w:r>
            <w:r>
              <w:rPr>
                <w:rFonts w:ascii="Calibri" w:eastAsia="Times New Roman" w:hAnsi="Calibri" w:cs="Calibri"/>
                <w:color w:val="000000"/>
                <w:sz w:val="20"/>
                <w:szCs w:val="20"/>
                <w:lang w:eastAsia="en-GB"/>
              </w:rPr>
              <w:t>5</w:t>
            </w:r>
            <w:r w:rsidR="00FE3FB6">
              <w:rPr>
                <w:rFonts w:ascii="Calibri" w:hAnsi="Calibri" w:cs="Calibri"/>
                <w:color w:val="000000"/>
                <w:sz w:val="20"/>
                <w:szCs w:val="20"/>
              </w:rPr>
              <w:t xml:space="preserve"> (</w:t>
            </w:r>
            <w:r w:rsidR="00FB619D">
              <w:rPr>
                <w:rFonts w:ascii="Calibri" w:hAnsi="Calibri" w:cs="Calibri"/>
                <w:color w:val="000000"/>
                <w:sz w:val="20"/>
                <w:szCs w:val="20"/>
              </w:rPr>
              <w:t>4.1)</w:t>
            </w:r>
          </w:p>
        </w:tc>
        <w:tc>
          <w:tcPr>
            <w:tcW w:w="1984" w:type="dxa"/>
          </w:tcPr>
          <w:p w14:paraId="6B96FEE3" w14:textId="0EFEF0E8" w:rsidR="000527CF" w:rsidRPr="006D6553" w:rsidRDefault="000527CF" w:rsidP="000527CF">
            <w:pPr>
              <w:spacing w:line="360" w:lineRule="auto"/>
              <w:jc w:val="center"/>
              <w:rPr>
                <w:rFonts w:ascii="Calibri" w:eastAsia="Times New Roman" w:hAnsi="Calibri" w:cs="Calibri"/>
                <w:color w:val="FF0000"/>
                <w:sz w:val="20"/>
                <w:szCs w:val="20"/>
                <w:lang w:eastAsia="en-GB"/>
              </w:rPr>
            </w:pPr>
            <w:r w:rsidRPr="003B0186">
              <w:rPr>
                <w:rFonts w:ascii="Calibri" w:eastAsia="Times New Roman" w:hAnsi="Calibri" w:cs="Calibri"/>
                <w:sz w:val="20"/>
                <w:szCs w:val="20"/>
                <w:lang w:eastAsia="en-GB"/>
              </w:rPr>
              <w:t>-0.6 (-</w:t>
            </w:r>
            <w:r w:rsidR="003B0186" w:rsidRPr="003B0186">
              <w:rPr>
                <w:rFonts w:ascii="Calibri" w:eastAsia="Times New Roman" w:hAnsi="Calibri" w:cs="Calibri"/>
                <w:sz w:val="20"/>
                <w:szCs w:val="20"/>
                <w:lang w:eastAsia="en-GB"/>
              </w:rPr>
              <w:t>1.1</w:t>
            </w:r>
            <w:r w:rsidRPr="003B0186">
              <w:rPr>
                <w:rFonts w:ascii="Calibri" w:eastAsia="Times New Roman" w:hAnsi="Calibri" w:cs="Calibri"/>
                <w:sz w:val="20"/>
                <w:szCs w:val="20"/>
                <w:lang w:eastAsia="en-GB"/>
              </w:rPr>
              <w:t>, -0.</w:t>
            </w:r>
            <w:r w:rsidR="003B0186" w:rsidRPr="003B0186">
              <w:rPr>
                <w:rFonts w:ascii="Calibri" w:eastAsia="Times New Roman" w:hAnsi="Calibri" w:cs="Calibri"/>
                <w:sz w:val="20"/>
                <w:szCs w:val="20"/>
                <w:lang w:eastAsia="en-GB"/>
              </w:rPr>
              <w:t>2</w:t>
            </w:r>
            <w:r w:rsidRPr="003B0186">
              <w:rPr>
                <w:rFonts w:ascii="Calibri" w:eastAsia="Times New Roman" w:hAnsi="Calibri" w:cs="Calibri"/>
                <w:sz w:val="20"/>
                <w:szCs w:val="20"/>
                <w:lang w:eastAsia="en-GB"/>
              </w:rPr>
              <w:t>)</w:t>
            </w:r>
          </w:p>
        </w:tc>
      </w:tr>
      <w:tr w:rsidR="000527CF" w:rsidRPr="00C9494B" w14:paraId="5A368FBE" w14:textId="77777777" w:rsidTr="000527CF">
        <w:trPr>
          <w:trHeight w:val="300"/>
        </w:trPr>
        <w:tc>
          <w:tcPr>
            <w:tcW w:w="1985" w:type="dxa"/>
            <w:gridSpan w:val="2"/>
            <w:noWrap/>
            <w:vAlign w:val="center"/>
            <w:hideMark/>
          </w:tcPr>
          <w:p w14:paraId="6AA716B6" w14:textId="77777777" w:rsidR="000527CF" w:rsidRPr="00F777EA" w:rsidRDefault="000527CF" w:rsidP="000527CF">
            <w:pPr>
              <w:spacing w:line="360" w:lineRule="auto"/>
              <w:rPr>
                <w:rFonts w:cstheme="minorHAnsi"/>
                <w:sz w:val="20"/>
                <w:szCs w:val="20"/>
              </w:rPr>
            </w:pPr>
            <w:r w:rsidRPr="00F777EA">
              <w:rPr>
                <w:rFonts w:cstheme="minorHAnsi"/>
                <w:b/>
                <w:sz w:val="20"/>
                <w:szCs w:val="20"/>
              </w:rPr>
              <w:t xml:space="preserve">Sleep Disturbance </w:t>
            </w:r>
          </w:p>
        </w:tc>
        <w:tc>
          <w:tcPr>
            <w:tcW w:w="2835" w:type="dxa"/>
            <w:noWrap/>
            <w:vAlign w:val="center"/>
          </w:tcPr>
          <w:p w14:paraId="271F326A" w14:textId="77777777" w:rsidR="000527CF" w:rsidRPr="00F777EA" w:rsidRDefault="000527CF" w:rsidP="000527CF">
            <w:pPr>
              <w:spacing w:line="360" w:lineRule="auto"/>
              <w:rPr>
                <w:rFonts w:cstheme="minorHAnsi"/>
                <w:sz w:val="20"/>
                <w:szCs w:val="20"/>
              </w:rPr>
            </w:pPr>
            <w:r w:rsidRPr="00F777EA">
              <w:rPr>
                <w:rFonts w:eastAsia="Times New Roman" w:cstheme="minorHAnsi"/>
                <w:bCs/>
                <w:sz w:val="20"/>
                <w:szCs w:val="20"/>
                <w:lang w:eastAsia="en-GB"/>
              </w:rPr>
              <w:t>Jenkins: 0 (best) – 20 (worst)</w:t>
            </w:r>
          </w:p>
        </w:tc>
        <w:tc>
          <w:tcPr>
            <w:tcW w:w="709" w:type="dxa"/>
            <w:noWrap/>
            <w:vAlign w:val="center"/>
          </w:tcPr>
          <w:p w14:paraId="72DDCE5E"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1368</w:t>
            </w:r>
          </w:p>
        </w:tc>
        <w:tc>
          <w:tcPr>
            <w:tcW w:w="1134" w:type="dxa"/>
            <w:noWrap/>
            <w:vAlign w:val="center"/>
          </w:tcPr>
          <w:p w14:paraId="4242DF63" w14:textId="4185C803" w:rsidR="000527CF" w:rsidRPr="00F777EA" w:rsidRDefault="000527CF" w:rsidP="000527CF">
            <w:pPr>
              <w:spacing w:line="36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10.5</w:t>
            </w:r>
            <w:r w:rsidR="00BE3ED3">
              <w:rPr>
                <w:rFonts w:ascii="Calibri" w:hAnsi="Calibri" w:cs="Calibri"/>
                <w:color w:val="000000"/>
                <w:sz w:val="20"/>
                <w:szCs w:val="20"/>
              </w:rPr>
              <w:t xml:space="preserve"> (</w:t>
            </w:r>
            <w:r w:rsidR="00FB619D">
              <w:rPr>
                <w:rFonts w:ascii="Calibri" w:hAnsi="Calibri" w:cs="Calibri"/>
                <w:color w:val="000000"/>
                <w:sz w:val="20"/>
                <w:szCs w:val="20"/>
              </w:rPr>
              <w:t>6.2)</w:t>
            </w:r>
          </w:p>
        </w:tc>
        <w:tc>
          <w:tcPr>
            <w:tcW w:w="567" w:type="dxa"/>
            <w:vAlign w:val="center"/>
          </w:tcPr>
          <w:p w14:paraId="1A80C0E5"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461</w:t>
            </w:r>
          </w:p>
        </w:tc>
        <w:tc>
          <w:tcPr>
            <w:tcW w:w="1134" w:type="dxa"/>
            <w:noWrap/>
            <w:vAlign w:val="center"/>
          </w:tcPr>
          <w:p w14:paraId="5874C231" w14:textId="25E94247" w:rsidR="000527CF" w:rsidRPr="00F777EA" w:rsidRDefault="000527CF" w:rsidP="000527CF">
            <w:pPr>
              <w:spacing w:line="36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w:t>
            </w:r>
            <w:r w:rsidR="00FE3FB6">
              <w:rPr>
                <w:rFonts w:ascii="Calibri" w:hAnsi="Calibri" w:cs="Calibri"/>
                <w:color w:val="000000"/>
                <w:sz w:val="20"/>
                <w:szCs w:val="20"/>
              </w:rPr>
              <w:t xml:space="preserve"> (</w:t>
            </w:r>
            <w:r w:rsidR="00FB619D">
              <w:rPr>
                <w:rFonts w:ascii="Calibri" w:hAnsi="Calibri" w:cs="Calibri"/>
                <w:color w:val="000000"/>
                <w:sz w:val="20"/>
                <w:szCs w:val="20"/>
              </w:rPr>
              <w:t>6.4)</w:t>
            </w:r>
          </w:p>
        </w:tc>
        <w:tc>
          <w:tcPr>
            <w:tcW w:w="1984" w:type="dxa"/>
          </w:tcPr>
          <w:p w14:paraId="124ACA10" w14:textId="3C83A743" w:rsidR="000527CF" w:rsidRPr="006D6553" w:rsidRDefault="000527CF" w:rsidP="000527CF">
            <w:pPr>
              <w:spacing w:line="360" w:lineRule="auto"/>
              <w:jc w:val="center"/>
              <w:rPr>
                <w:rFonts w:ascii="Calibri" w:eastAsia="Times New Roman" w:hAnsi="Calibri" w:cs="Calibri"/>
                <w:color w:val="FF0000"/>
                <w:sz w:val="20"/>
                <w:szCs w:val="20"/>
                <w:lang w:eastAsia="en-GB"/>
              </w:rPr>
            </w:pPr>
            <w:r w:rsidRPr="003B0186">
              <w:rPr>
                <w:rFonts w:ascii="Calibri" w:eastAsia="Times New Roman" w:hAnsi="Calibri" w:cs="Calibri"/>
                <w:sz w:val="20"/>
                <w:szCs w:val="20"/>
                <w:lang w:eastAsia="en-GB"/>
              </w:rPr>
              <w:t>-0.5 (-</w:t>
            </w:r>
            <w:r w:rsidR="003B0186" w:rsidRPr="003B0186">
              <w:rPr>
                <w:rFonts w:ascii="Calibri" w:eastAsia="Times New Roman" w:hAnsi="Calibri" w:cs="Calibri"/>
                <w:sz w:val="20"/>
                <w:szCs w:val="20"/>
                <w:lang w:eastAsia="en-GB"/>
              </w:rPr>
              <w:t>1.2</w:t>
            </w:r>
            <w:r w:rsidRPr="003B0186">
              <w:rPr>
                <w:rFonts w:ascii="Calibri" w:eastAsia="Times New Roman" w:hAnsi="Calibri" w:cs="Calibri"/>
                <w:sz w:val="20"/>
                <w:szCs w:val="20"/>
                <w:lang w:eastAsia="en-GB"/>
              </w:rPr>
              <w:t>, 0.</w:t>
            </w:r>
            <w:r w:rsidR="003B0186" w:rsidRPr="003B0186">
              <w:rPr>
                <w:rFonts w:ascii="Calibri" w:eastAsia="Times New Roman" w:hAnsi="Calibri" w:cs="Calibri"/>
                <w:sz w:val="20"/>
                <w:szCs w:val="20"/>
                <w:lang w:eastAsia="en-GB"/>
              </w:rPr>
              <w:t>1</w:t>
            </w:r>
            <w:r w:rsidRPr="003B0186">
              <w:rPr>
                <w:rFonts w:ascii="Calibri" w:eastAsia="Times New Roman" w:hAnsi="Calibri" w:cs="Calibri"/>
                <w:sz w:val="20"/>
                <w:szCs w:val="20"/>
                <w:lang w:eastAsia="en-GB"/>
              </w:rPr>
              <w:t>)</w:t>
            </w:r>
          </w:p>
        </w:tc>
      </w:tr>
      <w:tr w:rsidR="000527CF" w:rsidRPr="00C9494B" w14:paraId="078D29F5" w14:textId="77777777" w:rsidTr="000527CF">
        <w:trPr>
          <w:trHeight w:val="300"/>
        </w:trPr>
        <w:tc>
          <w:tcPr>
            <w:tcW w:w="1985" w:type="dxa"/>
            <w:gridSpan w:val="2"/>
            <w:noWrap/>
            <w:vAlign w:val="center"/>
            <w:hideMark/>
          </w:tcPr>
          <w:p w14:paraId="7A35543F" w14:textId="77777777" w:rsidR="000527CF" w:rsidRPr="00F777EA" w:rsidRDefault="000527CF" w:rsidP="000527CF">
            <w:pPr>
              <w:spacing w:line="360" w:lineRule="auto"/>
              <w:rPr>
                <w:rFonts w:cstheme="minorHAnsi"/>
                <w:sz w:val="20"/>
                <w:szCs w:val="20"/>
              </w:rPr>
            </w:pPr>
            <w:r w:rsidRPr="00F777EA">
              <w:rPr>
                <w:rFonts w:cstheme="minorHAnsi"/>
                <w:b/>
                <w:sz w:val="20"/>
                <w:szCs w:val="20"/>
              </w:rPr>
              <w:t>Fatigue*</w:t>
            </w:r>
          </w:p>
        </w:tc>
        <w:tc>
          <w:tcPr>
            <w:tcW w:w="2835" w:type="dxa"/>
            <w:noWrap/>
            <w:vAlign w:val="center"/>
          </w:tcPr>
          <w:p w14:paraId="6AEDE820" w14:textId="77777777" w:rsidR="000527CF" w:rsidRPr="00F777EA" w:rsidRDefault="000527CF" w:rsidP="000527CF">
            <w:pPr>
              <w:spacing w:line="360" w:lineRule="auto"/>
              <w:rPr>
                <w:rFonts w:cstheme="minorHAnsi"/>
                <w:sz w:val="20"/>
                <w:szCs w:val="20"/>
              </w:rPr>
            </w:pPr>
            <w:r w:rsidRPr="00F777EA">
              <w:rPr>
                <w:rFonts w:eastAsia="Times New Roman" w:cstheme="minorHAnsi"/>
                <w:bCs/>
                <w:sz w:val="20"/>
                <w:szCs w:val="20"/>
                <w:lang w:eastAsia="en-GB"/>
              </w:rPr>
              <w:t>CFS: 0 (best) – 11 (worst)</w:t>
            </w:r>
          </w:p>
        </w:tc>
        <w:tc>
          <w:tcPr>
            <w:tcW w:w="709" w:type="dxa"/>
            <w:noWrap/>
            <w:vAlign w:val="center"/>
          </w:tcPr>
          <w:p w14:paraId="43EEFB8D"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1379</w:t>
            </w:r>
          </w:p>
        </w:tc>
        <w:tc>
          <w:tcPr>
            <w:tcW w:w="1134" w:type="dxa"/>
            <w:noWrap/>
            <w:vAlign w:val="center"/>
          </w:tcPr>
          <w:p w14:paraId="423527AA" w14:textId="4FA45C8E"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4.</w:t>
            </w:r>
            <w:r>
              <w:rPr>
                <w:rFonts w:ascii="Calibri" w:eastAsia="Times New Roman" w:hAnsi="Calibri" w:cs="Calibri"/>
                <w:color w:val="000000"/>
                <w:sz w:val="20"/>
                <w:szCs w:val="20"/>
                <w:lang w:eastAsia="en-GB"/>
              </w:rPr>
              <w:t>3</w:t>
            </w:r>
            <w:r w:rsidR="00BE3ED3">
              <w:rPr>
                <w:rFonts w:ascii="Calibri" w:hAnsi="Calibri" w:cs="Calibri"/>
                <w:color w:val="000000"/>
                <w:sz w:val="20"/>
                <w:szCs w:val="20"/>
              </w:rPr>
              <w:t xml:space="preserve"> (</w:t>
            </w:r>
            <w:r w:rsidR="00FB619D">
              <w:rPr>
                <w:rFonts w:ascii="Calibri" w:hAnsi="Calibri" w:cs="Calibri"/>
                <w:color w:val="000000"/>
                <w:sz w:val="20"/>
                <w:szCs w:val="20"/>
              </w:rPr>
              <w:t>3.8)</w:t>
            </w:r>
          </w:p>
        </w:tc>
        <w:tc>
          <w:tcPr>
            <w:tcW w:w="567" w:type="dxa"/>
            <w:vAlign w:val="center"/>
          </w:tcPr>
          <w:p w14:paraId="0C3F7DA0"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463</w:t>
            </w:r>
          </w:p>
        </w:tc>
        <w:tc>
          <w:tcPr>
            <w:tcW w:w="1134" w:type="dxa"/>
            <w:noWrap/>
            <w:vAlign w:val="center"/>
          </w:tcPr>
          <w:p w14:paraId="7AC326EF" w14:textId="5ADD2168"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3</w:t>
            </w:r>
            <w:r>
              <w:rPr>
                <w:rFonts w:ascii="Calibri" w:eastAsia="Times New Roman" w:hAnsi="Calibri" w:cs="Calibri"/>
                <w:color w:val="000000"/>
                <w:sz w:val="20"/>
                <w:szCs w:val="20"/>
                <w:lang w:eastAsia="en-GB"/>
              </w:rPr>
              <w:t>.9</w:t>
            </w:r>
            <w:r w:rsidR="00FE3FB6">
              <w:rPr>
                <w:rFonts w:ascii="Calibri" w:hAnsi="Calibri" w:cs="Calibri"/>
                <w:color w:val="000000"/>
                <w:sz w:val="20"/>
                <w:szCs w:val="20"/>
              </w:rPr>
              <w:t xml:space="preserve"> (</w:t>
            </w:r>
            <w:r w:rsidR="00FB619D">
              <w:rPr>
                <w:rFonts w:ascii="Calibri" w:hAnsi="Calibri" w:cs="Calibri"/>
                <w:color w:val="000000"/>
                <w:sz w:val="20"/>
                <w:szCs w:val="20"/>
              </w:rPr>
              <w:t>3.7)</w:t>
            </w:r>
          </w:p>
        </w:tc>
        <w:tc>
          <w:tcPr>
            <w:tcW w:w="1984" w:type="dxa"/>
          </w:tcPr>
          <w:p w14:paraId="2BB9876D" w14:textId="34DA83E7" w:rsidR="000527CF" w:rsidRPr="006D6553" w:rsidRDefault="000527CF" w:rsidP="000527CF">
            <w:pPr>
              <w:spacing w:line="360" w:lineRule="auto"/>
              <w:jc w:val="center"/>
              <w:rPr>
                <w:rFonts w:ascii="Calibri" w:eastAsia="Times New Roman" w:hAnsi="Calibri" w:cs="Calibri"/>
                <w:color w:val="FF0000"/>
                <w:sz w:val="20"/>
                <w:szCs w:val="20"/>
                <w:lang w:eastAsia="en-GB"/>
              </w:rPr>
            </w:pPr>
            <w:r w:rsidRPr="003B0186">
              <w:rPr>
                <w:rFonts w:ascii="Calibri" w:eastAsia="Times New Roman" w:hAnsi="Calibri" w:cs="Calibri"/>
                <w:sz w:val="20"/>
                <w:szCs w:val="20"/>
                <w:lang w:eastAsia="en-GB"/>
              </w:rPr>
              <w:t>-0.4 (-0.</w:t>
            </w:r>
            <w:r w:rsidR="003B0186" w:rsidRPr="003B0186">
              <w:rPr>
                <w:rFonts w:ascii="Calibri" w:eastAsia="Times New Roman" w:hAnsi="Calibri" w:cs="Calibri"/>
                <w:sz w:val="20"/>
                <w:szCs w:val="20"/>
                <w:lang w:eastAsia="en-GB"/>
              </w:rPr>
              <w:t>8</w:t>
            </w:r>
            <w:r w:rsidRPr="003B0186">
              <w:rPr>
                <w:rFonts w:ascii="Calibri" w:eastAsia="Times New Roman" w:hAnsi="Calibri" w:cs="Calibri"/>
                <w:sz w:val="20"/>
                <w:szCs w:val="20"/>
                <w:lang w:eastAsia="en-GB"/>
              </w:rPr>
              <w:t>, -0.</w:t>
            </w:r>
            <w:r w:rsidR="003B0186" w:rsidRPr="003B0186">
              <w:rPr>
                <w:rFonts w:ascii="Calibri" w:eastAsia="Times New Roman" w:hAnsi="Calibri" w:cs="Calibri"/>
                <w:sz w:val="20"/>
                <w:szCs w:val="20"/>
                <w:lang w:eastAsia="en-GB"/>
              </w:rPr>
              <w:t>04</w:t>
            </w:r>
            <w:r w:rsidRPr="003B0186">
              <w:rPr>
                <w:rFonts w:ascii="Calibri" w:eastAsia="Times New Roman" w:hAnsi="Calibri" w:cs="Calibri"/>
                <w:sz w:val="20"/>
                <w:szCs w:val="20"/>
                <w:lang w:eastAsia="en-GB"/>
              </w:rPr>
              <w:t>)</w:t>
            </w:r>
          </w:p>
        </w:tc>
      </w:tr>
      <w:tr w:rsidR="000527CF" w:rsidRPr="00C9494B" w14:paraId="24D27433" w14:textId="77777777" w:rsidTr="000527CF">
        <w:trPr>
          <w:trHeight w:val="300"/>
        </w:trPr>
        <w:tc>
          <w:tcPr>
            <w:tcW w:w="1985" w:type="dxa"/>
            <w:gridSpan w:val="2"/>
            <w:noWrap/>
            <w:vAlign w:val="center"/>
            <w:hideMark/>
          </w:tcPr>
          <w:p w14:paraId="4D8F48CF" w14:textId="77777777" w:rsidR="000527CF" w:rsidRPr="00F777EA" w:rsidRDefault="000527CF" w:rsidP="000527CF">
            <w:pPr>
              <w:spacing w:line="360" w:lineRule="auto"/>
              <w:rPr>
                <w:rFonts w:ascii="Calibri" w:eastAsia="Times New Roman" w:hAnsi="Calibri" w:cs="Calibri"/>
                <w:b/>
                <w:bCs/>
                <w:color w:val="000000"/>
                <w:sz w:val="20"/>
                <w:szCs w:val="20"/>
                <w:lang w:eastAsia="en-GB"/>
              </w:rPr>
            </w:pPr>
            <w:r w:rsidRPr="00F777EA">
              <w:rPr>
                <w:rFonts w:ascii="Calibri" w:eastAsia="Times New Roman" w:hAnsi="Calibri" w:cs="Calibri"/>
                <w:b/>
                <w:bCs/>
                <w:color w:val="000000"/>
                <w:sz w:val="20"/>
                <w:szCs w:val="20"/>
                <w:lang w:eastAsia="en-GB"/>
              </w:rPr>
              <w:t>Work absenteeism</w:t>
            </w:r>
          </w:p>
        </w:tc>
        <w:tc>
          <w:tcPr>
            <w:tcW w:w="2835" w:type="dxa"/>
            <w:noWrap/>
            <w:vAlign w:val="center"/>
          </w:tcPr>
          <w:p w14:paraId="0CE91EDE" w14:textId="77777777" w:rsidR="000527CF" w:rsidRPr="00F777EA" w:rsidRDefault="000527CF" w:rsidP="000527CF">
            <w:pPr>
              <w:spacing w:line="360" w:lineRule="auto"/>
              <w:rPr>
                <w:rFonts w:ascii="Calibri" w:eastAsia="Times New Roman" w:hAnsi="Calibri" w:cs="Calibri"/>
                <w:bCs/>
                <w:color w:val="000000"/>
                <w:sz w:val="20"/>
                <w:szCs w:val="20"/>
                <w:lang w:eastAsia="en-GB"/>
              </w:rPr>
            </w:pPr>
            <w:r w:rsidRPr="00F777EA">
              <w:rPr>
                <w:rFonts w:ascii="Calibri" w:eastAsia="Times New Roman" w:hAnsi="Calibri" w:cs="Calibri"/>
                <w:bCs/>
                <w:color w:val="000000"/>
                <w:sz w:val="20"/>
                <w:szCs w:val="20"/>
                <w:lang w:eastAsia="en-GB"/>
              </w:rPr>
              <w:t>%</w:t>
            </w:r>
          </w:p>
        </w:tc>
        <w:tc>
          <w:tcPr>
            <w:tcW w:w="709" w:type="dxa"/>
            <w:noWrap/>
            <w:vAlign w:val="center"/>
          </w:tcPr>
          <w:p w14:paraId="6651F32D"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760</w:t>
            </w:r>
          </w:p>
        </w:tc>
        <w:tc>
          <w:tcPr>
            <w:tcW w:w="1134" w:type="dxa"/>
            <w:noWrap/>
            <w:vAlign w:val="center"/>
          </w:tcPr>
          <w:p w14:paraId="70EAFEF4" w14:textId="05FB46D8" w:rsidR="000527CF" w:rsidRPr="00F777EA" w:rsidRDefault="000527CF" w:rsidP="000527CF">
            <w:pPr>
              <w:spacing w:line="36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6.8</w:t>
            </w:r>
            <w:r w:rsidR="00BE3ED3">
              <w:rPr>
                <w:rFonts w:ascii="Calibri" w:hAnsi="Calibri" w:cs="Calibri"/>
                <w:color w:val="000000"/>
                <w:sz w:val="20"/>
                <w:szCs w:val="20"/>
              </w:rPr>
              <w:t xml:space="preserve"> (</w:t>
            </w:r>
            <w:r w:rsidR="00FB619D">
              <w:rPr>
                <w:rFonts w:ascii="Calibri" w:hAnsi="Calibri" w:cs="Calibri"/>
                <w:color w:val="000000"/>
                <w:sz w:val="20"/>
                <w:szCs w:val="20"/>
              </w:rPr>
              <w:t>20.2)</w:t>
            </w:r>
          </w:p>
        </w:tc>
        <w:tc>
          <w:tcPr>
            <w:tcW w:w="567" w:type="dxa"/>
            <w:vAlign w:val="center"/>
          </w:tcPr>
          <w:p w14:paraId="0243CF47"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258</w:t>
            </w:r>
          </w:p>
        </w:tc>
        <w:tc>
          <w:tcPr>
            <w:tcW w:w="1134" w:type="dxa"/>
            <w:noWrap/>
            <w:vAlign w:val="center"/>
          </w:tcPr>
          <w:p w14:paraId="7E739B59" w14:textId="04322481" w:rsidR="000527CF" w:rsidRPr="00F777EA" w:rsidRDefault="000527CF" w:rsidP="000527CF">
            <w:pPr>
              <w:spacing w:line="36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5.8</w:t>
            </w:r>
            <w:r w:rsidR="00FE3FB6">
              <w:rPr>
                <w:rFonts w:ascii="Calibri" w:hAnsi="Calibri" w:cs="Calibri"/>
                <w:color w:val="000000"/>
                <w:sz w:val="20"/>
                <w:szCs w:val="20"/>
              </w:rPr>
              <w:t xml:space="preserve"> (</w:t>
            </w:r>
            <w:r w:rsidR="00FB619D">
              <w:rPr>
                <w:rFonts w:ascii="Calibri" w:hAnsi="Calibri" w:cs="Calibri"/>
                <w:color w:val="000000"/>
                <w:sz w:val="20"/>
                <w:szCs w:val="20"/>
              </w:rPr>
              <w:t>17.6)</w:t>
            </w:r>
          </w:p>
        </w:tc>
        <w:tc>
          <w:tcPr>
            <w:tcW w:w="1984" w:type="dxa"/>
          </w:tcPr>
          <w:p w14:paraId="341BAD41" w14:textId="6652680E" w:rsidR="000527CF" w:rsidRPr="003B0186" w:rsidRDefault="000527CF" w:rsidP="000527CF">
            <w:pPr>
              <w:spacing w:line="360" w:lineRule="auto"/>
              <w:jc w:val="center"/>
              <w:rPr>
                <w:rFonts w:ascii="Calibri" w:eastAsia="Times New Roman" w:hAnsi="Calibri" w:cs="Calibri"/>
                <w:sz w:val="20"/>
                <w:szCs w:val="20"/>
                <w:lang w:eastAsia="en-GB"/>
              </w:rPr>
            </w:pPr>
            <w:r w:rsidRPr="003B0186">
              <w:rPr>
                <w:rFonts w:ascii="Calibri" w:eastAsia="Times New Roman" w:hAnsi="Calibri" w:cs="Calibri"/>
                <w:sz w:val="20"/>
                <w:szCs w:val="20"/>
                <w:lang w:eastAsia="en-GB"/>
              </w:rPr>
              <w:t>-1.0 (-</w:t>
            </w:r>
            <w:r w:rsidR="003B0186" w:rsidRPr="003B0186">
              <w:rPr>
                <w:rFonts w:ascii="Calibri" w:eastAsia="Times New Roman" w:hAnsi="Calibri" w:cs="Calibri"/>
                <w:sz w:val="20"/>
                <w:szCs w:val="20"/>
                <w:lang w:eastAsia="en-GB"/>
              </w:rPr>
              <w:t>3.7</w:t>
            </w:r>
            <w:r w:rsidRPr="003B0186">
              <w:rPr>
                <w:rFonts w:ascii="Calibri" w:eastAsia="Times New Roman" w:hAnsi="Calibri" w:cs="Calibri"/>
                <w:sz w:val="20"/>
                <w:szCs w:val="20"/>
                <w:lang w:eastAsia="en-GB"/>
              </w:rPr>
              <w:t xml:space="preserve">, </w:t>
            </w:r>
            <w:r w:rsidR="003B0186" w:rsidRPr="003B0186">
              <w:rPr>
                <w:rFonts w:ascii="Calibri" w:eastAsia="Times New Roman" w:hAnsi="Calibri" w:cs="Calibri"/>
                <w:sz w:val="20"/>
                <w:szCs w:val="20"/>
                <w:lang w:eastAsia="en-GB"/>
              </w:rPr>
              <w:t>1.8</w:t>
            </w:r>
            <w:r w:rsidRPr="003B0186">
              <w:rPr>
                <w:rFonts w:ascii="Calibri" w:eastAsia="Times New Roman" w:hAnsi="Calibri" w:cs="Calibri"/>
                <w:sz w:val="20"/>
                <w:szCs w:val="20"/>
                <w:lang w:eastAsia="en-GB"/>
              </w:rPr>
              <w:t>)</w:t>
            </w:r>
          </w:p>
        </w:tc>
      </w:tr>
      <w:tr w:rsidR="000527CF" w:rsidRPr="00C9494B" w14:paraId="0BBE3F46" w14:textId="77777777" w:rsidTr="000527CF">
        <w:trPr>
          <w:trHeight w:val="300"/>
        </w:trPr>
        <w:tc>
          <w:tcPr>
            <w:tcW w:w="1985" w:type="dxa"/>
            <w:gridSpan w:val="2"/>
            <w:noWrap/>
            <w:vAlign w:val="center"/>
            <w:hideMark/>
          </w:tcPr>
          <w:p w14:paraId="38C09D59" w14:textId="77777777" w:rsidR="000527CF" w:rsidRPr="00F777EA" w:rsidRDefault="000527CF" w:rsidP="000527CF">
            <w:pPr>
              <w:spacing w:line="360" w:lineRule="auto"/>
              <w:rPr>
                <w:rFonts w:ascii="Calibri" w:eastAsia="Times New Roman" w:hAnsi="Calibri" w:cs="Calibri"/>
                <w:b/>
                <w:bCs/>
                <w:color w:val="000000"/>
                <w:sz w:val="20"/>
                <w:szCs w:val="20"/>
                <w:lang w:eastAsia="en-GB"/>
              </w:rPr>
            </w:pPr>
            <w:r w:rsidRPr="00F777EA">
              <w:rPr>
                <w:rFonts w:ascii="Calibri" w:eastAsia="Times New Roman" w:hAnsi="Calibri" w:cs="Calibri"/>
                <w:b/>
                <w:bCs/>
                <w:color w:val="000000"/>
                <w:sz w:val="20"/>
                <w:szCs w:val="20"/>
                <w:lang w:eastAsia="en-GB"/>
              </w:rPr>
              <w:t>Work presenteeism</w:t>
            </w:r>
          </w:p>
        </w:tc>
        <w:tc>
          <w:tcPr>
            <w:tcW w:w="2835" w:type="dxa"/>
            <w:noWrap/>
            <w:vAlign w:val="center"/>
          </w:tcPr>
          <w:p w14:paraId="50612A7C" w14:textId="77777777" w:rsidR="000527CF" w:rsidRPr="00F777EA" w:rsidRDefault="000527CF" w:rsidP="000527CF">
            <w:pPr>
              <w:spacing w:line="360" w:lineRule="auto"/>
              <w:rPr>
                <w:rFonts w:ascii="Calibri" w:eastAsia="Times New Roman" w:hAnsi="Calibri" w:cs="Calibri"/>
                <w:bCs/>
                <w:color w:val="000000"/>
                <w:sz w:val="20"/>
                <w:szCs w:val="20"/>
                <w:lang w:eastAsia="en-GB"/>
              </w:rPr>
            </w:pPr>
            <w:r w:rsidRPr="00F777EA">
              <w:rPr>
                <w:rFonts w:ascii="Calibri" w:eastAsia="Times New Roman" w:hAnsi="Calibri" w:cs="Calibri"/>
                <w:bCs/>
                <w:color w:val="000000"/>
                <w:sz w:val="20"/>
                <w:szCs w:val="20"/>
                <w:lang w:eastAsia="en-GB"/>
              </w:rPr>
              <w:t>%</w:t>
            </w:r>
          </w:p>
        </w:tc>
        <w:tc>
          <w:tcPr>
            <w:tcW w:w="709" w:type="dxa"/>
            <w:noWrap/>
            <w:vAlign w:val="center"/>
          </w:tcPr>
          <w:p w14:paraId="3AA7B801"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758</w:t>
            </w:r>
          </w:p>
        </w:tc>
        <w:tc>
          <w:tcPr>
            <w:tcW w:w="1134" w:type="dxa"/>
            <w:noWrap/>
            <w:vAlign w:val="center"/>
          </w:tcPr>
          <w:p w14:paraId="4F4AD9DA" w14:textId="21A6F8D9"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3</w:t>
            </w:r>
            <w:r>
              <w:rPr>
                <w:rFonts w:ascii="Calibri" w:eastAsia="Times New Roman" w:hAnsi="Calibri" w:cs="Calibri"/>
                <w:color w:val="000000"/>
                <w:sz w:val="20"/>
                <w:szCs w:val="20"/>
                <w:lang w:eastAsia="en-GB"/>
              </w:rPr>
              <w:t>1.2</w:t>
            </w:r>
            <w:r w:rsidR="00BE3ED3">
              <w:rPr>
                <w:rFonts w:ascii="Calibri" w:hAnsi="Calibri" w:cs="Calibri"/>
                <w:color w:val="000000"/>
                <w:sz w:val="20"/>
                <w:szCs w:val="20"/>
              </w:rPr>
              <w:t xml:space="preserve"> (</w:t>
            </w:r>
            <w:r w:rsidR="00FB619D">
              <w:rPr>
                <w:rFonts w:ascii="Calibri" w:hAnsi="Calibri" w:cs="Calibri"/>
                <w:color w:val="000000"/>
                <w:sz w:val="20"/>
                <w:szCs w:val="20"/>
              </w:rPr>
              <w:t>27.1)</w:t>
            </w:r>
          </w:p>
        </w:tc>
        <w:tc>
          <w:tcPr>
            <w:tcW w:w="567" w:type="dxa"/>
            <w:vAlign w:val="center"/>
          </w:tcPr>
          <w:p w14:paraId="059451B9"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258</w:t>
            </w:r>
          </w:p>
        </w:tc>
        <w:tc>
          <w:tcPr>
            <w:tcW w:w="1134" w:type="dxa"/>
            <w:noWrap/>
            <w:vAlign w:val="center"/>
          </w:tcPr>
          <w:p w14:paraId="260FCB4C" w14:textId="5B3AFF63"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3</w:t>
            </w:r>
            <w:r>
              <w:rPr>
                <w:rFonts w:ascii="Calibri" w:eastAsia="Times New Roman" w:hAnsi="Calibri" w:cs="Calibri"/>
                <w:color w:val="000000"/>
                <w:sz w:val="20"/>
                <w:szCs w:val="20"/>
                <w:lang w:eastAsia="en-GB"/>
              </w:rPr>
              <w:t>1.8</w:t>
            </w:r>
            <w:r w:rsidR="00FE3FB6">
              <w:rPr>
                <w:rFonts w:ascii="Calibri" w:hAnsi="Calibri" w:cs="Calibri"/>
                <w:color w:val="000000"/>
                <w:sz w:val="20"/>
                <w:szCs w:val="20"/>
              </w:rPr>
              <w:t xml:space="preserve"> (</w:t>
            </w:r>
            <w:r w:rsidR="00FB619D">
              <w:rPr>
                <w:rFonts w:ascii="Calibri" w:hAnsi="Calibri" w:cs="Calibri"/>
                <w:color w:val="000000"/>
                <w:sz w:val="20"/>
                <w:szCs w:val="20"/>
              </w:rPr>
              <w:t>25.8)</w:t>
            </w:r>
          </w:p>
        </w:tc>
        <w:tc>
          <w:tcPr>
            <w:tcW w:w="1984" w:type="dxa"/>
          </w:tcPr>
          <w:p w14:paraId="46F6F914" w14:textId="6E399B5C" w:rsidR="000527CF" w:rsidRPr="003B0186" w:rsidRDefault="000527CF" w:rsidP="000527CF">
            <w:pPr>
              <w:spacing w:line="360" w:lineRule="auto"/>
              <w:jc w:val="center"/>
              <w:rPr>
                <w:rFonts w:ascii="Calibri" w:eastAsia="Times New Roman" w:hAnsi="Calibri" w:cs="Calibri"/>
                <w:sz w:val="20"/>
                <w:szCs w:val="20"/>
                <w:lang w:eastAsia="en-GB"/>
              </w:rPr>
            </w:pPr>
            <w:r w:rsidRPr="003B0186">
              <w:rPr>
                <w:rFonts w:ascii="Calibri" w:eastAsia="Times New Roman" w:hAnsi="Calibri" w:cs="Calibri"/>
                <w:sz w:val="20"/>
                <w:szCs w:val="20"/>
                <w:lang w:eastAsia="en-GB"/>
              </w:rPr>
              <w:t>0.6 (-</w:t>
            </w:r>
            <w:r w:rsidR="003B0186" w:rsidRPr="003B0186">
              <w:rPr>
                <w:rFonts w:ascii="Calibri" w:eastAsia="Times New Roman" w:hAnsi="Calibri" w:cs="Calibri"/>
                <w:sz w:val="20"/>
                <w:szCs w:val="20"/>
                <w:lang w:eastAsia="en-GB"/>
              </w:rPr>
              <w:t>3.2</w:t>
            </w:r>
            <w:r w:rsidRPr="003B0186">
              <w:rPr>
                <w:rFonts w:ascii="Calibri" w:eastAsia="Times New Roman" w:hAnsi="Calibri" w:cs="Calibri"/>
                <w:sz w:val="20"/>
                <w:szCs w:val="20"/>
                <w:lang w:eastAsia="en-GB"/>
              </w:rPr>
              <w:t xml:space="preserve">, </w:t>
            </w:r>
            <w:r w:rsidR="003B0186" w:rsidRPr="003B0186">
              <w:rPr>
                <w:rFonts w:ascii="Calibri" w:eastAsia="Times New Roman" w:hAnsi="Calibri" w:cs="Calibri"/>
                <w:sz w:val="20"/>
                <w:szCs w:val="20"/>
                <w:lang w:eastAsia="en-GB"/>
              </w:rPr>
              <w:t>4.4</w:t>
            </w:r>
            <w:r w:rsidRPr="003B0186">
              <w:rPr>
                <w:rFonts w:ascii="Calibri" w:eastAsia="Times New Roman" w:hAnsi="Calibri" w:cs="Calibri"/>
                <w:sz w:val="20"/>
                <w:szCs w:val="20"/>
                <w:lang w:eastAsia="en-GB"/>
              </w:rPr>
              <w:t>)</w:t>
            </w:r>
          </w:p>
        </w:tc>
      </w:tr>
      <w:tr w:rsidR="000527CF" w:rsidRPr="00C9494B" w14:paraId="78E77B63" w14:textId="77777777" w:rsidTr="000527CF">
        <w:trPr>
          <w:trHeight w:val="300"/>
        </w:trPr>
        <w:tc>
          <w:tcPr>
            <w:tcW w:w="1985" w:type="dxa"/>
            <w:gridSpan w:val="2"/>
            <w:noWrap/>
            <w:vAlign w:val="center"/>
            <w:hideMark/>
          </w:tcPr>
          <w:p w14:paraId="1C8E0D17" w14:textId="77777777" w:rsidR="000527CF" w:rsidRPr="00F777EA" w:rsidRDefault="000527CF" w:rsidP="000527CF">
            <w:pPr>
              <w:spacing w:line="360" w:lineRule="auto"/>
              <w:rPr>
                <w:rFonts w:cstheme="minorHAnsi"/>
                <w:sz w:val="20"/>
                <w:szCs w:val="20"/>
              </w:rPr>
            </w:pPr>
            <w:r w:rsidRPr="00F777EA">
              <w:rPr>
                <w:rFonts w:cstheme="minorHAnsi"/>
                <w:b/>
                <w:sz w:val="20"/>
                <w:szCs w:val="20"/>
              </w:rPr>
              <w:t>Overall Work impair</w:t>
            </w:r>
            <w:r>
              <w:rPr>
                <w:rFonts w:cstheme="minorHAnsi"/>
                <w:b/>
                <w:sz w:val="20"/>
                <w:szCs w:val="20"/>
              </w:rPr>
              <w:t>.</w:t>
            </w:r>
          </w:p>
        </w:tc>
        <w:tc>
          <w:tcPr>
            <w:tcW w:w="2835" w:type="dxa"/>
            <w:noWrap/>
            <w:vAlign w:val="center"/>
          </w:tcPr>
          <w:p w14:paraId="1098E8BA" w14:textId="77777777" w:rsidR="000527CF" w:rsidRPr="00F777EA" w:rsidRDefault="000527CF" w:rsidP="000527CF">
            <w:pPr>
              <w:spacing w:line="360" w:lineRule="auto"/>
              <w:rPr>
                <w:rFonts w:cstheme="minorHAnsi"/>
                <w:sz w:val="20"/>
                <w:szCs w:val="20"/>
              </w:rPr>
            </w:pPr>
            <w:r w:rsidRPr="00F777EA">
              <w:rPr>
                <w:rFonts w:eastAsia="Times New Roman" w:cstheme="minorHAnsi"/>
                <w:bCs/>
                <w:sz w:val="20"/>
                <w:szCs w:val="20"/>
                <w:lang w:eastAsia="en-GB"/>
              </w:rPr>
              <w:t>%</w:t>
            </w:r>
          </w:p>
        </w:tc>
        <w:tc>
          <w:tcPr>
            <w:tcW w:w="709" w:type="dxa"/>
            <w:noWrap/>
            <w:vAlign w:val="center"/>
          </w:tcPr>
          <w:p w14:paraId="5524D1FB"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737</w:t>
            </w:r>
          </w:p>
        </w:tc>
        <w:tc>
          <w:tcPr>
            <w:tcW w:w="1134" w:type="dxa"/>
            <w:noWrap/>
            <w:vAlign w:val="center"/>
          </w:tcPr>
          <w:p w14:paraId="00985CAF" w14:textId="3B0586CD"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3</w:t>
            </w:r>
            <w:r>
              <w:rPr>
                <w:rFonts w:ascii="Calibri" w:eastAsia="Times New Roman" w:hAnsi="Calibri" w:cs="Calibri"/>
                <w:color w:val="000000"/>
                <w:sz w:val="20"/>
                <w:szCs w:val="20"/>
                <w:lang w:eastAsia="en-GB"/>
              </w:rPr>
              <w:t>2.3</w:t>
            </w:r>
            <w:r w:rsidR="00BE3ED3">
              <w:rPr>
                <w:rFonts w:ascii="Calibri" w:hAnsi="Calibri" w:cs="Calibri"/>
                <w:color w:val="000000"/>
                <w:sz w:val="20"/>
                <w:szCs w:val="20"/>
              </w:rPr>
              <w:t xml:space="preserve"> (</w:t>
            </w:r>
            <w:r w:rsidR="00FB619D">
              <w:rPr>
                <w:rFonts w:ascii="Calibri" w:hAnsi="Calibri" w:cs="Calibri"/>
                <w:color w:val="000000"/>
                <w:sz w:val="20"/>
                <w:szCs w:val="20"/>
              </w:rPr>
              <w:t>28.0)</w:t>
            </w:r>
          </w:p>
        </w:tc>
        <w:tc>
          <w:tcPr>
            <w:tcW w:w="567" w:type="dxa"/>
            <w:vAlign w:val="center"/>
          </w:tcPr>
          <w:p w14:paraId="70285886"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251</w:t>
            </w:r>
          </w:p>
        </w:tc>
        <w:tc>
          <w:tcPr>
            <w:tcW w:w="1134" w:type="dxa"/>
            <w:noWrap/>
            <w:vAlign w:val="center"/>
          </w:tcPr>
          <w:p w14:paraId="56D8FA4D" w14:textId="1391F0BC"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3</w:t>
            </w:r>
            <w:r>
              <w:rPr>
                <w:rFonts w:ascii="Calibri" w:eastAsia="Times New Roman" w:hAnsi="Calibri" w:cs="Calibri"/>
                <w:color w:val="000000"/>
                <w:sz w:val="20"/>
                <w:szCs w:val="20"/>
                <w:lang w:eastAsia="en-GB"/>
              </w:rPr>
              <w:t>3.3</w:t>
            </w:r>
            <w:r w:rsidR="00FE3FB6">
              <w:rPr>
                <w:rFonts w:ascii="Calibri" w:hAnsi="Calibri" w:cs="Calibri"/>
                <w:color w:val="000000"/>
                <w:sz w:val="20"/>
                <w:szCs w:val="20"/>
              </w:rPr>
              <w:t xml:space="preserve"> (</w:t>
            </w:r>
            <w:r w:rsidR="00FB619D">
              <w:rPr>
                <w:rFonts w:ascii="Calibri" w:hAnsi="Calibri" w:cs="Calibri"/>
                <w:color w:val="000000"/>
                <w:sz w:val="20"/>
                <w:szCs w:val="20"/>
              </w:rPr>
              <w:t>27.2)</w:t>
            </w:r>
          </w:p>
        </w:tc>
        <w:tc>
          <w:tcPr>
            <w:tcW w:w="1984" w:type="dxa"/>
          </w:tcPr>
          <w:p w14:paraId="5D073775" w14:textId="53D92C87" w:rsidR="000527CF" w:rsidRPr="003B0186" w:rsidRDefault="000527CF" w:rsidP="000527CF">
            <w:pPr>
              <w:spacing w:line="360" w:lineRule="auto"/>
              <w:jc w:val="center"/>
              <w:rPr>
                <w:rFonts w:ascii="Calibri" w:eastAsia="Times New Roman" w:hAnsi="Calibri" w:cs="Calibri"/>
                <w:sz w:val="20"/>
                <w:szCs w:val="20"/>
                <w:lang w:eastAsia="en-GB"/>
              </w:rPr>
            </w:pPr>
            <w:r w:rsidRPr="003B0186">
              <w:rPr>
                <w:rFonts w:ascii="Calibri" w:eastAsia="Times New Roman" w:hAnsi="Calibri" w:cs="Calibri"/>
                <w:sz w:val="20"/>
                <w:szCs w:val="20"/>
                <w:lang w:eastAsia="en-GB"/>
              </w:rPr>
              <w:t>1.0 (</w:t>
            </w:r>
            <w:r w:rsidR="003B0186" w:rsidRPr="003B0186">
              <w:rPr>
                <w:rFonts w:ascii="Calibri" w:eastAsia="Times New Roman" w:hAnsi="Calibri" w:cs="Calibri"/>
                <w:sz w:val="20"/>
                <w:szCs w:val="20"/>
                <w:lang w:eastAsia="en-GB"/>
              </w:rPr>
              <w:t>-3.0</w:t>
            </w:r>
            <w:r w:rsidRPr="003B0186">
              <w:rPr>
                <w:rFonts w:ascii="Calibri" w:eastAsia="Times New Roman" w:hAnsi="Calibri" w:cs="Calibri"/>
                <w:sz w:val="20"/>
                <w:szCs w:val="20"/>
                <w:lang w:eastAsia="en-GB"/>
              </w:rPr>
              <w:t xml:space="preserve">, </w:t>
            </w:r>
            <w:r w:rsidR="003B0186" w:rsidRPr="003B0186">
              <w:rPr>
                <w:rFonts w:ascii="Calibri" w:eastAsia="Times New Roman" w:hAnsi="Calibri" w:cs="Calibri"/>
                <w:sz w:val="20"/>
                <w:szCs w:val="20"/>
                <w:lang w:eastAsia="en-GB"/>
              </w:rPr>
              <w:t>5.0</w:t>
            </w:r>
            <w:r w:rsidRPr="003B0186">
              <w:rPr>
                <w:rFonts w:ascii="Calibri" w:eastAsia="Times New Roman" w:hAnsi="Calibri" w:cs="Calibri"/>
                <w:sz w:val="20"/>
                <w:szCs w:val="20"/>
                <w:lang w:eastAsia="en-GB"/>
              </w:rPr>
              <w:t>)</w:t>
            </w:r>
          </w:p>
        </w:tc>
      </w:tr>
      <w:tr w:rsidR="000527CF" w:rsidRPr="00C9494B" w14:paraId="6E7F6DD9" w14:textId="77777777" w:rsidTr="000527CF">
        <w:trPr>
          <w:trHeight w:val="315"/>
        </w:trPr>
        <w:tc>
          <w:tcPr>
            <w:tcW w:w="1985" w:type="dxa"/>
            <w:gridSpan w:val="2"/>
            <w:noWrap/>
            <w:vAlign w:val="center"/>
            <w:hideMark/>
          </w:tcPr>
          <w:p w14:paraId="637576C7" w14:textId="77777777" w:rsidR="000527CF" w:rsidRPr="00F777EA" w:rsidRDefault="000527CF" w:rsidP="000527CF">
            <w:pPr>
              <w:spacing w:line="360" w:lineRule="auto"/>
              <w:rPr>
                <w:rFonts w:cstheme="minorHAnsi"/>
                <w:sz w:val="20"/>
                <w:szCs w:val="20"/>
              </w:rPr>
            </w:pPr>
            <w:r w:rsidRPr="00F777EA">
              <w:rPr>
                <w:rFonts w:cstheme="minorHAnsi"/>
                <w:b/>
                <w:sz w:val="20"/>
                <w:szCs w:val="20"/>
              </w:rPr>
              <w:t>Activity impairment</w:t>
            </w:r>
          </w:p>
        </w:tc>
        <w:tc>
          <w:tcPr>
            <w:tcW w:w="2835" w:type="dxa"/>
            <w:noWrap/>
            <w:vAlign w:val="center"/>
            <w:hideMark/>
          </w:tcPr>
          <w:p w14:paraId="2C5AAD33" w14:textId="77777777" w:rsidR="000527CF" w:rsidRPr="00F777EA" w:rsidRDefault="000527CF" w:rsidP="000527CF">
            <w:pPr>
              <w:spacing w:line="360" w:lineRule="auto"/>
              <w:rPr>
                <w:rFonts w:cstheme="minorHAnsi"/>
                <w:sz w:val="20"/>
                <w:szCs w:val="20"/>
              </w:rPr>
            </w:pPr>
            <w:r w:rsidRPr="00F777EA">
              <w:rPr>
                <w:rFonts w:eastAsia="Times New Roman" w:cstheme="minorHAnsi"/>
                <w:bCs/>
                <w:sz w:val="20"/>
                <w:szCs w:val="20"/>
                <w:lang w:eastAsia="en-GB"/>
              </w:rPr>
              <w:t>%</w:t>
            </w:r>
          </w:p>
        </w:tc>
        <w:tc>
          <w:tcPr>
            <w:tcW w:w="709" w:type="dxa"/>
            <w:noWrap/>
            <w:vAlign w:val="center"/>
          </w:tcPr>
          <w:p w14:paraId="2DB34F80"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1350</w:t>
            </w:r>
          </w:p>
        </w:tc>
        <w:tc>
          <w:tcPr>
            <w:tcW w:w="1134" w:type="dxa"/>
            <w:noWrap/>
            <w:vAlign w:val="center"/>
          </w:tcPr>
          <w:p w14:paraId="52FDB066" w14:textId="66468913"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4</w:t>
            </w:r>
            <w:r>
              <w:rPr>
                <w:rFonts w:ascii="Calibri" w:eastAsia="Times New Roman" w:hAnsi="Calibri" w:cs="Calibri"/>
                <w:color w:val="000000"/>
                <w:sz w:val="20"/>
                <w:szCs w:val="20"/>
                <w:lang w:eastAsia="en-GB"/>
              </w:rPr>
              <w:t>4.4</w:t>
            </w:r>
            <w:r w:rsidR="00BE3ED3">
              <w:rPr>
                <w:rFonts w:ascii="Calibri" w:hAnsi="Calibri" w:cs="Calibri"/>
                <w:color w:val="000000"/>
                <w:sz w:val="20"/>
                <w:szCs w:val="20"/>
              </w:rPr>
              <w:t xml:space="preserve"> (</w:t>
            </w:r>
            <w:r w:rsidR="00FB619D">
              <w:rPr>
                <w:rFonts w:ascii="Calibri" w:hAnsi="Calibri" w:cs="Calibri"/>
                <w:color w:val="000000"/>
                <w:sz w:val="20"/>
                <w:szCs w:val="20"/>
              </w:rPr>
              <w:t>30.0)</w:t>
            </w:r>
          </w:p>
        </w:tc>
        <w:tc>
          <w:tcPr>
            <w:tcW w:w="567" w:type="dxa"/>
            <w:vAlign w:val="center"/>
          </w:tcPr>
          <w:p w14:paraId="69651D28" w14:textId="77777777" w:rsidR="000527CF" w:rsidRPr="00F777EA" w:rsidRDefault="000527CF" w:rsidP="000527CF">
            <w:pPr>
              <w:spacing w:line="360" w:lineRule="auto"/>
              <w:jc w:val="center"/>
              <w:rPr>
                <w:rFonts w:ascii="Calibri" w:eastAsia="Times New Roman" w:hAnsi="Calibri" w:cs="Calibri"/>
                <w:color w:val="000000"/>
                <w:sz w:val="20"/>
                <w:szCs w:val="20"/>
                <w:lang w:eastAsia="en-GB"/>
              </w:rPr>
            </w:pPr>
            <w:r w:rsidRPr="00F777EA">
              <w:rPr>
                <w:rFonts w:ascii="Calibri" w:eastAsia="Times New Roman" w:hAnsi="Calibri" w:cs="Calibri"/>
                <w:color w:val="000000"/>
                <w:sz w:val="20"/>
                <w:szCs w:val="20"/>
                <w:lang w:eastAsia="en-GB"/>
              </w:rPr>
              <w:t>452</w:t>
            </w:r>
          </w:p>
        </w:tc>
        <w:tc>
          <w:tcPr>
            <w:tcW w:w="1134" w:type="dxa"/>
            <w:noWrap/>
            <w:vAlign w:val="center"/>
          </w:tcPr>
          <w:p w14:paraId="671C7B25" w14:textId="6684E6AA" w:rsidR="000527CF" w:rsidRPr="00F777EA" w:rsidRDefault="000527CF" w:rsidP="000527CF">
            <w:pPr>
              <w:spacing w:line="36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42.5</w:t>
            </w:r>
            <w:r w:rsidR="00FE3FB6">
              <w:rPr>
                <w:rFonts w:ascii="Calibri" w:hAnsi="Calibri" w:cs="Calibri"/>
                <w:color w:val="000000"/>
                <w:sz w:val="20"/>
                <w:szCs w:val="20"/>
              </w:rPr>
              <w:t xml:space="preserve"> (</w:t>
            </w:r>
            <w:r w:rsidR="00FB619D">
              <w:rPr>
                <w:rFonts w:ascii="Calibri" w:hAnsi="Calibri" w:cs="Calibri"/>
                <w:color w:val="000000"/>
                <w:sz w:val="20"/>
                <w:szCs w:val="20"/>
              </w:rPr>
              <w:t>28.5)</w:t>
            </w:r>
          </w:p>
        </w:tc>
        <w:tc>
          <w:tcPr>
            <w:tcW w:w="1984" w:type="dxa"/>
          </w:tcPr>
          <w:p w14:paraId="4AAD1EB2" w14:textId="4DD0B775" w:rsidR="000527CF" w:rsidRPr="003B0186" w:rsidRDefault="000527CF" w:rsidP="000527CF">
            <w:pPr>
              <w:spacing w:line="360" w:lineRule="auto"/>
              <w:jc w:val="center"/>
              <w:rPr>
                <w:rFonts w:ascii="Calibri" w:eastAsia="Times New Roman" w:hAnsi="Calibri" w:cs="Calibri"/>
                <w:sz w:val="20"/>
                <w:szCs w:val="20"/>
                <w:lang w:eastAsia="en-GB"/>
              </w:rPr>
            </w:pPr>
            <w:r w:rsidRPr="003B0186">
              <w:rPr>
                <w:rFonts w:ascii="Calibri" w:eastAsia="Times New Roman" w:hAnsi="Calibri" w:cs="Calibri"/>
                <w:sz w:val="20"/>
                <w:szCs w:val="20"/>
                <w:lang w:eastAsia="en-GB"/>
              </w:rPr>
              <w:t>-1.9 (-</w:t>
            </w:r>
            <w:r w:rsidR="003B0186" w:rsidRPr="003B0186">
              <w:rPr>
                <w:rFonts w:ascii="Calibri" w:eastAsia="Times New Roman" w:hAnsi="Calibri" w:cs="Calibri"/>
                <w:sz w:val="20"/>
                <w:szCs w:val="20"/>
                <w:lang w:eastAsia="en-GB"/>
              </w:rPr>
              <w:t>5.1</w:t>
            </w:r>
            <w:r w:rsidRPr="003B0186">
              <w:rPr>
                <w:rFonts w:ascii="Calibri" w:eastAsia="Times New Roman" w:hAnsi="Calibri" w:cs="Calibri"/>
                <w:sz w:val="20"/>
                <w:szCs w:val="20"/>
                <w:lang w:eastAsia="en-GB"/>
              </w:rPr>
              <w:t xml:space="preserve">, </w:t>
            </w:r>
            <w:r w:rsidR="003B0186" w:rsidRPr="003B0186">
              <w:rPr>
                <w:rFonts w:ascii="Calibri" w:eastAsia="Times New Roman" w:hAnsi="Calibri" w:cs="Calibri"/>
                <w:sz w:val="20"/>
                <w:szCs w:val="20"/>
                <w:lang w:eastAsia="en-GB"/>
              </w:rPr>
              <w:t>1.2</w:t>
            </w:r>
            <w:r w:rsidRPr="003B0186">
              <w:rPr>
                <w:rFonts w:ascii="Calibri" w:eastAsia="Times New Roman" w:hAnsi="Calibri" w:cs="Calibri"/>
                <w:sz w:val="20"/>
                <w:szCs w:val="20"/>
                <w:lang w:eastAsia="en-GB"/>
              </w:rPr>
              <w:t>)</w:t>
            </w:r>
          </w:p>
        </w:tc>
      </w:tr>
      <w:tr w:rsidR="000527CF" w:rsidRPr="00C9494B" w14:paraId="7AF2EFA7" w14:textId="77777777" w:rsidTr="000527CF">
        <w:trPr>
          <w:trHeight w:val="315"/>
        </w:trPr>
        <w:tc>
          <w:tcPr>
            <w:tcW w:w="10348" w:type="dxa"/>
            <w:gridSpan w:val="8"/>
            <w:noWrap/>
            <w:vAlign w:val="center"/>
          </w:tcPr>
          <w:p w14:paraId="29A62035" w14:textId="77777777" w:rsidR="000527CF" w:rsidRPr="002E3DC6" w:rsidRDefault="000527CF" w:rsidP="000527CF">
            <w:pPr>
              <w:spacing w:line="360" w:lineRule="auto"/>
              <w:rPr>
                <w:rFonts w:ascii="Calibri" w:hAnsi="Calibri" w:cs="Calibri"/>
                <w:sz w:val="20"/>
                <w:szCs w:val="20"/>
              </w:rPr>
            </w:pPr>
            <w:r w:rsidRPr="00F777EA">
              <w:rPr>
                <w:rFonts w:ascii="Calibri" w:hAnsi="Calibri" w:cs="Calibri"/>
                <w:sz w:val="20"/>
                <w:szCs w:val="20"/>
              </w:rPr>
              <w:t>* indicate</w:t>
            </w:r>
            <w:r>
              <w:rPr>
                <w:rFonts w:ascii="Calibri" w:hAnsi="Calibri" w:cs="Calibri"/>
                <w:sz w:val="20"/>
                <w:szCs w:val="20"/>
              </w:rPr>
              <w:t xml:space="preserve"> significant difference between urban and rural dwellers (p&lt;0.05)</w:t>
            </w:r>
          </w:p>
          <w:p w14:paraId="652E6D30" w14:textId="77777777" w:rsidR="000527CF" w:rsidRDefault="000527CF" w:rsidP="000527CF">
            <w:pPr>
              <w:spacing w:line="36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delay from symptom onset to first referral to specialist clinic</w:t>
            </w:r>
          </w:p>
          <w:p w14:paraId="411FC5C5" w14:textId="3D99B1E6" w:rsidR="000527CF" w:rsidRPr="00F777EA" w:rsidRDefault="00787D7C" w:rsidP="000527CF">
            <w:pPr>
              <w:spacing w:line="360" w:lineRule="auto"/>
              <w:rPr>
                <w:rFonts w:ascii="Calibri" w:hAnsi="Calibri" w:cs="Calibri"/>
                <w:sz w:val="20"/>
                <w:szCs w:val="20"/>
              </w:rPr>
            </w:pPr>
            <w:r>
              <w:rPr>
                <w:rFonts w:ascii="Calibri" w:hAnsi="Calibri" w:cs="Calibri"/>
                <w:sz w:val="20"/>
                <w:szCs w:val="20"/>
              </w:rPr>
              <w:t xml:space="preserve">ACR – American college of rheumatology; </w:t>
            </w:r>
            <w:r w:rsidRPr="002E7981">
              <w:rPr>
                <w:rFonts w:ascii="Calibri" w:hAnsi="Calibri" w:cs="Calibri"/>
                <w:sz w:val="20"/>
                <w:szCs w:val="20"/>
              </w:rPr>
              <w:t>ASQoL – Ankylosing Spondylitis Quality of Life Index;</w:t>
            </w:r>
            <w:r>
              <w:rPr>
                <w:rFonts w:ascii="Calibri" w:hAnsi="Calibri" w:cs="Calibri"/>
                <w:sz w:val="20"/>
                <w:szCs w:val="20"/>
              </w:rPr>
              <w:t xml:space="preserve"> </w:t>
            </w:r>
            <w:r w:rsidRPr="002E7981">
              <w:rPr>
                <w:rFonts w:ascii="Calibri" w:hAnsi="Calibri" w:cs="Calibri"/>
                <w:sz w:val="20"/>
                <w:szCs w:val="20"/>
              </w:rPr>
              <w:t>BASDAI – Bath Ankylosing Spondylitis Disease Activity Index; BASFI – Bath Ankylosing Spondylitis Functional Index; Bath Ankylosing Spondylitis Global score: Bath Ankylosing Spondylitis Metrology Index;</w:t>
            </w:r>
            <w:r>
              <w:rPr>
                <w:rFonts w:ascii="Calibri" w:hAnsi="Calibri" w:cs="Calibri"/>
                <w:sz w:val="20"/>
                <w:szCs w:val="20"/>
              </w:rPr>
              <w:t xml:space="preserve"> </w:t>
            </w:r>
            <w:r w:rsidRPr="002E7981">
              <w:rPr>
                <w:rFonts w:ascii="Calibri" w:hAnsi="Calibri" w:cs="Calibri"/>
                <w:sz w:val="20"/>
                <w:szCs w:val="20"/>
              </w:rPr>
              <w:t>CFS – Chalder Fatigu</w:t>
            </w:r>
            <w:r>
              <w:rPr>
                <w:rFonts w:ascii="Calibri" w:hAnsi="Calibri" w:cs="Calibri"/>
                <w:sz w:val="20"/>
                <w:szCs w:val="20"/>
              </w:rPr>
              <w:t>e Scale; ESM – extra spinal manifestations;</w:t>
            </w:r>
            <w:r w:rsidRPr="002E7981">
              <w:rPr>
                <w:rFonts w:ascii="Calibri" w:hAnsi="Calibri" w:cs="Calibri"/>
                <w:sz w:val="20"/>
                <w:szCs w:val="20"/>
              </w:rPr>
              <w:t xml:space="preserve"> HADS – Hospital Anxiety and Depression Scale</w:t>
            </w:r>
            <w:r>
              <w:rPr>
                <w:rFonts w:ascii="Calibri" w:hAnsi="Calibri" w:cs="Calibri"/>
                <w:sz w:val="20"/>
                <w:szCs w:val="20"/>
              </w:rPr>
              <w:t xml:space="preserve">; </w:t>
            </w:r>
            <w:r w:rsidRPr="002E7981">
              <w:rPr>
                <w:rFonts w:ascii="Calibri" w:hAnsi="Calibri" w:cs="Calibri"/>
                <w:sz w:val="20"/>
                <w:szCs w:val="20"/>
              </w:rPr>
              <w:t xml:space="preserve">IBD – inflammatory bowel disease; </w:t>
            </w:r>
            <w:r>
              <w:rPr>
                <w:rFonts w:ascii="Calibri" w:hAnsi="Calibri" w:cs="Calibri"/>
                <w:sz w:val="20"/>
                <w:szCs w:val="20"/>
              </w:rPr>
              <w:t xml:space="preserve">PJD – peripheral joint disease; </w:t>
            </w:r>
            <w:r w:rsidRPr="002E7981">
              <w:rPr>
                <w:rFonts w:ascii="Calibri" w:hAnsi="Calibri" w:cs="Calibri"/>
                <w:sz w:val="20"/>
                <w:szCs w:val="20"/>
              </w:rPr>
              <w:t>SF-12 MCS – Short Form 12 Mental Component Score; SF-12 PCS – Short Form 12 Physical Component Score;</w:t>
            </w:r>
            <w:r>
              <w:rPr>
                <w:rFonts w:ascii="Calibri" w:hAnsi="Calibri" w:cs="Calibri"/>
                <w:sz w:val="20"/>
                <w:szCs w:val="20"/>
              </w:rPr>
              <w:t xml:space="preserve"> VAS – visual analogue scale</w:t>
            </w:r>
            <w:r w:rsidRPr="002E7981">
              <w:rPr>
                <w:rFonts w:ascii="Calibri" w:hAnsi="Calibri" w:cs="Calibri"/>
                <w:sz w:val="20"/>
                <w:szCs w:val="20"/>
              </w:rPr>
              <w:t>.</w:t>
            </w:r>
          </w:p>
        </w:tc>
      </w:tr>
    </w:tbl>
    <w:p w14:paraId="52A981A1" w14:textId="77777777" w:rsidR="000527CF" w:rsidRDefault="000527CF" w:rsidP="003A4DEE">
      <w:pPr>
        <w:spacing w:after="0" w:line="360" w:lineRule="auto"/>
        <w:jc w:val="both"/>
      </w:pPr>
    </w:p>
    <w:p w14:paraId="6A08FFB0" w14:textId="445AC26A" w:rsidR="00D45C43" w:rsidRDefault="00CE7FE6" w:rsidP="003A4DEE">
      <w:pPr>
        <w:spacing w:after="0" w:line="360" w:lineRule="auto"/>
        <w:jc w:val="both"/>
      </w:pPr>
      <w:r>
        <w:t xml:space="preserve">Rural participants </w:t>
      </w:r>
      <w:r w:rsidR="00FD4D5E">
        <w:t xml:space="preserve">scored </w:t>
      </w:r>
      <w:r>
        <w:t>better</w:t>
      </w:r>
      <w:r w:rsidR="006E5460">
        <w:t xml:space="preserve"> </w:t>
      </w:r>
      <w:r w:rsidR="00FD4D5E">
        <w:t>than urban dwellers</w:t>
      </w:r>
      <w:r w:rsidR="006E5460">
        <w:t xml:space="preserve"> in terms of</w:t>
      </w:r>
      <w:r w:rsidR="00D248FD">
        <w:t xml:space="preserve"> </w:t>
      </w:r>
      <w:r w:rsidR="00017744">
        <w:t>local-area</w:t>
      </w:r>
      <w:r w:rsidR="00D248FD">
        <w:t xml:space="preserve"> deprivation,</w:t>
      </w:r>
      <w:r w:rsidR="006E5460">
        <w:t xml:space="preserve"> mental health (SF12 MCS, HADs anxiety, HADs depression) and fatigue</w:t>
      </w:r>
      <w:r w:rsidR="00973E97">
        <w:t>.  The</w:t>
      </w:r>
      <w:r w:rsidR="00FD4D5E">
        <w:t xml:space="preserve"> groups were not</w:t>
      </w:r>
      <w:r w:rsidR="00973E97">
        <w:t xml:space="preserve"> significant</w:t>
      </w:r>
      <w:r w:rsidR="00FD4D5E">
        <w:t>ly</w:t>
      </w:r>
      <w:r w:rsidR="00973E97">
        <w:t xml:space="preserve"> </w:t>
      </w:r>
      <w:r w:rsidR="00FD4D5E">
        <w:t xml:space="preserve">different </w:t>
      </w:r>
      <w:r w:rsidR="00973E97">
        <w:lastRenderedPageBreak/>
        <w:t>in</w:t>
      </w:r>
      <w:r w:rsidR="00FD4D5E">
        <w:t>:</w:t>
      </w:r>
      <w:r w:rsidR="00973E97">
        <w:t xml:space="preserve"> gender</w:t>
      </w:r>
      <w:r w:rsidR="00F71FEF">
        <w:t xml:space="preserve"> distribution</w:t>
      </w:r>
      <w:r w:rsidR="00FD4D5E">
        <w:t>;</w:t>
      </w:r>
      <w:r w:rsidR="00973E97">
        <w:t xml:space="preserve"> alcohol use</w:t>
      </w:r>
      <w:r w:rsidR="00FD4D5E">
        <w:t>;</w:t>
      </w:r>
      <w:r w:rsidR="00973E97">
        <w:t xml:space="preserve"> </w:t>
      </w:r>
      <w:r w:rsidR="003A3B48">
        <w:t>medication;</w:t>
      </w:r>
      <w:r w:rsidR="00CE7176">
        <w:t xml:space="preserve"> </w:t>
      </w:r>
      <w:r w:rsidR="00FD4D5E">
        <w:t>prevalent</w:t>
      </w:r>
      <w:r w:rsidR="00973E97">
        <w:t xml:space="preserve"> extra spinal manifestations</w:t>
      </w:r>
      <w:r w:rsidR="00FD4D5E">
        <w:t xml:space="preserve">; </w:t>
      </w:r>
      <w:r w:rsidR="00973E97">
        <w:t>disease activity</w:t>
      </w:r>
      <w:r w:rsidR="003A3B48">
        <w:t>;</w:t>
      </w:r>
      <w:r w:rsidR="00973E97">
        <w:t xml:space="preserve"> physical function</w:t>
      </w:r>
      <w:r w:rsidR="003A3B48">
        <w:t>;</w:t>
      </w:r>
      <w:r w:rsidR="00973E97">
        <w:t xml:space="preserve"> spinal mobility</w:t>
      </w:r>
      <w:r w:rsidR="003A3B48">
        <w:t>;</w:t>
      </w:r>
      <w:r w:rsidR="00973E97">
        <w:t xml:space="preserve"> quality of life</w:t>
      </w:r>
      <w:r w:rsidR="003A3B48">
        <w:t>;</w:t>
      </w:r>
      <w:r w:rsidR="00973E97">
        <w:t xml:space="preserve"> </w:t>
      </w:r>
      <w:r w:rsidR="00D45C43">
        <w:t>or</w:t>
      </w:r>
      <w:r w:rsidR="00973E97">
        <w:t xml:space="preserve"> sleep disturbance.  </w:t>
      </w:r>
    </w:p>
    <w:p w14:paraId="75697F77" w14:textId="77777777" w:rsidR="00D45C43" w:rsidRDefault="00D45C43" w:rsidP="003A4DEE">
      <w:pPr>
        <w:spacing w:after="0" w:line="360" w:lineRule="auto"/>
      </w:pPr>
    </w:p>
    <w:p w14:paraId="2FC81B13" w14:textId="2700378D" w:rsidR="00B94F99" w:rsidRDefault="00CE7FE6" w:rsidP="00E545CB">
      <w:pPr>
        <w:spacing w:after="0" w:line="360" w:lineRule="auto"/>
      </w:pPr>
      <w:r>
        <w:t xml:space="preserve">After </w:t>
      </w:r>
      <w:r w:rsidR="00D248FD">
        <w:t>adjusting for age, ge</w:t>
      </w:r>
      <w:r w:rsidR="005C034B">
        <w:t xml:space="preserve">nder and </w:t>
      </w:r>
      <w:r w:rsidR="00017744">
        <w:t xml:space="preserve">local-area </w:t>
      </w:r>
      <w:r w:rsidR="005C034B">
        <w:t>deprivation;</w:t>
      </w:r>
      <w:r w:rsidR="00D248FD">
        <w:t xml:space="preserve"> living in rural areas </w:t>
      </w:r>
      <w:r w:rsidR="009E5A3C">
        <w:t>was</w:t>
      </w:r>
      <w:r w:rsidR="00D248FD">
        <w:t xml:space="preserve"> associated with </w:t>
      </w:r>
      <w:r w:rsidR="00923394">
        <w:t>employment</w:t>
      </w:r>
      <w:r w:rsidR="000257B8">
        <w:t xml:space="preserve"> in a mainly physical/labour intensive job (</w:t>
      </w:r>
      <w:r w:rsidR="002B6950">
        <w:t>OR</w:t>
      </w:r>
      <w:r w:rsidR="000257B8">
        <w:t xml:space="preserve">. </w:t>
      </w:r>
      <w:r w:rsidR="002B6950">
        <w:t xml:space="preserve">2.0 </w:t>
      </w:r>
      <w:r w:rsidR="000257B8">
        <w:t>(95% CI 1.</w:t>
      </w:r>
      <w:r w:rsidR="002B6950">
        <w:t>5</w:t>
      </w:r>
      <w:r w:rsidR="000257B8">
        <w:t>, 2.6))</w:t>
      </w:r>
      <w:r w:rsidR="00973E97">
        <w:t>.</w:t>
      </w:r>
      <w:r w:rsidR="00130CD4">
        <w:t xml:space="preserve"> </w:t>
      </w:r>
      <w:r>
        <w:t>Rural</w:t>
      </w:r>
      <w:r w:rsidR="00D87076">
        <w:t xml:space="preserve"> patients</w:t>
      </w:r>
      <w:r w:rsidR="00973E97">
        <w:t xml:space="preserve"> indicated</w:t>
      </w:r>
      <w:r w:rsidR="000257B8">
        <w:t xml:space="preserve"> </w:t>
      </w:r>
      <w:r w:rsidR="00F71FEF">
        <w:t xml:space="preserve">that they experienced </w:t>
      </w:r>
      <w:r w:rsidR="000257B8">
        <w:t xml:space="preserve">higher levels of work presenteeism and overall work impairment </w:t>
      </w:r>
      <w:r w:rsidR="00F71FEF">
        <w:t xml:space="preserve">compared </w:t>
      </w:r>
      <w:r>
        <w:t xml:space="preserve">with </w:t>
      </w:r>
      <w:r w:rsidR="00F71FEF">
        <w:t xml:space="preserve">urban </w:t>
      </w:r>
      <w:r w:rsidR="00D87076">
        <w:t>patients</w:t>
      </w:r>
      <w:r w:rsidR="00F71FEF">
        <w:t xml:space="preserve"> </w:t>
      </w:r>
      <w:r w:rsidR="000257B8">
        <w:t>(5.0</w:t>
      </w:r>
      <w:r w:rsidR="002B6950">
        <w:t>%</w:t>
      </w:r>
      <w:r w:rsidR="000257B8">
        <w:t xml:space="preserve"> (1.</w:t>
      </w:r>
      <w:r w:rsidR="002B6950">
        <w:t>3%</w:t>
      </w:r>
      <w:r w:rsidR="000257B8">
        <w:t>, 8.7</w:t>
      </w:r>
      <w:r w:rsidR="002B6950">
        <w:t>%</w:t>
      </w:r>
      <w:r w:rsidR="000257B8">
        <w:t>) and 5.5</w:t>
      </w:r>
      <w:r w:rsidR="002B6950">
        <w:t>%</w:t>
      </w:r>
      <w:r w:rsidR="000257B8">
        <w:t xml:space="preserve"> (1.6</w:t>
      </w:r>
      <w:r w:rsidR="002B6950">
        <w:t>%</w:t>
      </w:r>
      <w:r w:rsidR="000257B8">
        <w:t>, 9</w:t>
      </w:r>
      <w:r w:rsidR="00F71FEF">
        <w:t>.4</w:t>
      </w:r>
      <w:r w:rsidR="002B6950">
        <w:t>%</w:t>
      </w:r>
      <w:r w:rsidR="00F71FEF">
        <w:t>)).</w:t>
      </w:r>
      <w:r w:rsidR="00D45C43">
        <w:t xml:space="preserve">  </w:t>
      </w:r>
      <w:r w:rsidR="00CE7176">
        <w:t xml:space="preserve">After </w:t>
      </w:r>
      <w:r w:rsidR="00374E34">
        <w:t xml:space="preserve">additional </w:t>
      </w:r>
      <w:r w:rsidR="00130CD4">
        <w:t xml:space="preserve">adjustment for disease activity </w:t>
      </w:r>
      <w:r w:rsidR="00E82987">
        <w:rPr>
          <w:rFonts w:cstheme="minorHAnsi"/>
        </w:rPr>
        <w:t>(</w:t>
      </w:r>
      <w:r w:rsidR="00E82987">
        <w:t xml:space="preserve">coef. </w:t>
      </w:r>
      <w:r w:rsidR="00130CD4">
        <w:t>2.0 (</w:t>
      </w:r>
      <w:r w:rsidR="00E82987">
        <w:t xml:space="preserve">95% CI </w:t>
      </w:r>
      <w:r w:rsidR="00130CD4">
        <w:t xml:space="preserve">-0.7, 4.7)), fatigue (2.2, -0.5, 4.8)), job type (1.4 (-1.2, 4.0) and physical function, the relationship between presenteeism and rural </w:t>
      </w:r>
      <w:r w:rsidR="00923394">
        <w:t>dwelling</w:t>
      </w:r>
      <w:r w:rsidR="00E545CB">
        <w:t xml:space="preserve"> was attenuated </w:t>
      </w:r>
      <w:r w:rsidR="00374E34">
        <w:t xml:space="preserve">(0.5 (-2.0, 3.1)) </w:t>
      </w:r>
      <w:r w:rsidR="00E545CB">
        <w:t xml:space="preserve">(Figure 1). </w:t>
      </w:r>
    </w:p>
    <w:p w14:paraId="0AFF1A5C" w14:textId="45A2F81B" w:rsidR="00BB1E40" w:rsidRDefault="00BB1E40" w:rsidP="003A4DEE">
      <w:pPr>
        <w:spacing w:after="0" w:line="360" w:lineRule="auto"/>
        <w:jc w:val="both"/>
      </w:pPr>
    </w:p>
    <w:p w14:paraId="1814F256" w14:textId="00ABB1C0" w:rsidR="00A80D95" w:rsidRDefault="00A80D95" w:rsidP="003A4DEE">
      <w:pPr>
        <w:spacing w:after="0" w:line="360" w:lineRule="auto"/>
        <w:jc w:val="both"/>
      </w:pPr>
      <w:r>
        <w:t>Insert Figure 1</w:t>
      </w:r>
    </w:p>
    <w:p w14:paraId="55CECE2B" w14:textId="77777777" w:rsidR="00A80D95" w:rsidRDefault="00A80D95" w:rsidP="003A4DEE">
      <w:pPr>
        <w:spacing w:after="0" w:line="360" w:lineRule="auto"/>
        <w:jc w:val="both"/>
      </w:pPr>
    </w:p>
    <w:p w14:paraId="48FDCB6E" w14:textId="5A004607" w:rsidR="00BB1E40" w:rsidRDefault="006E7847" w:rsidP="003A4DEE">
      <w:pPr>
        <w:spacing w:after="0" w:line="360" w:lineRule="auto"/>
        <w:jc w:val="both"/>
        <w:rPr>
          <w:b/>
        </w:rPr>
      </w:pPr>
      <w:r w:rsidRPr="00D4693F">
        <w:rPr>
          <w:b/>
        </w:rPr>
        <w:t>Association between living in a rural area and outcome</w:t>
      </w:r>
      <w:r w:rsidR="00193656" w:rsidRPr="00D4693F">
        <w:rPr>
          <w:b/>
        </w:rPr>
        <w:t xml:space="preserve"> of treatment with biologic therapy</w:t>
      </w:r>
    </w:p>
    <w:p w14:paraId="7E2AADD5" w14:textId="5C6D42AD" w:rsidR="000527CF" w:rsidRPr="00BB1E40" w:rsidRDefault="00EA5226" w:rsidP="003A4DEE">
      <w:pPr>
        <w:spacing w:after="0" w:line="360" w:lineRule="auto"/>
        <w:jc w:val="both"/>
        <w:rPr>
          <w:b/>
        </w:rPr>
      </w:pPr>
      <w:r>
        <w:t>421 BSRBR-</w:t>
      </w:r>
      <w:r w:rsidR="007E711B">
        <w:t xml:space="preserve">AS participants </w:t>
      </w:r>
      <w:r w:rsidR="00971A5C">
        <w:t>commenced biologic therapy</w:t>
      </w:r>
      <w:r w:rsidR="00781F6A">
        <w:t xml:space="preserve"> and provided</w:t>
      </w:r>
      <w:r w:rsidR="00CE7FE6">
        <w:t xml:space="preserve"> </w:t>
      </w:r>
      <w:r w:rsidR="00781F6A">
        <w:t>information at 12-</w:t>
      </w:r>
      <w:r w:rsidR="00971A5C">
        <w:t xml:space="preserve">month follow-up.  Of these, 26% </w:t>
      </w:r>
      <w:r w:rsidR="00D87076">
        <w:t>lived</w:t>
      </w:r>
      <w:r w:rsidR="00971A5C">
        <w:t xml:space="preserve"> in a rural area.</w:t>
      </w:r>
      <w:r w:rsidR="00111A7E">
        <w:t xml:space="preserve">  Similar differences were noted between the urban and rural participants commencing a biologic therapy, </w:t>
      </w:r>
      <w:r w:rsidR="001F05BF">
        <w:t>to</w:t>
      </w:r>
      <w:r w:rsidR="00111A7E">
        <w:t xml:space="preserve"> those </w:t>
      </w:r>
      <w:r w:rsidR="00CE7176">
        <w:t>seen in the</w:t>
      </w:r>
      <w:r w:rsidR="001F05BF">
        <w:t xml:space="preserve"> </w:t>
      </w:r>
      <w:r w:rsidR="00CE7176">
        <w:t>whole</w:t>
      </w:r>
      <w:r w:rsidR="00111A7E">
        <w:t xml:space="preserve"> BSRBR:AS cohort.  </w:t>
      </w:r>
      <w:r w:rsidR="00206D5E">
        <w:t>B</w:t>
      </w:r>
      <w:r w:rsidR="00111A7E">
        <w:t xml:space="preserve">iologic patients living in rural areas were older, exhibited </w:t>
      </w:r>
      <w:r w:rsidR="0081575B">
        <w:t>lowe</w:t>
      </w:r>
      <w:r w:rsidR="000255D5">
        <w:t>r l</w:t>
      </w:r>
      <w:r w:rsidR="00111A7E">
        <w:t xml:space="preserve">evels of </w:t>
      </w:r>
      <w:r w:rsidR="00017744">
        <w:t>local-area</w:t>
      </w:r>
      <w:r w:rsidR="00111A7E">
        <w:t xml:space="preserve"> deprivation and a longer referral delay but lower anxiety scores (</w:t>
      </w:r>
      <w:r w:rsidR="00F23A1E">
        <w:t xml:space="preserve">see online </w:t>
      </w:r>
      <w:r w:rsidR="00111A7E">
        <w:t xml:space="preserve">Supplementary </w:t>
      </w:r>
      <w:r w:rsidR="00F23A1E">
        <w:t>T</w:t>
      </w:r>
      <w:r w:rsidR="00111A7E">
        <w:t xml:space="preserve">able </w:t>
      </w:r>
      <w:r w:rsidR="00F23A1E">
        <w:t>S</w:t>
      </w:r>
      <w:r w:rsidR="00111A7E">
        <w:t xml:space="preserve">1).  They were more likely to have been HLA B27-typed and </w:t>
      </w:r>
      <w:r w:rsidR="00AC008C">
        <w:t>work in</w:t>
      </w:r>
      <w:r w:rsidR="00111A7E">
        <w:t xml:space="preserve"> a physical job.</w:t>
      </w:r>
      <w:r w:rsidR="00971A5C">
        <w:t xml:space="preserve">  </w:t>
      </w:r>
      <w:r w:rsidR="00AC008C" w:rsidRPr="00AC008C">
        <w:t>The proportion of biologics patients in employment was similar between rural and urban dwellers</w:t>
      </w:r>
      <w:r w:rsidR="00AC008C">
        <w:t xml:space="preserve"> (38.7% and 36.5% respectively)</w:t>
      </w:r>
      <w:r w:rsidR="001A2E0B">
        <w:t xml:space="preserve">, </w:t>
      </w:r>
      <w:r w:rsidR="001F05BF">
        <w:t>and to that observed in the whole</w:t>
      </w:r>
      <w:r w:rsidR="001F05BF" w:rsidRPr="00AC008C">
        <w:t xml:space="preserve"> BSRBR-AS cohort</w:t>
      </w:r>
      <w:r w:rsidR="00AC008C" w:rsidRPr="00AC008C">
        <w:t>.</w:t>
      </w:r>
      <w:r w:rsidR="00AC008C">
        <w:t xml:space="preserve"> </w:t>
      </w:r>
      <w:r w:rsidR="00CE7FE6">
        <w:t>Similar rates of response in</w:t>
      </w:r>
      <w:r w:rsidR="00971A5C">
        <w:t xml:space="preserve"> ASAS20 </w:t>
      </w:r>
      <w:r w:rsidR="00D97452">
        <w:t>and</w:t>
      </w:r>
      <w:r w:rsidR="00971A5C">
        <w:t xml:space="preserve"> ASAS40 criteria </w:t>
      </w:r>
      <w:r w:rsidR="00CE7FE6">
        <w:t xml:space="preserve">were seen </w:t>
      </w:r>
      <w:r w:rsidR="00D87076">
        <w:t>amongst</w:t>
      </w:r>
      <w:r w:rsidR="00971A5C">
        <w:t xml:space="preserve"> rural </w:t>
      </w:r>
      <w:r w:rsidR="00CE7FE6">
        <w:t>and</w:t>
      </w:r>
      <w:r w:rsidR="00971A5C">
        <w:t xml:space="preserve"> urban</w:t>
      </w:r>
      <w:r w:rsidR="00D87076">
        <w:t xml:space="preserve"> patients</w:t>
      </w:r>
      <w:r w:rsidR="00111A7E">
        <w:t xml:space="preserve"> at 12 month follow-up</w:t>
      </w:r>
      <w:r w:rsidR="00971A5C">
        <w:t xml:space="preserve"> (OR</w:t>
      </w:r>
      <w:r w:rsidR="00D97452">
        <w:t xml:space="preserve"> of response in rural patients</w:t>
      </w:r>
      <w:r w:rsidR="00971A5C">
        <w:t xml:space="preserve"> 0.9 (0.</w:t>
      </w:r>
      <w:r w:rsidR="002B6950">
        <w:t>6</w:t>
      </w:r>
      <w:r w:rsidR="00971A5C">
        <w:t>, 1.</w:t>
      </w:r>
      <w:r w:rsidR="002B6950">
        <w:t>5</w:t>
      </w:r>
      <w:r w:rsidR="00971A5C">
        <w:t xml:space="preserve">) and </w:t>
      </w:r>
      <w:r w:rsidR="002B6950">
        <w:t>1.0</w:t>
      </w:r>
      <w:r w:rsidR="00971A5C">
        <w:t xml:space="preserve"> (0.</w:t>
      </w:r>
      <w:r w:rsidR="002B6950">
        <w:t>6</w:t>
      </w:r>
      <w:r w:rsidR="00971A5C">
        <w:t>, 1.</w:t>
      </w:r>
      <w:r w:rsidR="002B6950">
        <w:t>6</w:t>
      </w:r>
      <w:r w:rsidR="00971A5C">
        <w:t>)</w:t>
      </w:r>
      <w:r w:rsidR="00D45C43">
        <w:t xml:space="preserve"> respectively)</w:t>
      </w:r>
      <w:r w:rsidR="00301F97">
        <w:t xml:space="preserve"> (</w:t>
      </w:r>
      <w:r w:rsidR="00651FA7">
        <w:t xml:space="preserve">Table </w:t>
      </w:r>
      <w:r w:rsidR="006E24CD">
        <w:t>2</w:t>
      </w:r>
      <w:r w:rsidR="00301F97">
        <w:t>)</w:t>
      </w:r>
      <w:r w:rsidR="002B79DF">
        <w:t xml:space="preserve">.  </w:t>
      </w:r>
    </w:p>
    <w:p w14:paraId="4ABC4C6D" w14:textId="5769B1A9" w:rsidR="000527CF" w:rsidRDefault="000527CF" w:rsidP="003A4DEE">
      <w:pPr>
        <w:spacing w:after="0" w:line="360" w:lineRule="auto"/>
        <w:jc w:val="both"/>
      </w:pPr>
    </w:p>
    <w:p w14:paraId="0CD18447" w14:textId="0DF0E52F" w:rsidR="00D5758F" w:rsidRDefault="00D5758F" w:rsidP="003A4DEE">
      <w:pPr>
        <w:spacing w:after="0" w:line="360" w:lineRule="auto"/>
        <w:jc w:val="both"/>
      </w:pPr>
    </w:p>
    <w:p w14:paraId="6D950055" w14:textId="7EF84BFB" w:rsidR="00D5758F" w:rsidRDefault="00D5758F" w:rsidP="003A4DEE">
      <w:pPr>
        <w:spacing w:after="0" w:line="360" w:lineRule="auto"/>
        <w:jc w:val="both"/>
      </w:pPr>
    </w:p>
    <w:p w14:paraId="1687DD83" w14:textId="4CF83C09" w:rsidR="008854E8" w:rsidRDefault="008854E8">
      <w: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2693"/>
        <w:gridCol w:w="1134"/>
        <w:gridCol w:w="1560"/>
      </w:tblGrid>
      <w:tr w:rsidR="000849F1" w:rsidRPr="00B112B3" w14:paraId="3DEB0BF1" w14:textId="77777777" w:rsidTr="00FC5E5F">
        <w:trPr>
          <w:trHeight w:val="315"/>
        </w:trPr>
        <w:tc>
          <w:tcPr>
            <w:tcW w:w="846" w:type="dxa"/>
            <w:shd w:val="clear" w:color="auto" w:fill="auto"/>
            <w:noWrap/>
            <w:vAlign w:val="center"/>
            <w:hideMark/>
          </w:tcPr>
          <w:p w14:paraId="3AB8098F" w14:textId="77777777" w:rsidR="000849F1" w:rsidRPr="000D46F4" w:rsidRDefault="000849F1" w:rsidP="00FC5E5F">
            <w:pPr>
              <w:spacing w:after="0" w:line="360" w:lineRule="auto"/>
              <w:rPr>
                <w:rFonts w:eastAsia="Times New Roman" w:cstheme="minorHAnsi"/>
                <w:b/>
                <w:sz w:val="20"/>
                <w:szCs w:val="20"/>
                <w:lang w:eastAsia="en-GB"/>
              </w:rPr>
            </w:pPr>
            <w:r w:rsidRPr="000D46F4">
              <w:rPr>
                <w:rFonts w:eastAsia="Times New Roman" w:cstheme="minorHAnsi"/>
                <w:b/>
                <w:sz w:val="20"/>
                <w:szCs w:val="20"/>
                <w:lang w:eastAsia="en-GB"/>
              </w:rPr>
              <w:lastRenderedPageBreak/>
              <w:t xml:space="preserve">Table </w:t>
            </w:r>
            <w:r>
              <w:rPr>
                <w:rFonts w:eastAsia="Times New Roman" w:cstheme="minorHAnsi"/>
                <w:b/>
                <w:sz w:val="20"/>
                <w:szCs w:val="20"/>
                <w:lang w:eastAsia="en-GB"/>
              </w:rPr>
              <w:t>2</w:t>
            </w:r>
          </w:p>
        </w:tc>
        <w:tc>
          <w:tcPr>
            <w:tcW w:w="8080" w:type="dxa"/>
            <w:gridSpan w:val="4"/>
            <w:shd w:val="clear" w:color="auto" w:fill="auto"/>
            <w:noWrap/>
            <w:vAlign w:val="bottom"/>
            <w:hideMark/>
          </w:tcPr>
          <w:p w14:paraId="415390E9" w14:textId="06812D43" w:rsidR="000849F1" w:rsidRPr="000849F1" w:rsidRDefault="000849F1" w:rsidP="000849F1">
            <w:pPr>
              <w:spacing w:after="0" w:line="240" w:lineRule="auto"/>
              <w:rPr>
                <w:rFonts w:eastAsia="Times New Roman" w:cstheme="minorHAnsi"/>
                <w:b/>
                <w:bCs/>
                <w:sz w:val="20"/>
                <w:szCs w:val="20"/>
                <w:lang w:eastAsia="en-GB"/>
              </w:rPr>
            </w:pPr>
            <w:r w:rsidRPr="000849F1">
              <w:rPr>
                <w:rFonts w:eastAsia="Times New Roman" w:cstheme="minorHAnsi"/>
                <w:b/>
                <w:bCs/>
                <w:sz w:val="20"/>
                <w:szCs w:val="20"/>
                <w:lang w:eastAsia="en-GB"/>
              </w:rPr>
              <w:t>Associations with living in rural areas and outcome amongst those commencing a biologic therapy</w:t>
            </w:r>
          </w:p>
        </w:tc>
      </w:tr>
      <w:tr w:rsidR="000849F1" w:rsidRPr="00B112B3" w14:paraId="6DFDCAFB" w14:textId="77777777" w:rsidTr="00FC5E5F">
        <w:trPr>
          <w:trHeight w:val="315"/>
        </w:trPr>
        <w:tc>
          <w:tcPr>
            <w:tcW w:w="3539" w:type="dxa"/>
            <w:gridSpan w:val="2"/>
            <w:shd w:val="clear" w:color="auto" w:fill="auto"/>
            <w:noWrap/>
            <w:vAlign w:val="bottom"/>
            <w:hideMark/>
          </w:tcPr>
          <w:p w14:paraId="7D35F975" w14:textId="77777777" w:rsidR="000849F1" w:rsidRPr="008530EF" w:rsidRDefault="000849F1" w:rsidP="00FC5E5F">
            <w:pPr>
              <w:spacing w:after="0" w:line="360" w:lineRule="auto"/>
              <w:rPr>
                <w:rFonts w:eastAsia="Times New Roman" w:cstheme="minorHAnsi"/>
                <w:sz w:val="20"/>
                <w:szCs w:val="20"/>
                <w:lang w:eastAsia="en-GB"/>
              </w:rPr>
            </w:pPr>
          </w:p>
        </w:tc>
        <w:tc>
          <w:tcPr>
            <w:tcW w:w="5387" w:type="dxa"/>
            <w:gridSpan w:val="3"/>
            <w:shd w:val="clear" w:color="auto" w:fill="auto"/>
            <w:noWrap/>
            <w:vAlign w:val="bottom"/>
            <w:hideMark/>
          </w:tcPr>
          <w:p w14:paraId="1AB006B3" w14:textId="52AFB62C" w:rsidR="000849F1" w:rsidRPr="00B112B3" w:rsidRDefault="000849F1" w:rsidP="00FC5E5F">
            <w:pPr>
              <w:spacing w:after="0" w:line="360" w:lineRule="auto"/>
              <w:jc w:val="center"/>
              <w:rPr>
                <w:rFonts w:eastAsia="Times New Roman" w:cstheme="minorHAnsi"/>
                <w:sz w:val="20"/>
                <w:szCs w:val="20"/>
                <w:lang w:eastAsia="en-GB"/>
              </w:rPr>
            </w:pPr>
            <w:r>
              <w:rPr>
                <w:rFonts w:eastAsia="Times New Roman" w:cstheme="minorHAnsi"/>
                <w:b/>
                <w:bCs/>
                <w:sz w:val="20"/>
                <w:szCs w:val="20"/>
                <w:lang w:eastAsia="en-GB"/>
              </w:rPr>
              <w:t>U</w:t>
            </w:r>
            <w:r w:rsidRPr="005657A2">
              <w:rPr>
                <w:rFonts w:eastAsia="Times New Roman" w:cstheme="minorHAnsi"/>
                <w:b/>
                <w:bCs/>
                <w:sz w:val="20"/>
                <w:szCs w:val="20"/>
                <w:lang w:eastAsia="en-GB"/>
              </w:rPr>
              <w:t xml:space="preserve">nivariable regression analyses, adjusted for age gender, </w:t>
            </w:r>
            <w:r w:rsidR="00017744">
              <w:rPr>
                <w:rFonts w:eastAsia="Times New Roman" w:cstheme="minorHAnsi"/>
                <w:b/>
                <w:bCs/>
                <w:sz w:val="20"/>
                <w:szCs w:val="20"/>
                <w:lang w:eastAsia="en-GB"/>
              </w:rPr>
              <w:t>local-area</w:t>
            </w:r>
            <w:r w:rsidRPr="005657A2">
              <w:rPr>
                <w:rFonts w:eastAsia="Times New Roman" w:cstheme="minorHAnsi"/>
                <w:b/>
                <w:bCs/>
                <w:sz w:val="20"/>
                <w:szCs w:val="20"/>
                <w:lang w:eastAsia="en-GB"/>
              </w:rPr>
              <w:t xml:space="preserve"> deprivation and </w:t>
            </w:r>
            <w:r>
              <w:rPr>
                <w:rFonts w:eastAsia="Times New Roman" w:cstheme="minorHAnsi"/>
                <w:b/>
                <w:bCs/>
                <w:sz w:val="20"/>
                <w:szCs w:val="20"/>
                <w:lang w:eastAsia="en-GB"/>
              </w:rPr>
              <w:t>baseline score (as appropriate)</w:t>
            </w:r>
          </w:p>
        </w:tc>
      </w:tr>
      <w:tr w:rsidR="000849F1" w:rsidRPr="00B112B3" w14:paraId="50ED9482" w14:textId="77777777" w:rsidTr="00FC5E5F">
        <w:trPr>
          <w:trHeight w:val="300"/>
        </w:trPr>
        <w:tc>
          <w:tcPr>
            <w:tcW w:w="3539" w:type="dxa"/>
            <w:gridSpan w:val="2"/>
            <w:shd w:val="clear" w:color="auto" w:fill="auto"/>
            <w:noWrap/>
            <w:vAlign w:val="bottom"/>
            <w:hideMark/>
          </w:tcPr>
          <w:p w14:paraId="3C60E3BD" w14:textId="77777777" w:rsidR="000849F1" w:rsidRPr="005657A2" w:rsidRDefault="000849F1" w:rsidP="00FC5E5F">
            <w:pPr>
              <w:spacing w:after="0" w:line="360" w:lineRule="auto"/>
              <w:rPr>
                <w:rFonts w:eastAsia="Times New Roman" w:cstheme="minorHAnsi"/>
                <w:b/>
                <w:sz w:val="20"/>
                <w:szCs w:val="20"/>
                <w:lang w:eastAsia="en-GB"/>
              </w:rPr>
            </w:pPr>
            <w:r>
              <w:rPr>
                <w:rFonts w:eastAsia="Times New Roman" w:cstheme="minorHAnsi"/>
                <w:b/>
                <w:sz w:val="20"/>
                <w:szCs w:val="20"/>
                <w:lang w:eastAsia="en-GB"/>
              </w:rPr>
              <w:t>Categorical outcomes:</w:t>
            </w:r>
          </w:p>
        </w:tc>
        <w:tc>
          <w:tcPr>
            <w:tcW w:w="2693" w:type="dxa"/>
            <w:shd w:val="clear" w:color="auto" w:fill="auto"/>
            <w:noWrap/>
            <w:vAlign w:val="bottom"/>
          </w:tcPr>
          <w:p w14:paraId="6C0D9A81" w14:textId="77777777" w:rsidR="000849F1" w:rsidRPr="008530EF" w:rsidRDefault="000849F1" w:rsidP="00FC5E5F">
            <w:pPr>
              <w:spacing w:after="0" w:line="360" w:lineRule="auto"/>
              <w:jc w:val="center"/>
              <w:rPr>
                <w:rFonts w:eastAsia="Times New Roman" w:cstheme="minorHAnsi"/>
                <w:b/>
                <w:bCs/>
                <w:sz w:val="20"/>
                <w:szCs w:val="20"/>
                <w:lang w:eastAsia="en-GB"/>
              </w:rPr>
            </w:pPr>
          </w:p>
        </w:tc>
        <w:tc>
          <w:tcPr>
            <w:tcW w:w="1134" w:type="dxa"/>
            <w:shd w:val="clear" w:color="auto" w:fill="auto"/>
            <w:noWrap/>
            <w:vAlign w:val="bottom"/>
            <w:hideMark/>
          </w:tcPr>
          <w:p w14:paraId="60ED46B0" w14:textId="77777777" w:rsidR="000849F1" w:rsidRPr="008530EF" w:rsidRDefault="000849F1" w:rsidP="00FC5E5F">
            <w:pPr>
              <w:spacing w:after="0" w:line="360" w:lineRule="auto"/>
              <w:jc w:val="center"/>
              <w:rPr>
                <w:rFonts w:eastAsia="Times New Roman" w:cstheme="minorHAnsi"/>
                <w:b/>
                <w:bCs/>
                <w:sz w:val="20"/>
                <w:szCs w:val="20"/>
                <w:lang w:eastAsia="en-GB"/>
              </w:rPr>
            </w:pPr>
            <w:r w:rsidRPr="008530EF">
              <w:rPr>
                <w:rFonts w:eastAsia="Times New Roman" w:cstheme="minorHAnsi"/>
                <w:b/>
                <w:bCs/>
                <w:sz w:val="20"/>
                <w:szCs w:val="20"/>
                <w:lang w:eastAsia="en-GB"/>
              </w:rPr>
              <w:t>OR</w:t>
            </w:r>
          </w:p>
        </w:tc>
        <w:tc>
          <w:tcPr>
            <w:tcW w:w="1560" w:type="dxa"/>
            <w:shd w:val="clear" w:color="auto" w:fill="auto"/>
            <w:noWrap/>
            <w:vAlign w:val="bottom"/>
            <w:hideMark/>
          </w:tcPr>
          <w:p w14:paraId="09BDC9A6" w14:textId="77777777" w:rsidR="000849F1" w:rsidRPr="008530EF" w:rsidRDefault="000849F1" w:rsidP="00FC5E5F">
            <w:pPr>
              <w:spacing w:after="0" w:line="360" w:lineRule="auto"/>
              <w:jc w:val="center"/>
              <w:rPr>
                <w:rFonts w:eastAsia="Times New Roman" w:cstheme="minorHAnsi"/>
                <w:b/>
                <w:bCs/>
                <w:sz w:val="20"/>
                <w:szCs w:val="20"/>
                <w:lang w:eastAsia="en-GB"/>
              </w:rPr>
            </w:pPr>
            <w:r w:rsidRPr="008530EF">
              <w:rPr>
                <w:rFonts w:eastAsia="Times New Roman" w:cstheme="minorHAnsi"/>
                <w:b/>
                <w:bCs/>
                <w:sz w:val="20"/>
                <w:szCs w:val="20"/>
                <w:lang w:eastAsia="en-GB"/>
              </w:rPr>
              <w:t>95% CI</w:t>
            </w:r>
          </w:p>
        </w:tc>
      </w:tr>
      <w:tr w:rsidR="000849F1" w:rsidRPr="00B112B3" w14:paraId="46B0607E" w14:textId="77777777" w:rsidTr="00FC5E5F">
        <w:trPr>
          <w:trHeight w:val="300"/>
        </w:trPr>
        <w:tc>
          <w:tcPr>
            <w:tcW w:w="3539" w:type="dxa"/>
            <w:gridSpan w:val="2"/>
            <w:shd w:val="clear" w:color="auto" w:fill="auto"/>
            <w:noWrap/>
            <w:vAlign w:val="bottom"/>
            <w:hideMark/>
          </w:tcPr>
          <w:p w14:paraId="456729B3" w14:textId="77777777" w:rsidR="000849F1" w:rsidRPr="005657A2" w:rsidRDefault="000849F1" w:rsidP="00FC5E5F">
            <w:pPr>
              <w:spacing w:after="0" w:line="360" w:lineRule="auto"/>
              <w:rPr>
                <w:rFonts w:eastAsia="Times New Roman" w:cstheme="minorHAnsi"/>
                <w:b/>
                <w:sz w:val="20"/>
                <w:szCs w:val="20"/>
                <w:lang w:eastAsia="en-GB"/>
              </w:rPr>
            </w:pPr>
            <w:r w:rsidRPr="005657A2">
              <w:rPr>
                <w:rFonts w:eastAsia="Times New Roman" w:cstheme="minorHAnsi"/>
                <w:b/>
                <w:bCs/>
                <w:sz w:val="20"/>
                <w:szCs w:val="20"/>
                <w:lang w:eastAsia="en-GB"/>
              </w:rPr>
              <w:t>ASAS response criteria</w:t>
            </w:r>
          </w:p>
        </w:tc>
        <w:tc>
          <w:tcPr>
            <w:tcW w:w="2693" w:type="dxa"/>
            <w:shd w:val="clear" w:color="auto" w:fill="auto"/>
            <w:noWrap/>
            <w:vAlign w:val="bottom"/>
          </w:tcPr>
          <w:p w14:paraId="21B79624" w14:textId="77777777" w:rsidR="000849F1" w:rsidRPr="008530EF" w:rsidRDefault="000849F1" w:rsidP="00FC5E5F">
            <w:pPr>
              <w:spacing w:after="0" w:line="360" w:lineRule="auto"/>
              <w:rPr>
                <w:rFonts w:eastAsia="Times New Roman" w:cstheme="minorHAnsi"/>
                <w:sz w:val="20"/>
                <w:szCs w:val="20"/>
                <w:lang w:eastAsia="en-GB"/>
              </w:rPr>
            </w:pPr>
            <w:r>
              <w:rPr>
                <w:rFonts w:eastAsia="Times New Roman" w:cstheme="minorHAnsi"/>
                <w:sz w:val="20"/>
                <w:szCs w:val="20"/>
                <w:lang w:eastAsia="en-GB"/>
              </w:rPr>
              <w:t>ASAS 20 met</w:t>
            </w:r>
          </w:p>
        </w:tc>
        <w:tc>
          <w:tcPr>
            <w:tcW w:w="1134" w:type="dxa"/>
            <w:shd w:val="clear" w:color="auto" w:fill="auto"/>
            <w:noWrap/>
            <w:vAlign w:val="bottom"/>
            <w:hideMark/>
          </w:tcPr>
          <w:p w14:paraId="1B079BF4"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0.93</w:t>
            </w:r>
          </w:p>
        </w:tc>
        <w:tc>
          <w:tcPr>
            <w:tcW w:w="1560" w:type="dxa"/>
            <w:shd w:val="clear" w:color="auto" w:fill="auto"/>
            <w:noWrap/>
            <w:vAlign w:val="bottom"/>
            <w:hideMark/>
          </w:tcPr>
          <w:p w14:paraId="0DF68DF3"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(0.59, 1.47)</w:t>
            </w:r>
          </w:p>
        </w:tc>
      </w:tr>
      <w:tr w:rsidR="000849F1" w:rsidRPr="00B112B3" w14:paraId="78B46568" w14:textId="77777777" w:rsidTr="00FC5E5F">
        <w:trPr>
          <w:trHeight w:val="300"/>
        </w:trPr>
        <w:tc>
          <w:tcPr>
            <w:tcW w:w="3539" w:type="dxa"/>
            <w:gridSpan w:val="2"/>
            <w:shd w:val="clear" w:color="auto" w:fill="auto"/>
            <w:noWrap/>
            <w:vAlign w:val="bottom"/>
            <w:hideMark/>
          </w:tcPr>
          <w:p w14:paraId="7772AAF8" w14:textId="77777777" w:rsidR="000849F1" w:rsidRPr="005657A2" w:rsidRDefault="000849F1" w:rsidP="00FC5E5F">
            <w:pPr>
              <w:spacing w:after="0" w:line="360" w:lineRule="auto"/>
              <w:rPr>
                <w:rFonts w:eastAsia="Times New Roman" w:cstheme="minorHAnsi"/>
                <w:bCs/>
                <w:sz w:val="20"/>
                <w:szCs w:val="20"/>
                <w:lang w:eastAsia="en-GB"/>
              </w:rPr>
            </w:pPr>
          </w:p>
        </w:tc>
        <w:tc>
          <w:tcPr>
            <w:tcW w:w="2693" w:type="dxa"/>
            <w:shd w:val="clear" w:color="auto" w:fill="auto"/>
            <w:noWrap/>
            <w:vAlign w:val="bottom"/>
          </w:tcPr>
          <w:p w14:paraId="0515ED33" w14:textId="77777777" w:rsidR="000849F1" w:rsidRPr="008530EF" w:rsidRDefault="000849F1" w:rsidP="00FC5E5F">
            <w:pPr>
              <w:spacing w:after="0" w:line="360" w:lineRule="auto"/>
              <w:rPr>
                <w:rFonts w:eastAsia="Times New Roman" w:cstheme="minorHAnsi"/>
                <w:sz w:val="20"/>
                <w:szCs w:val="20"/>
                <w:lang w:eastAsia="en-GB"/>
              </w:rPr>
            </w:pPr>
            <w:r>
              <w:rPr>
                <w:rFonts w:eastAsia="Times New Roman" w:cstheme="minorHAnsi"/>
                <w:sz w:val="20"/>
                <w:szCs w:val="20"/>
                <w:lang w:eastAsia="en-GB"/>
              </w:rPr>
              <w:t>ASAS 40 met</w:t>
            </w:r>
          </w:p>
        </w:tc>
        <w:tc>
          <w:tcPr>
            <w:tcW w:w="1134" w:type="dxa"/>
            <w:shd w:val="clear" w:color="auto" w:fill="auto"/>
            <w:noWrap/>
            <w:vAlign w:val="bottom"/>
            <w:hideMark/>
          </w:tcPr>
          <w:p w14:paraId="35396FCE"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0.96</w:t>
            </w:r>
          </w:p>
        </w:tc>
        <w:tc>
          <w:tcPr>
            <w:tcW w:w="1560" w:type="dxa"/>
            <w:shd w:val="clear" w:color="auto" w:fill="auto"/>
            <w:noWrap/>
            <w:vAlign w:val="bottom"/>
            <w:hideMark/>
          </w:tcPr>
          <w:p w14:paraId="7783071A"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(0.58, 1.57)</w:t>
            </w:r>
          </w:p>
        </w:tc>
      </w:tr>
      <w:tr w:rsidR="000849F1" w:rsidRPr="00B112B3" w14:paraId="73F81A4A" w14:textId="77777777" w:rsidTr="00FC5E5F">
        <w:trPr>
          <w:trHeight w:val="300"/>
        </w:trPr>
        <w:tc>
          <w:tcPr>
            <w:tcW w:w="3539" w:type="dxa"/>
            <w:gridSpan w:val="2"/>
            <w:shd w:val="clear" w:color="auto" w:fill="auto"/>
            <w:noWrap/>
            <w:vAlign w:val="bottom"/>
            <w:hideMark/>
          </w:tcPr>
          <w:p w14:paraId="3BA33573" w14:textId="77777777" w:rsidR="000849F1" w:rsidRPr="005657A2" w:rsidRDefault="000849F1" w:rsidP="00FC5E5F">
            <w:pPr>
              <w:spacing w:after="0" w:line="360" w:lineRule="auto"/>
              <w:rPr>
                <w:rFonts w:eastAsia="Times New Roman" w:cstheme="minorHAnsi"/>
                <w:b/>
                <w:sz w:val="20"/>
                <w:szCs w:val="20"/>
                <w:lang w:eastAsia="en-GB"/>
              </w:rPr>
            </w:pPr>
            <w:r w:rsidRPr="005657A2">
              <w:rPr>
                <w:rFonts w:eastAsia="Times New Roman" w:cstheme="minorHAnsi"/>
                <w:b/>
                <w:sz w:val="20"/>
                <w:szCs w:val="20"/>
                <w:lang w:eastAsia="en-GB"/>
              </w:rPr>
              <w:t>Continuous outcome</w:t>
            </w:r>
            <w:r>
              <w:rPr>
                <w:rFonts w:eastAsia="Times New Roman" w:cstheme="minorHAnsi"/>
                <w:b/>
                <w:sz w:val="20"/>
                <w:szCs w:val="20"/>
                <w:lang w:eastAsia="en-GB"/>
              </w:rPr>
              <w:t>s:</w:t>
            </w:r>
          </w:p>
        </w:tc>
        <w:tc>
          <w:tcPr>
            <w:tcW w:w="2693" w:type="dxa"/>
            <w:shd w:val="clear" w:color="auto" w:fill="auto"/>
            <w:noWrap/>
            <w:vAlign w:val="bottom"/>
          </w:tcPr>
          <w:p w14:paraId="7F46618D" w14:textId="77777777" w:rsidR="000849F1" w:rsidRPr="008530EF" w:rsidRDefault="000849F1" w:rsidP="00FC5E5F">
            <w:pPr>
              <w:spacing w:after="0" w:line="360" w:lineRule="auto"/>
              <w:rPr>
                <w:rFonts w:eastAsia="Times New Roman" w:cstheme="minorHAnsi"/>
                <w:b/>
                <w:bCs/>
                <w:sz w:val="20"/>
                <w:szCs w:val="20"/>
                <w:lang w:eastAsia="en-GB"/>
              </w:rPr>
            </w:pPr>
          </w:p>
        </w:tc>
        <w:tc>
          <w:tcPr>
            <w:tcW w:w="1134" w:type="dxa"/>
            <w:shd w:val="clear" w:color="auto" w:fill="auto"/>
            <w:noWrap/>
            <w:vAlign w:val="bottom"/>
            <w:hideMark/>
          </w:tcPr>
          <w:p w14:paraId="4A196A30" w14:textId="77777777" w:rsidR="000849F1" w:rsidRPr="008530EF" w:rsidRDefault="000849F1" w:rsidP="00FC5E5F">
            <w:pPr>
              <w:spacing w:after="0" w:line="360" w:lineRule="auto"/>
              <w:jc w:val="center"/>
              <w:rPr>
                <w:rFonts w:eastAsia="Times New Roman" w:cstheme="minorHAnsi"/>
                <w:b/>
                <w:bCs/>
                <w:sz w:val="20"/>
                <w:szCs w:val="20"/>
                <w:lang w:eastAsia="en-GB"/>
              </w:rPr>
            </w:pPr>
            <w:r w:rsidRPr="008530EF">
              <w:rPr>
                <w:rFonts w:eastAsia="Times New Roman" w:cstheme="minorHAnsi"/>
                <w:b/>
                <w:bCs/>
                <w:sz w:val="20"/>
                <w:szCs w:val="20"/>
                <w:lang w:eastAsia="en-GB"/>
              </w:rPr>
              <w:t>Coef.</w:t>
            </w:r>
          </w:p>
        </w:tc>
        <w:tc>
          <w:tcPr>
            <w:tcW w:w="1560" w:type="dxa"/>
            <w:shd w:val="clear" w:color="auto" w:fill="auto"/>
            <w:noWrap/>
            <w:vAlign w:val="bottom"/>
            <w:hideMark/>
          </w:tcPr>
          <w:p w14:paraId="4C0B98F7" w14:textId="77777777" w:rsidR="000849F1" w:rsidRPr="008530EF" w:rsidRDefault="000849F1" w:rsidP="00FC5E5F">
            <w:pPr>
              <w:spacing w:after="0" w:line="360" w:lineRule="auto"/>
              <w:jc w:val="center"/>
              <w:rPr>
                <w:rFonts w:eastAsia="Times New Roman" w:cstheme="minorHAnsi"/>
                <w:b/>
                <w:bCs/>
                <w:sz w:val="20"/>
                <w:szCs w:val="20"/>
                <w:lang w:eastAsia="en-GB"/>
              </w:rPr>
            </w:pPr>
            <w:r w:rsidRPr="008530EF">
              <w:rPr>
                <w:rFonts w:eastAsia="Times New Roman" w:cstheme="minorHAnsi"/>
                <w:b/>
                <w:bCs/>
                <w:sz w:val="20"/>
                <w:szCs w:val="20"/>
                <w:lang w:eastAsia="en-GB"/>
              </w:rPr>
              <w:t>95% CI</w:t>
            </w:r>
          </w:p>
        </w:tc>
      </w:tr>
      <w:tr w:rsidR="000849F1" w:rsidRPr="00B112B3" w14:paraId="7991EC79" w14:textId="77777777" w:rsidTr="00FC5E5F">
        <w:trPr>
          <w:trHeight w:val="300"/>
        </w:trPr>
        <w:tc>
          <w:tcPr>
            <w:tcW w:w="3539" w:type="dxa"/>
            <w:gridSpan w:val="2"/>
            <w:shd w:val="clear" w:color="auto" w:fill="auto"/>
            <w:noWrap/>
            <w:vAlign w:val="bottom"/>
            <w:hideMark/>
          </w:tcPr>
          <w:p w14:paraId="10156B91" w14:textId="77777777" w:rsidR="000849F1" w:rsidRPr="005657A2" w:rsidRDefault="000849F1" w:rsidP="00FC5E5F">
            <w:pPr>
              <w:spacing w:after="0" w:line="360" w:lineRule="auto"/>
              <w:rPr>
                <w:rFonts w:eastAsia="Times New Roman" w:cstheme="minorHAnsi"/>
                <w:b/>
                <w:bCs/>
                <w:sz w:val="20"/>
                <w:szCs w:val="20"/>
                <w:lang w:eastAsia="en-GB"/>
              </w:rPr>
            </w:pPr>
            <w:r w:rsidRPr="005657A2">
              <w:rPr>
                <w:rFonts w:eastAsia="Times New Roman" w:cstheme="minorHAnsi"/>
                <w:b/>
                <w:bCs/>
                <w:sz w:val="20"/>
                <w:szCs w:val="20"/>
                <w:lang w:eastAsia="en-GB"/>
              </w:rPr>
              <w:t>Disease activity</w:t>
            </w:r>
          </w:p>
        </w:tc>
        <w:tc>
          <w:tcPr>
            <w:tcW w:w="2693" w:type="dxa"/>
            <w:shd w:val="clear" w:color="auto" w:fill="auto"/>
            <w:noWrap/>
            <w:vAlign w:val="bottom"/>
          </w:tcPr>
          <w:p w14:paraId="20CC55B2" w14:textId="77777777" w:rsidR="000849F1" w:rsidRPr="008530EF" w:rsidRDefault="000849F1" w:rsidP="00FC5E5F">
            <w:pPr>
              <w:spacing w:after="0" w:line="360" w:lineRule="auto"/>
              <w:rPr>
                <w:rFonts w:eastAsia="Times New Roman" w:cstheme="minorHAnsi"/>
                <w:sz w:val="20"/>
                <w:szCs w:val="20"/>
                <w:lang w:eastAsia="en-GB"/>
              </w:rPr>
            </w:pPr>
            <w:r w:rsidRPr="00C9494B">
              <w:rPr>
                <w:rFonts w:cstheme="minorHAnsi"/>
                <w:sz w:val="20"/>
                <w:szCs w:val="20"/>
              </w:rPr>
              <w:t>BASDAI:</w:t>
            </w:r>
            <w:r w:rsidRPr="00C9494B">
              <w:rPr>
                <w:rFonts w:eastAsia="Times New Roman" w:cstheme="minorHAnsi"/>
                <w:bCs/>
                <w:sz w:val="20"/>
                <w:szCs w:val="20"/>
                <w:lang w:eastAsia="en-GB"/>
              </w:rPr>
              <w:t xml:space="preserve"> 0 (best) – 10 (worst)</w:t>
            </w:r>
          </w:p>
        </w:tc>
        <w:tc>
          <w:tcPr>
            <w:tcW w:w="1134" w:type="dxa"/>
            <w:shd w:val="clear" w:color="auto" w:fill="auto"/>
            <w:noWrap/>
            <w:vAlign w:val="bottom"/>
            <w:hideMark/>
          </w:tcPr>
          <w:p w14:paraId="5A005418"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-0.05</w:t>
            </w:r>
          </w:p>
        </w:tc>
        <w:tc>
          <w:tcPr>
            <w:tcW w:w="1560" w:type="dxa"/>
            <w:shd w:val="clear" w:color="auto" w:fill="auto"/>
            <w:noWrap/>
            <w:vAlign w:val="bottom"/>
            <w:hideMark/>
          </w:tcPr>
          <w:p w14:paraId="59A71307"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(-0.56, 0.46)</w:t>
            </w:r>
          </w:p>
        </w:tc>
      </w:tr>
      <w:tr w:rsidR="000849F1" w:rsidRPr="00B112B3" w14:paraId="462040FF" w14:textId="77777777" w:rsidTr="00FC5E5F">
        <w:trPr>
          <w:trHeight w:val="300"/>
        </w:trPr>
        <w:tc>
          <w:tcPr>
            <w:tcW w:w="3539" w:type="dxa"/>
            <w:gridSpan w:val="2"/>
            <w:shd w:val="clear" w:color="auto" w:fill="auto"/>
            <w:noWrap/>
            <w:vAlign w:val="bottom"/>
            <w:hideMark/>
          </w:tcPr>
          <w:p w14:paraId="6E29E49A" w14:textId="77777777" w:rsidR="000849F1" w:rsidRPr="005657A2" w:rsidRDefault="000849F1" w:rsidP="00FC5E5F">
            <w:pPr>
              <w:spacing w:after="0" w:line="360" w:lineRule="auto"/>
              <w:rPr>
                <w:rFonts w:eastAsia="Times New Roman" w:cstheme="minorHAnsi"/>
                <w:b/>
                <w:bCs/>
                <w:sz w:val="20"/>
                <w:szCs w:val="20"/>
                <w:lang w:eastAsia="en-GB"/>
              </w:rPr>
            </w:pPr>
            <w:r w:rsidRPr="005657A2">
              <w:rPr>
                <w:rFonts w:eastAsia="Times New Roman" w:cstheme="minorHAnsi"/>
                <w:b/>
                <w:bCs/>
                <w:sz w:val="20"/>
                <w:szCs w:val="20"/>
                <w:lang w:eastAsia="en-GB"/>
              </w:rPr>
              <w:t>Physical function</w:t>
            </w:r>
          </w:p>
        </w:tc>
        <w:tc>
          <w:tcPr>
            <w:tcW w:w="2693" w:type="dxa"/>
            <w:shd w:val="clear" w:color="auto" w:fill="auto"/>
            <w:noWrap/>
            <w:vAlign w:val="bottom"/>
          </w:tcPr>
          <w:p w14:paraId="5833D185" w14:textId="77777777" w:rsidR="000849F1" w:rsidRPr="008530EF" w:rsidRDefault="000849F1" w:rsidP="00FC5E5F">
            <w:pPr>
              <w:spacing w:after="0" w:line="360" w:lineRule="auto"/>
              <w:rPr>
                <w:rFonts w:eastAsia="Times New Roman" w:cstheme="minorHAnsi"/>
                <w:sz w:val="20"/>
                <w:szCs w:val="20"/>
                <w:lang w:eastAsia="en-GB"/>
              </w:rPr>
            </w:pPr>
            <w:r w:rsidRPr="00C9494B">
              <w:rPr>
                <w:rFonts w:eastAsia="Times New Roman" w:cstheme="minorHAnsi"/>
                <w:bCs/>
                <w:sz w:val="20"/>
                <w:szCs w:val="20"/>
                <w:lang w:eastAsia="en-GB"/>
              </w:rPr>
              <w:t>BASFI: 0 (best) – 10 (worst)</w:t>
            </w:r>
          </w:p>
        </w:tc>
        <w:tc>
          <w:tcPr>
            <w:tcW w:w="1134" w:type="dxa"/>
            <w:shd w:val="clear" w:color="auto" w:fill="auto"/>
            <w:noWrap/>
            <w:vAlign w:val="bottom"/>
            <w:hideMark/>
          </w:tcPr>
          <w:p w14:paraId="56F9B29B"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0.17</w:t>
            </w:r>
          </w:p>
        </w:tc>
        <w:tc>
          <w:tcPr>
            <w:tcW w:w="1560" w:type="dxa"/>
            <w:shd w:val="clear" w:color="auto" w:fill="auto"/>
            <w:noWrap/>
            <w:vAlign w:val="bottom"/>
            <w:hideMark/>
          </w:tcPr>
          <w:p w14:paraId="4445D59A"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(-0.46, 0.50)</w:t>
            </w:r>
          </w:p>
        </w:tc>
      </w:tr>
      <w:tr w:rsidR="000849F1" w:rsidRPr="00B112B3" w14:paraId="0F3E6A61" w14:textId="77777777" w:rsidTr="00FC5E5F">
        <w:trPr>
          <w:trHeight w:val="300"/>
        </w:trPr>
        <w:tc>
          <w:tcPr>
            <w:tcW w:w="3539" w:type="dxa"/>
            <w:gridSpan w:val="2"/>
            <w:shd w:val="clear" w:color="auto" w:fill="auto"/>
            <w:noWrap/>
            <w:vAlign w:val="bottom"/>
            <w:hideMark/>
          </w:tcPr>
          <w:p w14:paraId="5E6A5E7C" w14:textId="77777777" w:rsidR="000849F1" w:rsidRPr="005657A2" w:rsidRDefault="000849F1" w:rsidP="00FC5E5F">
            <w:pPr>
              <w:spacing w:after="0" w:line="360" w:lineRule="auto"/>
              <w:rPr>
                <w:rFonts w:eastAsia="Times New Roman" w:cstheme="minorHAnsi"/>
                <w:b/>
                <w:bCs/>
                <w:sz w:val="20"/>
                <w:szCs w:val="20"/>
                <w:lang w:eastAsia="en-GB"/>
              </w:rPr>
            </w:pPr>
            <w:r w:rsidRPr="005657A2">
              <w:rPr>
                <w:rFonts w:eastAsia="Times New Roman" w:cstheme="minorHAnsi"/>
                <w:b/>
                <w:bCs/>
                <w:sz w:val="20"/>
                <w:szCs w:val="20"/>
                <w:lang w:eastAsia="en-GB"/>
              </w:rPr>
              <w:t>Quality of life</w:t>
            </w:r>
          </w:p>
        </w:tc>
        <w:tc>
          <w:tcPr>
            <w:tcW w:w="2693" w:type="dxa"/>
            <w:shd w:val="clear" w:color="auto" w:fill="auto"/>
            <w:noWrap/>
            <w:vAlign w:val="bottom"/>
          </w:tcPr>
          <w:p w14:paraId="31B7B1CF" w14:textId="77777777" w:rsidR="000849F1" w:rsidRPr="008530EF" w:rsidRDefault="000849F1" w:rsidP="00FC5E5F">
            <w:pPr>
              <w:spacing w:after="0" w:line="360" w:lineRule="auto"/>
              <w:rPr>
                <w:rFonts w:eastAsia="Times New Roman" w:cstheme="minorHAnsi"/>
                <w:sz w:val="20"/>
                <w:szCs w:val="20"/>
                <w:lang w:eastAsia="en-GB"/>
              </w:rPr>
            </w:pPr>
            <w:r w:rsidRPr="00C9494B">
              <w:rPr>
                <w:rFonts w:eastAsia="Times New Roman" w:cstheme="minorHAnsi"/>
                <w:bCs/>
                <w:sz w:val="20"/>
                <w:szCs w:val="20"/>
                <w:lang w:eastAsia="en-GB"/>
              </w:rPr>
              <w:t>ASQoL: 0 (best) – 18 (worst)</w:t>
            </w:r>
          </w:p>
        </w:tc>
        <w:tc>
          <w:tcPr>
            <w:tcW w:w="1134" w:type="dxa"/>
            <w:shd w:val="clear" w:color="auto" w:fill="auto"/>
            <w:noWrap/>
            <w:vAlign w:val="bottom"/>
            <w:hideMark/>
          </w:tcPr>
          <w:p w14:paraId="6F2D2837"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0.06</w:t>
            </w:r>
          </w:p>
        </w:tc>
        <w:tc>
          <w:tcPr>
            <w:tcW w:w="1560" w:type="dxa"/>
            <w:shd w:val="clear" w:color="auto" w:fill="auto"/>
            <w:noWrap/>
            <w:vAlign w:val="bottom"/>
            <w:hideMark/>
          </w:tcPr>
          <w:p w14:paraId="326CB3E7"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(-0.99, 1.11)</w:t>
            </w:r>
          </w:p>
        </w:tc>
      </w:tr>
      <w:tr w:rsidR="000849F1" w:rsidRPr="00B112B3" w14:paraId="5C82B00E" w14:textId="77777777" w:rsidTr="00FC5E5F">
        <w:trPr>
          <w:trHeight w:val="300"/>
        </w:trPr>
        <w:tc>
          <w:tcPr>
            <w:tcW w:w="3539" w:type="dxa"/>
            <w:gridSpan w:val="2"/>
            <w:shd w:val="clear" w:color="auto" w:fill="auto"/>
            <w:noWrap/>
            <w:vAlign w:val="bottom"/>
            <w:hideMark/>
          </w:tcPr>
          <w:p w14:paraId="6883CD53" w14:textId="77777777" w:rsidR="000849F1" w:rsidRPr="005657A2" w:rsidRDefault="000849F1" w:rsidP="00FC5E5F">
            <w:pPr>
              <w:spacing w:after="0" w:line="360" w:lineRule="auto"/>
              <w:rPr>
                <w:rFonts w:eastAsia="Times New Roman" w:cstheme="minorHAnsi"/>
                <w:b/>
                <w:bCs/>
                <w:sz w:val="20"/>
                <w:szCs w:val="20"/>
                <w:lang w:eastAsia="en-GB"/>
              </w:rPr>
            </w:pPr>
            <w:r w:rsidRPr="005657A2">
              <w:rPr>
                <w:rFonts w:eastAsia="Times New Roman" w:cstheme="minorHAnsi"/>
                <w:b/>
                <w:bCs/>
                <w:sz w:val="20"/>
                <w:szCs w:val="20"/>
                <w:lang w:eastAsia="en-GB"/>
              </w:rPr>
              <w:t>Fatigue</w:t>
            </w:r>
          </w:p>
        </w:tc>
        <w:tc>
          <w:tcPr>
            <w:tcW w:w="2693" w:type="dxa"/>
            <w:shd w:val="clear" w:color="auto" w:fill="auto"/>
            <w:noWrap/>
            <w:vAlign w:val="bottom"/>
          </w:tcPr>
          <w:p w14:paraId="2368CAF0" w14:textId="77777777" w:rsidR="000849F1" w:rsidRPr="008530EF" w:rsidRDefault="000849F1" w:rsidP="00FC5E5F">
            <w:pPr>
              <w:spacing w:after="0" w:line="360" w:lineRule="auto"/>
              <w:rPr>
                <w:rFonts w:eastAsia="Times New Roman" w:cstheme="minorHAnsi"/>
                <w:sz w:val="20"/>
                <w:szCs w:val="20"/>
                <w:lang w:eastAsia="en-GB"/>
              </w:rPr>
            </w:pPr>
            <w:r w:rsidRPr="00C9494B">
              <w:rPr>
                <w:rFonts w:eastAsia="Times New Roman" w:cstheme="minorHAnsi"/>
                <w:bCs/>
                <w:sz w:val="20"/>
                <w:szCs w:val="20"/>
                <w:lang w:eastAsia="en-GB"/>
              </w:rPr>
              <w:t>CFS: 0 (best) – 11 (worst)</w:t>
            </w:r>
          </w:p>
        </w:tc>
        <w:tc>
          <w:tcPr>
            <w:tcW w:w="1134" w:type="dxa"/>
            <w:shd w:val="clear" w:color="auto" w:fill="auto"/>
            <w:noWrap/>
            <w:vAlign w:val="bottom"/>
            <w:hideMark/>
          </w:tcPr>
          <w:p w14:paraId="063E0E3E"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-0.16</w:t>
            </w:r>
          </w:p>
        </w:tc>
        <w:tc>
          <w:tcPr>
            <w:tcW w:w="1560" w:type="dxa"/>
            <w:shd w:val="clear" w:color="auto" w:fill="auto"/>
            <w:noWrap/>
            <w:vAlign w:val="bottom"/>
            <w:hideMark/>
          </w:tcPr>
          <w:p w14:paraId="15B504B7"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(-0.94, 0.62)</w:t>
            </w:r>
          </w:p>
        </w:tc>
      </w:tr>
      <w:tr w:rsidR="000849F1" w:rsidRPr="00B112B3" w14:paraId="3A38DCE3" w14:textId="77777777" w:rsidTr="00FC5E5F">
        <w:trPr>
          <w:trHeight w:val="300"/>
        </w:trPr>
        <w:tc>
          <w:tcPr>
            <w:tcW w:w="3539" w:type="dxa"/>
            <w:gridSpan w:val="2"/>
            <w:shd w:val="clear" w:color="auto" w:fill="auto"/>
            <w:noWrap/>
            <w:vAlign w:val="bottom"/>
            <w:hideMark/>
          </w:tcPr>
          <w:p w14:paraId="1CA8DF2E" w14:textId="77777777" w:rsidR="000849F1" w:rsidRPr="005657A2" w:rsidRDefault="000849F1" w:rsidP="00FC5E5F">
            <w:pPr>
              <w:spacing w:after="0" w:line="360" w:lineRule="auto"/>
              <w:rPr>
                <w:rFonts w:eastAsia="Times New Roman" w:cstheme="minorHAnsi"/>
                <w:b/>
                <w:bCs/>
                <w:sz w:val="20"/>
                <w:szCs w:val="20"/>
                <w:lang w:eastAsia="en-GB"/>
              </w:rPr>
            </w:pPr>
            <w:r w:rsidRPr="005657A2">
              <w:rPr>
                <w:rFonts w:eastAsia="Times New Roman" w:cstheme="minorHAnsi"/>
                <w:b/>
                <w:bCs/>
                <w:sz w:val="20"/>
                <w:szCs w:val="20"/>
                <w:lang w:eastAsia="en-GB"/>
              </w:rPr>
              <w:t>Sleep Disturbance</w:t>
            </w:r>
          </w:p>
        </w:tc>
        <w:tc>
          <w:tcPr>
            <w:tcW w:w="2693" w:type="dxa"/>
            <w:shd w:val="clear" w:color="auto" w:fill="auto"/>
            <w:noWrap/>
            <w:vAlign w:val="bottom"/>
          </w:tcPr>
          <w:p w14:paraId="1586B63D" w14:textId="77777777" w:rsidR="000849F1" w:rsidRPr="008530EF" w:rsidRDefault="000849F1" w:rsidP="00FC5E5F">
            <w:pPr>
              <w:spacing w:after="0" w:line="360" w:lineRule="auto"/>
              <w:rPr>
                <w:rFonts w:eastAsia="Times New Roman" w:cstheme="minorHAnsi"/>
                <w:sz w:val="20"/>
                <w:szCs w:val="20"/>
                <w:lang w:eastAsia="en-GB"/>
              </w:rPr>
            </w:pPr>
            <w:r w:rsidRPr="00C9494B">
              <w:rPr>
                <w:rFonts w:eastAsia="Times New Roman" w:cstheme="minorHAnsi"/>
                <w:bCs/>
                <w:sz w:val="20"/>
                <w:szCs w:val="20"/>
                <w:lang w:eastAsia="en-GB"/>
              </w:rPr>
              <w:t>Jenkins: 0 (best) – 20 (worst)</w:t>
            </w:r>
          </w:p>
        </w:tc>
        <w:tc>
          <w:tcPr>
            <w:tcW w:w="1134" w:type="dxa"/>
            <w:shd w:val="clear" w:color="auto" w:fill="auto"/>
            <w:noWrap/>
            <w:vAlign w:val="bottom"/>
            <w:hideMark/>
          </w:tcPr>
          <w:p w14:paraId="6C0A036C"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0.32</w:t>
            </w:r>
          </w:p>
        </w:tc>
        <w:tc>
          <w:tcPr>
            <w:tcW w:w="1560" w:type="dxa"/>
            <w:shd w:val="clear" w:color="auto" w:fill="auto"/>
            <w:noWrap/>
            <w:vAlign w:val="bottom"/>
            <w:hideMark/>
          </w:tcPr>
          <w:p w14:paraId="57322817"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(-0.80, 1.44)</w:t>
            </w:r>
          </w:p>
        </w:tc>
      </w:tr>
      <w:tr w:rsidR="000849F1" w:rsidRPr="00B112B3" w14:paraId="3A1F7071" w14:textId="77777777" w:rsidTr="00FC5E5F">
        <w:trPr>
          <w:trHeight w:val="300"/>
        </w:trPr>
        <w:tc>
          <w:tcPr>
            <w:tcW w:w="3539" w:type="dxa"/>
            <w:gridSpan w:val="2"/>
            <w:shd w:val="clear" w:color="auto" w:fill="auto"/>
            <w:noWrap/>
            <w:vAlign w:val="bottom"/>
            <w:hideMark/>
          </w:tcPr>
          <w:p w14:paraId="327EC4D6" w14:textId="77777777" w:rsidR="000849F1" w:rsidRPr="005657A2" w:rsidRDefault="000849F1" w:rsidP="00FC5E5F">
            <w:pPr>
              <w:spacing w:after="0" w:line="360" w:lineRule="auto"/>
              <w:rPr>
                <w:rFonts w:eastAsia="Times New Roman" w:cstheme="minorHAnsi"/>
                <w:b/>
                <w:bCs/>
                <w:sz w:val="20"/>
                <w:szCs w:val="20"/>
                <w:lang w:eastAsia="en-GB"/>
              </w:rPr>
            </w:pPr>
            <w:r w:rsidRPr="005657A2">
              <w:rPr>
                <w:rFonts w:eastAsia="Times New Roman" w:cstheme="minorHAnsi"/>
                <w:b/>
                <w:bCs/>
                <w:sz w:val="20"/>
                <w:szCs w:val="20"/>
                <w:lang w:eastAsia="en-GB"/>
              </w:rPr>
              <w:t>Anxiety</w:t>
            </w:r>
          </w:p>
        </w:tc>
        <w:tc>
          <w:tcPr>
            <w:tcW w:w="2693" w:type="dxa"/>
            <w:shd w:val="clear" w:color="auto" w:fill="auto"/>
            <w:noWrap/>
            <w:vAlign w:val="bottom"/>
          </w:tcPr>
          <w:p w14:paraId="44520D73" w14:textId="77777777" w:rsidR="000849F1" w:rsidRPr="008530EF" w:rsidRDefault="000849F1" w:rsidP="00FC5E5F">
            <w:pPr>
              <w:spacing w:after="0" w:line="360" w:lineRule="auto"/>
              <w:rPr>
                <w:rFonts w:eastAsia="Times New Roman" w:cstheme="minorHAnsi"/>
                <w:sz w:val="20"/>
                <w:szCs w:val="20"/>
                <w:lang w:eastAsia="en-GB"/>
              </w:rPr>
            </w:pPr>
            <w:r w:rsidRPr="00C9494B">
              <w:rPr>
                <w:rFonts w:eastAsia="Times New Roman" w:cstheme="minorHAnsi"/>
                <w:bCs/>
                <w:sz w:val="20"/>
                <w:szCs w:val="20"/>
                <w:lang w:eastAsia="en-GB"/>
              </w:rPr>
              <w:t>HADS:  0 (best) – 21 (worst)</w:t>
            </w:r>
          </w:p>
        </w:tc>
        <w:tc>
          <w:tcPr>
            <w:tcW w:w="1134" w:type="dxa"/>
            <w:shd w:val="clear" w:color="auto" w:fill="auto"/>
            <w:noWrap/>
            <w:vAlign w:val="bottom"/>
            <w:hideMark/>
          </w:tcPr>
          <w:p w14:paraId="1ADAC81A"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0.22</w:t>
            </w:r>
          </w:p>
        </w:tc>
        <w:tc>
          <w:tcPr>
            <w:tcW w:w="1560" w:type="dxa"/>
            <w:shd w:val="clear" w:color="auto" w:fill="auto"/>
            <w:noWrap/>
            <w:vAlign w:val="bottom"/>
            <w:hideMark/>
          </w:tcPr>
          <w:p w14:paraId="563B4052"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(-0.50, 0.95)</w:t>
            </w:r>
          </w:p>
        </w:tc>
      </w:tr>
      <w:tr w:rsidR="000849F1" w:rsidRPr="00B112B3" w14:paraId="2E521E0F" w14:textId="77777777" w:rsidTr="00FC5E5F">
        <w:trPr>
          <w:trHeight w:val="300"/>
        </w:trPr>
        <w:tc>
          <w:tcPr>
            <w:tcW w:w="3539" w:type="dxa"/>
            <w:gridSpan w:val="2"/>
            <w:shd w:val="clear" w:color="auto" w:fill="auto"/>
            <w:noWrap/>
            <w:vAlign w:val="bottom"/>
            <w:hideMark/>
          </w:tcPr>
          <w:p w14:paraId="6329730B" w14:textId="77777777" w:rsidR="000849F1" w:rsidRPr="005657A2" w:rsidRDefault="000849F1" w:rsidP="00FC5E5F">
            <w:pPr>
              <w:spacing w:after="0" w:line="360" w:lineRule="auto"/>
              <w:rPr>
                <w:rFonts w:eastAsia="Times New Roman" w:cstheme="minorHAnsi"/>
                <w:b/>
                <w:bCs/>
                <w:sz w:val="20"/>
                <w:szCs w:val="20"/>
                <w:lang w:eastAsia="en-GB"/>
              </w:rPr>
            </w:pPr>
            <w:r w:rsidRPr="005657A2">
              <w:rPr>
                <w:rFonts w:eastAsia="Times New Roman" w:cstheme="minorHAnsi"/>
                <w:b/>
                <w:bCs/>
                <w:sz w:val="20"/>
                <w:szCs w:val="20"/>
                <w:lang w:eastAsia="en-GB"/>
              </w:rPr>
              <w:t>Depression</w:t>
            </w:r>
          </w:p>
        </w:tc>
        <w:tc>
          <w:tcPr>
            <w:tcW w:w="2693" w:type="dxa"/>
            <w:shd w:val="clear" w:color="auto" w:fill="auto"/>
            <w:noWrap/>
            <w:vAlign w:val="bottom"/>
          </w:tcPr>
          <w:p w14:paraId="482F5E96" w14:textId="77777777" w:rsidR="000849F1" w:rsidRPr="008530EF" w:rsidRDefault="000849F1" w:rsidP="00FC5E5F">
            <w:pPr>
              <w:spacing w:after="0" w:line="360" w:lineRule="auto"/>
              <w:rPr>
                <w:rFonts w:eastAsia="Times New Roman" w:cstheme="minorHAnsi"/>
                <w:sz w:val="20"/>
                <w:szCs w:val="20"/>
                <w:lang w:eastAsia="en-GB"/>
              </w:rPr>
            </w:pPr>
            <w:r w:rsidRPr="00C9494B">
              <w:rPr>
                <w:rFonts w:eastAsia="Times New Roman" w:cstheme="minorHAnsi"/>
                <w:bCs/>
                <w:sz w:val="20"/>
                <w:szCs w:val="20"/>
                <w:lang w:eastAsia="en-GB"/>
              </w:rPr>
              <w:t>HADS:  0 (best) – 21 (worst)</w:t>
            </w:r>
          </w:p>
        </w:tc>
        <w:tc>
          <w:tcPr>
            <w:tcW w:w="1134" w:type="dxa"/>
            <w:shd w:val="clear" w:color="auto" w:fill="auto"/>
            <w:noWrap/>
            <w:vAlign w:val="bottom"/>
            <w:hideMark/>
          </w:tcPr>
          <w:p w14:paraId="5C4C886B"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-0.35</w:t>
            </w:r>
          </w:p>
        </w:tc>
        <w:tc>
          <w:tcPr>
            <w:tcW w:w="1560" w:type="dxa"/>
            <w:shd w:val="clear" w:color="auto" w:fill="auto"/>
            <w:noWrap/>
            <w:vAlign w:val="bottom"/>
            <w:hideMark/>
          </w:tcPr>
          <w:p w14:paraId="7F1A483C"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(-1.07, 0.37)</w:t>
            </w:r>
          </w:p>
        </w:tc>
      </w:tr>
      <w:tr w:rsidR="000849F1" w:rsidRPr="00B112B3" w14:paraId="739A464A" w14:textId="77777777" w:rsidTr="00FC5E5F">
        <w:trPr>
          <w:trHeight w:val="300"/>
        </w:trPr>
        <w:tc>
          <w:tcPr>
            <w:tcW w:w="3539" w:type="dxa"/>
            <w:gridSpan w:val="2"/>
            <w:shd w:val="clear" w:color="auto" w:fill="auto"/>
            <w:noWrap/>
            <w:vAlign w:val="bottom"/>
            <w:hideMark/>
          </w:tcPr>
          <w:p w14:paraId="1F57ED75" w14:textId="77777777" w:rsidR="000849F1" w:rsidRPr="005657A2" w:rsidRDefault="000849F1" w:rsidP="00FC5E5F">
            <w:pPr>
              <w:spacing w:after="0" w:line="360" w:lineRule="auto"/>
              <w:rPr>
                <w:rFonts w:eastAsia="Times New Roman" w:cstheme="minorHAnsi"/>
                <w:b/>
                <w:bCs/>
                <w:sz w:val="20"/>
                <w:szCs w:val="20"/>
                <w:lang w:eastAsia="en-GB"/>
              </w:rPr>
            </w:pPr>
            <w:r w:rsidRPr="005657A2">
              <w:rPr>
                <w:rFonts w:eastAsia="Times New Roman" w:cstheme="minorHAnsi"/>
                <w:b/>
                <w:bCs/>
                <w:sz w:val="20"/>
                <w:szCs w:val="20"/>
                <w:lang w:eastAsia="en-GB"/>
              </w:rPr>
              <w:t>Work absenteeism</w:t>
            </w:r>
          </w:p>
        </w:tc>
        <w:tc>
          <w:tcPr>
            <w:tcW w:w="2693" w:type="dxa"/>
            <w:shd w:val="clear" w:color="auto" w:fill="auto"/>
            <w:noWrap/>
            <w:vAlign w:val="bottom"/>
          </w:tcPr>
          <w:p w14:paraId="0B3D6A56" w14:textId="77777777" w:rsidR="000849F1" w:rsidRPr="008530EF" w:rsidRDefault="000849F1" w:rsidP="00FC5E5F">
            <w:pPr>
              <w:spacing w:after="0" w:line="360" w:lineRule="auto"/>
              <w:rPr>
                <w:rFonts w:eastAsia="Times New Roman" w:cstheme="minorHAnsi"/>
                <w:sz w:val="20"/>
                <w:szCs w:val="20"/>
                <w:lang w:eastAsia="en-GB"/>
              </w:rPr>
            </w:pPr>
            <w:r>
              <w:rPr>
                <w:rFonts w:eastAsia="Times New Roman" w:cstheme="minorHAnsi"/>
                <w:sz w:val="20"/>
                <w:szCs w:val="20"/>
                <w:lang w:eastAsia="en-GB"/>
              </w:rPr>
              <w:t>%</w:t>
            </w:r>
          </w:p>
        </w:tc>
        <w:tc>
          <w:tcPr>
            <w:tcW w:w="1134" w:type="dxa"/>
            <w:shd w:val="clear" w:color="auto" w:fill="auto"/>
            <w:noWrap/>
            <w:vAlign w:val="bottom"/>
            <w:hideMark/>
          </w:tcPr>
          <w:p w14:paraId="4E252DFF"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1.52</w:t>
            </w:r>
          </w:p>
        </w:tc>
        <w:tc>
          <w:tcPr>
            <w:tcW w:w="1560" w:type="dxa"/>
            <w:shd w:val="clear" w:color="auto" w:fill="auto"/>
            <w:noWrap/>
            <w:vAlign w:val="bottom"/>
            <w:hideMark/>
          </w:tcPr>
          <w:p w14:paraId="036277CB"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(-3.78, 6.81)</w:t>
            </w:r>
          </w:p>
        </w:tc>
      </w:tr>
      <w:tr w:rsidR="000849F1" w:rsidRPr="00954FF4" w14:paraId="50B79EE0" w14:textId="77777777" w:rsidTr="00FC5E5F">
        <w:trPr>
          <w:trHeight w:val="300"/>
        </w:trPr>
        <w:tc>
          <w:tcPr>
            <w:tcW w:w="3539" w:type="dxa"/>
            <w:gridSpan w:val="2"/>
            <w:shd w:val="clear" w:color="auto" w:fill="auto"/>
            <w:noWrap/>
            <w:vAlign w:val="bottom"/>
            <w:hideMark/>
          </w:tcPr>
          <w:p w14:paraId="008770C9" w14:textId="77777777" w:rsidR="000849F1" w:rsidRPr="007E711B" w:rsidRDefault="000849F1" w:rsidP="00FC5E5F">
            <w:pPr>
              <w:spacing w:after="0" w:line="360" w:lineRule="auto"/>
              <w:rPr>
                <w:rFonts w:eastAsia="Times New Roman" w:cstheme="minorHAnsi"/>
                <w:b/>
                <w:bCs/>
                <w:i/>
                <w:sz w:val="20"/>
                <w:szCs w:val="20"/>
                <w:lang w:eastAsia="en-GB"/>
              </w:rPr>
            </w:pPr>
            <w:r w:rsidRPr="007E711B">
              <w:rPr>
                <w:rFonts w:eastAsia="Times New Roman" w:cstheme="minorHAnsi"/>
                <w:b/>
                <w:bCs/>
                <w:i/>
                <w:sz w:val="20"/>
                <w:szCs w:val="20"/>
                <w:lang w:eastAsia="en-GB"/>
              </w:rPr>
              <w:t>Work presenteeism</w:t>
            </w:r>
            <w:r>
              <w:rPr>
                <w:rFonts w:eastAsia="Times New Roman" w:cstheme="minorHAnsi"/>
                <w:b/>
                <w:bCs/>
                <w:i/>
                <w:sz w:val="20"/>
                <w:szCs w:val="20"/>
                <w:lang w:eastAsia="en-GB"/>
              </w:rPr>
              <w:t>*</w:t>
            </w:r>
          </w:p>
        </w:tc>
        <w:tc>
          <w:tcPr>
            <w:tcW w:w="2693" w:type="dxa"/>
            <w:shd w:val="clear" w:color="auto" w:fill="auto"/>
            <w:noWrap/>
            <w:vAlign w:val="bottom"/>
          </w:tcPr>
          <w:p w14:paraId="66FE71B6" w14:textId="77777777" w:rsidR="000849F1" w:rsidRPr="007E711B" w:rsidRDefault="000849F1" w:rsidP="00FC5E5F">
            <w:pPr>
              <w:spacing w:after="0" w:line="360" w:lineRule="auto"/>
              <w:rPr>
                <w:rFonts w:eastAsia="Times New Roman" w:cstheme="minorHAnsi"/>
                <w:i/>
                <w:sz w:val="20"/>
                <w:szCs w:val="20"/>
                <w:lang w:eastAsia="en-GB"/>
              </w:rPr>
            </w:pPr>
            <w:r w:rsidRPr="007E711B">
              <w:rPr>
                <w:rFonts w:eastAsia="Times New Roman" w:cstheme="minorHAnsi"/>
                <w:i/>
                <w:sz w:val="20"/>
                <w:szCs w:val="20"/>
                <w:lang w:eastAsia="en-GB"/>
              </w:rPr>
              <w:t>%</w:t>
            </w:r>
          </w:p>
        </w:tc>
        <w:tc>
          <w:tcPr>
            <w:tcW w:w="1134" w:type="dxa"/>
            <w:shd w:val="clear" w:color="auto" w:fill="auto"/>
            <w:noWrap/>
            <w:vAlign w:val="bottom"/>
            <w:hideMark/>
          </w:tcPr>
          <w:p w14:paraId="4A5D30C7" w14:textId="77777777" w:rsidR="000849F1" w:rsidRPr="007E711B" w:rsidRDefault="000849F1" w:rsidP="00FC5E5F">
            <w:pPr>
              <w:spacing w:after="0" w:line="360" w:lineRule="auto"/>
              <w:jc w:val="center"/>
              <w:rPr>
                <w:rFonts w:eastAsia="Times New Roman" w:cstheme="minorHAnsi"/>
                <w:i/>
                <w:sz w:val="20"/>
                <w:szCs w:val="20"/>
                <w:lang w:eastAsia="en-GB"/>
              </w:rPr>
            </w:pPr>
            <w:r w:rsidRPr="007E711B">
              <w:rPr>
                <w:rFonts w:eastAsia="Times New Roman" w:cstheme="minorHAnsi"/>
                <w:i/>
                <w:sz w:val="20"/>
                <w:szCs w:val="20"/>
                <w:lang w:eastAsia="en-GB"/>
              </w:rPr>
              <w:t>9.96</w:t>
            </w:r>
          </w:p>
        </w:tc>
        <w:tc>
          <w:tcPr>
            <w:tcW w:w="1560" w:type="dxa"/>
            <w:shd w:val="clear" w:color="auto" w:fill="auto"/>
            <w:noWrap/>
            <w:vAlign w:val="bottom"/>
            <w:hideMark/>
          </w:tcPr>
          <w:p w14:paraId="7425298B" w14:textId="77777777" w:rsidR="000849F1" w:rsidRPr="007E711B" w:rsidRDefault="000849F1" w:rsidP="00FC5E5F">
            <w:pPr>
              <w:spacing w:after="0" w:line="360" w:lineRule="auto"/>
              <w:jc w:val="center"/>
              <w:rPr>
                <w:rFonts w:eastAsia="Times New Roman" w:cstheme="minorHAnsi"/>
                <w:i/>
                <w:sz w:val="20"/>
                <w:szCs w:val="20"/>
                <w:lang w:eastAsia="en-GB"/>
              </w:rPr>
            </w:pPr>
            <w:r>
              <w:rPr>
                <w:rFonts w:eastAsia="Times New Roman" w:cstheme="minorHAnsi"/>
                <w:i/>
                <w:sz w:val="20"/>
                <w:szCs w:val="20"/>
                <w:lang w:eastAsia="en-GB"/>
              </w:rPr>
              <w:t>(2.85, 17.06)</w:t>
            </w:r>
          </w:p>
        </w:tc>
      </w:tr>
      <w:tr w:rsidR="000849F1" w:rsidRPr="00954FF4" w14:paraId="761B9A94" w14:textId="77777777" w:rsidTr="00FC5E5F">
        <w:trPr>
          <w:trHeight w:val="300"/>
        </w:trPr>
        <w:tc>
          <w:tcPr>
            <w:tcW w:w="3539" w:type="dxa"/>
            <w:gridSpan w:val="2"/>
            <w:shd w:val="clear" w:color="auto" w:fill="auto"/>
            <w:noWrap/>
            <w:vAlign w:val="bottom"/>
            <w:hideMark/>
          </w:tcPr>
          <w:p w14:paraId="2F56C813" w14:textId="77777777" w:rsidR="000849F1" w:rsidRPr="007E711B" w:rsidRDefault="000849F1" w:rsidP="00FC5E5F">
            <w:pPr>
              <w:spacing w:after="0" w:line="360" w:lineRule="auto"/>
              <w:rPr>
                <w:rFonts w:eastAsia="Times New Roman" w:cstheme="minorHAnsi"/>
                <w:b/>
                <w:bCs/>
                <w:i/>
                <w:sz w:val="20"/>
                <w:szCs w:val="20"/>
                <w:lang w:eastAsia="en-GB"/>
              </w:rPr>
            </w:pPr>
            <w:r w:rsidRPr="007E711B">
              <w:rPr>
                <w:rFonts w:eastAsia="Times New Roman" w:cstheme="minorHAnsi"/>
                <w:b/>
                <w:bCs/>
                <w:i/>
                <w:sz w:val="20"/>
                <w:szCs w:val="20"/>
                <w:lang w:eastAsia="en-GB"/>
              </w:rPr>
              <w:t>Overall work Impairment</w:t>
            </w:r>
            <w:r>
              <w:rPr>
                <w:rFonts w:eastAsia="Times New Roman" w:cstheme="minorHAnsi"/>
                <w:b/>
                <w:bCs/>
                <w:i/>
                <w:sz w:val="20"/>
                <w:szCs w:val="20"/>
                <w:lang w:eastAsia="en-GB"/>
              </w:rPr>
              <w:t>*</w:t>
            </w:r>
          </w:p>
        </w:tc>
        <w:tc>
          <w:tcPr>
            <w:tcW w:w="2693" w:type="dxa"/>
            <w:shd w:val="clear" w:color="auto" w:fill="auto"/>
            <w:noWrap/>
            <w:vAlign w:val="bottom"/>
          </w:tcPr>
          <w:p w14:paraId="2F464C6E" w14:textId="77777777" w:rsidR="000849F1" w:rsidRPr="007E711B" w:rsidRDefault="000849F1" w:rsidP="00FC5E5F">
            <w:pPr>
              <w:spacing w:after="0" w:line="360" w:lineRule="auto"/>
              <w:rPr>
                <w:rFonts w:eastAsia="Times New Roman" w:cstheme="minorHAnsi"/>
                <w:i/>
                <w:sz w:val="20"/>
                <w:szCs w:val="20"/>
                <w:lang w:eastAsia="en-GB"/>
              </w:rPr>
            </w:pPr>
            <w:r w:rsidRPr="007E711B">
              <w:rPr>
                <w:rFonts w:eastAsia="Times New Roman" w:cstheme="minorHAnsi"/>
                <w:i/>
                <w:sz w:val="20"/>
                <w:szCs w:val="20"/>
                <w:lang w:eastAsia="en-GB"/>
              </w:rPr>
              <w:t>%</w:t>
            </w:r>
          </w:p>
        </w:tc>
        <w:tc>
          <w:tcPr>
            <w:tcW w:w="1134" w:type="dxa"/>
            <w:shd w:val="clear" w:color="auto" w:fill="auto"/>
            <w:noWrap/>
            <w:vAlign w:val="bottom"/>
            <w:hideMark/>
          </w:tcPr>
          <w:p w14:paraId="36EEF566" w14:textId="77777777" w:rsidR="000849F1" w:rsidRPr="007E711B" w:rsidRDefault="000849F1" w:rsidP="00FC5E5F">
            <w:pPr>
              <w:spacing w:after="0" w:line="360" w:lineRule="auto"/>
              <w:jc w:val="center"/>
              <w:rPr>
                <w:rFonts w:eastAsia="Times New Roman" w:cstheme="minorHAnsi"/>
                <w:i/>
                <w:sz w:val="20"/>
                <w:szCs w:val="20"/>
                <w:lang w:eastAsia="en-GB"/>
              </w:rPr>
            </w:pPr>
            <w:r w:rsidRPr="007E711B">
              <w:rPr>
                <w:rFonts w:eastAsia="Times New Roman" w:cstheme="minorHAnsi"/>
                <w:i/>
                <w:sz w:val="20"/>
                <w:szCs w:val="20"/>
                <w:lang w:eastAsia="en-GB"/>
              </w:rPr>
              <w:t>10.37</w:t>
            </w:r>
          </w:p>
        </w:tc>
        <w:tc>
          <w:tcPr>
            <w:tcW w:w="1560" w:type="dxa"/>
            <w:shd w:val="clear" w:color="auto" w:fill="auto"/>
            <w:noWrap/>
            <w:vAlign w:val="bottom"/>
            <w:hideMark/>
          </w:tcPr>
          <w:p w14:paraId="084910F1" w14:textId="77777777" w:rsidR="000849F1" w:rsidRPr="007E711B" w:rsidRDefault="000849F1" w:rsidP="00FC5E5F">
            <w:pPr>
              <w:spacing w:after="0" w:line="360" w:lineRule="auto"/>
              <w:jc w:val="center"/>
              <w:rPr>
                <w:rFonts w:eastAsia="Times New Roman" w:cstheme="minorHAnsi"/>
                <w:i/>
                <w:sz w:val="20"/>
                <w:szCs w:val="20"/>
                <w:lang w:eastAsia="en-GB"/>
              </w:rPr>
            </w:pPr>
            <w:r>
              <w:rPr>
                <w:rFonts w:eastAsia="Times New Roman" w:cstheme="minorHAnsi"/>
                <w:i/>
                <w:sz w:val="20"/>
                <w:szCs w:val="20"/>
                <w:lang w:eastAsia="en-GB"/>
              </w:rPr>
              <w:t>(2.63, 18.10)</w:t>
            </w:r>
          </w:p>
        </w:tc>
      </w:tr>
      <w:tr w:rsidR="000849F1" w:rsidRPr="00B112B3" w14:paraId="6698B287" w14:textId="77777777" w:rsidTr="00FC5E5F">
        <w:trPr>
          <w:trHeight w:val="300"/>
        </w:trPr>
        <w:tc>
          <w:tcPr>
            <w:tcW w:w="3539" w:type="dxa"/>
            <w:gridSpan w:val="2"/>
            <w:shd w:val="clear" w:color="auto" w:fill="auto"/>
            <w:noWrap/>
            <w:vAlign w:val="bottom"/>
            <w:hideMark/>
          </w:tcPr>
          <w:p w14:paraId="1C062657" w14:textId="77777777" w:rsidR="000849F1" w:rsidRPr="005657A2" w:rsidRDefault="000849F1" w:rsidP="00FC5E5F">
            <w:pPr>
              <w:spacing w:after="0" w:line="360" w:lineRule="auto"/>
              <w:rPr>
                <w:rFonts w:eastAsia="Times New Roman" w:cstheme="minorHAnsi"/>
                <w:b/>
                <w:bCs/>
                <w:sz w:val="20"/>
                <w:szCs w:val="20"/>
                <w:lang w:eastAsia="en-GB"/>
              </w:rPr>
            </w:pPr>
            <w:r w:rsidRPr="005657A2">
              <w:rPr>
                <w:rFonts w:eastAsia="Times New Roman" w:cstheme="minorHAnsi"/>
                <w:b/>
                <w:bCs/>
                <w:sz w:val="20"/>
                <w:szCs w:val="20"/>
                <w:lang w:eastAsia="en-GB"/>
              </w:rPr>
              <w:t>Activity Impairment</w:t>
            </w:r>
          </w:p>
        </w:tc>
        <w:tc>
          <w:tcPr>
            <w:tcW w:w="2693" w:type="dxa"/>
            <w:shd w:val="clear" w:color="auto" w:fill="auto"/>
            <w:noWrap/>
            <w:vAlign w:val="bottom"/>
          </w:tcPr>
          <w:p w14:paraId="32F993C6" w14:textId="77777777" w:rsidR="000849F1" w:rsidRPr="008530EF" w:rsidRDefault="000849F1" w:rsidP="00FC5E5F">
            <w:pPr>
              <w:spacing w:after="0" w:line="360" w:lineRule="auto"/>
              <w:rPr>
                <w:rFonts w:eastAsia="Times New Roman" w:cstheme="minorHAnsi"/>
                <w:sz w:val="20"/>
                <w:szCs w:val="20"/>
                <w:lang w:eastAsia="en-GB"/>
              </w:rPr>
            </w:pPr>
            <w:r>
              <w:rPr>
                <w:rFonts w:eastAsia="Times New Roman" w:cstheme="minorHAnsi"/>
                <w:sz w:val="20"/>
                <w:szCs w:val="20"/>
                <w:lang w:eastAsia="en-GB"/>
              </w:rPr>
              <w:t>%</w:t>
            </w:r>
          </w:p>
        </w:tc>
        <w:tc>
          <w:tcPr>
            <w:tcW w:w="1134" w:type="dxa"/>
            <w:shd w:val="clear" w:color="auto" w:fill="auto"/>
            <w:noWrap/>
            <w:vAlign w:val="bottom"/>
            <w:hideMark/>
          </w:tcPr>
          <w:p w14:paraId="2BA6E74D"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0.74</w:t>
            </w:r>
          </w:p>
        </w:tc>
        <w:tc>
          <w:tcPr>
            <w:tcW w:w="1560" w:type="dxa"/>
            <w:shd w:val="clear" w:color="auto" w:fill="auto"/>
            <w:noWrap/>
            <w:vAlign w:val="bottom"/>
            <w:hideMark/>
          </w:tcPr>
          <w:p w14:paraId="3D043CAE" w14:textId="77777777" w:rsidR="000849F1" w:rsidRPr="008530EF" w:rsidRDefault="000849F1" w:rsidP="00FC5E5F">
            <w:pPr>
              <w:spacing w:after="0" w:line="360" w:lineRule="auto"/>
              <w:jc w:val="center"/>
              <w:rPr>
                <w:rFonts w:eastAsia="Times New Roman" w:cstheme="minorHAnsi"/>
                <w:sz w:val="20"/>
                <w:szCs w:val="20"/>
                <w:lang w:eastAsia="en-GB"/>
              </w:rPr>
            </w:pPr>
            <w:r w:rsidRPr="008530EF">
              <w:rPr>
                <w:rFonts w:eastAsia="Times New Roman" w:cstheme="minorHAnsi"/>
                <w:sz w:val="20"/>
                <w:szCs w:val="20"/>
                <w:lang w:eastAsia="en-GB"/>
              </w:rPr>
              <w:t>(-4.84, 6.32)</w:t>
            </w:r>
          </w:p>
        </w:tc>
      </w:tr>
      <w:tr w:rsidR="000849F1" w:rsidRPr="00B112B3" w14:paraId="2A82BF37" w14:textId="77777777" w:rsidTr="00FC5E5F">
        <w:trPr>
          <w:trHeight w:val="315"/>
        </w:trPr>
        <w:tc>
          <w:tcPr>
            <w:tcW w:w="8926" w:type="dxa"/>
            <w:gridSpan w:val="5"/>
            <w:shd w:val="clear" w:color="auto" w:fill="auto"/>
            <w:noWrap/>
            <w:vAlign w:val="bottom"/>
            <w:hideMark/>
          </w:tcPr>
          <w:p w14:paraId="0B05E4A6" w14:textId="77777777" w:rsidR="000849F1" w:rsidRPr="00F777EA" w:rsidRDefault="000849F1" w:rsidP="00FC5E5F">
            <w:pPr>
              <w:spacing w:after="0" w:line="360" w:lineRule="auto"/>
              <w:rPr>
                <w:rFonts w:ascii="Calibri" w:hAnsi="Calibri" w:cs="Calibri"/>
                <w:sz w:val="20"/>
                <w:szCs w:val="20"/>
              </w:rPr>
            </w:pPr>
            <w:r w:rsidRPr="00F777EA">
              <w:rPr>
                <w:rFonts w:ascii="Calibri" w:hAnsi="Calibri" w:cs="Calibri"/>
                <w:sz w:val="20"/>
                <w:szCs w:val="20"/>
              </w:rPr>
              <w:t>* indicate significant difference between urban and rural dwellers (p&lt;0.05)</w:t>
            </w:r>
          </w:p>
          <w:p w14:paraId="7C217497" w14:textId="77777777" w:rsidR="000849F1" w:rsidRPr="00F777EA" w:rsidRDefault="000849F1" w:rsidP="00FC5E5F">
            <w:pPr>
              <w:spacing w:after="0" w:line="360" w:lineRule="auto"/>
              <w:rPr>
                <w:rFonts w:eastAsia="Times New Roman" w:cstheme="minorHAnsi"/>
                <w:sz w:val="20"/>
                <w:szCs w:val="20"/>
                <w:lang w:eastAsia="en-GB"/>
              </w:rPr>
            </w:pPr>
            <w:r w:rsidRPr="00F777EA">
              <w:rPr>
                <w:rFonts w:eastAsia="Times New Roman" w:cstheme="minorHAnsi"/>
                <w:sz w:val="20"/>
                <w:szCs w:val="20"/>
                <w:lang w:eastAsia="en-GB"/>
              </w:rPr>
              <w:t>OR – Odds ratio; CI – Confidence Interval; Coef. – β coefficients; ASAS – Assessment in Ankylosing Spondylitis; BASDAI – Bath Ankylosing Spondylitis Disease Activity Index; BASFI – Bath Ankylosing Spondylitis Functional Index; ASQoL – Ankylosing Spondylitis Quality of Life Index; CFS – Chalder Fatigue Scale; HADS – Hospital Anxiety and Depression Scale.</w:t>
            </w:r>
          </w:p>
        </w:tc>
      </w:tr>
    </w:tbl>
    <w:p w14:paraId="06D231EA" w14:textId="051B61BC" w:rsidR="000527CF" w:rsidRPr="000849F1" w:rsidRDefault="000527CF" w:rsidP="003A4DEE">
      <w:pPr>
        <w:spacing w:after="0" w:line="360" w:lineRule="auto"/>
        <w:jc w:val="both"/>
      </w:pPr>
    </w:p>
    <w:p w14:paraId="6ADAB3F7" w14:textId="475515DE" w:rsidR="00246822" w:rsidRDefault="00CE7FE6" w:rsidP="003A4DEE">
      <w:pPr>
        <w:spacing w:after="0" w:line="360" w:lineRule="auto"/>
        <w:jc w:val="both"/>
      </w:pPr>
      <w:r>
        <w:t>Moreover</w:t>
      </w:r>
      <w:r w:rsidR="002B79DF">
        <w:t xml:space="preserve">, there were no significant differences </w:t>
      </w:r>
      <w:r w:rsidR="00301F97">
        <w:t xml:space="preserve">in disease activity, physical function, quality of life, fatigue, sleep disturbance, anxiety, depression or activity impairment (outside work) </w:t>
      </w:r>
      <w:r>
        <w:t xml:space="preserve">at 12-months </w:t>
      </w:r>
      <w:r w:rsidR="00301F97">
        <w:t>between rural and urban</w:t>
      </w:r>
      <w:r w:rsidR="00D87076">
        <w:t xml:space="preserve"> patients</w:t>
      </w:r>
      <w:r w:rsidR="00301F97">
        <w:t xml:space="preserve">.  </w:t>
      </w:r>
      <w:r>
        <w:t>However,</w:t>
      </w:r>
      <w:r w:rsidR="00100672">
        <w:t xml:space="preserve"> a</w:t>
      </w:r>
      <w:r w:rsidR="00301F97">
        <w:t xml:space="preserve">mongst those currently in employment, living in a rural area was associated with a higher proportion of </w:t>
      </w:r>
      <w:r w:rsidR="00100672">
        <w:t xml:space="preserve">presenteeism and overall work impairment compared </w:t>
      </w:r>
      <w:r>
        <w:t>with urban dwellers</w:t>
      </w:r>
      <w:r w:rsidR="00100672">
        <w:t xml:space="preserve"> (coef. </w:t>
      </w:r>
      <w:r w:rsidR="002B6950">
        <w:t>10.0%</w:t>
      </w:r>
      <w:r w:rsidR="00100672">
        <w:t xml:space="preserve"> (2.</w:t>
      </w:r>
      <w:r w:rsidR="002B6950">
        <w:t>9%</w:t>
      </w:r>
      <w:r w:rsidR="00100672">
        <w:t>, 17.</w:t>
      </w:r>
      <w:r w:rsidR="002B6950">
        <w:t>1%</w:t>
      </w:r>
      <w:r w:rsidR="00100672">
        <w:t xml:space="preserve">) and </w:t>
      </w:r>
      <w:r w:rsidR="00D45C43">
        <w:t>10.</w:t>
      </w:r>
      <w:r w:rsidR="002B6950">
        <w:t>4%</w:t>
      </w:r>
      <w:r w:rsidR="00100672">
        <w:t xml:space="preserve"> (2.6</w:t>
      </w:r>
      <w:r w:rsidR="002B6950">
        <w:t>%</w:t>
      </w:r>
      <w:r w:rsidR="00100672">
        <w:t>, 18.1</w:t>
      </w:r>
      <w:r w:rsidR="002B6950">
        <w:t>%</w:t>
      </w:r>
      <w:r w:rsidR="00100672">
        <w:t xml:space="preserve">)).  </w:t>
      </w:r>
      <w:r w:rsidR="00DA325A">
        <w:t xml:space="preserve">However, on additional adjustment for disease activity </w:t>
      </w:r>
      <w:r w:rsidR="00DA325A">
        <w:rPr>
          <w:rFonts w:cstheme="minorHAnsi"/>
        </w:rPr>
        <w:t>(</w:t>
      </w:r>
      <w:r w:rsidR="00DA325A">
        <w:t>coef</w:t>
      </w:r>
      <w:r w:rsidR="001B06AF">
        <w:t xml:space="preserve"> </w:t>
      </w:r>
      <w:r w:rsidR="0081575B">
        <w:t>4.9%</w:t>
      </w:r>
      <w:r w:rsidR="00DA325A">
        <w:t xml:space="preserve"> (95% CI </w:t>
      </w:r>
      <w:r w:rsidR="0081575B">
        <w:t>-0.4%, 10.2%</w:t>
      </w:r>
      <w:r w:rsidR="00DA325A">
        <w:t>)</w:t>
      </w:r>
      <w:r w:rsidR="001B06AF">
        <w:t>)</w:t>
      </w:r>
      <w:r w:rsidR="00DA325A">
        <w:t>, fatigue (</w:t>
      </w:r>
      <w:r w:rsidR="0081575B">
        <w:t>5.3% (-0.1%, 10.7%</w:t>
      </w:r>
      <w:r w:rsidR="00DA325A">
        <w:t>)), job type (</w:t>
      </w:r>
      <w:r w:rsidR="0081575B">
        <w:t>4.4% (-1.0, 9.8%)</w:t>
      </w:r>
      <w:r w:rsidR="00DA325A">
        <w:t>) and physical function</w:t>
      </w:r>
      <w:r w:rsidR="0081575B">
        <w:t xml:space="preserve"> (3.9% (-1.4%, 9.1%)</w:t>
      </w:r>
      <w:r w:rsidR="00DA325A">
        <w:t xml:space="preserve">, the relationship between presenteeism and rural dwelling was </w:t>
      </w:r>
      <w:r w:rsidR="00D5758F">
        <w:t xml:space="preserve">also </w:t>
      </w:r>
      <w:r w:rsidR="00DA325A">
        <w:t>attenuated in the biologics cohort (Figure 2).</w:t>
      </w:r>
    </w:p>
    <w:p w14:paraId="4D053A1D" w14:textId="77777777" w:rsidR="00246822" w:rsidRDefault="00246822" w:rsidP="003A4DEE">
      <w:pPr>
        <w:spacing w:after="0" w:line="360" w:lineRule="auto"/>
        <w:jc w:val="both"/>
      </w:pPr>
    </w:p>
    <w:p w14:paraId="59680783" w14:textId="1A0E3E99" w:rsidR="008854E8" w:rsidRPr="00A80D95" w:rsidRDefault="00A80D95" w:rsidP="003A4DEE">
      <w:pPr>
        <w:spacing w:line="360" w:lineRule="auto"/>
        <w:rPr>
          <w:rFonts w:cstheme="minorHAnsi"/>
        </w:rPr>
      </w:pPr>
      <w:r w:rsidRPr="00A80D95">
        <w:rPr>
          <w:rFonts w:cstheme="minorHAnsi"/>
        </w:rPr>
        <w:t>Insert Figure 2</w:t>
      </w:r>
    </w:p>
    <w:p w14:paraId="2D9D328B" w14:textId="77777777" w:rsidR="008854E8" w:rsidRDefault="008854E8" w:rsidP="003A4DEE">
      <w:pPr>
        <w:spacing w:line="360" w:lineRule="auto"/>
        <w:rPr>
          <w:rFonts w:cstheme="minorHAnsi"/>
          <w:b/>
        </w:rPr>
      </w:pPr>
    </w:p>
    <w:p w14:paraId="2587CDFC" w14:textId="7A749C51" w:rsidR="000849F1" w:rsidRPr="008854E8" w:rsidRDefault="00AD36BA" w:rsidP="000849F1">
      <w:pPr>
        <w:spacing w:line="360" w:lineRule="auto"/>
        <w:rPr>
          <w:rFonts w:cstheme="minorHAnsi"/>
          <w:b/>
        </w:rPr>
      </w:pPr>
      <w:r>
        <w:rPr>
          <w:rFonts w:cstheme="minorHAnsi"/>
          <w:b/>
        </w:rPr>
        <w:lastRenderedPageBreak/>
        <w:t>Interview fi</w:t>
      </w:r>
      <w:r w:rsidR="008854E8">
        <w:rPr>
          <w:rFonts w:cstheme="minorHAnsi"/>
          <w:b/>
        </w:rPr>
        <w:t>ndings</w:t>
      </w:r>
      <w:r w:rsidR="000849F1" w:rsidRPr="00E545CB">
        <w:rPr>
          <w:b/>
        </w:rPr>
        <w:tab/>
      </w:r>
    </w:p>
    <w:p w14:paraId="39257272" w14:textId="315FC432" w:rsidR="00511BB9" w:rsidRPr="008854E8" w:rsidRDefault="00B71B4B" w:rsidP="003A4DEE">
      <w:pPr>
        <w:spacing w:line="360" w:lineRule="auto"/>
      </w:pPr>
      <w:r>
        <w:t xml:space="preserve">We </w:t>
      </w:r>
      <w:r w:rsidDel="00091F7F">
        <w:t>conducted 30 semi-structured telephone interviews with a subset of patients drawn from the BSRBR-AS registry</w:t>
      </w:r>
      <w:r>
        <w:t>; 77% were of working age across a broad spread of occupations</w:t>
      </w:r>
      <w:r w:rsidR="001A2E0B">
        <w:t xml:space="preserve">, 80% were male, </w:t>
      </w:r>
      <w:r>
        <w:t xml:space="preserve">60% had disease duration &gt; 11 years and 60% lived in a rural location (see supplementary </w:t>
      </w:r>
      <w:r w:rsidR="001A2E0B">
        <w:t>Table</w:t>
      </w:r>
      <w:r>
        <w:t xml:space="preserve"> S2).</w:t>
      </w:r>
    </w:p>
    <w:p w14:paraId="64F252DC" w14:textId="20EE7881" w:rsidR="00187CDF" w:rsidRPr="00D4693F" w:rsidRDefault="00AB4869" w:rsidP="003A4DEE">
      <w:pPr>
        <w:spacing w:line="360" w:lineRule="auto"/>
        <w:rPr>
          <w:rFonts w:cstheme="minorHAnsi"/>
        </w:rPr>
      </w:pPr>
      <w:r w:rsidRPr="00D4693F">
        <w:rPr>
          <w:rFonts w:cstheme="minorHAnsi"/>
        </w:rPr>
        <w:t>People with axSpA want to work</w:t>
      </w:r>
    </w:p>
    <w:p w14:paraId="4BBB9CBD" w14:textId="29FA288E" w:rsidR="00704E4B" w:rsidRDefault="00AB4869" w:rsidP="00704E4B">
      <w:pPr>
        <w:spacing w:line="360" w:lineRule="auto"/>
        <w:rPr>
          <w:rFonts w:cstheme="minorHAnsi"/>
        </w:rPr>
      </w:pPr>
      <w:r>
        <w:rPr>
          <w:rFonts w:cstheme="minorHAnsi"/>
        </w:rPr>
        <w:t xml:space="preserve">Many interviewees reported benefits of being in work. In particular, </w:t>
      </w:r>
      <w:r w:rsidR="00A61BE2">
        <w:rPr>
          <w:rFonts w:cstheme="minorHAnsi"/>
        </w:rPr>
        <w:t>w</w:t>
      </w:r>
      <w:r w:rsidR="00704E4B">
        <w:rPr>
          <w:rFonts w:cstheme="minorHAnsi"/>
        </w:rPr>
        <w:t>ork was important</w:t>
      </w:r>
      <w:r w:rsidR="00B462FF">
        <w:rPr>
          <w:rFonts w:cstheme="minorHAnsi"/>
        </w:rPr>
        <w:t xml:space="preserve"> in terms of self-identity, </w:t>
      </w:r>
      <w:r w:rsidR="00704E4B">
        <w:rPr>
          <w:rFonts w:cstheme="minorHAnsi"/>
        </w:rPr>
        <w:t xml:space="preserve">providing social interactions as well as financial security. </w:t>
      </w:r>
    </w:p>
    <w:p w14:paraId="07A43BE3" w14:textId="44E8FCDF" w:rsidR="00A61BE2" w:rsidRPr="00653D2A" w:rsidRDefault="00A61BE2" w:rsidP="00A61BE2">
      <w:pPr>
        <w:pStyle w:val="Normal0"/>
        <w:spacing w:line="360" w:lineRule="auto"/>
        <w:ind w:left="720"/>
        <w:rPr>
          <w:rFonts w:asciiTheme="minorHAnsi" w:hAnsiTheme="minorHAnsi" w:cstheme="minorHAnsi"/>
          <w:i/>
          <w:iCs/>
          <w:sz w:val="22"/>
          <w:szCs w:val="22"/>
        </w:rPr>
      </w:pPr>
      <w:r w:rsidRPr="00653D2A">
        <w:rPr>
          <w:rFonts w:asciiTheme="minorHAnsi" w:hAnsiTheme="minorHAnsi" w:cstheme="minorHAnsi"/>
          <w:sz w:val="22"/>
          <w:szCs w:val="22"/>
        </w:rPr>
        <w:t>“</w:t>
      </w:r>
      <w:r w:rsidRPr="00653D2A">
        <w:rPr>
          <w:rFonts w:asciiTheme="minorHAnsi" w:hAnsiTheme="minorHAnsi" w:cstheme="minorHAnsi"/>
          <w:i/>
          <w:iCs/>
          <w:sz w:val="22"/>
          <w:szCs w:val="22"/>
        </w:rPr>
        <w:t>…I enjoy the contact [with customers] and talking about the work, I do enjoy that really and how we’re going to solve a problem between us.  Yeah, so I think I would really miss that actually.</w:t>
      </w:r>
      <w:r w:rsidR="00374E34">
        <w:rPr>
          <w:rFonts w:asciiTheme="minorHAnsi" w:hAnsiTheme="minorHAnsi" w:cstheme="minorHAnsi"/>
          <w:i/>
          <w:iCs/>
          <w:sz w:val="22"/>
          <w:szCs w:val="22"/>
        </w:rPr>
        <w:t xml:space="preserve">” </w:t>
      </w:r>
      <w:r w:rsidR="00374E34">
        <w:rPr>
          <w:rFonts w:asciiTheme="minorHAnsi" w:hAnsiTheme="minorHAnsi" w:cstheme="minorHAnsi"/>
          <w:sz w:val="22"/>
          <w:szCs w:val="22"/>
        </w:rPr>
        <w:t>[</w:t>
      </w:r>
      <w:r w:rsidRPr="00653D2A">
        <w:rPr>
          <w:rFonts w:asciiTheme="minorHAnsi" w:hAnsiTheme="minorHAnsi" w:cstheme="minorHAnsi"/>
          <w:sz w:val="22"/>
          <w:szCs w:val="22"/>
        </w:rPr>
        <w:t>40-002</w:t>
      </w:r>
      <w:r w:rsidR="00374E34">
        <w:rPr>
          <w:rFonts w:asciiTheme="minorHAnsi" w:hAnsiTheme="minorHAnsi" w:cstheme="minorHAnsi"/>
          <w:sz w:val="22"/>
          <w:szCs w:val="22"/>
        </w:rPr>
        <w:t>]</w:t>
      </w:r>
    </w:p>
    <w:p w14:paraId="5387C305" w14:textId="77777777" w:rsidR="00B1006B" w:rsidRDefault="00B1006B" w:rsidP="00A61BE2">
      <w:pPr>
        <w:spacing w:line="360" w:lineRule="auto"/>
        <w:rPr>
          <w:rFonts w:cstheme="minorHAnsi"/>
          <w:i/>
        </w:rPr>
      </w:pPr>
    </w:p>
    <w:p w14:paraId="2F02BB28" w14:textId="4EA964AB" w:rsidR="00A61BE2" w:rsidRPr="00D4693F" w:rsidRDefault="00A61BE2" w:rsidP="00A61BE2">
      <w:pPr>
        <w:spacing w:line="360" w:lineRule="auto"/>
        <w:rPr>
          <w:rFonts w:cstheme="minorHAnsi"/>
        </w:rPr>
      </w:pPr>
      <w:r w:rsidRPr="00D4693F">
        <w:rPr>
          <w:rFonts w:cstheme="minorHAnsi"/>
        </w:rPr>
        <w:t>Ability to work negatively affected by axSpA</w:t>
      </w:r>
    </w:p>
    <w:p w14:paraId="16D2AB5A" w14:textId="1C9F524D" w:rsidR="00A61BE2" w:rsidRDefault="001A2E0B" w:rsidP="00A61BE2">
      <w:pPr>
        <w:spacing w:line="360" w:lineRule="auto"/>
        <w:rPr>
          <w:rFonts w:cstheme="minorHAnsi"/>
        </w:rPr>
      </w:pPr>
      <w:r>
        <w:rPr>
          <w:rFonts w:cstheme="minorHAnsi"/>
        </w:rPr>
        <w:t>N</w:t>
      </w:r>
      <w:r w:rsidR="00A61BE2">
        <w:rPr>
          <w:rFonts w:cstheme="minorHAnsi"/>
        </w:rPr>
        <w:t xml:space="preserve">early </w:t>
      </w:r>
      <w:r>
        <w:rPr>
          <w:rFonts w:cstheme="minorHAnsi"/>
        </w:rPr>
        <w:t>three-quarters</w:t>
      </w:r>
      <w:r w:rsidR="00A61BE2">
        <w:rPr>
          <w:rFonts w:cstheme="minorHAnsi"/>
        </w:rPr>
        <w:t xml:space="preserve"> of interviewees recognised that AxSpA caused them challenges at work.  In particular, reduced mobility, pain and fatigue impacted physical and mental function at work: </w:t>
      </w:r>
    </w:p>
    <w:p w14:paraId="2B04498E" w14:textId="3CB7081E" w:rsidR="00A61BE2" w:rsidRPr="00187CDF" w:rsidRDefault="00A61BE2" w:rsidP="00A61BE2">
      <w:pPr>
        <w:spacing w:line="360" w:lineRule="auto"/>
        <w:ind w:left="720"/>
        <w:rPr>
          <w:rFonts w:cstheme="minorHAnsi"/>
          <w:i/>
        </w:rPr>
      </w:pPr>
      <w:r w:rsidRPr="00187CDF">
        <w:rPr>
          <w:rFonts w:cstheme="minorHAnsi"/>
          <w:i/>
        </w:rPr>
        <w:t>“I’m a retai</w:t>
      </w:r>
      <w:r>
        <w:rPr>
          <w:rFonts w:cstheme="minorHAnsi"/>
          <w:i/>
        </w:rPr>
        <w:t>l manager…</w:t>
      </w:r>
      <w:r w:rsidRPr="00187CDF">
        <w:rPr>
          <w:rFonts w:cstheme="minorHAnsi"/>
          <w:i/>
        </w:rPr>
        <w:t xml:space="preserve">there is a lot of physical work in it as well and sort of mental work with it and before the injections I did find it sort of like hard, I was restricted with what I could carry and what I can move about and things like that.” </w:t>
      </w:r>
      <w:r w:rsidR="00374E34">
        <w:rPr>
          <w:rFonts w:cstheme="minorHAnsi"/>
          <w:i/>
        </w:rPr>
        <w:t>[</w:t>
      </w:r>
      <w:r w:rsidRPr="00187CDF">
        <w:rPr>
          <w:rFonts w:cstheme="minorHAnsi"/>
          <w:i/>
        </w:rPr>
        <w:t>30-001</w:t>
      </w:r>
      <w:r w:rsidR="00374E34">
        <w:rPr>
          <w:rFonts w:cstheme="minorHAnsi"/>
          <w:i/>
        </w:rPr>
        <w:t>]</w:t>
      </w:r>
    </w:p>
    <w:p w14:paraId="0095271F" w14:textId="25F41C1A" w:rsidR="002E0E7C" w:rsidRDefault="00A61BE2" w:rsidP="00B1006B">
      <w:pPr>
        <w:pStyle w:val="Normal0"/>
        <w:spacing w:line="360" w:lineRule="auto"/>
        <w:ind w:firstLine="720"/>
        <w:rPr>
          <w:rFonts w:asciiTheme="minorHAnsi" w:hAnsiTheme="minorHAnsi" w:cstheme="minorHAnsi"/>
          <w:i/>
          <w:color w:val="0000FF"/>
          <w:sz w:val="22"/>
          <w:szCs w:val="22"/>
          <w:u w:val="single"/>
          <w:shd w:val="clear" w:color="auto" w:fill="D3D3D3"/>
        </w:rPr>
      </w:pPr>
      <w:r w:rsidRPr="00187CDF">
        <w:rPr>
          <w:rFonts w:asciiTheme="minorHAnsi" w:hAnsiTheme="minorHAnsi" w:cstheme="minorHAnsi"/>
          <w:i/>
          <w:sz w:val="22"/>
          <w:szCs w:val="22"/>
        </w:rPr>
        <w:t>“…</w:t>
      </w:r>
      <w:r w:rsidRPr="00B462FF">
        <w:rPr>
          <w:rFonts w:asciiTheme="minorHAnsi" w:hAnsiTheme="minorHAnsi" w:cstheme="minorHAnsi"/>
          <w:i/>
          <w:sz w:val="22"/>
          <w:szCs w:val="22"/>
        </w:rPr>
        <w:t>it’s quite rough driving about in the machines so sometimes it’s really sore.”</w:t>
      </w:r>
      <w:r w:rsidRPr="00187CDF">
        <w:rPr>
          <w:rFonts w:asciiTheme="minorHAnsi" w:hAnsiTheme="minorHAnsi" w:cstheme="minorHAnsi"/>
          <w:i/>
          <w:color w:val="0000FF"/>
          <w:sz w:val="22"/>
          <w:szCs w:val="22"/>
          <w:u w:val="single"/>
          <w:shd w:val="clear" w:color="auto" w:fill="D3D3D3"/>
        </w:rPr>
        <w:t xml:space="preserve"> </w:t>
      </w:r>
    </w:p>
    <w:p w14:paraId="20E6E943" w14:textId="77777777" w:rsidR="00B1006B" w:rsidRPr="00B1006B" w:rsidRDefault="00B1006B" w:rsidP="00B1006B">
      <w:pPr>
        <w:pStyle w:val="Normal0"/>
        <w:spacing w:line="360" w:lineRule="auto"/>
        <w:ind w:firstLine="720"/>
        <w:rPr>
          <w:rFonts w:asciiTheme="minorHAnsi" w:hAnsiTheme="minorHAnsi" w:cstheme="minorHAnsi"/>
          <w:i/>
          <w:sz w:val="22"/>
          <w:szCs w:val="22"/>
          <w:shd w:val="clear" w:color="auto" w:fill="D3D3D3"/>
        </w:rPr>
      </w:pPr>
    </w:p>
    <w:p w14:paraId="206FF6C2" w14:textId="54E5FE11" w:rsidR="00A61BE2" w:rsidRDefault="001A2E0B" w:rsidP="00A61BE2">
      <w:pPr>
        <w:spacing w:line="360" w:lineRule="auto"/>
        <w:rPr>
          <w:rFonts w:cstheme="minorHAnsi"/>
        </w:rPr>
      </w:pPr>
      <w:r>
        <w:rPr>
          <w:rFonts w:cstheme="minorHAnsi"/>
        </w:rPr>
        <w:t>T</w:t>
      </w:r>
      <w:r w:rsidR="00A61BE2">
        <w:rPr>
          <w:rFonts w:cstheme="minorHAnsi"/>
        </w:rPr>
        <w:t>he impacts were sufficiently important that they influenced decisions about type of work, choice of career and working hours:</w:t>
      </w:r>
    </w:p>
    <w:p w14:paraId="025A37F6" w14:textId="3F0E2162" w:rsidR="00A61BE2" w:rsidRDefault="00A61BE2" w:rsidP="00A61BE2">
      <w:pPr>
        <w:spacing w:line="360" w:lineRule="auto"/>
        <w:ind w:left="720"/>
        <w:rPr>
          <w:rStyle w:val="ParticipantRefChar"/>
          <w:rFonts w:asciiTheme="minorHAnsi" w:hAnsiTheme="minorHAnsi" w:cstheme="minorHAnsi"/>
          <w:sz w:val="22"/>
          <w:szCs w:val="22"/>
        </w:rPr>
      </w:pPr>
      <w:r w:rsidRPr="00AA55C9">
        <w:rPr>
          <w:rStyle w:val="Quote1Char"/>
          <w:rFonts w:asciiTheme="minorHAnsi" w:hAnsiTheme="minorHAnsi" w:cstheme="minorHAnsi"/>
          <w:color w:val="auto"/>
          <w:sz w:val="22"/>
        </w:rPr>
        <w:t xml:space="preserve">“I’ve always kind of done catering jobs, so I’ve been on </w:t>
      </w:r>
      <w:r w:rsidR="00571E7E">
        <w:rPr>
          <w:rStyle w:val="Quote1Char"/>
          <w:rFonts w:asciiTheme="minorHAnsi" w:hAnsiTheme="minorHAnsi" w:cstheme="minorHAnsi"/>
          <w:color w:val="auto"/>
          <w:sz w:val="22"/>
        </w:rPr>
        <w:t>my feet…but I don’t do that any</w:t>
      </w:r>
      <w:r w:rsidRPr="00AA55C9">
        <w:rPr>
          <w:rStyle w:val="Quote1Char"/>
          <w:rFonts w:asciiTheme="minorHAnsi" w:hAnsiTheme="minorHAnsi" w:cstheme="minorHAnsi"/>
          <w:color w:val="auto"/>
          <w:sz w:val="22"/>
        </w:rPr>
        <w:t>more in terms of obviously I can’t be on my feet for that length of time, and now I work in an offic</w:t>
      </w:r>
      <w:r w:rsidR="00571E7E">
        <w:rPr>
          <w:rStyle w:val="Quote1Char"/>
          <w:rFonts w:asciiTheme="minorHAnsi" w:hAnsiTheme="minorHAnsi" w:cstheme="minorHAnsi"/>
          <w:color w:val="auto"/>
          <w:sz w:val="22"/>
        </w:rPr>
        <w:t>e.</w:t>
      </w:r>
      <w:r w:rsidRPr="00AA55C9">
        <w:rPr>
          <w:rStyle w:val="Quote1Char"/>
          <w:rFonts w:asciiTheme="minorHAnsi" w:hAnsiTheme="minorHAnsi" w:cstheme="minorHAnsi"/>
          <w:color w:val="auto"/>
          <w:sz w:val="22"/>
        </w:rPr>
        <w:t>”</w:t>
      </w:r>
      <w:r w:rsidRPr="00AA55C9">
        <w:rPr>
          <w:rFonts w:cstheme="minorHAnsi"/>
        </w:rPr>
        <w:t xml:space="preserve"> </w:t>
      </w:r>
      <w:r w:rsidR="00374E34">
        <w:rPr>
          <w:rStyle w:val="ParticipantRefChar"/>
          <w:rFonts w:asciiTheme="minorHAnsi" w:hAnsiTheme="minorHAnsi" w:cstheme="minorHAnsi"/>
          <w:sz w:val="22"/>
          <w:szCs w:val="22"/>
        </w:rPr>
        <w:t>[</w:t>
      </w:r>
      <w:r w:rsidRPr="00AA55C9">
        <w:rPr>
          <w:rStyle w:val="ParticipantRefChar"/>
          <w:rFonts w:asciiTheme="minorHAnsi" w:hAnsiTheme="minorHAnsi" w:cstheme="minorHAnsi"/>
          <w:sz w:val="22"/>
          <w:szCs w:val="22"/>
        </w:rPr>
        <w:t>60-004</w:t>
      </w:r>
      <w:r w:rsidR="00374E34">
        <w:rPr>
          <w:rStyle w:val="ParticipantRefChar"/>
          <w:rFonts w:asciiTheme="minorHAnsi" w:hAnsiTheme="minorHAnsi" w:cstheme="minorHAnsi"/>
          <w:sz w:val="22"/>
          <w:szCs w:val="22"/>
        </w:rPr>
        <w:t>]</w:t>
      </w:r>
    </w:p>
    <w:p w14:paraId="55A25C43" w14:textId="1650AEDD" w:rsidR="00A61BE2" w:rsidRPr="00D4693F" w:rsidRDefault="00A61BE2" w:rsidP="00A61BE2">
      <w:pPr>
        <w:spacing w:line="360" w:lineRule="auto"/>
        <w:rPr>
          <w:rFonts w:cstheme="minorHAnsi"/>
        </w:rPr>
      </w:pPr>
      <w:r w:rsidRPr="00B246D5">
        <w:rPr>
          <w:rFonts w:cstheme="minorHAnsi"/>
          <w:i/>
        </w:rPr>
        <w:t>“I don’t think I would cope with full-time, just because I am very sore, I do get very tired.  I think full-time is unrealistic for me at the minute, anyway.”</w:t>
      </w:r>
      <w:r w:rsidRPr="00B246D5">
        <w:rPr>
          <w:i/>
        </w:rPr>
        <w:t xml:space="preserve"> </w:t>
      </w:r>
      <w:r w:rsidR="00374E34">
        <w:rPr>
          <w:rFonts w:cstheme="minorHAnsi"/>
          <w:i/>
        </w:rPr>
        <w:t>[60-001]</w:t>
      </w:r>
      <w:r w:rsidR="00541B12">
        <w:rPr>
          <w:rFonts w:cstheme="minorHAnsi"/>
        </w:rPr>
        <w:t>Job d</w:t>
      </w:r>
      <w:r w:rsidRPr="00D4693F">
        <w:rPr>
          <w:rFonts w:cstheme="minorHAnsi"/>
        </w:rPr>
        <w:t>emand-control-support and flexibility at work</w:t>
      </w:r>
    </w:p>
    <w:p w14:paraId="14C36291" w14:textId="05B77697" w:rsidR="00A61BE2" w:rsidRDefault="001A2E0B" w:rsidP="00A61BE2">
      <w:pPr>
        <w:spacing w:line="360" w:lineRule="auto"/>
        <w:rPr>
          <w:rFonts w:cstheme="minorHAnsi"/>
        </w:rPr>
      </w:pPr>
      <w:r>
        <w:rPr>
          <w:rFonts w:cstheme="minorHAnsi"/>
        </w:rPr>
        <w:t>J</w:t>
      </w:r>
      <w:r w:rsidR="00A61BE2">
        <w:rPr>
          <w:rFonts w:cstheme="minorHAnsi"/>
        </w:rPr>
        <w:t xml:space="preserve">ob titles and simplistic classification of occupations e.g. sedentary /manual failed to fully capture the physical demands of different types of work. No matter what the physical demands however, people with axSpA who </w:t>
      </w:r>
      <w:r w:rsidR="0062575B">
        <w:rPr>
          <w:rFonts w:cstheme="minorHAnsi"/>
        </w:rPr>
        <w:t xml:space="preserve">reported </w:t>
      </w:r>
      <w:r w:rsidR="00A61BE2">
        <w:rPr>
          <w:rFonts w:cstheme="minorHAnsi"/>
        </w:rPr>
        <w:t>autonomy and control to perform their job or specific tasks how and when they wanted we</w:t>
      </w:r>
      <w:r w:rsidR="00466BA0">
        <w:rPr>
          <w:rFonts w:cstheme="minorHAnsi"/>
        </w:rPr>
        <w:t xml:space="preserve">re able to cope better at work. </w:t>
      </w:r>
      <w:r w:rsidR="0062575B">
        <w:rPr>
          <w:rFonts w:cstheme="minorHAnsi"/>
        </w:rPr>
        <w:t xml:space="preserve">Employer </w:t>
      </w:r>
      <w:r w:rsidR="00A61BE2">
        <w:rPr>
          <w:rFonts w:cstheme="minorHAnsi"/>
        </w:rPr>
        <w:t xml:space="preserve">flexibility </w:t>
      </w:r>
      <w:r w:rsidR="0062575B">
        <w:rPr>
          <w:rFonts w:cstheme="minorHAnsi"/>
        </w:rPr>
        <w:t xml:space="preserve">and adjustments to </w:t>
      </w:r>
      <w:r w:rsidR="0062575B">
        <w:rPr>
          <w:rFonts w:cstheme="minorHAnsi"/>
        </w:rPr>
        <w:lastRenderedPageBreak/>
        <w:t xml:space="preserve">working practices </w:t>
      </w:r>
      <w:r w:rsidR="00A61BE2">
        <w:rPr>
          <w:rFonts w:cstheme="minorHAnsi"/>
        </w:rPr>
        <w:t xml:space="preserve">enabled </w:t>
      </w:r>
      <w:r w:rsidR="0062575B">
        <w:rPr>
          <w:rFonts w:cstheme="minorHAnsi"/>
        </w:rPr>
        <w:t>participants</w:t>
      </w:r>
      <w:r w:rsidR="00A61BE2">
        <w:rPr>
          <w:rFonts w:cstheme="minorHAnsi"/>
        </w:rPr>
        <w:t xml:space="preserve"> to continue to work, when they would otherwise have been unable:</w:t>
      </w:r>
      <w:r w:rsidR="00A61BE2" w:rsidRPr="004E730D">
        <w:rPr>
          <w:rFonts w:cstheme="minorHAnsi"/>
        </w:rPr>
        <w:t xml:space="preserve">  </w:t>
      </w:r>
    </w:p>
    <w:p w14:paraId="47FA38B2" w14:textId="6F42C5F1" w:rsidR="00466BA0" w:rsidRPr="004E730D" w:rsidRDefault="00466BA0" w:rsidP="00466BA0">
      <w:pPr>
        <w:spacing w:line="360" w:lineRule="auto"/>
        <w:ind w:left="709"/>
        <w:rPr>
          <w:rFonts w:cstheme="minorHAnsi"/>
        </w:rPr>
      </w:pPr>
      <w:r>
        <w:rPr>
          <w:rFonts w:cstheme="minorHAnsi"/>
        </w:rPr>
        <w:tab/>
      </w:r>
      <w:r>
        <w:rPr>
          <w:rStyle w:val="Quote1Char"/>
          <w:rFonts w:asciiTheme="minorHAnsi" w:hAnsiTheme="minorHAnsi" w:cstheme="minorHAnsi"/>
          <w:color w:val="auto"/>
          <w:sz w:val="22"/>
        </w:rPr>
        <w:t>“I</w:t>
      </w:r>
      <w:r w:rsidRPr="00653D2A">
        <w:rPr>
          <w:rStyle w:val="Quote1Char"/>
          <w:rFonts w:asciiTheme="minorHAnsi" w:hAnsiTheme="minorHAnsi" w:cstheme="minorHAnsi"/>
          <w:color w:val="auto"/>
          <w:sz w:val="22"/>
        </w:rPr>
        <w:t>f I’m feeling poorly or whatever I phone my manager and we can… I’</w:t>
      </w:r>
      <w:r>
        <w:rPr>
          <w:rStyle w:val="Quote1Char"/>
          <w:rFonts w:asciiTheme="minorHAnsi" w:hAnsiTheme="minorHAnsi" w:cstheme="minorHAnsi"/>
          <w:color w:val="auto"/>
          <w:sz w:val="22"/>
        </w:rPr>
        <w:t>ll just do some work at home</w:t>
      </w:r>
      <w:r w:rsidRPr="00653D2A">
        <w:rPr>
          <w:rStyle w:val="Quote1Char"/>
          <w:rFonts w:asciiTheme="minorHAnsi" w:hAnsiTheme="minorHAnsi" w:cstheme="minorHAnsi"/>
          <w:color w:val="auto"/>
          <w:sz w:val="22"/>
        </w:rPr>
        <w:t xml:space="preserve">.” </w:t>
      </w:r>
      <w:r w:rsidR="00374E34">
        <w:rPr>
          <w:rStyle w:val="ParticipantRefChar"/>
          <w:rFonts w:asciiTheme="minorHAnsi" w:hAnsiTheme="minorHAnsi" w:cstheme="minorHAnsi"/>
          <w:sz w:val="22"/>
          <w:szCs w:val="22"/>
        </w:rPr>
        <w:t>[</w:t>
      </w:r>
      <w:r>
        <w:rPr>
          <w:rStyle w:val="ParticipantRefChar"/>
          <w:rFonts w:asciiTheme="minorHAnsi" w:hAnsiTheme="minorHAnsi" w:cstheme="minorHAnsi"/>
          <w:sz w:val="22"/>
          <w:szCs w:val="22"/>
        </w:rPr>
        <w:t>30-002</w:t>
      </w:r>
      <w:r w:rsidR="00374E34">
        <w:rPr>
          <w:rStyle w:val="ParticipantRefChar"/>
          <w:rFonts w:asciiTheme="minorHAnsi" w:hAnsiTheme="minorHAnsi" w:cstheme="minorHAnsi"/>
          <w:sz w:val="22"/>
          <w:szCs w:val="22"/>
        </w:rPr>
        <w:t>]</w:t>
      </w:r>
    </w:p>
    <w:p w14:paraId="3DF1AE0B" w14:textId="656CB39E" w:rsidR="005602E4" w:rsidRPr="002E0E7C" w:rsidRDefault="00BF71AE" w:rsidP="005602E4">
      <w:pPr>
        <w:pStyle w:val="CommentText"/>
        <w:spacing w:line="360" w:lineRule="auto"/>
        <w:ind w:left="720"/>
        <w:rPr>
          <w:rFonts w:cstheme="minorHAnsi"/>
          <w:sz w:val="22"/>
          <w:szCs w:val="22"/>
        </w:rPr>
      </w:pPr>
      <w:r w:rsidRPr="00653D2A" w:rsidDel="00BF71AE">
        <w:rPr>
          <w:rStyle w:val="Quote1Char"/>
          <w:rFonts w:asciiTheme="minorHAnsi" w:hAnsiTheme="minorHAnsi" w:cstheme="minorHAnsi"/>
          <w:color w:val="auto"/>
          <w:sz w:val="22"/>
        </w:rPr>
        <w:t xml:space="preserve"> </w:t>
      </w:r>
      <w:r w:rsidR="005602E4" w:rsidRPr="002E0E7C">
        <w:rPr>
          <w:rStyle w:val="Quote1Char"/>
          <w:rFonts w:asciiTheme="minorHAnsi" w:hAnsiTheme="minorHAnsi" w:cstheme="minorHAnsi"/>
          <w:color w:val="auto"/>
          <w:sz w:val="22"/>
          <w:szCs w:val="22"/>
        </w:rPr>
        <w:t>“they’ve been really good… they got me a more ergonomic chair and I’m allowed to get up if… when I need to, sort of every half an hour I’ll get up and have a little stretch and walk down the corridor and then come back to my desk.</w:t>
      </w:r>
      <w:r w:rsidR="002E0E7C">
        <w:rPr>
          <w:rStyle w:val="Quote1Char"/>
          <w:rFonts w:asciiTheme="minorHAnsi" w:hAnsiTheme="minorHAnsi" w:cstheme="minorHAnsi"/>
          <w:color w:val="auto"/>
          <w:sz w:val="22"/>
          <w:szCs w:val="22"/>
        </w:rPr>
        <w:t xml:space="preserve">” </w:t>
      </w:r>
      <w:r w:rsidR="00374E34">
        <w:rPr>
          <w:rStyle w:val="Quote1Char"/>
          <w:rFonts w:asciiTheme="minorHAnsi" w:hAnsiTheme="minorHAnsi" w:cstheme="minorHAnsi"/>
          <w:color w:val="auto"/>
          <w:sz w:val="22"/>
          <w:szCs w:val="22"/>
        </w:rPr>
        <w:t>[</w:t>
      </w:r>
      <w:r w:rsidR="002E0E7C">
        <w:rPr>
          <w:rStyle w:val="Quote1Char"/>
          <w:rFonts w:asciiTheme="minorHAnsi" w:hAnsiTheme="minorHAnsi" w:cstheme="minorHAnsi"/>
          <w:color w:val="auto"/>
          <w:sz w:val="22"/>
          <w:szCs w:val="22"/>
        </w:rPr>
        <w:t>60-004</w:t>
      </w:r>
      <w:r w:rsidR="00374E34">
        <w:rPr>
          <w:rStyle w:val="Quote1Char"/>
          <w:rFonts w:asciiTheme="minorHAnsi" w:hAnsiTheme="minorHAnsi" w:cstheme="minorHAnsi"/>
          <w:color w:val="auto"/>
          <w:sz w:val="22"/>
          <w:szCs w:val="22"/>
        </w:rPr>
        <w:t>]</w:t>
      </w:r>
    </w:p>
    <w:p w14:paraId="3017752C" w14:textId="4A104954" w:rsidR="00A61BE2" w:rsidRDefault="00A61BE2" w:rsidP="00A61BE2">
      <w:pPr>
        <w:spacing w:line="360" w:lineRule="auto"/>
        <w:rPr>
          <w:rFonts w:cstheme="minorHAnsi"/>
        </w:rPr>
      </w:pPr>
      <w:r>
        <w:rPr>
          <w:rFonts w:cstheme="minorHAnsi"/>
        </w:rPr>
        <w:t xml:space="preserve">Support, from managers or colleagues, was </w:t>
      </w:r>
      <w:r w:rsidR="0062575B">
        <w:rPr>
          <w:rFonts w:cstheme="minorHAnsi"/>
        </w:rPr>
        <w:t>another</w:t>
      </w:r>
      <w:r>
        <w:rPr>
          <w:rFonts w:cstheme="minorHAnsi"/>
        </w:rPr>
        <w:t xml:space="preserve"> enabling factor:</w:t>
      </w:r>
    </w:p>
    <w:p w14:paraId="0EF6D9F3" w14:textId="0F1D50CF" w:rsidR="00A61BE2" w:rsidRDefault="00A61BE2" w:rsidP="00A61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Style w:val="ParticipantRefChar"/>
          <w:rFonts w:asciiTheme="minorHAnsi" w:hAnsiTheme="minorHAnsi" w:cstheme="minorHAnsi"/>
          <w:sz w:val="22"/>
          <w:szCs w:val="22"/>
        </w:rPr>
      </w:pPr>
      <w:r w:rsidRPr="004E730D" w:rsidDel="00160747">
        <w:rPr>
          <w:rFonts w:cstheme="minorHAnsi"/>
        </w:rPr>
        <w:t xml:space="preserve"> </w:t>
      </w:r>
      <w:r w:rsidRPr="00653D2A">
        <w:rPr>
          <w:rStyle w:val="Quote1Char"/>
          <w:rFonts w:asciiTheme="minorHAnsi" w:hAnsiTheme="minorHAnsi" w:cstheme="minorHAnsi"/>
          <w:color w:val="auto"/>
          <w:sz w:val="22"/>
        </w:rPr>
        <w:t xml:space="preserve">“if there’s something that needs doing fairly immediately and time is of the essence then someone will help me, or someone else has to do it and I’ll go and do something else.” </w:t>
      </w:r>
      <w:r w:rsidR="00374E34">
        <w:rPr>
          <w:rStyle w:val="ParticipantRefChar"/>
          <w:rFonts w:asciiTheme="minorHAnsi" w:hAnsiTheme="minorHAnsi" w:cstheme="minorHAnsi"/>
          <w:sz w:val="22"/>
          <w:szCs w:val="22"/>
        </w:rPr>
        <w:t>[20-001]</w:t>
      </w:r>
    </w:p>
    <w:p w14:paraId="4FA5CE67" w14:textId="77777777" w:rsidR="00A61BE2" w:rsidRDefault="00A61BE2" w:rsidP="00A61BE2">
      <w:pPr>
        <w:spacing w:line="360" w:lineRule="auto"/>
        <w:jc w:val="both"/>
        <w:rPr>
          <w:rFonts w:cstheme="minorHAnsi"/>
        </w:rPr>
      </w:pPr>
      <w:r>
        <w:rPr>
          <w:rFonts w:cstheme="minorHAnsi"/>
        </w:rPr>
        <w:t xml:space="preserve">More challenges were experienced in workplaces where inflexibility was perceived: </w:t>
      </w:r>
    </w:p>
    <w:p w14:paraId="26EC2374" w14:textId="5BC4513A" w:rsidR="00A61BE2" w:rsidRPr="003C5954" w:rsidRDefault="00A61BE2" w:rsidP="00A61BE2">
      <w:pPr>
        <w:spacing w:line="360" w:lineRule="auto"/>
        <w:ind w:left="709"/>
        <w:rPr>
          <w:rFonts w:cstheme="minorHAnsi"/>
          <w:i/>
        </w:rPr>
      </w:pPr>
      <w:r w:rsidRPr="003C5954">
        <w:rPr>
          <w:rFonts w:cstheme="minorHAnsi"/>
          <w:i/>
        </w:rPr>
        <w:t>“The management within the company is very old-school and they’re not very flexible at all. They don’t promote working from home, they don’t like people coming in late, they don’t like people coming in early…the management have got clean bills of health, so they expect everyone else to.”</w:t>
      </w:r>
      <w:r w:rsidR="00374E34">
        <w:rPr>
          <w:rFonts w:cstheme="minorHAnsi"/>
          <w:i/>
        </w:rPr>
        <w:t xml:space="preserve"> [</w:t>
      </w:r>
      <w:r w:rsidRPr="003C5954">
        <w:rPr>
          <w:rFonts w:cstheme="minorHAnsi"/>
          <w:i/>
        </w:rPr>
        <w:t>10-001</w:t>
      </w:r>
      <w:r w:rsidR="00374E34">
        <w:rPr>
          <w:rFonts w:cstheme="minorHAnsi"/>
          <w:i/>
        </w:rPr>
        <w:t>]</w:t>
      </w:r>
      <w:r w:rsidRPr="003C5954">
        <w:rPr>
          <w:rFonts w:cstheme="minorHAnsi"/>
          <w:i/>
        </w:rPr>
        <w:t xml:space="preserve">  </w:t>
      </w:r>
    </w:p>
    <w:p w14:paraId="4C18F168" w14:textId="77777777" w:rsidR="00A61BE2" w:rsidRDefault="00A61BE2" w:rsidP="00A61BE2">
      <w:pPr>
        <w:spacing w:line="360" w:lineRule="auto"/>
        <w:rPr>
          <w:rFonts w:cstheme="minorHAnsi"/>
        </w:rPr>
      </w:pPr>
      <w:r>
        <w:rPr>
          <w:rFonts w:cstheme="minorHAnsi"/>
        </w:rPr>
        <w:t xml:space="preserve">Indeed, a number of participants reported that it was the lack of support and flexibility that had resulted in them leaving some jobs. Moreover, some types of work demands could be perceived as encouraging presenteeism even when participants were feeling unwell: </w:t>
      </w:r>
    </w:p>
    <w:p w14:paraId="73F1FB92" w14:textId="2EB200D3" w:rsidR="00A61BE2" w:rsidRDefault="00A61BE2" w:rsidP="00A61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Style w:val="ParticipantRefChar"/>
          <w:rFonts w:asciiTheme="minorHAnsi" w:hAnsiTheme="minorHAnsi" w:cstheme="minorHAnsi"/>
          <w:sz w:val="22"/>
          <w:szCs w:val="22"/>
        </w:rPr>
      </w:pPr>
      <w:r w:rsidRPr="00653D2A">
        <w:rPr>
          <w:rStyle w:val="Quote1Char"/>
          <w:rFonts w:asciiTheme="minorHAnsi" w:hAnsiTheme="minorHAnsi" w:cstheme="minorHAnsi"/>
          <w:color w:val="auto"/>
          <w:sz w:val="22"/>
        </w:rPr>
        <w:t xml:space="preserve">“part of the job was interviewing people…if you’re feeling unwell or not, you didn’t want to let people down by not turning up to interviews.  I think that’s what drove it on.” </w:t>
      </w:r>
      <w:r w:rsidRPr="00653D2A">
        <w:rPr>
          <w:rFonts w:cstheme="minorHAnsi"/>
        </w:rPr>
        <w:t xml:space="preserve"> </w:t>
      </w:r>
      <w:r w:rsidR="00374E34">
        <w:rPr>
          <w:rStyle w:val="ParticipantRefChar"/>
          <w:rFonts w:asciiTheme="minorHAnsi" w:hAnsiTheme="minorHAnsi" w:cstheme="minorHAnsi"/>
          <w:sz w:val="22"/>
          <w:szCs w:val="22"/>
        </w:rPr>
        <w:t>[</w:t>
      </w:r>
      <w:r w:rsidRPr="00653D2A">
        <w:rPr>
          <w:rStyle w:val="ParticipantRefChar"/>
          <w:rFonts w:asciiTheme="minorHAnsi" w:hAnsiTheme="minorHAnsi" w:cstheme="minorHAnsi"/>
          <w:sz w:val="22"/>
          <w:szCs w:val="22"/>
        </w:rPr>
        <w:t>30-003</w:t>
      </w:r>
      <w:r w:rsidR="00374E34">
        <w:rPr>
          <w:rStyle w:val="ParticipantRefChar"/>
          <w:rFonts w:asciiTheme="minorHAnsi" w:hAnsiTheme="minorHAnsi" w:cstheme="minorHAnsi"/>
          <w:sz w:val="22"/>
          <w:szCs w:val="22"/>
        </w:rPr>
        <w:t>]</w:t>
      </w:r>
    </w:p>
    <w:p w14:paraId="594ADF2A" w14:textId="77777777" w:rsidR="00A84BBA" w:rsidRDefault="00A84BBA" w:rsidP="00570751">
      <w:pPr>
        <w:spacing w:line="360" w:lineRule="auto"/>
        <w:rPr>
          <w:rFonts w:cstheme="minorHAnsi"/>
        </w:rPr>
      </w:pPr>
    </w:p>
    <w:p w14:paraId="141BBE58" w14:textId="5C2826EE" w:rsidR="00A61BE2" w:rsidRDefault="001A2E0B" w:rsidP="00570751">
      <w:pPr>
        <w:spacing w:line="360" w:lineRule="auto"/>
        <w:rPr>
          <w:rFonts w:cstheme="minorHAnsi"/>
        </w:rPr>
      </w:pPr>
      <w:r>
        <w:rPr>
          <w:rFonts w:cstheme="minorHAnsi"/>
        </w:rPr>
        <w:t>C</w:t>
      </w:r>
      <w:r w:rsidR="00A61BE2">
        <w:rPr>
          <w:rFonts w:cstheme="minorHAnsi"/>
        </w:rPr>
        <w:t>ontracts and entitlement to sick pay emerged as important fac</w:t>
      </w:r>
      <w:r w:rsidR="00570751">
        <w:rPr>
          <w:rFonts w:cstheme="minorHAnsi"/>
        </w:rPr>
        <w:t xml:space="preserve">tors influencing presenteeism. </w:t>
      </w:r>
      <w:r w:rsidR="00A61BE2">
        <w:rPr>
          <w:rFonts w:cstheme="minorHAnsi"/>
        </w:rPr>
        <w:t xml:space="preserve">Some participants reflected that their experiences with Human Resources seemed punitive and disciplinary, rather than supportive, </w:t>
      </w:r>
      <w:r w:rsidR="0062575B">
        <w:rPr>
          <w:rFonts w:cstheme="minorHAnsi"/>
        </w:rPr>
        <w:t>with</w:t>
      </w:r>
      <w:r w:rsidR="00A61BE2">
        <w:rPr>
          <w:rFonts w:cstheme="minorHAnsi"/>
        </w:rPr>
        <w:t xml:space="preserve"> a lack of understanding of the difference between minor illnesses and a long-term condition like axSpA: </w:t>
      </w:r>
    </w:p>
    <w:p w14:paraId="532E619C" w14:textId="0A03F721" w:rsidR="00A61BE2" w:rsidRPr="003A4DEE" w:rsidRDefault="001E471E" w:rsidP="00A61BE2">
      <w:pPr>
        <w:spacing w:line="360" w:lineRule="auto"/>
        <w:ind w:left="720"/>
        <w:rPr>
          <w:rFonts w:cstheme="minorHAnsi"/>
          <w:i/>
        </w:rPr>
      </w:pPr>
      <w:r w:rsidRPr="005000E8" w:rsidDel="001E471E">
        <w:rPr>
          <w:rFonts w:cstheme="minorHAnsi"/>
        </w:rPr>
        <w:t xml:space="preserve"> </w:t>
      </w:r>
      <w:r w:rsidR="00A61BE2">
        <w:rPr>
          <w:rFonts w:cstheme="minorHAnsi"/>
          <w:i/>
        </w:rPr>
        <w:t>“</w:t>
      </w:r>
      <w:r w:rsidR="00A61BE2" w:rsidRPr="003A4DEE">
        <w:rPr>
          <w:rFonts w:cstheme="minorHAnsi"/>
          <w:i/>
        </w:rPr>
        <w:t xml:space="preserve">There wasn’t any sort of relaxation, it was like, “Right, you’ve been off for so many days and these days, and you’re off again,” and they total the counts…It was unpleasant and to me, unnecessary… not a question of I’ve got a cold; I’ve got a major problem, you know?” </w:t>
      </w:r>
      <w:r w:rsidR="00374E34">
        <w:rPr>
          <w:rFonts w:cstheme="minorHAnsi"/>
          <w:i/>
        </w:rPr>
        <w:t>[30-003]</w:t>
      </w:r>
    </w:p>
    <w:p w14:paraId="0F70E705" w14:textId="77777777" w:rsidR="008854E8" w:rsidRDefault="008854E8" w:rsidP="00A61BE2">
      <w:pPr>
        <w:spacing w:line="360" w:lineRule="auto"/>
        <w:rPr>
          <w:rFonts w:cstheme="minorHAnsi"/>
        </w:rPr>
      </w:pPr>
    </w:p>
    <w:p w14:paraId="35638287" w14:textId="03A5EC8F" w:rsidR="00A61BE2" w:rsidRPr="00D4693F" w:rsidRDefault="00A61BE2" w:rsidP="00A61BE2">
      <w:pPr>
        <w:spacing w:line="360" w:lineRule="auto"/>
        <w:rPr>
          <w:rFonts w:cstheme="minorHAnsi"/>
        </w:rPr>
      </w:pPr>
      <w:r w:rsidRPr="00D4693F">
        <w:rPr>
          <w:rFonts w:cstheme="minorHAnsi"/>
        </w:rPr>
        <w:lastRenderedPageBreak/>
        <w:t>Disclosure to employers</w:t>
      </w:r>
    </w:p>
    <w:p w14:paraId="03DA40E5" w14:textId="0A7C5349" w:rsidR="00A61BE2" w:rsidRDefault="008E1BF1" w:rsidP="00A61BE2">
      <w:pPr>
        <w:spacing w:line="360" w:lineRule="auto"/>
        <w:rPr>
          <w:rFonts w:cstheme="minorHAnsi"/>
        </w:rPr>
      </w:pPr>
      <w:r>
        <w:rPr>
          <w:rFonts w:cstheme="minorHAnsi"/>
        </w:rPr>
        <w:t>Many</w:t>
      </w:r>
      <w:r w:rsidR="00A61BE2" w:rsidRPr="00717A5B">
        <w:rPr>
          <w:rFonts w:cstheme="minorHAnsi"/>
        </w:rPr>
        <w:t xml:space="preserve"> participants had </w:t>
      </w:r>
      <w:r w:rsidR="00A61BE2">
        <w:rPr>
          <w:rFonts w:cstheme="minorHAnsi"/>
        </w:rPr>
        <w:t>disclose</w:t>
      </w:r>
      <w:r>
        <w:rPr>
          <w:rFonts w:cstheme="minorHAnsi"/>
        </w:rPr>
        <w:t>d</w:t>
      </w:r>
      <w:r w:rsidR="00A61BE2" w:rsidRPr="00717A5B">
        <w:rPr>
          <w:rFonts w:cstheme="minorHAnsi"/>
        </w:rPr>
        <w:t xml:space="preserve"> their condition to their employer because of the medicati</w:t>
      </w:r>
      <w:r w:rsidR="00A61BE2">
        <w:rPr>
          <w:rFonts w:cstheme="minorHAnsi"/>
        </w:rPr>
        <w:t xml:space="preserve">on they were taking or because they needed </w:t>
      </w:r>
      <w:r w:rsidR="00A61BE2" w:rsidRPr="00717A5B">
        <w:rPr>
          <w:rFonts w:cstheme="minorHAnsi"/>
        </w:rPr>
        <w:t xml:space="preserve">time off </w:t>
      </w:r>
      <w:r w:rsidR="00A61BE2">
        <w:rPr>
          <w:rFonts w:cstheme="minorHAnsi"/>
        </w:rPr>
        <w:t>to attend</w:t>
      </w:r>
      <w:r w:rsidR="00A61BE2" w:rsidRPr="00717A5B">
        <w:rPr>
          <w:rFonts w:cstheme="minorHAnsi"/>
        </w:rPr>
        <w:t xml:space="preserve"> appointments</w:t>
      </w:r>
      <w:r w:rsidR="00A61BE2">
        <w:rPr>
          <w:rFonts w:cstheme="minorHAnsi"/>
        </w:rPr>
        <w:t>,</w:t>
      </w:r>
      <w:r w:rsidR="00A61BE2" w:rsidRPr="00717A5B">
        <w:rPr>
          <w:rFonts w:cstheme="minorHAnsi"/>
        </w:rPr>
        <w:t xml:space="preserve"> or </w:t>
      </w:r>
      <w:r w:rsidR="00A61BE2">
        <w:rPr>
          <w:rFonts w:cstheme="minorHAnsi"/>
        </w:rPr>
        <w:t xml:space="preserve">their condition </w:t>
      </w:r>
      <w:r w:rsidR="00A61BE2" w:rsidRPr="00717A5B">
        <w:rPr>
          <w:rFonts w:cstheme="minorHAnsi"/>
        </w:rPr>
        <w:t xml:space="preserve">was physically obvious. </w:t>
      </w:r>
      <w:r w:rsidR="00A61BE2">
        <w:rPr>
          <w:rFonts w:cstheme="minorHAnsi"/>
        </w:rPr>
        <w:t xml:space="preserve">However, employees reflected that there was reluctance on both sides to initiate discussion about the condition </w:t>
      </w:r>
      <w:r w:rsidR="00B60D3B">
        <w:rPr>
          <w:rFonts w:cstheme="minorHAnsi"/>
        </w:rPr>
        <w:t>unless there were issues around work performance</w:t>
      </w:r>
      <w:r w:rsidR="00B462FF">
        <w:rPr>
          <w:rFonts w:cstheme="minorHAnsi"/>
        </w:rPr>
        <w:t>. E</w:t>
      </w:r>
      <w:r w:rsidR="00A61BE2">
        <w:rPr>
          <w:rFonts w:cstheme="minorHAnsi"/>
        </w:rPr>
        <w:t xml:space="preserve">mployers </w:t>
      </w:r>
      <w:r w:rsidR="00B462FF">
        <w:rPr>
          <w:rFonts w:cstheme="minorHAnsi"/>
        </w:rPr>
        <w:t xml:space="preserve">reportedly </w:t>
      </w:r>
      <w:r w:rsidR="00A61BE2">
        <w:rPr>
          <w:rFonts w:cstheme="minorHAnsi"/>
        </w:rPr>
        <w:t>did not understand or care about the c</w:t>
      </w:r>
      <w:r w:rsidR="00B462FF">
        <w:rPr>
          <w:rFonts w:cstheme="minorHAnsi"/>
        </w:rPr>
        <w:t xml:space="preserve">ondition, and </w:t>
      </w:r>
      <w:r w:rsidR="00A84BBA">
        <w:rPr>
          <w:rFonts w:cstheme="minorHAnsi"/>
        </w:rPr>
        <w:t>a</w:t>
      </w:r>
      <w:r w:rsidR="00A61BE2">
        <w:rPr>
          <w:rFonts w:cstheme="minorHAnsi"/>
        </w:rPr>
        <w:t>xSpA was often misunderstood as simply ‘a bad back.’</w:t>
      </w:r>
    </w:p>
    <w:p w14:paraId="66F83887" w14:textId="42F90886" w:rsidR="00A61BE2" w:rsidRPr="009A1B58" w:rsidRDefault="00A61BE2" w:rsidP="005602E4">
      <w:pPr>
        <w:pStyle w:val="Quote1"/>
        <w:spacing w:line="360" w:lineRule="auto"/>
        <w:jc w:val="both"/>
        <w:rPr>
          <w:rFonts w:asciiTheme="minorHAnsi" w:hAnsiTheme="minorHAnsi" w:cstheme="minorHAnsi"/>
          <w:color w:val="auto"/>
          <w:sz w:val="22"/>
        </w:rPr>
      </w:pPr>
      <w:r w:rsidRPr="009A1B58">
        <w:rPr>
          <w:rFonts w:asciiTheme="minorHAnsi" w:hAnsiTheme="minorHAnsi" w:cstheme="minorHAnsi"/>
          <w:color w:val="auto"/>
          <w:sz w:val="22"/>
        </w:rPr>
        <w:t>“I don’t think they’d understand what it was anyway, it would just be words on a piece of paper…until it affected my time, my attendance, I don’t think they’d care.”</w:t>
      </w:r>
      <w:r w:rsidR="001014F1">
        <w:rPr>
          <w:rFonts w:asciiTheme="minorHAnsi" w:hAnsiTheme="minorHAnsi" w:cstheme="minorHAnsi"/>
          <w:color w:val="auto"/>
          <w:sz w:val="22"/>
        </w:rPr>
        <w:t xml:space="preserve"> [50-005]</w:t>
      </w:r>
      <w:r w:rsidRPr="001014F1">
        <w:rPr>
          <w:rFonts w:asciiTheme="minorHAnsi" w:hAnsiTheme="minorHAnsi" w:cstheme="minorHAnsi"/>
          <w:color w:val="auto"/>
          <w:sz w:val="22"/>
          <w:shd w:val="clear" w:color="auto" w:fill="D3D3D3"/>
        </w:rPr>
        <w:t xml:space="preserve"> </w:t>
      </w:r>
    </w:p>
    <w:p w14:paraId="5B9D7ABE" w14:textId="02EBEBD7" w:rsidR="00A61BE2" w:rsidRDefault="00B60D3B" w:rsidP="00A61BE2">
      <w:pPr>
        <w:spacing w:line="360" w:lineRule="auto"/>
        <w:rPr>
          <w:rFonts w:cstheme="minorHAnsi"/>
        </w:rPr>
      </w:pPr>
      <w:r>
        <w:rPr>
          <w:rFonts w:cstheme="minorHAnsi"/>
        </w:rPr>
        <w:t>Others openly disclosed their condition, keen to ‘prove’ that employees with disabilities were a valuable asset;</w:t>
      </w:r>
    </w:p>
    <w:p w14:paraId="14C3A6B5" w14:textId="214233FB" w:rsidR="00B60D3B" w:rsidRPr="00B60D3B" w:rsidRDefault="00B60D3B" w:rsidP="00B60D3B">
      <w:pPr>
        <w:pStyle w:val="Caption"/>
        <w:spacing w:line="360" w:lineRule="auto"/>
        <w:ind w:left="720"/>
        <w:rPr>
          <w:rFonts w:cstheme="minorHAnsi"/>
          <w:color w:val="auto"/>
          <w:sz w:val="22"/>
          <w:szCs w:val="22"/>
          <w:shd w:val="clear" w:color="auto" w:fill="D3D3D3"/>
        </w:rPr>
      </w:pPr>
      <w:r w:rsidRPr="00653D2A">
        <w:rPr>
          <w:color w:val="auto"/>
          <w:sz w:val="22"/>
          <w:szCs w:val="22"/>
        </w:rPr>
        <w:t>“</w:t>
      </w:r>
      <w:r w:rsidRPr="00653D2A">
        <w:rPr>
          <w:rFonts w:cstheme="minorHAnsi"/>
          <w:color w:val="auto"/>
          <w:sz w:val="22"/>
          <w:szCs w:val="22"/>
        </w:rPr>
        <w:t>That’s why I like telling people that I’ve got a condition b</w:t>
      </w:r>
      <w:r w:rsidR="00571E7E">
        <w:rPr>
          <w:rFonts w:cstheme="minorHAnsi"/>
          <w:color w:val="auto"/>
          <w:sz w:val="22"/>
          <w:szCs w:val="22"/>
        </w:rPr>
        <w:t>ecause…</w:t>
      </w:r>
      <w:r w:rsidRPr="00653D2A">
        <w:rPr>
          <w:rFonts w:cstheme="minorHAnsi"/>
          <w:color w:val="auto"/>
          <w:sz w:val="22"/>
          <w:szCs w:val="22"/>
        </w:rPr>
        <w:t>my colleagues are surprised because you don’t see any difference in my performance to anybody else’s.</w:t>
      </w:r>
      <w:r w:rsidR="001014F1">
        <w:rPr>
          <w:rStyle w:val="QuoteChar"/>
          <w:rFonts w:cstheme="minorHAnsi"/>
          <w:color w:val="auto"/>
          <w:sz w:val="22"/>
          <w:szCs w:val="22"/>
        </w:rPr>
        <w:t>” [30-002]</w:t>
      </w:r>
    </w:p>
    <w:p w14:paraId="437AB3D9" w14:textId="77777777" w:rsidR="00A61BE2" w:rsidRPr="00D4693F" w:rsidRDefault="00A61BE2" w:rsidP="00A61BE2">
      <w:pPr>
        <w:spacing w:line="360" w:lineRule="auto"/>
        <w:rPr>
          <w:rFonts w:cstheme="minorHAnsi"/>
        </w:rPr>
      </w:pPr>
      <w:r w:rsidRPr="00D4693F">
        <w:rPr>
          <w:rFonts w:cstheme="minorHAnsi"/>
        </w:rPr>
        <w:t>Commuting to and from work</w:t>
      </w:r>
    </w:p>
    <w:p w14:paraId="55526A17" w14:textId="44A5F624" w:rsidR="00A61BE2" w:rsidRPr="005A09F8" w:rsidRDefault="00A61BE2" w:rsidP="00A61BE2">
      <w:pPr>
        <w:pStyle w:val="Style1"/>
        <w:spacing w:line="360" w:lineRule="auto"/>
        <w:rPr>
          <w:rStyle w:val="ParticipantRefChar"/>
          <w:rFonts w:asciiTheme="minorHAnsi" w:hAnsiTheme="minorHAnsi" w:cstheme="minorHAnsi"/>
          <w:sz w:val="22"/>
          <w:szCs w:val="22"/>
        </w:rPr>
      </w:pPr>
      <w:r>
        <w:rPr>
          <w:rFonts w:asciiTheme="minorHAnsi" w:hAnsiTheme="minorHAnsi" w:cstheme="minorHAnsi"/>
          <w:sz w:val="22"/>
        </w:rPr>
        <w:t xml:space="preserve">Despite sampling from rural and urban postcodes, most of the interviewees who lived in rural settings worked in urban settings. </w:t>
      </w:r>
      <w:r w:rsidR="0062575B">
        <w:rPr>
          <w:rFonts w:asciiTheme="minorHAnsi" w:hAnsiTheme="minorHAnsi" w:cstheme="minorHAnsi"/>
          <w:sz w:val="22"/>
        </w:rPr>
        <w:t>A</w:t>
      </w:r>
      <w:r>
        <w:rPr>
          <w:rFonts w:asciiTheme="minorHAnsi" w:hAnsiTheme="minorHAnsi" w:cstheme="minorHAnsi"/>
          <w:sz w:val="22"/>
        </w:rPr>
        <w:t>daptations</w:t>
      </w:r>
      <w:r w:rsidRPr="005A09F8">
        <w:rPr>
          <w:rFonts w:asciiTheme="minorHAnsi" w:hAnsiTheme="minorHAnsi" w:cstheme="minorHAnsi"/>
          <w:sz w:val="22"/>
        </w:rPr>
        <w:t xml:space="preserve"> to driving and commuting to work</w:t>
      </w:r>
      <w:r w:rsidR="0062575B">
        <w:rPr>
          <w:rFonts w:asciiTheme="minorHAnsi" w:hAnsiTheme="minorHAnsi" w:cstheme="minorHAnsi"/>
          <w:sz w:val="22"/>
        </w:rPr>
        <w:t xml:space="preserve"> were commonplace;</w:t>
      </w:r>
      <w:r w:rsidRPr="005A09F8">
        <w:rPr>
          <w:rFonts w:asciiTheme="minorHAnsi" w:hAnsiTheme="minorHAnsi" w:cstheme="minorHAnsi"/>
          <w:sz w:val="22"/>
        </w:rPr>
        <w:t xml:space="preserve"> </w:t>
      </w:r>
    </w:p>
    <w:p w14:paraId="55BCE186" w14:textId="4B3804E8" w:rsidR="00A61BE2" w:rsidRPr="00C83175" w:rsidRDefault="00A61BE2" w:rsidP="00A61BE2">
      <w:pPr>
        <w:pStyle w:val="Style1"/>
        <w:spacing w:line="360" w:lineRule="auto"/>
        <w:ind w:left="720"/>
        <w:rPr>
          <w:rStyle w:val="ParticipantRefChar"/>
          <w:rFonts w:asciiTheme="minorHAnsi" w:hAnsiTheme="minorHAnsi" w:cstheme="minorHAnsi"/>
          <w:sz w:val="22"/>
          <w:szCs w:val="22"/>
        </w:rPr>
      </w:pPr>
      <w:r>
        <w:rPr>
          <w:rStyle w:val="Quote1Char"/>
          <w:rFonts w:asciiTheme="minorHAnsi" w:hAnsiTheme="minorHAnsi" w:cstheme="minorHAnsi"/>
          <w:color w:val="auto"/>
          <w:sz w:val="22"/>
        </w:rPr>
        <w:t>“</w:t>
      </w:r>
      <w:r w:rsidRPr="000211A8">
        <w:rPr>
          <w:rStyle w:val="Quote1Char"/>
          <w:rFonts w:asciiTheme="minorHAnsi" w:hAnsiTheme="minorHAnsi" w:cstheme="minorHAnsi"/>
          <w:color w:val="auto"/>
          <w:sz w:val="22"/>
        </w:rPr>
        <w:t>I drive an automatic car now…I couldn’t manage without it…actually living here without a car in this par</w:t>
      </w:r>
      <w:r>
        <w:rPr>
          <w:rStyle w:val="Quote1Char"/>
          <w:rFonts w:asciiTheme="minorHAnsi" w:hAnsiTheme="minorHAnsi" w:cstheme="minorHAnsi"/>
          <w:color w:val="auto"/>
          <w:sz w:val="22"/>
        </w:rPr>
        <w:t xml:space="preserve">ticular location that we’re in, </w:t>
      </w:r>
      <w:r w:rsidRPr="000211A8">
        <w:rPr>
          <w:rStyle w:val="Quote1Char"/>
          <w:rFonts w:asciiTheme="minorHAnsi" w:hAnsiTheme="minorHAnsi" w:cstheme="minorHAnsi"/>
          <w:color w:val="auto"/>
          <w:sz w:val="22"/>
        </w:rPr>
        <w:t xml:space="preserve">you would find it very difficult because we’re not on main bus routes…you need a car.” </w:t>
      </w:r>
      <w:r w:rsidR="001014F1">
        <w:rPr>
          <w:rStyle w:val="ParticipantRefChar"/>
          <w:rFonts w:asciiTheme="minorHAnsi" w:hAnsiTheme="minorHAnsi" w:cstheme="minorHAnsi"/>
          <w:sz w:val="22"/>
          <w:szCs w:val="22"/>
        </w:rPr>
        <w:t>[10-003]</w:t>
      </w:r>
    </w:p>
    <w:p w14:paraId="4A24C478" w14:textId="6D036DA8" w:rsidR="00A61BE2" w:rsidRPr="00C83175" w:rsidRDefault="00A61BE2" w:rsidP="00A61BE2">
      <w:pPr>
        <w:pStyle w:val="Style1"/>
        <w:spacing w:line="360" w:lineRule="auto"/>
        <w:ind w:left="720"/>
        <w:rPr>
          <w:rFonts w:asciiTheme="minorHAnsi" w:hAnsiTheme="minorHAnsi" w:cstheme="minorHAnsi"/>
          <w:sz w:val="22"/>
        </w:rPr>
      </w:pPr>
      <w:r w:rsidRPr="00C83175">
        <w:rPr>
          <w:rStyle w:val="Quote1Char"/>
          <w:rFonts w:asciiTheme="minorHAnsi" w:hAnsiTheme="minorHAnsi" w:cstheme="minorHAnsi"/>
          <w:color w:val="auto"/>
          <w:sz w:val="22"/>
        </w:rPr>
        <w:t xml:space="preserve"> “The only trouble I do have is getting out, I find the car parking spaces a little bit too small if I can’t open the door wide to get out of the car” </w:t>
      </w:r>
      <w:r w:rsidR="001014F1">
        <w:rPr>
          <w:rStyle w:val="ParticipantRefChar"/>
          <w:rFonts w:asciiTheme="minorHAnsi" w:hAnsiTheme="minorHAnsi" w:cstheme="minorHAnsi"/>
          <w:sz w:val="22"/>
          <w:szCs w:val="22"/>
        </w:rPr>
        <w:t>[</w:t>
      </w:r>
      <w:r w:rsidRPr="00C83175">
        <w:rPr>
          <w:rStyle w:val="ParticipantRefChar"/>
          <w:rFonts w:asciiTheme="minorHAnsi" w:hAnsiTheme="minorHAnsi" w:cstheme="minorHAnsi"/>
          <w:sz w:val="22"/>
          <w:szCs w:val="22"/>
        </w:rPr>
        <w:t>60-003</w:t>
      </w:r>
      <w:r w:rsidR="001014F1">
        <w:rPr>
          <w:rStyle w:val="ParticipantRefChar"/>
          <w:rFonts w:asciiTheme="minorHAnsi" w:hAnsiTheme="minorHAnsi" w:cstheme="minorHAnsi"/>
          <w:sz w:val="22"/>
          <w:szCs w:val="22"/>
        </w:rPr>
        <w:t>]</w:t>
      </w:r>
      <w:r w:rsidRPr="00C83175">
        <w:rPr>
          <w:rStyle w:val="ParticipantRefChar"/>
          <w:rFonts w:asciiTheme="minorHAnsi" w:hAnsiTheme="minorHAnsi" w:cstheme="minorHAnsi"/>
          <w:sz w:val="22"/>
          <w:szCs w:val="22"/>
        </w:rPr>
        <w:t xml:space="preserve">  </w:t>
      </w:r>
    </w:p>
    <w:p w14:paraId="7F9213EB" w14:textId="77777777" w:rsidR="00A61BE2" w:rsidRPr="00D4693F" w:rsidRDefault="00A61BE2" w:rsidP="00A61BE2">
      <w:pPr>
        <w:spacing w:line="360" w:lineRule="auto"/>
        <w:rPr>
          <w:rFonts w:cstheme="minorHAnsi"/>
        </w:rPr>
      </w:pPr>
      <w:r w:rsidRPr="00D4693F">
        <w:rPr>
          <w:rFonts w:cstheme="minorHAnsi"/>
        </w:rPr>
        <w:t>Effects of medication on work</w:t>
      </w:r>
    </w:p>
    <w:p w14:paraId="53C7D0DE" w14:textId="2DE0A7C8" w:rsidR="00A61BE2" w:rsidRDefault="004C6392" w:rsidP="00A61B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r>
        <w:rPr>
          <w:rFonts w:cstheme="minorHAnsi"/>
        </w:rPr>
        <w:t>Many</w:t>
      </w:r>
      <w:r w:rsidR="00A61BE2" w:rsidRPr="004E730D">
        <w:rPr>
          <w:rFonts w:cstheme="minorHAnsi"/>
        </w:rPr>
        <w:t xml:space="preserve"> participants </w:t>
      </w:r>
      <w:r w:rsidR="00A61BE2">
        <w:rPr>
          <w:rFonts w:cstheme="minorHAnsi"/>
        </w:rPr>
        <w:t xml:space="preserve">reported that biologic drugs </w:t>
      </w:r>
      <w:r>
        <w:rPr>
          <w:rFonts w:cstheme="minorHAnsi"/>
        </w:rPr>
        <w:t xml:space="preserve">improved </w:t>
      </w:r>
      <w:r w:rsidR="00A61BE2">
        <w:rPr>
          <w:rFonts w:cstheme="minorHAnsi"/>
        </w:rPr>
        <w:t>their workability. In contrast,</w:t>
      </w:r>
      <w:r w:rsidR="00A61BE2" w:rsidRPr="004E730D">
        <w:rPr>
          <w:rFonts w:cstheme="minorHAnsi"/>
        </w:rPr>
        <w:t xml:space="preserve"> </w:t>
      </w:r>
      <w:r w:rsidR="00A61BE2">
        <w:rPr>
          <w:rFonts w:cstheme="minorHAnsi"/>
        </w:rPr>
        <w:t xml:space="preserve">use of opiate containing analgesics </w:t>
      </w:r>
      <w:r w:rsidR="00A61BE2" w:rsidRPr="004E730D">
        <w:rPr>
          <w:rFonts w:cstheme="minorHAnsi"/>
        </w:rPr>
        <w:t xml:space="preserve"> caused problems</w:t>
      </w:r>
      <w:r w:rsidR="00A61BE2">
        <w:rPr>
          <w:rFonts w:cstheme="minorHAnsi"/>
        </w:rPr>
        <w:t>, especially for those driving or operating machinery</w:t>
      </w:r>
      <w:r w:rsidR="002A1B3C">
        <w:rPr>
          <w:rFonts w:cstheme="minorHAnsi"/>
        </w:rPr>
        <w:t xml:space="preserve">; </w:t>
      </w:r>
    </w:p>
    <w:p w14:paraId="5CE96322" w14:textId="77777777" w:rsidR="002A1B3C" w:rsidRPr="002A1B3C" w:rsidRDefault="002A1B3C" w:rsidP="00A61B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14:paraId="523C46C2" w14:textId="4A282E30" w:rsidR="00A61BE2" w:rsidRPr="00187CDF" w:rsidRDefault="00A61BE2" w:rsidP="00A61BE2">
      <w:pPr>
        <w:spacing w:line="360" w:lineRule="auto"/>
        <w:ind w:left="720"/>
        <w:rPr>
          <w:rFonts w:cstheme="minorHAnsi"/>
          <w:i/>
        </w:rPr>
      </w:pPr>
      <w:r w:rsidRPr="00187CDF">
        <w:rPr>
          <w:rFonts w:cstheme="minorHAnsi"/>
          <w:i/>
        </w:rPr>
        <w:t>“I cannot take my like heavy pain killers when I am operating my machinery</w:t>
      </w:r>
      <w:r>
        <w:rPr>
          <w:rFonts w:cstheme="minorHAnsi"/>
          <w:i/>
        </w:rPr>
        <w:t>.</w:t>
      </w:r>
      <w:r w:rsidRPr="00187CDF">
        <w:rPr>
          <w:rFonts w:cstheme="minorHAnsi"/>
          <w:i/>
        </w:rPr>
        <w:t xml:space="preserve"> If it’s really really sore I have to put up with it or can’t go to work </w:t>
      </w:r>
      <w:r w:rsidR="00CC106E">
        <w:rPr>
          <w:rFonts w:cstheme="minorHAnsi"/>
          <w:i/>
        </w:rPr>
        <w:t>i</w:t>
      </w:r>
      <w:r w:rsidRPr="00187CDF">
        <w:rPr>
          <w:rFonts w:cstheme="minorHAnsi"/>
          <w:i/>
        </w:rPr>
        <w:t xml:space="preserve">f it’s bad.”  </w:t>
      </w:r>
      <w:r w:rsidR="001014F1">
        <w:rPr>
          <w:rFonts w:cstheme="minorHAnsi"/>
          <w:i/>
        </w:rPr>
        <w:t>[</w:t>
      </w:r>
      <w:r w:rsidRPr="00187CDF">
        <w:rPr>
          <w:rFonts w:cstheme="minorHAnsi"/>
          <w:i/>
        </w:rPr>
        <w:t>10-005</w:t>
      </w:r>
      <w:r w:rsidR="001014F1">
        <w:rPr>
          <w:rFonts w:cstheme="minorHAnsi"/>
          <w:i/>
        </w:rPr>
        <w:t>]</w:t>
      </w:r>
    </w:p>
    <w:p w14:paraId="6D736C12" w14:textId="77777777" w:rsidR="00A61BE2" w:rsidRPr="00D4693F" w:rsidRDefault="00A61BE2" w:rsidP="00CF09E1">
      <w:pPr>
        <w:spacing w:line="360" w:lineRule="auto"/>
        <w:rPr>
          <w:rFonts w:cstheme="minorHAnsi"/>
        </w:rPr>
      </w:pPr>
      <w:r w:rsidRPr="00D4693F">
        <w:rPr>
          <w:rFonts w:cstheme="minorHAnsi"/>
        </w:rPr>
        <w:lastRenderedPageBreak/>
        <w:t>Role of the Rheumatology team</w:t>
      </w:r>
    </w:p>
    <w:p w14:paraId="494E4491" w14:textId="0A2A8389" w:rsidR="005B2C4E" w:rsidRPr="00CF09E1" w:rsidRDefault="001A2E0B" w:rsidP="00CF09E1">
      <w:pPr>
        <w:spacing w:line="360" w:lineRule="auto"/>
        <w:rPr>
          <w:rFonts w:cstheme="minorHAnsi"/>
        </w:rPr>
      </w:pPr>
      <w:r>
        <w:rPr>
          <w:rFonts w:cstheme="minorHAnsi"/>
        </w:rPr>
        <w:t>P</w:t>
      </w:r>
      <w:r w:rsidR="00A61BE2" w:rsidRPr="00CF09E1">
        <w:rPr>
          <w:rFonts w:cstheme="minorHAnsi"/>
        </w:rPr>
        <w:t xml:space="preserve">articipants </w:t>
      </w:r>
      <w:r>
        <w:rPr>
          <w:rFonts w:cstheme="minorHAnsi"/>
        </w:rPr>
        <w:t>rarely</w:t>
      </w:r>
      <w:r w:rsidR="00CF09E1" w:rsidRPr="00CF09E1">
        <w:rPr>
          <w:rFonts w:cstheme="minorHAnsi"/>
        </w:rPr>
        <w:t xml:space="preserve"> </w:t>
      </w:r>
      <w:r w:rsidR="00A61BE2" w:rsidRPr="00CF09E1">
        <w:rPr>
          <w:rFonts w:cstheme="minorHAnsi"/>
        </w:rPr>
        <w:t>discuss</w:t>
      </w:r>
      <w:r>
        <w:rPr>
          <w:rFonts w:cstheme="minorHAnsi"/>
        </w:rPr>
        <w:t>ed</w:t>
      </w:r>
      <w:r w:rsidR="00A61BE2" w:rsidRPr="00CF09E1">
        <w:rPr>
          <w:rFonts w:cstheme="minorHAnsi"/>
        </w:rPr>
        <w:t xml:space="preserve"> work issues with their rheumatologist</w:t>
      </w:r>
      <w:r w:rsidR="00CF09E1" w:rsidRPr="00CF09E1">
        <w:rPr>
          <w:rFonts w:cstheme="minorHAnsi"/>
        </w:rPr>
        <w:t>. C</w:t>
      </w:r>
      <w:r w:rsidR="00A61BE2" w:rsidRPr="00CF09E1">
        <w:rPr>
          <w:rFonts w:cstheme="minorHAnsi"/>
        </w:rPr>
        <w:t xml:space="preserve">onsultations </w:t>
      </w:r>
      <w:r w:rsidR="004C6392">
        <w:rPr>
          <w:rFonts w:cstheme="minorHAnsi"/>
        </w:rPr>
        <w:t>were mainly</w:t>
      </w:r>
      <w:r w:rsidR="00CF09E1" w:rsidRPr="00CF09E1">
        <w:rPr>
          <w:rFonts w:cstheme="minorHAnsi"/>
        </w:rPr>
        <w:t xml:space="preserve"> </w:t>
      </w:r>
      <w:r w:rsidR="00A61BE2" w:rsidRPr="00CF09E1">
        <w:rPr>
          <w:rFonts w:cstheme="minorHAnsi"/>
        </w:rPr>
        <w:t xml:space="preserve">focussed around </w:t>
      </w:r>
      <w:r w:rsidR="005B2C4E" w:rsidRPr="00CF09E1">
        <w:rPr>
          <w:rFonts w:cstheme="minorHAnsi"/>
        </w:rPr>
        <w:t xml:space="preserve">medical </w:t>
      </w:r>
      <w:r w:rsidR="00A61BE2" w:rsidRPr="00CF09E1">
        <w:rPr>
          <w:rFonts w:cstheme="minorHAnsi"/>
        </w:rPr>
        <w:t>aspects</w:t>
      </w:r>
      <w:r w:rsidR="00CF09E1" w:rsidRPr="00CF09E1">
        <w:rPr>
          <w:rFonts w:cstheme="minorHAnsi"/>
        </w:rPr>
        <w:t xml:space="preserve"> of the disease and medications</w:t>
      </w:r>
      <w:r>
        <w:rPr>
          <w:rFonts w:cstheme="minorHAnsi"/>
        </w:rPr>
        <w:t xml:space="preserve">. </w:t>
      </w:r>
      <w:r w:rsidR="00CF09E1" w:rsidRPr="00CF09E1">
        <w:rPr>
          <w:rFonts w:cstheme="minorHAnsi"/>
        </w:rPr>
        <w:t xml:space="preserve"> </w:t>
      </w:r>
      <w:r>
        <w:rPr>
          <w:rFonts w:cstheme="minorHAnsi"/>
        </w:rPr>
        <w:t>M</w:t>
      </w:r>
      <w:r w:rsidRPr="00CF09E1">
        <w:rPr>
          <w:rFonts w:cstheme="minorHAnsi"/>
        </w:rPr>
        <w:t xml:space="preserve">any </w:t>
      </w:r>
      <w:r>
        <w:rPr>
          <w:rFonts w:cstheme="minorHAnsi"/>
        </w:rPr>
        <w:t>felt</w:t>
      </w:r>
      <w:r w:rsidRPr="00CF09E1">
        <w:rPr>
          <w:rFonts w:cstheme="minorHAnsi"/>
        </w:rPr>
        <w:t xml:space="preserve"> </w:t>
      </w:r>
      <w:r>
        <w:rPr>
          <w:rFonts w:cstheme="minorHAnsi"/>
        </w:rPr>
        <w:t xml:space="preserve">that their </w:t>
      </w:r>
      <w:r w:rsidRPr="00CF09E1">
        <w:rPr>
          <w:rFonts w:cstheme="minorHAnsi"/>
        </w:rPr>
        <w:t>healthcare professionals could be more pr</w:t>
      </w:r>
      <w:r>
        <w:rPr>
          <w:rFonts w:cstheme="minorHAnsi"/>
        </w:rPr>
        <w:t xml:space="preserve">oactive in discussing work issues, whilst </w:t>
      </w:r>
      <w:r w:rsidR="00CF09E1" w:rsidRPr="00CF09E1">
        <w:rPr>
          <w:rFonts w:cstheme="minorHAnsi"/>
        </w:rPr>
        <w:t xml:space="preserve">a </w:t>
      </w:r>
      <w:r w:rsidR="005B2C4E" w:rsidRPr="00CF09E1">
        <w:rPr>
          <w:rFonts w:cstheme="minorHAnsi"/>
        </w:rPr>
        <w:t xml:space="preserve">few reported that their </w:t>
      </w:r>
      <w:r w:rsidR="00CF09E1" w:rsidRPr="00CF09E1">
        <w:rPr>
          <w:rFonts w:cstheme="minorHAnsi"/>
        </w:rPr>
        <w:t>care team</w:t>
      </w:r>
      <w:r w:rsidR="005B2C4E" w:rsidRPr="00CF09E1">
        <w:rPr>
          <w:rFonts w:cstheme="minorHAnsi"/>
        </w:rPr>
        <w:t xml:space="preserve"> </w:t>
      </w:r>
      <w:r w:rsidR="00CF09E1" w:rsidRPr="00CF09E1">
        <w:rPr>
          <w:rFonts w:cstheme="minorHAnsi"/>
        </w:rPr>
        <w:t>provided support and encouragement to work</w:t>
      </w:r>
      <w:r w:rsidR="005B2C4E" w:rsidRPr="00CF09E1">
        <w:rPr>
          <w:rFonts w:cstheme="minorHAnsi"/>
        </w:rPr>
        <w:t xml:space="preserve">; </w:t>
      </w:r>
    </w:p>
    <w:p w14:paraId="7DB0FAAB" w14:textId="5901C127" w:rsidR="005B2C4E" w:rsidRPr="00CF09E1" w:rsidRDefault="003C0C5B" w:rsidP="00CF09E1">
      <w:pPr>
        <w:spacing w:line="360" w:lineRule="auto"/>
        <w:ind w:left="709"/>
        <w:rPr>
          <w:rFonts w:cstheme="minorHAnsi"/>
          <w:i/>
        </w:rPr>
      </w:pPr>
      <w:r w:rsidRPr="00CF09E1">
        <w:rPr>
          <w:rFonts w:cstheme="minorHAnsi"/>
          <w:i/>
        </w:rPr>
        <w:t>‘</w:t>
      </w:r>
      <w:r w:rsidR="005B2C4E" w:rsidRPr="00CF09E1">
        <w:rPr>
          <w:rFonts w:cstheme="minorHAnsi"/>
          <w:i/>
        </w:rPr>
        <w:t>They ask me every tim</w:t>
      </w:r>
      <w:r w:rsidRPr="00CF09E1">
        <w:rPr>
          <w:rFonts w:cstheme="minorHAnsi"/>
          <w:i/>
        </w:rPr>
        <w:t>e I go.  ‘</w:t>
      </w:r>
      <w:r w:rsidR="005B2C4E" w:rsidRPr="00CF09E1">
        <w:rPr>
          <w:rFonts w:cstheme="minorHAnsi"/>
          <w:i/>
        </w:rPr>
        <w:t>Are you okay for work?</w:t>
      </w:r>
      <w:r w:rsidRPr="00CF09E1">
        <w:rPr>
          <w:rFonts w:cstheme="minorHAnsi"/>
          <w:i/>
        </w:rPr>
        <w:t>’</w:t>
      </w:r>
      <w:r w:rsidR="00A84BBA">
        <w:rPr>
          <w:rFonts w:cstheme="minorHAnsi"/>
          <w:i/>
        </w:rPr>
        <w:t>..[the Consultant]</w:t>
      </w:r>
      <w:r w:rsidR="00CF09E1" w:rsidRPr="00CF09E1">
        <w:rPr>
          <w:rFonts w:cstheme="minorHAnsi"/>
          <w:i/>
        </w:rPr>
        <w:t xml:space="preserve"> says…</w:t>
      </w:r>
      <w:r w:rsidR="0060742D">
        <w:rPr>
          <w:rFonts w:cstheme="minorHAnsi"/>
          <w:i/>
        </w:rPr>
        <w:t>”</w:t>
      </w:r>
      <w:r w:rsidR="005B2C4E" w:rsidRPr="00CF09E1">
        <w:rPr>
          <w:rFonts w:cstheme="minorHAnsi"/>
          <w:i/>
        </w:rPr>
        <w:t>it’s better for you if you can carry on because you’ve got something to look forward to and to get up and get yourself going.</w:t>
      </w:r>
      <w:r w:rsidR="0060742D">
        <w:rPr>
          <w:rFonts w:cstheme="minorHAnsi"/>
          <w:i/>
        </w:rPr>
        <w:t>”</w:t>
      </w:r>
      <w:r w:rsidR="005B2C4E" w:rsidRPr="00CF09E1">
        <w:rPr>
          <w:rFonts w:cstheme="minorHAnsi"/>
          <w:i/>
        </w:rPr>
        <w:t xml:space="preserve">  So yes, they’re very supportive.</w:t>
      </w:r>
      <w:r w:rsidRPr="00CF09E1">
        <w:rPr>
          <w:rFonts w:cstheme="minorHAnsi"/>
          <w:i/>
        </w:rPr>
        <w:t>’</w:t>
      </w:r>
      <w:r w:rsidR="001014F1">
        <w:rPr>
          <w:rFonts w:cstheme="minorHAnsi"/>
          <w:i/>
        </w:rPr>
        <w:t xml:space="preserve"> [</w:t>
      </w:r>
      <w:r w:rsidR="005B2C4E" w:rsidRPr="00CF09E1">
        <w:rPr>
          <w:rFonts w:cstheme="minorHAnsi"/>
          <w:i/>
        </w:rPr>
        <w:t>20-004</w:t>
      </w:r>
      <w:r w:rsidR="001014F1">
        <w:rPr>
          <w:rFonts w:cstheme="minorHAnsi"/>
          <w:i/>
        </w:rPr>
        <w:t>]</w:t>
      </w:r>
      <w:r w:rsidR="005B2C4E" w:rsidRPr="00CF09E1">
        <w:rPr>
          <w:rFonts w:cstheme="minorHAnsi"/>
          <w:i/>
        </w:rPr>
        <w:t xml:space="preserve">   </w:t>
      </w:r>
    </w:p>
    <w:p w14:paraId="1EA6E573" w14:textId="77777777" w:rsidR="00D4693F" w:rsidRDefault="00D4693F" w:rsidP="007A2B90">
      <w:pPr>
        <w:spacing w:line="360" w:lineRule="auto"/>
        <w:rPr>
          <w:rFonts w:cstheme="minorHAnsi"/>
          <w:b/>
        </w:rPr>
      </w:pPr>
    </w:p>
    <w:p w14:paraId="37732BA2" w14:textId="585DB99F" w:rsidR="00D4693F" w:rsidRDefault="00D4693F" w:rsidP="007A2B90">
      <w:pPr>
        <w:spacing w:line="360" w:lineRule="auto"/>
        <w:rPr>
          <w:rFonts w:cstheme="minorHAnsi"/>
          <w:b/>
        </w:rPr>
      </w:pPr>
      <w:r>
        <w:rPr>
          <w:rFonts w:cstheme="minorHAnsi"/>
          <w:b/>
        </w:rPr>
        <w:t>DISCUSSION</w:t>
      </w:r>
    </w:p>
    <w:p w14:paraId="07CC406B" w14:textId="0FDBF5E6" w:rsidR="006D236B" w:rsidRDefault="003A3B48" w:rsidP="00E535DB">
      <w:pPr>
        <w:spacing w:line="360" w:lineRule="auto"/>
        <w:rPr>
          <w:rFonts w:cstheme="minorHAnsi"/>
        </w:rPr>
      </w:pPr>
      <w:r w:rsidRPr="004801FA">
        <w:t>A</w:t>
      </w:r>
      <w:r w:rsidR="006D236B" w:rsidRPr="004801FA">
        <w:t xml:space="preserve">xSpA patients living in rural areas </w:t>
      </w:r>
      <w:r w:rsidR="009B6582" w:rsidRPr="004801FA">
        <w:t xml:space="preserve">were older, more likely to work in a physical job and </w:t>
      </w:r>
      <w:r w:rsidR="006D236B" w:rsidRPr="004801FA">
        <w:t xml:space="preserve">reported more presenteeism </w:t>
      </w:r>
      <w:r w:rsidR="007A10E9" w:rsidRPr="004801FA">
        <w:t xml:space="preserve">and overall work impairment </w:t>
      </w:r>
      <w:r w:rsidR="006D236B" w:rsidRPr="004801FA">
        <w:t>than urban dwellers</w:t>
      </w:r>
      <w:r w:rsidR="009B6582" w:rsidRPr="004801FA">
        <w:t xml:space="preserve">. </w:t>
      </w:r>
      <w:r w:rsidR="00D95872" w:rsidRPr="004801FA">
        <w:t xml:space="preserve">We found no overall differences in disease activity at baseline/follow-up, but adjustment at an individual level for </w:t>
      </w:r>
      <w:r w:rsidR="006D236B" w:rsidRPr="004801FA">
        <w:t>clinical factors (dise</w:t>
      </w:r>
      <w:r w:rsidR="0014375A" w:rsidRPr="004801FA">
        <w:t>ase activity, fatigue</w:t>
      </w:r>
      <w:r w:rsidR="000717A4" w:rsidRPr="004801FA">
        <w:t xml:space="preserve">, </w:t>
      </w:r>
      <w:r w:rsidR="006D236B" w:rsidRPr="004801FA">
        <w:t>physical function) and a crude measure of job type</w:t>
      </w:r>
      <w:r w:rsidR="00D95872" w:rsidRPr="004801FA">
        <w:t xml:space="preserve"> attenuated differences in work productivity</w:t>
      </w:r>
      <w:r w:rsidR="006D236B" w:rsidRPr="004801FA">
        <w:t xml:space="preserve">. </w:t>
      </w:r>
      <w:r w:rsidR="00F318E9" w:rsidRPr="004801FA">
        <w:rPr>
          <w:rFonts w:cstheme="minorHAnsi"/>
        </w:rPr>
        <w:t xml:space="preserve">In the subset of </w:t>
      </w:r>
      <w:r w:rsidR="00FC4A67" w:rsidRPr="004801FA">
        <w:rPr>
          <w:rFonts w:cstheme="minorHAnsi"/>
        </w:rPr>
        <w:t xml:space="preserve">axSpA patients </w:t>
      </w:r>
      <w:r w:rsidR="002A583E" w:rsidRPr="004801FA">
        <w:rPr>
          <w:rFonts w:cstheme="minorHAnsi"/>
        </w:rPr>
        <w:t xml:space="preserve">prescribed </w:t>
      </w:r>
      <w:r w:rsidR="00923394" w:rsidRPr="004801FA">
        <w:rPr>
          <w:rFonts w:cstheme="minorHAnsi"/>
        </w:rPr>
        <w:t>biologics,</w:t>
      </w:r>
      <w:r w:rsidR="002A583E" w:rsidRPr="004801FA">
        <w:rPr>
          <w:rFonts w:cstheme="minorHAnsi"/>
        </w:rPr>
        <w:t xml:space="preserve"> there were no differences in </w:t>
      </w:r>
      <w:r w:rsidR="007E1FB8" w:rsidRPr="004801FA">
        <w:rPr>
          <w:rFonts w:cstheme="minorHAnsi"/>
        </w:rPr>
        <w:t>response to biologics, but</w:t>
      </w:r>
      <w:r w:rsidR="00BD4399" w:rsidRPr="004801FA">
        <w:rPr>
          <w:rFonts w:cstheme="minorHAnsi"/>
        </w:rPr>
        <w:t xml:space="preserve">, after adjustment for age, sex and </w:t>
      </w:r>
      <w:r w:rsidR="00017744" w:rsidRPr="004801FA">
        <w:rPr>
          <w:rFonts w:cstheme="minorHAnsi"/>
        </w:rPr>
        <w:t xml:space="preserve">local-area </w:t>
      </w:r>
      <w:r w:rsidR="00BD4399" w:rsidRPr="004801FA">
        <w:rPr>
          <w:rFonts w:cstheme="minorHAnsi"/>
        </w:rPr>
        <w:t>deprivation,</w:t>
      </w:r>
      <w:r w:rsidR="007E1FB8" w:rsidRPr="004801FA">
        <w:rPr>
          <w:rFonts w:cstheme="minorHAnsi"/>
        </w:rPr>
        <w:t xml:space="preserve"> </w:t>
      </w:r>
      <w:r w:rsidR="002A583E" w:rsidRPr="004801FA">
        <w:rPr>
          <w:rFonts w:cstheme="minorHAnsi"/>
        </w:rPr>
        <w:t xml:space="preserve">rural-dwellers </w:t>
      </w:r>
      <w:r w:rsidR="00D638D9" w:rsidRPr="004801FA">
        <w:rPr>
          <w:rFonts w:cstheme="minorHAnsi"/>
        </w:rPr>
        <w:t xml:space="preserve">still </w:t>
      </w:r>
      <w:r w:rsidR="002A583E" w:rsidRPr="004801FA">
        <w:rPr>
          <w:rFonts w:cstheme="minorHAnsi"/>
        </w:rPr>
        <w:t>reported more presenteeism and overall work</w:t>
      </w:r>
      <w:r w:rsidR="007E1FB8" w:rsidRPr="004801FA">
        <w:rPr>
          <w:rFonts w:cstheme="minorHAnsi"/>
        </w:rPr>
        <w:t xml:space="preserve"> impairment</w:t>
      </w:r>
      <w:r w:rsidR="00FC4A67" w:rsidRPr="004801FA">
        <w:rPr>
          <w:rFonts w:cstheme="minorHAnsi"/>
        </w:rPr>
        <w:t xml:space="preserve"> at follow-up.</w:t>
      </w:r>
      <w:r w:rsidR="005602E4" w:rsidRPr="004801FA">
        <w:rPr>
          <w:rFonts w:cstheme="minorHAnsi"/>
        </w:rPr>
        <w:t xml:space="preserve"> </w:t>
      </w:r>
      <w:r w:rsidR="00FC4A67" w:rsidRPr="004801FA">
        <w:rPr>
          <w:rFonts w:cstheme="minorHAnsi"/>
        </w:rPr>
        <w:t>Th</w:t>
      </w:r>
      <w:r w:rsidRPr="004801FA">
        <w:rPr>
          <w:rFonts w:cstheme="minorHAnsi"/>
        </w:rPr>
        <w:t>e</w:t>
      </w:r>
      <w:r w:rsidR="007E2466" w:rsidRPr="004801FA">
        <w:rPr>
          <w:rFonts w:cstheme="minorHAnsi"/>
        </w:rPr>
        <w:t>se work effects</w:t>
      </w:r>
      <w:r w:rsidRPr="004801FA">
        <w:rPr>
          <w:rFonts w:cstheme="minorHAnsi"/>
        </w:rPr>
        <w:t xml:space="preserve"> </w:t>
      </w:r>
      <w:r w:rsidR="007E2466" w:rsidRPr="004801FA">
        <w:rPr>
          <w:rFonts w:cstheme="minorHAnsi"/>
        </w:rPr>
        <w:t xml:space="preserve">could </w:t>
      </w:r>
      <w:r w:rsidR="00966F14" w:rsidRPr="004801FA">
        <w:rPr>
          <w:rFonts w:cstheme="minorHAnsi"/>
        </w:rPr>
        <w:t xml:space="preserve">similarly </w:t>
      </w:r>
      <w:r w:rsidR="007E2466" w:rsidRPr="004801FA">
        <w:rPr>
          <w:rFonts w:cstheme="minorHAnsi"/>
        </w:rPr>
        <w:t xml:space="preserve">be </w:t>
      </w:r>
      <w:r w:rsidR="00BD4399" w:rsidRPr="004801FA">
        <w:rPr>
          <w:rFonts w:cstheme="minorHAnsi"/>
        </w:rPr>
        <w:t>explained by</w:t>
      </w:r>
      <w:r w:rsidR="007E2466" w:rsidRPr="004801FA">
        <w:rPr>
          <w:rFonts w:cstheme="minorHAnsi"/>
        </w:rPr>
        <w:t xml:space="preserve"> accounting for</w:t>
      </w:r>
      <w:r w:rsidR="00C14FD4" w:rsidRPr="004801FA">
        <w:rPr>
          <w:rFonts w:cstheme="minorHAnsi"/>
        </w:rPr>
        <w:t xml:space="preserve"> differences in</w:t>
      </w:r>
      <w:r w:rsidR="00BD4399" w:rsidRPr="004801FA">
        <w:rPr>
          <w:rFonts w:cstheme="minorHAnsi"/>
        </w:rPr>
        <w:t>: disease activity</w:t>
      </w:r>
      <w:r w:rsidR="00BC65C7" w:rsidRPr="004801FA">
        <w:rPr>
          <w:rFonts w:cstheme="minorHAnsi"/>
        </w:rPr>
        <w:t>;</w:t>
      </w:r>
      <w:r w:rsidR="006B6A8B" w:rsidRPr="004801FA">
        <w:rPr>
          <w:rFonts w:cstheme="minorHAnsi"/>
        </w:rPr>
        <w:t xml:space="preserve"> </w:t>
      </w:r>
      <w:r w:rsidR="00BD4399" w:rsidRPr="004801FA">
        <w:rPr>
          <w:rFonts w:cstheme="minorHAnsi"/>
        </w:rPr>
        <w:t>fatigue</w:t>
      </w:r>
      <w:r w:rsidR="006B6A8B" w:rsidRPr="004801FA">
        <w:rPr>
          <w:rFonts w:cstheme="minorHAnsi"/>
        </w:rPr>
        <w:t>;</w:t>
      </w:r>
      <w:r w:rsidR="00BD4399" w:rsidRPr="004801FA">
        <w:rPr>
          <w:rFonts w:cstheme="minorHAnsi"/>
        </w:rPr>
        <w:t xml:space="preserve"> physical function</w:t>
      </w:r>
      <w:r w:rsidR="00E535DB" w:rsidRPr="004801FA">
        <w:rPr>
          <w:rFonts w:cstheme="minorHAnsi"/>
        </w:rPr>
        <w:t xml:space="preserve"> and job type</w:t>
      </w:r>
      <w:r w:rsidR="00FC4A67" w:rsidRPr="004801FA">
        <w:rPr>
          <w:rFonts w:cstheme="minorHAnsi"/>
        </w:rPr>
        <w:t>.</w:t>
      </w:r>
      <w:r w:rsidR="00BD4399">
        <w:rPr>
          <w:rFonts w:cstheme="minorHAnsi"/>
        </w:rPr>
        <w:t xml:space="preserve"> </w:t>
      </w:r>
    </w:p>
    <w:p w14:paraId="1312B567" w14:textId="75411052" w:rsidR="007A2B90" w:rsidRDefault="0014375A" w:rsidP="00E535DB">
      <w:pPr>
        <w:spacing w:line="360" w:lineRule="auto"/>
        <w:rPr>
          <w:rFonts w:cstheme="minorHAnsi"/>
        </w:rPr>
      </w:pPr>
      <w:r w:rsidRPr="00206D5E">
        <w:t xml:space="preserve">Interviews with a subset of BSRBR-AS </w:t>
      </w:r>
      <w:r w:rsidRPr="00E535DB">
        <w:t xml:space="preserve">participants illustrated </w:t>
      </w:r>
      <w:r w:rsidRPr="00E535DB">
        <w:rPr>
          <w:rFonts w:cstheme="minorHAnsi"/>
        </w:rPr>
        <w:t>the complex relationship</w:t>
      </w:r>
      <w:r w:rsidRPr="00E535DB">
        <w:t xml:space="preserve"> between </w:t>
      </w:r>
      <w:r w:rsidR="00E535DB">
        <w:t xml:space="preserve">clinical factors, </w:t>
      </w:r>
      <w:r w:rsidRPr="00E535DB">
        <w:t xml:space="preserve">contextual factors (such as working conditions, </w:t>
      </w:r>
      <w:r w:rsidRPr="00E535DB">
        <w:rPr>
          <w:rFonts w:cstheme="minorHAnsi"/>
        </w:rPr>
        <w:t xml:space="preserve">job demands) and </w:t>
      </w:r>
      <w:r w:rsidRPr="00E535DB">
        <w:t xml:space="preserve">work disability. </w:t>
      </w:r>
      <w:bookmarkStart w:id="4" w:name="_Hlk20478874"/>
      <w:r w:rsidR="0060742D">
        <w:rPr>
          <w:rFonts w:cstheme="minorHAnsi"/>
        </w:rPr>
        <w:t>T</w:t>
      </w:r>
      <w:r w:rsidR="007A2B90">
        <w:rPr>
          <w:rFonts w:cstheme="minorHAnsi"/>
        </w:rPr>
        <w:t xml:space="preserve">he ability to work is of prime importance to patients </w:t>
      </w:r>
      <w:r w:rsidR="00BD4399">
        <w:rPr>
          <w:rFonts w:cstheme="minorHAnsi"/>
        </w:rPr>
        <w:t xml:space="preserve">and employment </w:t>
      </w:r>
      <w:r w:rsidR="00DD2F8A">
        <w:rPr>
          <w:rFonts w:cstheme="minorHAnsi"/>
        </w:rPr>
        <w:t xml:space="preserve">had </w:t>
      </w:r>
      <w:r w:rsidR="00BD4399">
        <w:rPr>
          <w:rFonts w:cstheme="minorHAnsi"/>
        </w:rPr>
        <w:t xml:space="preserve">health benefits. </w:t>
      </w:r>
      <w:r w:rsidR="00FC4A67">
        <w:rPr>
          <w:rFonts w:cstheme="minorHAnsi"/>
        </w:rPr>
        <w:t>F</w:t>
      </w:r>
      <w:r w:rsidR="00E56088" w:rsidRPr="002A583E">
        <w:rPr>
          <w:rFonts w:cstheme="minorHAnsi"/>
        </w:rPr>
        <w:t xml:space="preserve">lexibility in terms </w:t>
      </w:r>
      <w:r w:rsidR="00EF37E3">
        <w:rPr>
          <w:rFonts w:cstheme="minorHAnsi"/>
        </w:rPr>
        <w:t>of what, when and how tasks are done i</w:t>
      </w:r>
      <w:r w:rsidR="00E56088" w:rsidRPr="002A583E">
        <w:rPr>
          <w:rFonts w:cstheme="minorHAnsi"/>
        </w:rPr>
        <w:t>s important</w:t>
      </w:r>
      <w:r w:rsidR="00CC106E">
        <w:rPr>
          <w:rFonts w:cstheme="minorHAnsi"/>
        </w:rPr>
        <w:t>.</w:t>
      </w:r>
      <w:r w:rsidR="00923394">
        <w:rPr>
          <w:rFonts w:cstheme="minorHAnsi"/>
        </w:rPr>
        <w:t xml:space="preserve"> </w:t>
      </w:r>
      <w:r w:rsidR="00FC4A67">
        <w:rPr>
          <w:rFonts w:cstheme="minorHAnsi"/>
        </w:rPr>
        <w:t>J</w:t>
      </w:r>
      <w:bookmarkEnd w:id="4"/>
      <w:r w:rsidR="00BC65C7">
        <w:rPr>
          <w:rFonts w:cstheme="minorHAnsi"/>
        </w:rPr>
        <w:t>ob titles fail</w:t>
      </w:r>
      <w:r w:rsidR="00923394">
        <w:rPr>
          <w:rFonts w:cstheme="minorHAnsi"/>
        </w:rPr>
        <w:t>ed</w:t>
      </w:r>
      <w:r w:rsidR="00BC65C7">
        <w:rPr>
          <w:rFonts w:cstheme="minorHAnsi"/>
        </w:rPr>
        <w:t xml:space="preserve"> to reflect the heterogeneity of current working conditions</w:t>
      </w:r>
      <w:r w:rsidR="00C14FD4">
        <w:rPr>
          <w:rFonts w:cstheme="minorHAnsi"/>
        </w:rPr>
        <w:t xml:space="preserve">: </w:t>
      </w:r>
      <w:r w:rsidR="00BC65C7">
        <w:rPr>
          <w:rFonts w:cstheme="minorHAnsi"/>
        </w:rPr>
        <w:t>both physical and mental demands</w:t>
      </w:r>
      <w:r w:rsidR="006B6A8B">
        <w:rPr>
          <w:rFonts w:cstheme="minorHAnsi"/>
        </w:rPr>
        <w:t xml:space="preserve"> and the level of autonomy afforded to individuals to carry out their work as </w:t>
      </w:r>
      <w:r w:rsidR="00C14FD4">
        <w:rPr>
          <w:rFonts w:cstheme="minorHAnsi"/>
        </w:rPr>
        <w:t>t</w:t>
      </w:r>
      <w:r w:rsidR="006B6A8B">
        <w:rPr>
          <w:rFonts w:cstheme="minorHAnsi"/>
        </w:rPr>
        <w:t>heir health fluctuates</w:t>
      </w:r>
      <w:r w:rsidR="00BC65C7">
        <w:rPr>
          <w:rFonts w:cstheme="minorHAnsi"/>
        </w:rPr>
        <w:t>.</w:t>
      </w:r>
      <w:r w:rsidR="00E56088" w:rsidRPr="002A583E">
        <w:rPr>
          <w:rFonts w:cstheme="minorHAnsi"/>
        </w:rPr>
        <w:t xml:space="preserve"> </w:t>
      </w:r>
      <w:r w:rsidR="00FC4A67">
        <w:rPr>
          <w:rFonts w:cstheme="minorHAnsi"/>
        </w:rPr>
        <w:t xml:space="preserve">There was important </w:t>
      </w:r>
      <w:r w:rsidR="00EF37E3">
        <w:rPr>
          <w:rFonts w:cstheme="minorHAnsi"/>
        </w:rPr>
        <w:t xml:space="preserve">variation in support offered by employers </w:t>
      </w:r>
      <w:r w:rsidR="003C2143">
        <w:rPr>
          <w:rFonts w:cstheme="minorHAnsi"/>
        </w:rPr>
        <w:t>and</w:t>
      </w:r>
      <w:r w:rsidR="00FC4A67">
        <w:rPr>
          <w:rFonts w:cstheme="minorHAnsi"/>
        </w:rPr>
        <w:t xml:space="preserve"> </w:t>
      </w:r>
      <w:r w:rsidR="00BD4399">
        <w:rPr>
          <w:rFonts w:cstheme="minorHAnsi"/>
        </w:rPr>
        <w:t xml:space="preserve">how </w:t>
      </w:r>
      <w:r w:rsidR="007E1FB8" w:rsidRPr="002A583E">
        <w:rPr>
          <w:rFonts w:cstheme="minorHAnsi"/>
        </w:rPr>
        <w:t xml:space="preserve">little </w:t>
      </w:r>
      <w:r w:rsidR="00BD4399">
        <w:rPr>
          <w:rFonts w:cstheme="minorHAnsi"/>
        </w:rPr>
        <w:t xml:space="preserve">people with axSpA perceive they can seek </w:t>
      </w:r>
      <w:r w:rsidR="00C14FD4">
        <w:rPr>
          <w:rFonts w:cstheme="minorHAnsi"/>
        </w:rPr>
        <w:t>help with</w:t>
      </w:r>
      <w:r w:rsidR="00BD4399">
        <w:rPr>
          <w:rFonts w:cstheme="minorHAnsi"/>
        </w:rPr>
        <w:t xml:space="preserve"> work</w:t>
      </w:r>
      <w:r w:rsidR="007E1FB8" w:rsidRPr="002A583E">
        <w:rPr>
          <w:rFonts w:cstheme="minorHAnsi"/>
        </w:rPr>
        <w:t xml:space="preserve"> </w:t>
      </w:r>
      <w:r w:rsidR="007E1FB8">
        <w:rPr>
          <w:rFonts w:cstheme="minorHAnsi"/>
        </w:rPr>
        <w:t>from healthcare professionals</w:t>
      </w:r>
      <w:r w:rsidR="007E1FB8" w:rsidRPr="002A583E">
        <w:rPr>
          <w:rFonts w:cstheme="minorHAnsi"/>
        </w:rPr>
        <w:t>.</w:t>
      </w:r>
      <w:r w:rsidR="00B83EFB">
        <w:rPr>
          <w:rFonts w:cstheme="minorHAnsi"/>
        </w:rPr>
        <w:t xml:space="preserve"> </w:t>
      </w:r>
      <w:r w:rsidR="00D95872" w:rsidRPr="00D95872">
        <w:rPr>
          <w:rFonts w:cstheme="minorHAnsi"/>
        </w:rPr>
        <w:t xml:space="preserve"> </w:t>
      </w:r>
      <w:r w:rsidR="00D95872">
        <w:rPr>
          <w:rFonts w:cstheme="minorHAnsi"/>
        </w:rPr>
        <w:t xml:space="preserve">Together these findings suggest that </w:t>
      </w:r>
      <w:r w:rsidR="00D95872" w:rsidRPr="00A069A6">
        <w:rPr>
          <w:rFonts w:cstheme="minorHAnsi"/>
        </w:rPr>
        <w:t xml:space="preserve">both work </w:t>
      </w:r>
      <w:r w:rsidR="00D95872">
        <w:rPr>
          <w:rFonts w:cstheme="minorHAnsi"/>
        </w:rPr>
        <w:t>factors</w:t>
      </w:r>
      <w:r w:rsidR="00B65159">
        <w:rPr>
          <w:rFonts w:cstheme="minorHAnsi"/>
        </w:rPr>
        <w:t xml:space="preserve">, health and </w:t>
      </w:r>
      <w:r w:rsidR="00D95872" w:rsidRPr="00A069A6">
        <w:rPr>
          <w:rFonts w:cstheme="minorHAnsi"/>
        </w:rPr>
        <w:t>healthcare are ca</w:t>
      </w:r>
      <w:r w:rsidR="00D95872">
        <w:rPr>
          <w:rFonts w:cstheme="minorHAnsi"/>
        </w:rPr>
        <w:t xml:space="preserve">using differential impacts </w:t>
      </w:r>
      <w:r w:rsidR="009238E0">
        <w:rPr>
          <w:rFonts w:cstheme="minorHAnsi"/>
        </w:rPr>
        <w:t xml:space="preserve">on </w:t>
      </w:r>
      <w:r w:rsidR="00C41841">
        <w:rPr>
          <w:rFonts w:cstheme="minorHAnsi"/>
        </w:rPr>
        <w:t>rural dwellers.</w:t>
      </w:r>
      <w:r w:rsidR="005A5905">
        <w:rPr>
          <w:rFonts w:cstheme="minorHAnsi"/>
        </w:rPr>
        <w:t xml:space="preserve"> </w:t>
      </w:r>
    </w:p>
    <w:p w14:paraId="1E5F8802" w14:textId="23D4A23F" w:rsidR="00D638D9" w:rsidRPr="00D638D9" w:rsidRDefault="003C2143" w:rsidP="007A2B90">
      <w:pPr>
        <w:spacing w:line="360" w:lineRule="auto"/>
      </w:pPr>
      <w:r>
        <w:rPr>
          <w:rFonts w:cstheme="minorHAnsi"/>
        </w:rPr>
        <w:t>Our study has some limitations</w:t>
      </w:r>
      <w:r w:rsidR="00C96E28">
        <w:rPr>
          <w:rFonts w:cstheme="minorHAnsi"/>
        </w:rPr>
        <w:t xml:space="preserve">. </w:t>
      </w:r>
      <w:r w:rsidR="00294E6A">
        <w:rPr>
          <w:rFonts w:cstheme="minorHAnsi"/>
        </w:rPr>
        <w:t xml:space="preserve">We acknowledge that there are differences </w:t>
      </w:r>
      <w:r w:rsidR="00DD1E46">
        <w:rPr>
          <w:rFonts w:cstheme="minorHAnsi"/>
        </w:rPr>
        <w:t xml:space="preserve">between rural and urban populations and </w:t>
      </w:r>
      <w:r w:rsidR="002432CB">
        <w:rPr>
          <w:rFonts w:cstheme="minorHAnsi"/>
        </w:rPr>
        <w:t xml:space="preserve">have previously shown </w:t>
      </w:r>
      <w:r w:rsidR="00A80FF1">
        <w:rPr>
          <w:rFonts w:cstheme="minorHAnsi"/>
        </w:rPr>
        <w:t xml:space="preserve">differences between </w:t>
      </w:r>
      <w:r w:rsidR="00DD1E46">
        <w:rPr>
          <w:rFonts w:cstheme="minorHAnsi"/>
        </w:rPr>
        <w:t>working and non-working person</w:t>
      </w:r>
      <w:r w:rsidR="000D084B">
        <w:rPr>
          <w:rFonts w:cstheme="minorHAnsi"/>
        </w:rPr>
        <w:t>s</w:t>
      </w:r>
      <w:r w:rsidR="00AE6017">
        <w:rPr>
          <w:rFonts w:cstheme="minorHAnsi"/>
        </w:rPr>
        <w:t xml:space="preserve"> [</w:t>
      </w:r>
      <w:r w:rsidR="00D5758F">
        <w:rPr>
          <w:rFonts w:cstheme="minorHAnsi"/>
        </w:rPr>
        <w:t>8].</w:t>
      </w:r>
      <w:r w:rsidR="00AE6017">
        <w:rPr>
          <w:rFonts w:cstheme="minorHAnsi"/>
        </w:rPr>
        <w:t xml:space="preserve"> However</w:t>
      </w:r>
      <w:r w:rsidR="001C4C3D">
        <w:rPr>
          <w:rFonts w:cstheme="minorHAnsi"/>
        </w:rPr>
        <w:t>, in this study we have specifically focused on differences in working and non-working people in rural and urban areas</w:t>
      </w:r>
      <w:r w:rsidR="000D084B">
        <w:rPr>
          <w:rFonts w:cstheme="minorHAnsi"/>
        </w:rPr>
        <w:t xml:space="preserve">. </w:t>
      </w:r>
      <w:r w:rsidR="008357B5">
        <w:rPr>
          <w:rFonts w:cstheme="minorHAnsi"/>
        </w:rPr>
        <w:t>Th</w:t>
      </w:r>
      <w:r w:rsidR="003A3B48">
        <w:rPr>
          <w:rFonts w:cstheme="minorHAnsi"/>
        </w:rPr>
        <w:t>ese were</w:t>
      </w:r>
      <w:r w:rsidR="002B509E">
        <w:rPr>
          <w:rFonts w:cstheme="minorHAnsi"/>
        </w:rPr>
        <w:t xml:space="preserve"> exploratory analys</w:t>
      </w:r>
      <w:r w:rsidR="003A3B48">
        <w:rPr>
          <w:rFonts w:cstheme="minorHAnsi"/>
        </w:rPr>
        <w:t>e</w:t>
      </w:r>
      <w:r w:rsidR="002B509E">
        <w:rPr>
          <w:rFonts w:cstheme="minorHAnsi"/>
        </w:rPr>
        <w:t>s</w:t>
      </w:r>
      <w:r w:rsidR="006F286B">
        <w:rPr>
          <w:rFonts w:cstheme="minorHAnsi"/>
        </w:rPr>
        <w:t xml:space="preserve">, </w:t>
      </w:r>
      <w:r w:rsidR="00DE444B">
        <w:rPr>
          <w:rFonts w:cstheme="minorHAnsi"/>
        </w:rPr>
        <w:t>prioritised</w:t>
      </w:r>
      <w:r w:rsidR="006F286B">
        <w:rPr>
          <w:rFonts w:cstheme="minorHAnsi"/>
        </w:rPr>
        <w:t xml:space="preserve"> by</w:t>
      </w:r>
      <w:r w:rsidR="002B509E">
        <w:rPr>
          <w:rFonts w:cstheme="minorHAnsi"/>
        </w:rPr>
        <w:t xml:space="preserve"> </w:t>
      </w:r>
      <w:r w:rsidR="00DE444B">
        <w:rPr>
          <w:rFonts w:cstheme="minorHAnsi"/>
        </w:rPr>
        <w:t xml:space="preserve">patient </w:t>
      </w:r>
      <w:r w:rsidR="00DE444B">
        <w:rPr>
          <w:rFonts w:cstheme="minorHAnsi"/>
        </w:rPr>
        <w:lastRenderedPageBreak/>
        <w:t xml:space="preserve">representatives, </w:t>
      </w:r>
      <w:r w:rsidR="002B509E">
        <w:rPr>
          <w:rFonts w:cstheme="minorHAnsi"/>
        </w:rPr>
        <w:t xml:space="preserve">which </w:t>
      </w:r>
      <w:r w:rsidR="00DE444B">
        <w:rPr>
          <w:rFonts w:cstheme="minorHAnsi"/>
        </w:rPr>
        <w:t>sought to investigate the full range</w:t>
      </w:r>
      <w:r w:rsidR="0077440A">
        <w:rPr>
          <w:rFonts w:cstheme="minorHAnsi"/>
        </w:rPr>
        <w:t xml:space="preserve"> </w:t>
      </w:r>
      <w:r w:rsidR="00787651">
        <w:rPr>
          <w:rFonts w:cstheme="minorHAnsi"/>
        </w:rPr>
        <w:t xml:space="preserve">of </w:t>
      </w:r>
      <w:r w:rsidR="00DE444B">
        <w:rPr>
          <w:rFonts w:cstheme="minorHAnsi"/>
        </w:rPr>
        <w:t xml:space="preserve">work </w:t>
      </w:r>
      <w:r w:rsidR="00787651">
        <w:rPr>
          <w:rFonts w:cstheme="minorHAnsi"/>
        </w:rPr>
        <w:t>outcomes</w:t>
      </w:r>
      <w:r w:rsidR="00DE444B">
        <w:rPr>
          <w:rFonts w:cstheme="minorHAnsi"/>
        </w:rPr>
        <w:t>, making no a priori assumptions.</w:t>
      </w:r>
      <w:r w:rsidR="00A00788">
        <w:rPr>
          <w:rFonts w:cstheme="minorHAnsi"/>
        </w:rPr>
        <w:t xml:space="preserve"> Fu</w:t>
      </w:r>
      <w:r w:rsidR="00DE444B">
        <w:rPr>
          <w:rFonts w:cstheme="minorHAnsi"/>
        </w:rPr>
        <w:t>ture</w:t>
      </w:r>
      <w:r w:rsidR="00A00788">
        <w:rPr>
          <w:rFonts w:cstheme="minorHAnsi"/>
        </w:rPr>
        <w:t xml:space="preserve"> studies should focus on the effects of</w:t>
      </w:r>
      <w:r w:rsidR="00AC4A22">
        <w:rPr>
          <w:rFonts w:cstheme="minorHAnsi"/>
        </w:rPr>
        <w:t xml:space="preserve"> </w:t>
      </w:r>
      <w:r w:rsidR="00A00788">
        <w:rPr>
          <w:rFonts w:cstheme="minorHAnsi"/>
        </w:rPr>
        <w:t>mediat</w:t>
      </w:r>
      <w:r w:rsidR="00DE444B">
        <w:rPr>
          <w:rFonts w:cstheme="minorHAnsi"/>
        </w:rPr>
        <w:t>ing factors</w:t>
      </w:r>
      <w:r w:rsidR="00A00788">
        <w:rPr>
          <w:rFonts w:cstheme="minorHAnsi"/>
        </w:rPr>
        <w:t xml:space="preserve"> </w:t>
      </w:r>
      <w:r w:rsidR="00DE444B">
        <w:rPr>
          <w:rFonts w:cstheme="minorHAnsi"/>
        </w:rPr>
        <w:t xml:space="preserve">and their role </w:t>
      </w:r>
      <w:r w:rsidR="00A00788">
        <w:rPr>
          <w:rFonts w:cstheme="minorHAnsi"/>
        </w:rPr>
        <w:t xml:space="preserve">on the relationship between rurality and work outcomes, </w:t>
      </w:r>
      <w:r w:rsidR="006B4702">
        <w:rPr>
          <w:rFonts w:cstheme="minorHAnsi"/>
        </w:rPr>
        <w:t xml:space="preserve">and </w:t>
      </w:r>
      <w:r w:rsidR="00DE444B">
        <w:rPr>
          <w:rFonts w:cstheme="minorHAnsi"/>
        </w:rPr>
        <w:t xml:space="preserve">will </w:t>
      </w:r>
      <w:r w:rsidR="007E2466">
        <w:rPr>
          <w:rFonts w:cstheme="minorHAnsi"/>
        </w:rPr>
        <w:t>need to take account of</w:t>
      </w:r>
      <w:r w:rsidR="006B4702">
        <w:rPr>
          <w:rFonts w:cstheme="minorHAnsi"/>
        </w:rPr>
        <w:t xml:space="preserve"> the effect of multiple testing</w:t>
      </w:r>
      <w:r w:rsidR="00787651">
        <w:rPr>
          <w:rFonts w:cstheme="minorHAnsi"/>
        </w:rPr>
        <w:t>.</w:t>
      </w:r>
      <w:r w:rsidR="0077440A">
        <w:rPr>
          <w:rFonts w:cstheme="minorHAnsi"/>
        </w:rPr>
        <w:t xml:space="preserve"> </w:t>
      </w:r>
      <w:r w:rsidR="00376F9B">
        <w:rPr>
          <w:rFonts w:cstheme="minorHAnsi"/>
        </w:rPr>
        <w:t>However, i</w:t>
      </w:r>
      <w:r w:rsidR="00C41841">
        <w:rPr>
          <w:rFonts w:cstheme="minorHAnsi"/>
        </w:rPr>
        <w:t>rrespective of potential interactions</w:t>
      </w:r>
      <w:r w:rsidR="00B65159">
        <w:rPr>
          <w:rFonts w:cstheme="minorHAnsi"/>
        </w:rPr>
        <w:t xml:space="preserve"> between factors</w:t>
      </w:r>
      <w:r w:rsidR="00C41841">
        <w:rPr>
          <w:rFonts w:cstheme="minorHAnsi"/>
        </w:rPr>
        <w:t xml:space="preserve">, </w:t>
      </w:r>
      <w:r w:rsidR="00C824D5">
        <w:rPr>
          <w:rFonts w:cstheme="minorHAnsi"/>
        </w:rPr>
        <w:t xml:space="preserve">poorer work outcomes </w:t>
      </w:r>
      <w:r w:rsidR="003C6498">
        <w:rPr>
          <w:rFonts w:cstheme="minorHAnsi"/>
        </w:rPr>
        <w:t>for rural dwellers have</w:t>
      </w:r>
      <w:r w:rsidR="004801FA">
        <w:rPr>
          <w:rFonts w:cstheme="minorHAnsi"/>
        </w:rPr>
        <w:t xml:space="preserve"> important implications for patient care</w:t>
      </w:r>
      <w:r w:rsidR="00376F9B">
        <w:rPr>
          <w:rFonts w:cstheme="minorHAnsi"/>
        </w:rPr>
        <w:t xml:space="preserve">. </w:t>
      </w:r>
      <w:r w:rsidR="0077440A" w:rsidRPr="0077440A">
        <w:t xml:space="preserve">We recognise that presenteeism and work impairment data are skewed. Importantly, we have only used these data to assess descriptive differences between urban/rural patients and used linear regression to look at outcomes, and therefore this will </w:t>
      </w:r>
      <w:r w:rsidR="0062575B">
        <w:t xml:space="preserve">not </w:t>
      </w:r>
      <w:r w:rsidR="0077440A" w:rsidRPr="0077440A">
        <w:t>affect interpretation of our results.</w:t>
      </w:r>
    </w:p>
    <w:p w14:paraId="163420A0" w14:textId="31E1F133" w:rsidR="002E2035" w:rsidRPr="007A2B90" w:rsidRDefault="00072AD4" w:rsidP="007A2B90">
      <w:pPr>
        <w:spacing w:line="360" w:lineRule="auto"/>
        <w:rPr>
          <w:rFonts w:cstheme="minorHAnsi"/>
        </w:rPr>
      </w:pPr>
      <w:r>
        <w:rPr>
          <w:rFonts w:cstheme="minorHAnsi"/>
        </w:rPr>
        <w:t xml:space="preserve">Our study has a number of strengths. </w:t>
      </w:r>
      <w:r w:rsidR="00ED421C" w:rsidRPr="00AF27F4">
        <w:rPr>
          <w:rFonts w:cstheme="minorHAnsi"/>
        </w:rPr>
        <w:t>We employed</w:t>
      </w:r>
      <w:r w:rsidR="00B83EFB" w:rsidRPr="00AF27F4">
        <w:rPr>
          <w:rFonts w:cstheme="minorHAnsi"/>
        </w:rPr>
        <w:t xml:space="preserve"> nationally accepted </w:t>
      </w:r>
      <w:r w:rsidR="00246822" w:rsidRPr="00AF27F4">
        <w:rPr>
          <w:rFonts w:cstheme="minorHAnsi"/>
        </w:rPr>
        <w:t>definition</w:t>
      </w:r>
      <w:r w:rsidR="006C56A0" w:rsidRPr="00AF27F4">
        <w:rPr>
          <w:rFonts w:cstheme="minorHAnsi"/>
        </w:rPr>
        <w:t>s</w:t>
      </w:r>
      <w:r w:rsidR="00246822" w:rsidRPr="00AF27F4">
        <w:rPr>
          <w:rFonts w:cstheme="minorHAnsi"/>
        </w:rPr>
        <w:t xml:space="preserve"> of rurality</w:t>
      </w:r>
      <w:r w:rsidR="00ED421C" w:rsidRPr="00AF27F4">
        <w:rPr>
          <w:rFonts w:cstheme="minorHAnsi"/>
        </w:rPr>
        <w:t xml:space="preserve">, </w:t>
      </w:r>
      <w:r w:rsidR="00BC65C7" w:rsidRPr="00AF27F4">
        <w:rPr>
          <w:rFonts w:cstheme="minorHAnsi"/>
        </w:rPr>
        <w:t xml:space="preserve">and </w:t>
      </w:r>
      <w:r w:rsidR="0062575B">
        <w:rPr>
          <w:rFonts w:cstheme="minorHAnsi"/>
        </w:rPr>
        <w:t>have</w:t>
      </w:r>
      <w:r w:rsidR="00BC65C7" w:rsidRPr="00AF27F4">
        <w:rPr>
          <w:rFonts w:cstheme="minorHAnsi"/>
        </w:rPr>
        <w:t xml:space="preserve"> adjust</w:t>
      </w:r>
      <w:r w:rsidR="0062575B">
        <w:rPr>
          <w:rFonts w:cstheme="minorHAnsi"/>
        </w:rPr>
        <w:t>ed</w:t>
      </w:r>
      <w:r w:rsidR="00ED421C" w:rsidRPr="00AF27F4">
        <w:rPr>
          <w:rFonts w:cstheme="minorHAnsi"/>
        </w:rPr>
        <w:t xml:space="preserve"> for </w:t>
      </w:r>
      <w:r w:rsidR="00C14FD4" w:rsidRPr="00AF27F4">
        <w:rPr>
          <w:rFonts w:cstheme="minorHAnsi"/>
        </w:rPr>
        <w:t>local</w:t>
      </w:r>
      <w:r w:rsidR="00017744">
        <w:rPr>
          <w:rFonts w:cstheme="minorHAnsi"/>
        </w:rPr>
        <w:t>-area</w:t>
      </w:r>
      <w:r w:rsidR="00C14FD4" w:rsidRPr="00AF27F4">
        <w:rPr>
          <w:rFonts w:cstheme="minorHAnsi"/>
        </w:rPr>
        <w:t xml:space="preserve"> </w:t>
      </w:r>
      <w:r w:rsidR="00ED421C" w:rsidRPr="00AF27F4">
        <w:rPr>
          <w:rFonts w:cstheme="minorHAnsi"/>
        </w:rPr>
        <w:t>deprivation</w:t>
      </w:r>
      <w:r w:rsidR="00C14FD4" w:rsidRPr="00AF27F4">
        <w:rPr>
          <w:rFonts w:cstheme="minorHAnsi"/>
        </w:rPr>
        <w:t xml:space="preserve">. </w:t>
      </w:r>
      <w:r w:rsidR="00F269E3">
        <w:rPr>
          <w:rFonts w:cstheme="minorHAnsi"/>
        </w:rPr>
        <w:t>W</w:t>
      </w:r>
      <w:r w:rsidR="008A70A8" w:rsidRPr="00AF27F4">
        <w:rPr>
          <w:rFonts w:cstheme="minorHAnsi"/>
        </w:rPr>
        <w:t>e have also measured presenteeis</w:t>
      </w:r>
      <w:r w:rsidR="00A8340B" w:rsidRPr="00AF27F4">
        <w:rPr>
          <w:rFonts w:cstheme="minorHAnsi"/>
        </w:rPr>
        <w:t>m</w:t>
      </w:r>
      <w:r w:rsidR="001B3FAD" w:rsidRPr="00AF27F4">
        <w:rPr>
          <w:rFonts w:cstheme="minorHAnsi"/>
        </w:rPr>
        <w:t xml:space="preserve"> which is increasingly recognised as </w:t>
      </w:r>
      <w:r w:rsidR="00741FC5" w:rsidRPr="00741FC5">
        <w:rPr>
          <w:rFonts w:cstheme="minorHAnsi"/>
        </w:rPr>
        <w:t xml:space="preserve">commonly impacted by long-term </w:t>
      </w:r>
      <w:r w:rsidR="00C84F22" w:rsidRPr="00741FC5">
        <w:rPr>
          <w:rFonts w:cstheme="minorHAnsi"/>
        </w:rPr>
        <w:t>conditions</w:t>
      </w:r>
      <w:r w:rsidR="001B3FAD" w:rsidRPr="00AF27F4">
        <w:rPr>
          <w:rFonts w:cstheme="minorHAnsi"/>
        </w:rPr>
        <w:t xml:space="preserve">. </w:t>
      </w:r>
      <w:r w:rsidR="00AF27F4" w:rsidRPr="00AF27F4">
        <w:rPr>
          <w:rFonts w:cstheme="minorHAnsi"/>
        </w:rPr>
        <w:t xml:space="preserve">However, </w:t>
      </w:r>
      <w:r w:rsidR="007C3D00">
        <w:rPr>
          <w:rFonts w:cstheme="minorHAnsi"/>
        </w:rPr>
        <w:t xml:space="preserve">productivity is difficult to define and </w:t>
      </w:r>
      <w:r w:rsidR="001B3FAD" w:rsidRPr="00AF27F4">
        <w:rPr>
          <w:rFonts w:cstheme="minorHAnsi"/>
        </w:rPr>
        <w:t xml:space="preserve">existing self-reported measures of presenteeism </w:t>
      </w:r>
      <w:r w:rsidR="007C3D00">
        <w:rPr>
          <w:rFonts w:cstheme="minorHAnsi"/>
        </w:rPr>
        <w:t xml:space="preserve">(such as WPAI, Health and work performance questionnaire (HPQ), Work limitations questionnaire (WLQ) and Work Ability Index (WAI)) </w:t>
      </w:r>
      <w:r w:rsidR="001B3FAD" w:rsidRPr="00AF27F4">
        <w:rPr>
          <w:rFonts w:cstheme="minorHAnsi"/>
        </w:rPr>
        <w:t xml:space="preserve">have poor validity against objective </w:t>
      </w:r>
      <w:r w:rsidR="008A6E89">
        <w:rPr>
          <w:rFonts w:cstheme="minorHAnsi"/>
        </w:rPr>
        <w:t>markers and against each other [</w:t>
      </w:r>
      <w:r w:rsidR="00C84F22">
        <w:rPr>
          <w:rFonts w:cstheme="minorHAnsi"/>
        </w:rPr>
        <w:t>39,40</w:t>
      </w:r>
      <w:r w:rsidR="008A6E89">
        <w:rPr>
          <w:rFonts w:cstheme="minorHAnsi"/>
        </w:rPr>
        <w:t>]</w:t>
      </w:r>
      <w:r w:rsidR="007C3D00">
        <w:rPr>
          <w:rFonts w:cstheme="minorHAnsi"/>
        </w:rPr>
        <w:t xml:space="preserve"> and are </w:t>
      </w:r>
      <w:r w:rsidR="002E2035" w:rsidRPr="00AF27F4">
        <w:rPr>
          <w:rFonts w:cstheme="minorHAnsi"/>
        </w:rPr>
        <w:t>over-simplistic in understanding work disability</w:t>
      </w:r>
      <w:r w:rsidR="00AF27F4" w:rsidRPr="00AF27F4">
        <w:rPr>
          <w:rFonts w:cstheme="minorHAnsi"/>
        </w:rPr>
        <w:t xml:space="preserve">. </w:t>
      </w:r>
      <w:r w:rsidR="002E2035" w:rsidRPr="00AF27F4">
        <w:rPr>
          <w:rFonts w:cstheme="minorHAnsi"/>
        </w:rPr>
        <w:t xml:space="preserve"> </w:t>
      </w:r>
      <w:r w:rsidR="000F511F" w:rsidRPr="000F511F">
        <w:rPr>
          <w:bCs/>
        </w:rPr>
        <w:t>OMERACT colleagues</w:t>
      </w:r>
      <w:r w:rsidR="000F511F">
        <w:rPr>
          <w:bCs/>
        </w:rPr>
        <w:t xml:space="preserve"> [</w:t>
      </w:r>
      <w:r w:rsidR="00C84F22">
        <w:rPr>
          <w:bCs/>
        </w:rPr>
        <w:t>41</w:t>
      </w:r>
      <w:r w:rsidR="000F511F">
        <w:rPr>
          <w:bCs/>
        </w:rPr>
        <w:t xml:space="preserve">] </w:t>
      </w:r>
      <w:r w:rsidR="000F511F" w:rsidRPr="000F511F">
        <w:rPr>
          <w:bCs/>
        </w:rPr>
        <w:t xml:space="preserve"> </w:t>
      </w:r>
      <w:r w:rsidR="00B87132">
        <w:rPr>
          <w:bCs/>
        </w:rPr>
        <w:t>have</w:t>
      </w:r>
      <w:r w:rsidR="000F511F" w:rsidRPr="000F511F">
        <w:rPr>
          <w:bCs/>
        </w:rPr>
        <w:t xml:space="preserve"> reached similar conclusions and stressed the relevance and importance of “contextual factors” on impact from a health condition on work e.g. type of work, environment, </w:t>
      </w:r>
      <w:r w:rsidR="00B87132">
        <w:rPr>
          <w:bCs/>
        </w:rPr>
        <w:t xml:space="preserve">degree of </w:t>
      </w:r>
      <w:r w:rsidR="000F511F" w:rsidRPr="000F511F">
        <w:rPr>
          <w:bCs/>
        </w:rPr>
        <w:t xml:space="preserve">flexibility, etc. Our mixed-methods study adds </w:t>
      </w:r>
      <w:r w:rsidR="00741FC5" w:rsidRPr="00741FC5">
        <w:rPr>
          <w:bCs/>
        </w:rPr>
        <w:t>quantitative and qualitative</w:t>
      </w:r>
      <w:r w:rsidR="00741FC5">
        <w:rPr>
          <w:b/>
          <w:bCs/>
        </w:rPr>
        <w:t xml:space="preserve"> </w:t>
      </w:r>
      <w:r w:rsidR="000F511F" w:rsidRPr="000F511F">
        <w:rPr>
          <w:bCs/>
        </w:rPr>
        <w:t xml:space="preserve">evidence about the </w:t>
      </w:r>
      <w:r w:rsidR="00741FC5" w:rsidRPr="00741FC5">
        <w:rPr>
          <w:bCs/>
        </w:rPr>
        <w:t>relevance and nature of</w:t>
      </w:r>
      <w:r w:rsidR="00741FC5">
        <w:rPr>
          <w:b/>
          <w:bCs/>
        </w:rPr>
        <w:t xml:space="preserve"> </w:t>
      </w:r>
      <w:r w:rsidR="003F6403">
        <w:rPr>
          <w:bCs/>
        </w:rPr>
        <w:t xml:space="preserve">clinical and </w:t>
      </w:r>
      <w:r w:rsidR="000F511F" w:rsidRPr="000F511F">
        <w:rPr>
          <w:bCs/>
        </w:rPr>
        <w:t>contextual factors</w:t>
      </w:r>
      <w:r w:rsidR="00741FC5">
        <w:rPr>
          <w:bCs/>
        </w:rPr>
        <w:t>, offering</w:t>
      </w:r>
      <w:r w:rsidR="000F511F" w:rsidRPr="00AF27F4">
        <w:rPr>
          <w:rFonts w:cstheme="minorHAnsi"/>
        </w:rPr>
        <w:t xml:space="preserve"> new insights into how features of occupations, individuals and workplaces influence work disability in axSpA</w:t>
      </w:r>
      <w:r w:rsidR="000F511F">
        <w:rPr>
          <w:rFonts w:cstheme="minorHAnsi"/>
        </w:rPr>
        <w:t>. It</w:t>
      </w:r>
      <w:r w:rsidR="000F511F" w:rsidRPr="000F511F">
        <w:rPr>
          <w:bCs/>
        </w:rPr>
        <w:t xml:space="preserve"> illustrates the need for newer measures that don’t take </w:t>
      </w:r>
      <w:r w:rsidR="000F511F">
        <w:rPr>
          <w:bCs/>
        </w:rPr>
        <w:t>a self-assessed percentage</w:t>
      </w:r>
      <w:r w:rsidR="000F511F" w:rsidRPr="000F511F">
        <w:rPr>
          <w:bCs/>
        </w:rPr>
        <w:t xml:space="preserve"> loss approach but gauge impacts of health on work in a more comprehensive fashion. </w:t>
      </w:r>
      <w:r w:rsidR="002E2035" w:rsidRPr="00AF27F4">
        <w:rPr>
          <w:rFonts w:cstheme="minorHAnsi"/>
        </w:rPr>
        <w:t xml:space="preserve">.  </w:t>
      </w:r>
    </w:p>
    <w:p w14:paraId="6D4E87B3" w14:textId="1C52F514" w:rsidR="00533A24" w:rsidRDefault="002F76A5" w:rsidP="0060742D">
      <w:pPr>
        <w:autoSpaceDE w:val="0"/>
        <w:autoSpaceDN w:val="0"/>
        <w:adjustRightInd w:val="0"/>
        <w:spacing w:after="0" w:line="360" w:lineRule="auto"/>
        <w:rPr>
          <w:rFonts w:cstheme="minorHAnsi"/>
        </w:rPr>
      </w:pPr>
      <w:r>
        <w:rPr>
          <w:rFonts w:cstheme="minorHAnsi"/>
        </w:rPr>
        <w:t>In keeping with other studies, we found that axSpA patients report significant levels of presenteeism</w:t>
      </w:r>
      <w:r w:rsidR="0060742D">
        <w:rPr>
          <w:rFonts w:cstheme="minorHAnsi"/>
        </w:rPr>
        <w:t xml:space="preserve"> </w:t>
      </w:r>
      <w:r w:rsidR="008A6E89">
        <w:rPr>
          <w:rFonts w:cstheme="minorHAnsi"/>
        </w:rPr>
        <w:t>[7,</w:t>
      </w:r>
      <w:r w:rsidR="008854E8">
        <w:rPr>
          <w:rFonts w:cstheme="minorHAnsi"/>
        </w:rPr>
        <w:t xml:space="preserve"> </w:t>
      </w:r>
      <w:r w:rsidR="008A6E89">
        <w:rPr>
          <w:rFonts w:cstheme="minorHAnsi"/>
        </w:rPr>
        <w:t>8</w:t>
      </w:r>
      <w:r w:rsidR="004A7082">
        <w:rPr>
          <w:rFonts w:cstheme="minorHAnsi"/>
        </w:rPr>
        <w:t>,</w:t>
      </w:r>
      <w:r w:rsidR="008854E8">
        <w:rPr>
          <w:rFonts w:cstheme="minorHAnsi"/>
        </w:rPr>
        <w:t xml:space="preserve"> </w:t>
      </w:r>
      <w:r w:rsidR="008A6E89">
        <w:rPr>
          <w:rFonts w:cstheme="minorHAnsi"/>
        </w:rPr>
        <w:t>4</w:t>
      </w:r>
      <w:r w:rsidR="00C84F22">
        <w:rPr>
          <w:rFonts w:cstheme="minorHAnsi"/>
        </w:rPr>
        <w:t>2</w:t>
      </w:r>
      <w:r w:rsidR="008A6E89">
        <w:rPr>
          <w:rFonts w:cstheme="minorHAnsi"/>
        </w:rPr>
        <w:t>]</w:t>
      </w:r>
      <w:r w:rsidR="00533A24">
        <w:rPr>
          <w:rFonts w:cstheme="minorHAnsi"/>
        </w:rPr>
        <w:t xml:space="preserve">, particularly in public facing jobs (healthcare and hospitality) </w:t>
      </w:r>
      <w:r w:rsidR="008854E8">
        <w:rPr>
          <w:rFonts w:cstheme="minorHAnsi"/>
        </w:rPr>
        <w:t>where</w:t>
      </w:r>
      <w:r w:rsidR="00533A24">
        <w:rPr>
          <w:rFonts w:cstheme="minorHAnsi"/>
        </w:rPr>
        <w:t xml:space="preserve"> there is a greater perception of “letting others down”</w:t>
      </w:r>
      <w:r w:rsidR="008A6E89">
        <w:rPr>
          <w:rFonts w:cstheme="minorHAnsi"/>
        </w:rPr>
        <w:t xml:space="preserve"> [</w:t>
      </w:r>
      <w:r w:rsidR="00C84F22">
        <w:rPr>
          <w:rFonts w:cstheme="minorHAnsi"/>
        </w:rPr>
        <w:t>43-45</w:t>
      </w:r>
      <w:r w:rsidR="008A6E89">
        <w:rPr>
          <w:rFonts w:cstheme="minorHAnsi"/>
        </w:rPr>
        <w:t>]</w:t>
      </w:r>
      <w:r w:rsidR="00533A24">
        <w:rPr>
          <w:rFonts w:cstheme="minorHAnsi"/>
        </w:rPr>
        <w:t xml:space="preserve">. </w:t>
      </w:r>
      <w:r w:rsidR="005C3D97">
        <w:rPr>
          <w:rFonts w:cstheme="minorHAnsi"/>
        </w:rPr>
        <w:t>Others</w:t>
      </w:r>
      <w:r w:rsidR="00A069A6">
        <w:rPr>
          <w:rFonts w:cstheme="minorHAnsi"/>
        </w:rPr>
        <w:t xml:space="preserve"> recognised that presenteeism </w:t>
      </w:r>
      <w:r w:rsidR="008472A3">
        <w:rPr>
          <w:rFonts w:cstheme="minorHAnsi"/>
        </w:rPr>
        <w:t xml:space="preserve">was therapeutic, </w:t>
      </w:r>
      <w:r w:rsidR="00A069A6">
        <w:rPr>
          <w:rFonts w:cstheme="minorHAnsi"/>
        </w:rPr>
        <w:t>allow</w:t>
      </w:r>
      <w:r w:rsidR="008472A3">
        <w:rPr>
          <w:rFonts w:cstheme="minorHAnsi"/>
        </w:rPr>
        <w:t>ing</w:t>
      </w:r>
      <w:r w:rsidR="00A069A6">
        <w:rPr>
          <w:rFonts w:cstheme="minorHAnsi"/>
        </w:rPr>
        <w:t xml:space="preserve"> them to maintain their social contact and sense of self-worth.</w:t>
      </w:r>
      <w:r w:rsidR="00F43338">
        <w:rPr>
          <w:rFonts w:cstheme="minorHAnsi"/>
        </w:rPr>
        <w:t xml:space="preserve"> </w:t>
      </w:r>
      <w:r w:rsidR="00BD49D1">
        <w:rPr>
          <w:rFonts w:cstheme="minorHAnsi"/>
        </w:rPr>
        <w:t xml:space="preserve">Indeed, in a study of young adults with </w:t>
      </w:r>
      <w:r w:rsidR="0062575B">
        <w:rPr>
          <w:rFonts w:cstheme="minorHAnsi"/>
        </w:rPr>
        <w:t>axSpA</w:t>
      </w:r>
      <w:r w:rsidR="00BD49D1">
        <w:rPr>
          <w:rFonts w:cstheme="minorHAnsi"/>
        </w:rPr>
        <w:t xml:space="preserve">, they emphasised that work was a priority for them in order to </w:t>
      </w:r>
      <w:r w:rsidR="00BD49D1" w:rsidRPr="00FB1183">
        <w:rPr>
          <w:rFonts w:cstheme="minorHAnsi"/>
        </w:rPr>
        <w:t>establish a career, financially support young family and maintain identity</w:t>
      </w:r>
      <w:r w:rsidR="00BD49D1">
        <w:rPr>
          <w:rFonts w:cstheme="minorHAnsi"/>
        </w:rPr>
        <w:t xml:space="preserve"> [</w:t>
      </w:r>
      <w:r w:rsidR="00C84F22" w:rsidRPr="00C46CAC">
        <w:rPr>
          <w:rFonts w:cstheme="minorHAnsi"/>
        </w:rPr>
        <w:t>46</w:t>
      </w:r>
      <w:r w:rsidR="00BD49D1" w:rsidRPr="00C46CAC">
        <w:rPr>
          <w:rFonts w:cstheme="minorHAnsi"/>
        </w:rPr>
        <w:t>]</w:t>
      </w:r>
      <w:r w:rsidR="00BD49D1" w:rsidRPr="00FB1183">
        <w:rPr>
          <w:rFonts w:cstheme="minorHAnsi"/>
        </w:rPr>
        <w:t>.</w:t>
      </w:r>
    </w:p>
    <w:p w14:paraId="47830FDE" w14:textId="77777777" w:rsidR="0060742D" w:rsidRDefault="0060742D" w:rsidP="0060742D">
      <w:pPr>
        <w:autoSpaceDE w:val="0"/>
        <w:autoSpaceDN w:val="0"/>
        <w:adjustRightInd w:val="0"/>
        <w:spacing w:after="0" w:line="360" w:lineRule="auto"/>
        <w:rPr>
          <w:rFonts w:cstheme="minorHAnsi"/>
        </w:rPr>
      </w:pPr>
    </w:p>
    <w:p w14:paraId="567DF43F" w14:textId="51B7AB4D" w:rsidR="00A069A6" w:rsidRPr="00A069A6" w:rsidRDefault="00A069A6" w:rsidP="00A069A6">
      <w:pPr>
        <w:pStyle w:val="CommentText"/>
        <w:spacing w:line="360" w:lineRule="auto"/>
        <w:rPr>
          <w:rFonts w:cstheme="minorHAnsi"/>
          <w:sz w:val="22"/>
          <w:szCs w:val="22"/>
        </w:rPr>
      </w:pPr>
      <w:r w:rsidRPr="00A069A6">
        <w:rPr>
          <w:rFonts w:cstheme="minorHAnsi"/>
          <w:sz w:val="22"/>
          <w:szCs w:val="22"/>
        </w:rPr>
        <w:t xml:space="preserve">Our finding that rural dwellers have more issues with </w:t>
      </w:r>
      <w:r w:rsidR="003C2143">
        <w:rPr>
          <w:rFonts w:cstheme="minorHAnsi"/>
          <w:sz w:val="22"/>
          <w:szCs w:val="22"/>
        </w:rPr>
        <w:t>work productivity</w:t>
      </w:r>
      <w:r w:rsidR="003C2143" w:rsidRPr="00A069A6">
        <w:rPr>
          <w:rFonts w:cstheme="minorHAnsi"/>
          <w:sz w:val="22"/>
          <w:szCs w:val="22"/>
        </w:rPr>
        <w:t xml:space="preserve"> </w:t>
      </w:r>
      <w:r w:rsidRPr="00A069A6">
        <w:rPr>
          <w:rFonts w:cstheme="minorHAnsi"/>
          <w:sz w:val="22"/>
          <w:szCs w:val="22"/>
        </w:rPr>
        <w:t xml:space="preserve">is novel but perhaps not surprising.  Rural settings have </w:t>
      </w:r>
      <w:r w:rsidR="00497F3E">
        <w:rPr>
          <w:rFonts w:cstheme="minorHAnsi"/>
          <w:sz w:val="22"/>
          <w:szCs w:val="22"/>
        </w:rPr>
        <w:t xml:space="preserve">both </w:t>
      </w:r>
      <w:r w:rsidRPr="00A069A6">
        <w:rPr>
          <w:rFonts w:cstheme="minorHAnsi"/>
          <w:sz w:val="22"/>
          <w:szCs w:val="22"/>
        </w:rPr>
        <w:t>more restrictive labour markets alongside more difficulties for individuals accessing local healthcare services</w:t>
      </w:r>
      <w:r w:rsidR="004363AE">
        <w:rPr>
          <w:rFonts w:cstheme="minorHAnsi"/>
          <w:sz w:val="22"/>
          <w:szCs w:val="22"/>
        </w:rPr>
        <w:t xml:space="preserve"> [</w:t>
      </w:r>
      <w:r w:rsidR="008A6E89" w:rsidRPr="008A6E89">
        <w:rPr>
          <w:rFonts w:cstheme="minorHAnsi"/>
          <w:sz w:val="22"/>
          <w:szCs w:val="22"/>
        </w:rPr>
        <w:t>9</w:t>
      </w:r>
      <w:r w:rsidR="008A6E89">
        <w:rPr>
          <w:rFonts w:cstheme="minorHAnsi"/>
          <w:sz w:val="22"/>
          <w:szCs w:val="22"/>
        </w:rPr>
        <w:t>,</w:t>
      </w:r>
      <w:r w:rsidR="008A6E89" w:rsidRPr="008A6E89">
        <w:rPr>
          <w:rFonts w:cstheme="minorHAnsi"/>
          <w:sz w:val="22"/>
          <w:szCs w:val="22"/>
        </w:rPr>
        <w:t xml:space="preserve"> 13-16</w:t>
      </w:r>
      <w:r w:rsidR="004363AE">
        <w:rPr>
          <w:rFonts w:cstheme="minorHAnsi"/>
          <w:sz w:val="22"/>
          <w:szCs w:val="22"/>
        </w:rPr>
        <w:t>]</w:t>
      </w:r>
      <w:r w:rsidRPr="00A069A6">
        <w:rPr>
          <w:rFonts w:cstheme="minorHAnsi"/>
          <w:sz w:val="22"/>
          <w:szCs w:val="22"/>
        </w:rPr>
        <w:t xml:space="preserve">. Our rural dwellers were older and more likely to be doing physically-demanding occupations. This suggests that they have less flexibility to access work more suitable for their health. </w:t>
      </w:r>
      <w:r w:rsidR="008472A3">
        <w:rPr>
          <w:rFonts w:cstheme="minorHAnsi"/>
          <w:sz w:val="22"/>
          <w:szCs w:val="22"/>
        </w:rPr>
        <w:t>Many</w:t>
      </w:r>
      <w:r w:rsidRPr="00A069A6">
        <w:rPr>
          <w:rFonts w:cstheme="minorHAnsi"/>
          <w:sz w:val="22"/>
          <w:szCs w:val="22"/>
        </w:rPr>
        <w:t xml:space="preserve"> people living in rural settings were travelling to </w:t>
      </w:r>
      <w:r w:rsidRPr="00A069A6">
        <w:rPr>
          <w:rFonts w:cstheme="minorHAnsi"/>
          <w:sz w:val="22"/>
          <w:szCs w:val="22"/>
        </w:rPr>
        <w:lastRenderedPageBreak/>
        <w:t>urban settings to work</w:t>
      </w:r>
      <w:r w:rsidR="00C84F22">
        <w:rPr>
          <w:rFonts w:cstheme="minorHAnsi"/>
          <w:sz w:val="22"/>
          <w:szCs w:val="22"/>
        </w:rPr>
        <w:t xml:space="preserve">, suggesting </w:t>
      </w:r>
      <w:r w:rsidRPr="00A069A6">
        <w:rPr>
          <w:rFonts w:cstheme="minorHAnsi"/>
          <w:sz w:val="22"/>
          <w:szCs w:val="22"/>
        </w:rPr>
        <w:t>another important issue for rural dwellers is the need to commute as well as undertake their work each day.</w:t>
      </w:r>
    </w:p>
    <w:p w14:paraId="6110D9CE" w14:textId="6C687C13" w:rsidR="00377086" w:rsidRDefault="00645325" w:rsidP="005D0AEA">
      <w:pPr>
        <w:autoSpaceDE w:val="0"/>
        <w:autoSpaceDN w:val="0"/>
        <w:adjustRightInd w:val="0"/>
        <w:spacing w:after="0" w:line="360" w:lineRule="auto"/>
        <w:rPr>
          <w:rFonts w:cstheme="minorHAnsi"/>
        </w:rPr>
      </w:pPr>
      <w:r>
        <w:rPr>
          <w:rFonts w:cstheme="minorHAnsi"/>
        </w:rPr>
        <w:t>Emergent themes</w:t>
      </w:r>
      <w:r w:rsidR="00F83704">
        <w:rPr>
          <w:rFonts w:cstheme="minorHAnsi"/>
        </w:rPr>
        <w:t xml:space="preserve"> were coherent with the model of demand-control and support proposed by Karasek [</w:t>
      </w:r>
      <w:r w:rsidR="008A6E89">
        <w:rPr>
          <w:rFonts w:cstheme="minorHAnsi"/>
        </w:rPr>
        <w:t>4</w:t>
      </w:r>
      <w:r w:rsidR="00C84F22">
        <w:rPr>
          <w:rFonts w:cstheme="minorHAnsi"/>
        </w:rPr>
        <w:t>7</w:t>
      </w:r>
      <w:r w:rsidR="00F83704">
        <w:rPr>
          <w:rFonts w:cstheme="minorHAnsi"/>
        </w:rPr>
        <w:t xml:space="preserve">]. Karasek postulated that people could tolerate very high levels of workplace mental and physical demands providing that they were offered autonomy and control over how to work and support from colleagues and </w:t>
      </w:r>
      <w:r w:rsidR="009C7E53">
        <w:rPr>
          <w:rFonts w:cstheme="minorHAnsi"/>
        </w:rPr>
        <w:t>managers to deliver their work [</w:t>
      </w:r>
      <w:r w:rsidR="008A6E89">
        <w:rPr>
          <w:rFonts w:cstheme="minorHAnsi"/>
        </w:rPr>
        <w:t>4</w:t>
      </w:r>
      <w:r w:rsidR="00C84F22">
        <w:rPr>
          <w:rFonts w:cstheme="minorHAnsi"/>
        </w:rPr>
        <w:t>7</w:t>
      </w:r>
      <w:r w:rsidR="00F83704">
        <w:rPr>
          <w:rFonts w:cstheme="minorHAnsi"/>
        </w:rPr>
        <w:t xml:space="preserve">]. </w:t>
      </w:r>
      <w:r w:rsidR="00F27417">
        <w:rPr>
          <w:rFonts w:cstheme="minorHAnsi"/>
        </w:rPr>
        <w:t xml:space="preserve">Amongst people </w:t>
      </w:r>
      <w:r w:rsidR="00F83704">
        <w:rPr>
          <w:rFonts w:cstheme="minorHAnsi"/>
        </w:rPr>
        <w:t xml:space="preserve">with axSpA, </w:t>
      </w:r>
      <w:r w:rsidR="00F27417">
        <w:rPr>
          <w:rFonts w:cstheme="minorHAnsi"/>
        </w:rPr>
        <w:t xml:space="preserve">we found </w:t>
      </w:r>
      <w:r w:rsidR="00F83704">
        <w:rPr>
          <w:rFonts w:cstheme="minorHAnsi"/>
        </w:rPr>
        <w:t xml:space="preserve">flexibility about work tasks was a key enabler of ongoing work participation. </w:t>
      </w:r>
      <w:r w:rsidR="00F27417">
        <w:t xml:space="preserve">Similarly, whilst </w:t>
      </w:r>
      <w:r w:rsidR="00533A24">
        <w:t xml:space="preserve">not specifically focused on work, </w:t>
      </w:r>
      <w:r w:rsidR="00F27417">
        <w:t>other qualitative</w:t>
      </w:r>
      <w:r w:rsidR="00533A24">
        <w:t xml:space="preserve"> studies </w:t>
      </w:r>
      <w:r w:rsidR="006F2F96">
        <w:t xml:space="preserve">in axSpA </w:t>
      </w:r>
      <w:r w:rsidR="00F27417">
        <w:t xml:space="preserve">have </w:t>
      </w:r>
      <w:r w:rsidR="00533A24">
        <w:t>highlight</w:t>
      </w:r>
      <w:r w:rsidR="00F27417">
        <w:t>ed</w:t>
      </w:r>
      <w:r w:rsidR="00533A24">
        <w:t xml:space="preserve"> the need for flexibility </w:t>
      </w:r>
      <w:r w:rsidR="00533A24" w:rsidRPr="000211A8">
        <w:rPr>
          <w:rFonts w:cstheme="minorHAnsi"/>
        </w:rPr>
        <w:t xml:space="preserve">to adapt </w:t>
      </w:r>
      <w:r w:rsidR="00533A24">
        <w:rPr>
          <w:rFonts w:cstheme="minorHAnsi"/>
        </w:rPr>
        <w:t xml:space="preserve">daily </w:t>
      </w:r>
      <w:r w:rsidR="00533A24" w:rsidRPr="000211A8">
        <w:rPr>
          <w:rFonts w:cstheme="minorHAnsi"/>
        </w:rPr>
        <w:t>work</w:t>
      </w:r>
      <w:r w:rsidR="00533A24">
        <w:rPr>
          <w:rFonts w:cstheme="minorHAnsi"/>
        </w:rPr>
        <w:t xml:space="preserve">ing practices in response to unpredictable flares, as well as influencing choice of career and </w:t>
      </w:r>
      <w:r w:rsidR="00533A24" w:rsidRPr="000211A8">
        <w:rPr>
          <w:rFonts w:cstheme="minorHAnsi"/>
        </w:rPr>
        <w:t>decisions to change j</w:t>
      </w:r>
      <w:r w:rsidR="00533A24">
        <w:rPr>
          <w:rFonts w:cstheme="minorHAnsi"/>
        </w:rPr>
        <w:t xml:space="preserve">ob </w:t>
      </w:r>
      <w:r w:rsidR="008A6E89">
        <w:rPr>
          <w:rFonts w:cstheme="minorHAnsi"/>
        </w:rPr>
        <w:t>[</w:t>
      </w:r>
      <w:r w:rsidR="00C84F22">
        <w:rPr>
          <w:rFonts w:cstheme="minorHAnsi"/>
        </w:rPr>
        <w:t>46, 48</w:t>
      </w:r>
      <w:r w:rsidR="008A6E89">
        <w:rPr>
          <w:rFonts w:cstheme="minorHAnsi"/>
        </w:rPr>
        <w:t>]</w:t>
      </w:r>
      <w:r w:rsidR="00533A24" w:rsidRPr="000211A8">
        <w:rPr>
          <w:rFonts w:cstheme="minorHAnsi"/>
        </w:rPr>
        <w:t>. Career flexibility was important, especially in those with more physical jobs</w:t>
      </w:r>
      <w:r w:rsidR="00803236">
        <w:rPr>
          <w:rFonts w:cstheme="minorHAnsi"/>
        </w:rPr>
        <w:t xml:space="preserve"> </w:t>
      </w:r>
      <w:r w:rsidR="008A6E89">
        <w:rPr>
          <w:rFonts w:cstheme="minorHAnsi"/>
        </w:rPr>
        <w:t>[4</w:t>
      </w:r>
      <w:r w:rsidR="00C84F22">
        <w:rPr>
          <w:rFonts w:cstheme="minorHAnsi"/>
        </w:rPr>
        <w:t>6</w:t>
      </w:r>
      <w:r w:rsidR="008A6E89">
        <w:rPr>
          <w:rFonts w:cstheme="minorHAnsi"/>
        </w:rPr>
        <w:t>]</w:t>
      </w:r>
      <w:r w:rsidR="00533A24" w:rsidRPr="000211A8">
        <w:rPr>
          <w:rFonts w:cstheme="minorHAnsi"/>
        </w:rPr>
        <w:t xml:space="preserve">. </w:t>
      </w:r>
      <w:r w:rsidR="00533A24">
        <w:rPr>
          <w:rFonts w:cstheme="minorHAnsi"/>
        </w:rPr>
        <w:t xml:space="preserve">Whilst we found that work colleagues were a source of considerable support in enabling task flexibility, </w:t>
      </w:r>
      <w:r w:rsidR="00533A24">
        <w:t xml:space="preserve">other studies have reported that </w:t>
      </w:r>
      <w:r w:rsidR="00533A24" w:rsidRPr="000211A8">
        <w:rPr>
          <w:rFonts w:cstheme="minorHAnsi"/>
        </w:rPr>
        <w:t xml:space="preserve">unsatisfactory or slow work </w:t>
      </w:r>
      <w:r w:rsidR="00533A24">
        <w:rPr>
          <w:rFonts w:cstheme="minorHAnsi"/>
        </w:rPr>
        <w:t xml:space="preserve">was </w:t>
      </w:r>
      <w:r w:rsidR="00533A24" w:rsidRPr="000211A8">
        <w:rPr>
          <w:rFonts w:cstheme="minorHAnsi"/>
        </w:rPr>
        <w:t>a source of potential conflict with colleagues and</w:t>
      </w:r>
      <w:r w:rsidR="008A6E89">
        <w:rPr>
          <w:rFonts w:cstheme="minorHAnsi"/>
        </w:rPr>
        <w:t xml:space="preserve"> employers [4</w:t>
      </w:r>
      <w:r w:rsidR="00C84F22">
        <w:rPr>
          <w:rFonts w:cstheme="minorHAnsi"/>
        </w:rPr>
        <w:t>9</w:t>
      </w:r>
      <w:r w:rsidR="008A6E89">
        <w:rPr>
          <w:rFonts w:cstheme="minorHAnsi"/>
        </w:rPr>
        <w:t>]</w:t>
      </w:r>
      <w:r w:rsidR="00803236">
        <w:rPr>
          <w:rFonts w:cstheme="minorHAnsi"/>
        </w:rPr>
        <w:t>.</w:t>
      </w:r>
      <w:r w:rsidR="00F43338">
        <w:rPr>
          <w:rFonts w:cstheme="minorHAnsi"/>
        </w:rPr>
        <w:t xml:space="preserve"> </w:t>
      </w:r>
      <w:r w:rsidR="0061537F">
        <w:rPr>
          <w:rFonts w:cstheme="minorHAnsi"/>
        </w:rPr>
        <w:t>T</w:t>
      </w:r>
      <w:r w:rsidR="0061537F">
        <w:rPr>
          <w:rFonts w:ascii="Calibri" w:hAnsi="Calibri" w:cs="Calibri"/>
        </w:rPr>
        <w:t xml:space="preserve">he differing ways in which people now participate with work also </w:t>
      </w:r>
      <w:r w:rsidR="0061537F" w:rsidRPr="00E80243">
        <w:rPr>
          <w:rFonts w:cstheme="minorHAnsi"/>
          <w:iCs/>
        </w:rPr>
        <w:t>raises questions about how we define presenteeism, sick absence and fitness for work.</w:t>
      </w:r>
    </w:p>
    <w:p w14:paraId="0505CC37" w14:textId="77777777" w:rsidR="007A2B90" w:rsidRDefault="007A2B90" w:rsidP="005D0AEA">
      <w:pPr>
        <w:spacing w:after="0" w:line="360" w:lineRule="auto"/>
        <w:rPr>
          <w:rStyle w:val="CommentReference"/>
        </w:rPr>
      </w:pPr>
    </w:p>
    <w:p w14:paraId="174FCCF6" w14:textId="3FD2B0F5" w:rsidR="00DF1A16" w:rsidRDefault="00EB776C" w:rsidP="005D0AEA">
      <w:pPr>
        <w:spacing w:after="0" w:line="360" w:lineRule="auto"/>
        <w:rPr>
          <w:rFonts w:cstheme="minorHAnsi"/>
        </w:rPr>
      </w:pPr>
      <w:r>
        <w:rPr>
          <w:rFonts w:cstheme="minorHAnsi"/>
        </w:rPr>
        <w:t xml:space="preserve">Our </w:t>
      </w:r>
      <w:r w:rsidR="00600D91">
        <w:rPr>
          <w:rFonts w:cstheme="minorHAnsi"/>
        </w:rPr>
        <w:t xml:space="preserve">findings have </w:t>
      </w:r>
      <w:r w:rsidR="00465791">
        <w:rPr>
          <w:rFonts w:cstheme="minorHAnsi"/>
        </w:rPr>
        <w:t xml:space="preserve">important </w:t>
      </w:r>
      <w:r w:rsidR="00F35A82">
        <w:rPr>
          <w:rFonts w:cstheme="minorHAnsi"/>
        </w:rPr>
        <w:t>implicat</w:t>
      </w:r>
      <w:r w:rsidR="003A54B7">
        <w:rPr>
          <w:rFonts w:cstheme="minorHAnsi"/>
        </w:rPr>
        <w:t xml:space="preserve">ions for practice, policy </w:t>
      </w:r>
      <w:r w:rsidR="00F35A82">
        <w:rPr>
          <w:rFonts w:cstheme="minorHAnsi"/>
        </w:rPr>
        <w:t>and research</w:t>
      </w:r>
      <w:r w:rsidR="00C96A14">
        <w:rPr>
          <w:rFonts w:cstheme="minorHAnsi"/>
        </w:rPr>
        <w:t xml:space="preserve">. </w:t>
      </w:r>
      <w:r w:rsidR="00FD0C1D">
        <w:rPr>
          <w:rFonts w:cstheme="minorHAnsi"/>
        </w:rPr>
        <w:t>Healthcare professionals could do much more to support their patients to work well, a</w:t>
      </w:r>
      <w:r w:rsidR="00377086">
        <w:rPr>
          <w:rFonts w:cstheme="minorHAnsi"/>
        </w:rPr>
        <w:t xml:space="preserve">nd resources are becoming available to support </w:t>
      </w:r>
      <w:r w:rsidR="00F37315">
        <w:rPr>
          <w:rFonts w:cstheme="minorHAnsi"/>
        </w:rPr>
        <w:t>this</w:t>
      </w:r>
      <w:r w:rsidR="008A6E89">
        <w:rPr>
          <w:rFonts w:cstheme="minorHAnsi"/>
        </w:rPr>
        <w:t xml:space="preserve"> [</w:t>
      </w:r>
      <w:r w:rsidR="00C84F22">
        <w:rPr>
          <w:rFonts w:cstheme="minorHAnsi"/>
        </w:rPr>
        <w:t>50</w:t>
      </w:r>
      <w:r w:rsidR="008A6E89">
        <w:rPr>
          <w:rFonts w:cstheme="minorHAnsi"/>
        </w:rPr>
        <w:t>]</w:t>
      </w:r>
      <w:r w:rsidR="00B76DAE">
        <w:rPr>
          <w:rFonts w:cstheme="minorHAnsi"/>
        </w:rPr>
        <w:t xml:space="preserve">. </w:t>
      </w:r>
      <w:r w:rsidR="002E0E48">
        <w:rPr>
          <w:rFonts w:cstheme="minorHAnsi"/>
        </w:rPr>
        <w:t>Most employers will have very few employees with rheumatic disease, and do not understand the often unpredictable disease course, and relapsing and remitting trajectory</w:t>
      </w:r>
      <w:r w:rsidR="003A54B7">
        <w:rPr>
          <w:rFonts w:cstheme="minorHAnsi"/>
        </w:rPr>
        <w:t xml:space="preserve">. </w:t>
      </w:r>
      <w:r w:rsidR="004B047C">
        <w:rPr>
          <w:rFonts w:cstheme="minorHAnsi"/>
        </w:rPr>
        <w:t>Education and support for employers to enable flexibility at work could be transformative, particularly if “best practice” examples from other</w:t>
      </w:r>
      <w:r w:rsidR="007A2B90">
        <w:rPr>
          <w:rFonts w:cstheme="minorHAnsi"/>
        </w:rPr>
        <w:t xml:space="preserve"> employers were made available. </w:t>
      </w:r>
    </w:p>
    <w:p w14:paraId="5CD4B7B1" w14:textId="77777777" w:rsidR="00DF1A16" w:rsidRDefault="00DF1A16" w:rsidP="005D0AEA">
      <w:pPr>
        <w:spacing w:after="0" w:line="360" w:lineRule="auto"/>
        <w:rPr>
          <w:rFonts w:cstheme="minorHAnsi"/>
        </w:rPr>
      </w:pPr>
    </w:p>
    <w:p w14:paraId="1F27FD2A" w14:textId="14C9D5B3" w:rsidR="007A2B90" w:rsidRPr="007F7AF8" w:rsidRDefault="00F46126" w:rsidP="005D0AEA">
      <w:pPr>
        <w:spacing w:after="0" w:line="360" w:lineRule="auto"/>
        <w:rPr>
          <w:rFonts w:ascii="Calibri" w:hAnsi="Calibri" w:cs="Calibri"/>
        </w:rPr>
      </w:pPr>
      <w:r>
        <w:rPr>
          <w:rFonts w:ascii="Calibri" w:hAnsi="Calibri" w:cs="Calibri"/>
        </w:rPr>
        <w:t>New work measures are needed to capture important contextual factors and comprehensively</w:t>
      </w:r>
      <w:r w:rsidRPr="00AA6966">
        <w:rPr>
          <w:rFonts w:ascii="Calibri" w:hAnsi="Calibri" w:cs="Calibri"/>
        </w:rPr>
        <w:t xml:space="preserve"> determine the impact of </w:t>
      </w:r>
      <w:r>
        <w:rPr>
          <w:rFonts w:ascii="Calibri" w:hAnsi="Calibri" w:cs="Calibri"/>
        </w:rPr>
        <w:t>long-term conditions</w:t>
      </w:r>
      <w:r w:rsidRPr="00AA6966">
        <w:rPr>
          <w:rFonts w:ascii="Calibri" w:hAnsi="Calibri" w:cs="Calibri"/>
        </w:rPr>
        <w:t xml:space="preserve"> in the workplace, specifically taking account of the </w:t>
      </w:r>
      <w:r>
        <w:rPr>
          <w:rFonts w:ascii="Calibri" w:hAnsi="Calibri" w:cs="Calibri"/>
        </w:rPr>
        <w:t>different</w:t>
      </w:r>
      <w:r w:rsidRPr="00AA6966">
        <w:rPr>
          <w:rFonts w:ascii="Calibri" w:hAnsi="Calibri" w:cs="Calibri"/>
        </w:rPr>
        <w:t xml:space="preserve"> ways in which people now engage in work. </w:t>
      </w:r>
      <w:r>
        <w:rPr>
          <w:rFonts w:ascii="Calibri" w:hAnsi="Calibri" w:cs="Calibri"/>
        </w:rPr>
        <w:t xml:space="preserve">More broadly the role of geographical location on health and work outcomes </w:t>
      </w:r>
      <w:r w:rsidRPr="00A96BE4">
        <w:rPr>
          <w:rFonts w:cstheme="minorHAnsi"/>
        </w:rPr>
        <w:t>in rheumatic disease is an</w:t>
      </w:r>
      <w:r>
        <w:rPr>
          <w:rFonts w:cstheme="minorHAnsi"/>
        </w:rPr>
        <w:t>other</w:t>
      </w:r>
      <w:r w:rsidRPr="00A96BE4">
        <w:rPr>
          <w:rFonts w:cstheme="minorHAnsi"/>
        </w:rPr>
        <w:t xml:space="preserve"> important area for future research</w:t>
      </w:r>
      <w:r>
        <w:rPr>
          <w:rFonts w:cstheme="minorHAnsi"/>
        </w:rPr>
        <w:t>.</w:t>
      </w:r>
      <w:r w:rsidRPr="00A96BE4">
        <w:t xml:space="preserve"> </w:t>
      </w:r>
      <w:r w:rsidR="002E0E48">
        <w:t xml:space="preserve">The </w:t>
      </w:r>
      <w:r w:rsidR="007A2B90">
        <w:t>current EULAR axSpA recommendations (which emphasise that improving quality of life is the key aim) are focussed only on disease activity and function</w:t>
      </w:r>
      <w:r w:rsidR="008A6E89">
        <w:t xml:space="preserve"> [</w:t>
      </w:r>
      <w:r w:rsidR="00C84F22">
        <w:t>51</w:t>
      </w:r>
      <w:r w:rsidR="00490F0B">
        <w:t>]</w:t>
      </w:r>
      <w:r w:rsidR="007A2B90">
        <w:t xml:space="preserve">. </w:t>
      </w:r>
      <w:r w:rsidR="005D0AEA">
        <w:rPr>
          <w:rFonts w:cstheme="minorHAnsi"/>
        </w:rPr>
        <w:t xml:space="preserve">Future </w:t>
      </w:r>
      <w:r w:rsidR="007A2B90" w:rsidRPr="00DB3A4C">
        <w:rPr>
          <w:rFonts w:cstheme="minorHAnsi"/>
        </w:rPr>
        <w:t xml:space="preserve">recommendations should include support to work </w:t>
      </w:r>
      <w:r w:rsidR="007A2B90">
        <w:rPr>
          <w:rFonts w:cstheme="minorHAnsi"/>
        </w:rPr>
        <w:t xml:space="preserve">well </w:t>
      </w:r>
      <w:r w:rsidR="007A2B90" w:rsidRPr="00DB3A4C">
        <w:rPr>
          <w:rFonts w:cstheme="minorHAnsi"/>
        </w:rPr>
        <w:t xml:space="preserve">as a target for management to optimise quality of life in patients with axSpA. </w:t>
      </w:r>
    </w:p>
    <w:p w14:paraId="2F0E4790" w14:textId="77777777" w:rsidR="005D0AEA" w:rsidRDefault="005D0AEA" w:rsidP="005D0AEA">
      <w:pPr>
        <w:spacing w:after="0" w:line="360" w:lineRule="auto"/>
        <w:rPr>
          <w:rFonts w:cstheme="minorHAnsi"/>
        </w:rPr>
      </w:pPr>
    </w:p>
    <w:p w14:paraId="62E0157D" w14:textId="77777777" w:rsidR="00F47343" w:rsidRDefault="00F47343" w:rsidP="00F47343">
      <w:pPr>
        <w:rPr>
          <w:rFonts w:ascii="Calibri" w:hAnsi="Calibri" w:cs="Calibri"/>
          <w:b/>
        </w:rPr>
      </w:pPr>
    </w:p>
    <w:p w14:paraId="0BEBF5C7" w14:textId="78154409" w:rsidR="00D4693F" w:rsidRDefault="00D4693F" w:rsidP="00F47343">
      <w:pPr>
        <w:rPr>
          <w:rFonts w:ascii="Calibri" w:hAnsi="Calibri" w:cs="Calibri"/>
          <w:b/>
        </w:rPr>
      </w:pPr>
      <w:r>
        <w:rPr>
          <w:rFonts w:ascii="Calibri" w:hAnsi="Calibri" w:cs="Calibri"/>
          <w:b/>
        </w:rPr>
        <w:t>ACKNOWLEDGEMENTS</w:t>
      </w:r>
    </w:p>
    <w:p w14:paraId="276A639E" w14:textId="44D6F6B9" w:rsidR="00D4693F" w:rsidRPr="00D4693F" w:rsidRDefault="00D4693F" w:rsidP="008A6E89">
      <w:pPr>
        <w:spacing w:after="0" w:line="360" w:lineRule="auto"/>
        <w:rPr>
          <w:rFonts w:cstheme="minorHAnsi"/>
        </w:rPr>
      </w:pPr>
      <w:r w:rsidRPr="00D4693F">
        <w:rPr>
          <w:rFonts w:cstheme="minorHAnsi"/>
        </w:rPr>
        <w:lastRenderedPageBreak/>
        <w:t xml:space="preserve">We are grateful to the staff of the British Society for Rheumatology Biologics Register in Axial Spondyloarthritis register who at the time of the study were Elizabeth Ferguson-Jones, Maureen Heddle, Nafeesa Nazlee and Barry Morris, and to the recruiting staff at the clinical centres, details of which are available at: </w:t>
      </w:r>
      <w:hyperlink r:id="rId9" w:anchor="panel1011" w:history="1">
        <w:r w:rsidRPr="00D4693F">
          <w:rPr>
            <w:rStyle w:val="Hyperlink"/>
            <w:rFonts w:cstheme="minorHAnsi"/>
            <w:color w:val="auto"/>
          </w:rPr>
          <w:t>https://www.abdn.ac.uk/iahs/research/epidemiology/spondyloarthritis.php#panel1011</w:t>
        </w:r>
      </w:hyperlink>
      <w:r w:rsidRPr="00D4693F">
        <w:rPr>
          <w:rFonts w:cstheme="minorHAnsi"/>
        </w:rPr>
        <w:t>.</w:t>
      </w:r>
    </w:p>
    <w:p w14:paraId="05C3E8A8" w14:textId="77777777" w:rsidR="00D4693F" w:rsidRPr="00D4693F" w:rsidRDefault="00D4693F" w:rsidP="008A6E89">
      <w:pPr>
        <w:spacing w:after="0" w:line="360" w:lineRule="auto"/>
        <w:rPr>
          <w:rFonts w:cstheme="minorHAnsi"/>
          <w:b/>
        </w:rPr>
      </w:pPr>
    </w:p>
    <w:p w14:paraId="377C5A46" w14:textId="74A7BA14" w:rsidR="00D4693F" w:rsidRPr="003F5C8E" w:rsidRDefault="00D4693F" w:rsidP="00D4693F">
      <w:pPr>
        <w:spacing w:after="0" w:line="360" w:lineRule="auto"/>
        <w:rPr>
          <w:rStyle w:val="corresp-label"/>
          <w:rFonts w:cstheme="minorHAnsi"/>
          <w:b/>
        </w:rPr>
      </w:pPr>
      <w:r>
        <w:rPr>
          <w:rStyle w:val="corresp-label"/>
          <w:rFonts w:cstheme="minorHAnsi"/>
          <w:b/>
        </w:rPr>
        <w:t>CONTRIBUTORSHIP STATEMENT</w:t>
      </w:r>
    </w:p>
    <w:p w14:paraId="389FF9E9" w14:textId="77777777" w:rsidR="00D4693F" w:rsidRPr="003F5C8E" w:rsidRDefault="00D4693F" w:rsidP="00D4693F">
      <w:pPr>
        <w:spacing w:after="0" w:line="360" w:lineRule="auto"/>
        <w:rPr>
          <w:rStyle w:val="corresp-label"/>
          <w:rFonts w:cstheme="minorHAnsi"/>
          <w:b/>
        </w:rPr>
      </w:pPr>
      <w:r w:rsidRPr="003F5C8E">
        <w:rPr>
          <w:rFonts w:cstheme="minorHAnsi"/>
        </w:rPr>
        <w:t>RJH and GJM conceived the idea for the study, and wrote the analysis plan, which was undertaken by LD. JS, RJH and KWB developed the qualitative study and KS undertook the interviews and analysis, supported by RJH and KWB. The manuscript was written by RJH together with LD, KS and KWB. All authors reviewed the data and critically reviewed the manuscript for important intellectual content.</w:t>
      </w:r>
    </w:p>
    <w:p w14:paraId="6C43283F" w14:textId="77777777" w:rsidR="00D4693F" w:rsidRDefault="00D4693F" w:rsidP="00D4693F">
      <w:pPr>
        <w:rPr>
          <w:rFonts w:cstheme="minorHAnsi"/>
          <w:b/>
        </w:rPr>
      </w:pPr>
    </w:p>
    <w:p w14:paraId="676BF976" w14:textId="1FE6F3E3" w:rsidR="00D4693F" w:rsidRPr="00553FBF" w:rsidRDefault="00D4693F" w:rsidP="00D4693F">
      <w:pPr>
        <w:rPr>
          <w:rFonts w:cstheme="minorHAnsi"/>
          <w:b/>
        </w:rPr>
      </w:pPr>
      <w:r>
        <w:rPr>
          <w:rFonts w:cstheme="minorHAnsi"/>
          <w:b/>
        </w:rPr>
        <w:t>FUNDING</w:t>
      </w:r>
    </w:p>
    <w:p w14:paraId="344E1862" w14:textId="03BD3AB5" w:rsidR="00D4693F" w:rsidRDefault="00D4693F" w:rsidP="00D4693F">
      <w:pPr>
        <w:spacing w:line="360" w:lineRule="auto"/>
        <w:rPr>
          <w:rFonts w:cstheme="minorHAnsi"/>
        </w:rPr>
      </w:pPr>
      <w:r w:rsidRPr="00553FBF">
        <w:rPr>
          <w:rFonts w:cstheme="minorHAnsi"/>
        </w:rPr>
        <w:t>The BSRBR-AS is funded by the British Society of Rheumatology who have received funding for this, in part, from Pfizer, Abbvie and UCB. These companies receive advance copies of results but have no input in determining the topics for analysis or work involved in undertaking it. This work was conducted within the Versus Arthritis/Medical Research Council Centre for Musculoskeletal Work and Health (Grant No: 20665).</w:t>
      </w:r>
    </w:p>
    <w:p w14:paraId="0D81E1A3" w14:textId="200EB7E7" w:rsidR="00D4693F" w:rsidRDefault="00D4693F" w:rsidP="00D4693F">
      <w:pPr>
        <w:spacing w:line="360" w:lineRule="auto"/>
        <w:rPr>
          <w:rFonts w:cstheme="minorHAnsi"/>
          <w:b/>
        </w:rPr>
      </w:pPr>
      <w:r>
        <w:rPr>
          <w:rFonts w:cstheme="minorHAnsi"/>
          <w:b/>
        </w:rPr>
        <w:t>COMPETING INTERESTS</w:t>
      </w:r>
    </w:p>
    <w:p w14:paraId="6FB1E3B2" w14:textId="2EFF52BE" w:rsidR="00D4693F" w:rsidRPr="00D4693F" w:rsidRDefault="00D4693F" w:rsidP="00D4693F">
      <w:pPr>
        <w:spacing w:line="360" w:lineRule="auto"/>
        <w:rPr>
          <w:rFonts w:cstheme="minorHAnsi"/>
        </w:rPr>
      </w:pPr>
      <w:r>
        <w:rPr>
          <w:rFonts w:cstheme="minorHAnsi"/>
        </w:rPr>
        <w:t>None declared.</w:t>
      </w:r>
    </w:p>
    <w:p w14:paraId="5D7FA718" w14:textId="2D55D35E" w:rsidR="00C94FC9" w:rsidRPr="00D4693F" w:rsidRDefault="00D4693F" w:rsidP="00D4693F">
      <w:pPr>
        <w:rPr>
          <w:rFonts w:ascii="Calibri" w:hAnsi="Calibri" w:cs="Calibri"/>
          <w:b/>
        </w:rPr>
      </w:pPr>
      <w:r>
        <w:rPr>
          <w:rFonts w:ascii="Calibri" w:hAnsi="Calibri" w:cs="Calibri"/>
          <w:b/>
        </w:rPr>
        <w:br w:type="page"/>
      </w:r>
      <w:r>
        <w:rPr>
          <w:rFonts w:ascii="Calibri" w:hAnsi="Calibri" w:cs="Calibri"/>
          <w:b/>
        </w:rPr>
        <w:lastRenderedPageBreak/>
        <w:t>REFERENCES</w:t>
      </w:r>
    </w:p>
    <w:p w14:paraId="6EB5ECEF" w14:textId="37A38179" w:rsidR="00724A8E" w:rsidRPr="009F5218" w:rsidRDefault="00724A8E" w:rsidP="009F5218">
      <w:pPr>
        <w:pStyle w:val="ListParagraph"/>
        <w:numPr>
          <w:ilvl w:val="0"/>
          <w:numId w:val="11"/>
        </w:numPr>
        <w:spacing w:line="276" w:lineRule="auto"/>
        <w:rPr>
          <w:rFonts w:cstheme="minorHAnsi"/>
        </w:rPr>
      </w:pPr>
      <w:r w:rsidRPr="009F5218">
        <w:rPr>
          <w:rFonts w:cstheme="minorHAnsi"/>
        </w:rPr>
        <w:t xml:space="preserve">Bryngelson A. Long-term sickness absence and social exclusion. </w:t>
      </w:r>
      <w:r w:rsidRPr="00815793">
        <w:rPr>
          <w:rFonts w:cstheme="minorHAnsi"/>
          <w:i/>
        </w:rPr>
        <w:t>Scandinavian Journal of Public Health</w:t>
      </w:r>
      <w:r w:rsidRPr="009F5218">
        <w:rPr>
          <w:rFonts w:cstheme="minorHAnsi"/>
        </w:rPr>
        <w:t xml:space="preserve"> 2009. 37:839-845.</w:t>
      </w:r>
    </w:p>
    <w:p w14:paraId="36E03576" w14:textId="049781F8" w:rsidR="00724A8E" w:rsidRPr="009F5218" w:rsidRDefault="00724A8E" w:rsidP="009F5218">
      <w:pPr>
        <w:pStyle w:val="ListParagraph"/>
        <w:numPr>
          <w:ilvl w:val="0"/>
          <w:numId w:val="11"/>
        </w:numPr>
        <w:spacing w:line="276" w:lineRule="auto"/>
        <w:rPr>
          <w:rStyle w:val="Hyperlink"/>
          <w:rFonts w:cstheme="minorHAnsi"/>
        </w:rPr>
      </w:pPr>
      <w:r w:rsidRPr="009F5218">
        <w:rPr>
          <w:rFonts w:cstheme="minorHAnsi"/>
        </w:rPr>
        <w:t xml:space="preserve">Walker Bone K, Black C. The importance of work participation as an outcome in rheumatology. </w:t>
      </w:r>
      <w:r w:rsidRPr="00815793">
        <w:rPr>
          <w:rFonts w:cstheme="minorHAnsi"/>
          <w:i/>
        </w:rPr>
        <w:t>Rheumatology</w:t>
      </w:r>
      <w:r w:rsidRPr="009F5218">
        <w:rPr>
          <w:rFonts w:cstheme="minorHAnsi"/>
        </w:rPr>
        <w:t xml:space="preserve"> 2016. 55 (8):1345–1347. DOI: </w:t>
      </w:r>
      <w:hyperlink r:id="rId10" w:history="1">
        <w:r w:rsidRPr="009F5218">
          <w:rPr>
            <w:rStyle w:val="Hyperlink"/>
            <w:rFonts w:cstheme="minorHAnsi"/>
          </w:rPr>
          <w:t>https://doi.org/10.1093/rheumatology/kew147</w:t>
        </w:r>
      </w:hyperlink>
    </w:p>
    <w:p w14:paraId="27F5D311" w14:textId="70598FAB" w:rsidR="00C94FC9" w:rsidRPr="009F5218" w:rsidRDefault="00C94FC9" w:rsidP="009F5218">
      <w:pPr>
        <w:pStyle w:val="ListParagraph"/>
        <w:numPr>
          <w:ilvl w:val="0"/>
          <w:numId w:val="11"/>
        </w:numPr>
        <w:spacing w:line="276" w:lineRule="auto"/>
        <w:rPr>
          <w:rFonts w:cstheme="minorHAnsi"/>
        </w:rPr>
      </w:pPr>
      <w:r w:rsidRPr="009F5218">
        <w:rPr>
          <w:rFonts w:cstheme="minorHAnsi"/>
        </w:rPr>
        <w:t xml:space="preserve">Ariza-Ariza R, Hernández-Cruz B, Collantes E, Batlle E, Fernández-Sueiro JL, Gratacós J. Work disability in patients with ankylosing spondylitis. </w:t>
      </w:r>
      <w:r w:rsidRPr="00815793">
        <w:rPr>
          <w:rFonts w:cstheme="minorHAnsi"/>
          <w:i/>
        </w:rPr>
        <w:t>J Rheumatol</w:t>
      </w:r>
      <w:r w:rsidRPr="009F5218">
        <w:rPr>
          <w:rFonts w:cstheme="minorHAnsi"/>
        </w:rPr>
        <w:t xml:space="preserve"> 2009. 36(11):2512-6. DOI:  </w:t>
      </w:r>
      <w:hyperlink r:id="rId11" w:history="1">
        <w:r w:rsidRPr="009F5218">
          <w:rPr>
            <w:rStyle w:val="Hyperlink"/>
            <w:rFonts w:cstheme="minorHAnsi"/>
          </w:rPr>
          <w:t>https://doi.org/10.3899/jrheum.090481</w:t>
        </w:r>
      </w:hyperlink>
      <w:r w:rsidRPr="009F5218">
        <w:rPr>
          <w:rFonts w:cstheme="minorHAnsi"/>
        </w:rPr>
        <w:t xml:space="preserve"> </w:t>
      </w:r>
    </w:p>
    <w:p w14:paraId="468B2FFA" w14:textId="41400B4B" w:rsidR="00724A8E" w:rsidRPr="009F5218" w:rsidRDefault="00724A8E" w:rsidP="009F5218">
      <w:pPr>
        <w:pStyle w:val="ListParagraph"/>
        <w:numPr>
          <w:ilvl w:val="0"/>
          <w:numId w:val="11"/>
        </w:numPr>
        <w:spacing w:line="276" w:lineRule="auto"/>
        <w:rPr>
          <w:rFonts w:cstheme="minorHAnsi"/>
        </w:rPr>
      </w:pPr>
      <w:r w:rsidRPr="009F5218">
        <w:rPr>
          <w:rFonts w:cstheme="minorHAnsi"/>
        </w:rPr>
        <w:t xml:space="preserve">Boonen A, Van Der Linden SM. The burden of ankylosing spondylitis. </w:t>
      </w:r>
      <w:r w:rsidRPr="00815793">
        <w:rPr>
          <w:rFonts w:cstheme="minorHAnsi"/>
          <w:i/>
        </w:rPr>
        <w:t>J Rheumatol</w:t>
      </w:r>
      <w:r w:rsidRPr="009F5218">
        <w:rPr>
          <w:rFonts w:cstheme="minorHAnsi"/>
        </w:rPr>
        <w:t xml:space="preserve"> 2006;33:4–11</w:t>
      </w:r>
    </w:p>
    <w:p w14:paraId="27D29864" w14:textId="553111BF" w:rsidR="00724A8E" w:rsidRPr="009F5218" w:rsidRDefault="00815793" w:rsidP="009F5218">
      <w:pPr>
        <w:pStyle w:val="ListParagraph"/>
        <w:numPr>
          <w:ilvl w:val="0"/>
          <w:numId w:val="11"/>
        </w:numPr>
        <w:spacing w:line="276" w:lineRule="auto"/>
        <w:rPr>
          <w:rFonts w:cstheme="minorHAnsi"/>
        </w:rPr>
      </w:pPr>
      <w:r>
        <w:rPr>
          <w:rFonts w:cstheme="minorHAnsi"/>
        </w:rPr>
        <w:t xml:space="preserve">Barlow JH, Wright CC, Williams B, Keat A. </w:t>
      </w:r>
      <w:r w:rsidR="00724A8E" w:rsidRPr="009F5218">
        <w:rPr>
          <w:rFonts w:cstheme="minorHAnsi"/>
        </w:rPr>
        <w:t>Work disability Among People with Ankylosing Spondylitis</w:t>
      </w:r>
      <w:r>
        <w:rPr>
          <w:rFonts w:cstheme="minorHAnsi"/>
        </w:rPr>
        <w:t>.</w:t>
      </w:r>
      <w:r w:rsidR="00724A8E" w:rsidRPr="009F5218">
        <w:rPr>
          <w:rFonts w:cstheme="minorHAnsi"/>
        </w:rPr>
        <w:t xml:space="preserve"> </w:t>
      </w:r>
      <w:r w:rsidR="00724A8E" w:rsidRPr="00815793">
        <w:rPr>
          <w:rFonts w:cstheme="minorHAnsi"/>
          <w:i/>
        </w:rPr>
        <w:t>Arthritis Care &amp; Research</w:t>
      </w:r>
      <w:r w:rsidR="00724A8E" w:rsidRPr="009F5218">
        <w:rPr>
          <w:rFonts w:cstheme="minorHAnsi"/>
        </w:rPr>
        <w:t xml:space="preserve"> </w:t>
      </w:r>
      <w:r>
        <w:rPr>
          <w:rFonts w:cstheme="minorHAnsi"/>
        </w:rPr>
        <w:t xml:space="preserve">2001; </w:t>
      </w:r>
      <w:r w:rsidR="00724A8E" w:rsidRPr="009F5218">
        <w:rPr>
          <w:rFonts w:cstheme="minorHAnsi"/>
        </w:rPr>
        <w:t>45:424-429</w:t>
      </w:r>
    </w:p>
    <w:p w14:paraId="39B9997F" w14:textId="6C8BF81D" w:rsidR="00724A8E" w:rsidRPr="009F5218" w:rsidRDefault="00724A8E" w:rsidP="009F5218">
      <w:pPr>
        <w:pStyle w:val="ListParagraph"/>
        <w:numPr>
          <w:ilvl w:val="0"/>
          <w:numId w:val="11"/>
        </w:numPr>
        <w:spacing w:line="276" w:lineRule="auto"/>
        <w:rPr>
          <w:rFonts w:cstheme="minorHAnsi"/>
        </w:rPr>
      </w:pPr>
      <w:r w:rsidRPr="009F5218">
        <w:rPr>
          <w:rFonts w:cstheme="minorHAnsi"/>
        </w:rPr>
        <w:t xml:space="preserve">Cakar </w:t>
      </w:r>
      <w:r w:rsidR="00815793">
        <w:rPr>
          <w:rFonts w:cstheme="minorHAnsi"/>
        </w:rPr>
        <w:t xml:space="preserve">E, Taskaynatan MA, </w:t>
      </w:r>
      <w:r w:rsidRPr="009F5218">
        <w:rPr>
          <w:rFonts w:cstheme="minorHAnsi"/>
        </w:rPr>
        <w:t xml:space="preserve">Dincer U, et al. Work disability in ankylosing spondylitis: differences among working and work-disabled patients. </w:t>
      </w:r>
      <w:r w:rsidRPr="00815793">
        <w:rPr>
          <w:rFonts w:cstheme="minorHAnsi"/>
          <w:i/>
        </w:rPr>
        <w:t>Clin Rheumatol</w:t>
      </w:r>
      <w:r w:rsidRPr="009F5218">
        <w:rPr>
          <w:rFonts w:cstheme="minorHAnsi"/>
        </w:rPr>
        <w:t xml:space="preserve"> 2009;</w:t>
      </w:r>
      <w:r w:rsidR="00815793">
        <w:rPr>
          <w:rFonts w:cstheme="minorHAnsi"/>
        </w:rPr>
        <w:t xml:space="preserve"> </w:t>
      </w:r>
      <w:r w:rsidRPr="009F5218">
        <w:rPr>
          <w:rFonts w:cstheme="minorHAnsi"/>
        </w:rPr>
        <w:t>28:1309</w:t>
      </w:r>
    </w:p>
    <w:p w14:paraId="708385A5" w14:textId="06967F13" w:rsidR="00724A8E" w:rsidRPr="00014949" w:rsidRDefault="00724A8E" w:rsidP="009F5218">
      <w:pPr>
        <w:pStyle w:val="ListParagraph"/>
        <w:numPr>
          <w:ilvl w:val="0"/>
          <w:numId w:val="11"/>
        </w:numPr>
        <w:spacing w:line="276" w:lineRule="auto"/>
        <w:rPr>
          <w:rFonts w:cstheme="minorHAnsi"/>
        </w:rPr>
      </w:pPr>
      <w:r w:rsidRPr="009F5218">
        <w:rPr>
          <w:rFonts w:cstheme="minorHAnsi"/>
        </w:rPr>
        <w:t>Macfarlane</w:t>
      </w:r>
      <w:r w:rsidR="009F5218">
        <w:rPr>
          <w:rFonts w:cstheme="minorHAnsi"/>
        </w:rPr>
        <w:t xml:space="preserve"> GJ, Shim J, Jones GT, Walker-Bone K, Pathan E, Dean LE. Identifying persons with axial spondyloarthritis at risk of poor work putcome: results from the British Society for Rheumatology Biologics Register. </w:t>
      </w:r>
      <w:r w:rsidR="00815793" w:rsidRPr="00B61689">
        <w:rPr>
          <w:rFonts w:cstheme="minorHAnsi"/>
          <w:i/>
        </w:rPr>
        <w:t>J Rheumatol</w:t>
      </w:r>
      <w:r w:rsidRPr="009F5218">
        <w:rPr>
          <w:rFonts w:cstheme="minorHAnsi"/>
        </w:rPr>
        <w:t xml:space="preserve"> </w:t>
      </w:r>
      <w:r w:rsidR="00014949" w:rsidRPr="00014949">
        <w:rPr>
          <w:rStyle w:val="highwire-cite-metadata-date"/>
          <w:rFonts w:cstheme="minorHAnsi"/>
          <w:color w:val="2E2B2B"/>
          <w:bdr w:val="none" w:sz="0" w:space="0" w:color="auto" w:frame="1"/>
        </w:rPr>
        <w:t xml:space="preserve">2019; </w:t>
      </w:r>
      <w:r w:rsidR="00014949" w:rsidRPr="00014949">
        <w:rPr>
          <w:rStyle w:val="highwire-cite-metadata-volume"/>
          <w:rFonts w:cstheme="minorHAnsi"/>
          <w:color w:val="2E2B2B"/>
          <w:bdr w:val="none" w:sz="0" w:space="0" w:color="auto" w:frame="1"/>
        </w:rPr>
        <w:t xml:space="preserve">46 </w:t>
      </w:r>
      <w:r w:rsidR="00014949" w:rsidRPr="00014949">
        <w:rPr>
          <w:rStyle w:val="highwire-cite-metadata-issue"/>
          <w:rFonts w:cstheme="minorHAnsi"/>
          <w:color w:val="2E2B2B"/>
          <w:bdr w:val="none" w:sz="0" w:space="0" w:color="auto" w:frame="1"/>
        </w:rPr>
        <w:t xml:space="preserve">(2): </w:t>
      </w:r>
      <w:r w:rsidR="00014949" w:rsidRPr="00014949">
        <w:rPr>
          <w:rStyle w:val="highwire-cite-metadata-pages"/>
          <w:rFonts w:cstheme="minorHAnsi"/>
          <w:color w:val="2E2B2B"/>
          <w:bdr w:val="none" w:sz="0" w:space="0" w:color="auto" w:frame="1"/>
        </w:rPr>
        <w:t xml:space="preserve">145-152; </w:t>
      </w:r>
      <w:r w:rsidR="00014949" w:rsidRPr="00014949">
        <w:rPr>
          <w:rStyle w:val="highwire-cite-metadata-doi"/>
          <w:rFonts w:cstheme="minorHAnsi"/>
          <w:color w:val="2E2B2B"/>
          <w:bdr w:val="none" w:sz="0" w:space="0" w:color="auto" w:frame="1"/>
        </w:rPr>
        <w:t>DOI: https://doi.org/10.3899/jrheum.180477</w:t>
      </w:r>
    </w:p>
    <w:p w14:paraId="2250F785" w14:textId="5832B081" w:rsidR="00724A8E" w:rsidRPr="009F5218" w:rsidRDefault="00724A8E" w:rsidP="009F5218">
      <w:pPr>
        <w:pStyle w:val="ListParagraph"/>
        <w:numPr>
          <w:ilvl w:val="0"/>
          <w:numId w:val="11"/>
        </w:numPr>
        <w:spacing w:line="276" w:lineRule="auto"/>
        <w:rPr>
          <w:rFonts w:cstheme="minorHAnsi"/>
        </w:rPr>
      </w:pPr>
      <w:r w:rsidRPr="009F5218">
        <w:rPr>
          <w:rFonts w:cstheme="minorHAnsi"/>
        </w:rPr>
        <w:t xml:space="preserve">Shim J, Jones GT, Pathan EMI, Macfarlane GJ. Impact of biological therapy on work outcomes in patients with axial spondyloarthritis: results from the British Society for Rheumatology Biologics Register (BSRBR-AS) and meta-analysis. </w:t>
      </w:r>
      <w:r w:rsidR="00B61689" w:rsidRPr="00B61689">
        <w:rPr>
          <w:rFonts w:cstheme="minorHAnsi"/>
          <w:i/>
        </w:rPr>
        <w:t>Ann Rheum Dis</w:t>
      </w:r>
      <w:r w:rsidR="00B61689">
        <w:rPr>
          <w:rFonts w:cstheme="minorHAnsi"/>
        </w:rPr>
        <w:t xml:space="preserve"> 2018; </w:t>
      </w:r>
      <w:r w:rsidRPr="009F5218">
        <w:rPr>
          <w:rFonts w:cstheme="minorHAnsi"/>
        </w:rPr>
        <w:t>77(11)</w:t>
      </w:r>
      <w:r w:rsidR="00B61689">
        <w:rPr>
          <w:rFonts w:cstheme="minorHAnsi"/>
        </w:rPr>
        <w:t xml:space="preserve">. </w:t>
      </w:r>
      <w:hyperlink r:id="rId12" w:history="1">
        <w:r w:rsidRPr="009F5218">
          <w:rPr>
            <w:rStyle w:val="Hyperlink"/>
            <w:rFonts w:cstheme="minorHAnsi"/>
          </w:rPr>
          <w:t>doi.org/10.1136/annrheumdis-2018-213590</w:t>
        </w:r>
      </w:hyperlink>
      <w:r w:rsidRPr="009F5218">
        <w:rPr>
          <w:rFonts w:cstheme="minorHAnsi"/>
        </w:rPr>
        <w:t>.</w:t>
      </w:r>
    </w:p>
    <w:p w14:paraId="3BE29FAD" w14:textId="63DB53F7" w:rsidR="00724A8E" w:rsidRPr="009F5218" w:rsidRDefault="00724A8E" w:rsidP="00D50C30">
      <w:pPr>
        <w:pStyle w:val="ListParagraph"/>
        <w:numPr>
          <w:ilvl w:val="0"/>
          <w:numId w:val="11"/>
        </w:numPr>
        <w:spacing w:after="0" w:line="276" w:lineRule="auto"/>
        <w:ind w:left="714" w:hanging="357"/>
        <w:rPr>
          <w:rFonts w:cstheme="minorHAnsi"/>
        </w:rPr>
      </w:pPr>
      <w:r w:rsidRPr="009F5218">
        <w:rPr>
          <w:rFonts w:cstheme="minorHAnsi"/>
        </w:rPr>
        <w:t>Henning-Smith</w:t>
      </w:r>
      <w:r w:rsidR="00D50C30">
        <w:rPr>
          <w:rFonts w:cstheme="minorHAnsi"/>
        </w:rPr>
        <w:t xml:space="preserve"> C &amp; Lahr M. Rural-Urban Difference in Workplace Supports and Impacts for Employed Caregivers. </w:t>
      </w:r>
      <w:r w:rsidR="00D50C30" w:rsidRPr="00B61689">
        <w:rPr>
          <w:rFonts w:cstheme="minorHAnsi"/>
          <w:i/>
        </w:rPr>
        <w:t>The Journal of Rural Health</w:t>
      </w:r>
      <w:r w:rsidR="00D50C30">
        <w:rPr>
          <w:rFonts w:cstheme="minorHAnsi"/>
        </w:rPr>
        <w:t xml:space="preserve"> 2019; 35: 49-57 doi: 10.1111/jrh.12309</w:t>
      </w:r>
    </w:p>
    <w:p w14:paraId="1A87FC6A" w14:textId="16B9E520" w:rsidR="009F5218" w:rsidRPr="00B61689" w:rsidRDefault="00F5304A" w:rsidP="00B61689">
      <w:pPr>
        <w:pStyle w:val="EndNoteBibliography"/>
        <w:numPr>
          <w:ilvl w:val="0"/>
          <w:numId w:val="11"/>
        </w:numPr>
        <w:spacing w:after="0" w:line="276" w:lineRule="auto"/>
        <w:ind w:left="714" w:hanging="357"/>
        <w:jc w:val="left"/>
        <w:rPr>
          <w:rFonts w:asciiTheme="minorHAnsi" w:hAnsiTheme="minorHAnsi" w:cstheme="minorHAnsi"/>
          <w:sz w:val="22"/>
        </w:rPr>
      </w:pPr>
      <w:r w:rsidRPr="009F5218">
        <w:rPr>
          <w:rFonts w:asciiTheme="minorHAnsi" w:hAnsiTheme="minorHAnsi" w:cstheme="minorHAnsi"/>
          <w:sz w:val="22"/>
        </w:rPr>
        <w:t xml:space="preserve">Farmer JC, Baird AG, Iversen L. Rural deprivation: reflecting reality. </w:t>
      </w:r>
      <w:r w:rsidRPr="00B61689">
        <w:rPr>
          <w:rFonts w:asciiTheme="minorHAnsi" w:hAnsiTheme="minorHAnsi" w:cstheme="minorHAnsi"/>
          <w:i/>
          <w:sz w:val="22"/>
        </w:rPr>
        <w:t>Br J Gen Pract</w:t>
      </w:r>
      <w:r w:rsidRPr="00B61689">
        <w:rPr>
          <w:rFonts w:asciiTheme="minorHAnsi" w:hAnsiTheme="minorHAnsi" w:cstheme="minorHAnsi"/>
          <w:sz w:val="22"/>
        </w:rPr>
        <w:t xml:space="preserve"> 2001;</w:t>
      </w:r>
      <w:r w:rsidR="00B61689">
        <w:rPr>
          <w:rFonts w:asciiTheme="minorHAnsi" w:hAnsiTheme="minorHAnsi" w:cstheme="minorHAnsi"/>
          <w:sz w:val="22"/>
        </w:rPr>
        <w:t xml:space="preserve"> </w:t>
      </w:r>
      <w:r w:rsidRPr="00B61689">
        <w:rPr>
          <w:rFonts w:asciiTheme="minorHAnsi" w:hAnsiTheme="minorHAnsi" w:cstheme="minorHAnsi"/>
          <w:sz w:val="22"/>
        </w:rPr>
        <w:t>51(467):486-91.</w:t>
      </w:r>
    </w:p>
    <w:p w14:paraId="3CD11ECC" w14:textId="26014A31" w:rsidR="00A64468" w:rsidRPr="009F5218" w:rsidRDefault="00A64468" w:rsidP="009F5218">
      <w:pPr>
        <w:pStyle w:val="EndNoteBibliography"/>
        <w:numPr>
          <w:ilvl w:val="0"/>
          <w:numId w:val="11"/>
        </w:numPr>
        <w:spacing w:after="0" w:line="276" w:lineRule="auto"/>
        <w:jc w:val="left"/>
        <w:rPr>
          <w:rFonts w:asciiTheme="minorHAnsi" w:hAnsiTheme="minorHAnsi" w:cstheme="minorHAnsi"/>
          <w:sz w:val="22"/>
        </w:rPr>
      </w:pPr>
      <w:r w:rsidRPr="009F5218">
        <w:rPr>
          <w:rFonts w:asciiTheme="minorHAnsi" w:hAnsiTheme="minorHAnsi" w:cstheme="minorHAnsi"/>
          <w:sz w:val="22"/>
        </w:rPr>
        <w:t xml:space="preserve">Rural Health Information Hub. Rural Aging [Available from: </w:t>
      </w:r>
      <w:hyperlink r:id="rId13" w:history="1">
        <w:r w:rsidRPr="009F5218">
          <w:rPr>
            <w:rStyle w:val="Hyperlink"/>
            <w:rFonts w:asciiTheme="minorHAnsi" w:hAnsiTheme="minorHAnsi" w:cstheme="minorHAnsi"/>
            <w:sz w:val="22"/>
          </w:rPr>
          <w:t>https://www.ruralhealthinfo.org/topics/aging</w:t>
        </w:r>
      </w:hyperlink>
      <w:r w:rsidRPr="009F5218">
        <w:rPr>
          <w:rFonts w:asciiTheme="minorHAnsi" w:hAnsiTheme="minorHAnsi" w:cstheme="minorHAnsi"/>
          <w:sz w:val="22"/>
        </w:rPr>
        <w:t>]. Accessed 15</w:t>
      </w:r>
      <w:r w:rsidRPr="009F5218">
        <w:rPr>
          <w:rFonts w:asciiTheme="minorHAnsi" w:hAnsiTheme="minorHAnsi" w:cstheme="minorHAnsi"/>
          <w:sz w:val="22"/>
          <w:vertAlign w:val="superscript"/>
        </w:rPr>
        <w:t>th</w:t>
      </w:r>
      <w:r w:rsidRPr="009F5218">
        <w:rPr>
          <w:rFonts w:asciiTheme="minorHAnsi" w:hAnsiTheme="minorHAnsi" w:cstheme="minorHAnsi"/>
          <w:sz w:val="22"/>
        </w:rPr>
        <w:t xml:space="preserve"> August 2019.</w:t>
      </w:r>
    </w:p>
    <w:p w14:paraId="3D973E05" w14:textId="679A12CD" w:rsidR="00A64468" w:rsidRPr="009F5218" w:rsidRDefault="00A64468" w:rsidP="009F5218">
      <w:pPr>
        <w:pStyle w:val="EndNoteBibliography"/>
        <w:numPr>
          <w:ilvl w:val="0"/>
          <w:numId w:val="11"/>
        </w:numPr>
        <w:spacing w:after="0" w:line="276" w:lineRule="auto"/>
        <w:jc w:val="left"/>
        <w:rPr>
          <w:rFonts w:asciiTheme="minorHAnsi" w:hAnsiTheme="minorHAnsi" w:cstheme="minorHAnsi"/>
          <w:sz w:val="22"/>
        </w:rPr>
      </w:pPr>
      <w:r w:rsidRPr="009F5218">
        <w:rPr>
          <w:rFonts w:asciiTheme="minorHAnsi" w:hAnsiTheme="minorHAnsi" w:cstheme="minorHAnsi"/>
          <w:sz w:val="22"/>
        </w:rPr>
        <w:t xml:space="preserve">Scottish Government. Rural Scotland Key Facts. 2018 [Available from: </w:t>
      </w:r>
      <w:hyperlink r:id="rId14" w:history="1">
        <w:r w:rsidRPr="009F5218">
          <w:rPr>
            <w:rStyle w:val="Hyperlink"/>
            <w:rFonts w:asciiTheme="minorHAnsi" w:hAnsiTheme="minorHAnsi" w:cstheme="minorHAnsi"/>
            <w:sz w:val="22"/>
          </w:rPr>
          <w:t>https://www.gov.scot/publications/rural-scotland-key-facts-2018/</w:t>
        </w:r>
      </w:hyperlink>
      <w:r w:rsidRPr="009F5218">
        <w:rPr>
          <w:rFonts w:asciiTheme="minorHAnsi" w:hAnsiTheme="minorHAnsi" w:cstheme="minorHAnsi"/>
          <w:sz w:val="22"/>
        </w:rPr>
        <w:t>]. Accessed 15</w:t>
      </w:r>
      <w:r w:rsidRPr="009F5218">
        <w:rPr>
          <w:rFonts w:asciiTheme="minorHAnsi" w:hAnsiTheme="minorHAnsi" w:cstheme="minorHAnsi"/>
          <w:sz w:val="22"/>
          <w:vertAlign w:val="superscript"/>
        </w:rPr>
        <w:t>th</w:t>
      </w:r>
      <w:r w:rsidRPr="009F5218">
        <w:rPr>
          <w:rFonts w:asciiTheme="minorHAnsi" w:hAnsiTheme="minorHAnsi" w:cstheme="minorHAnsi"/>
          <w:sz w:val="22"/>
        </w:rPr>
        <w:t xml:space="preserve"> August 2019.</w:t>
      </w:r>
    </w:p>
    <w:p w14:paraId="0FC74000" w14:textId="4031EB37" w:rsidR="00A64468" w:rsidRPr="009F5218" w:rsidRDefault="00A64468" w:rsidP="009F5218">
      <w:pPr>
        <w:pStyle w:val="EndNoteBibliography"/>
        <w:numPr>
          <w:ilvl w:val="0"/>
          <w:numId w:val="11"/>
        </w:numPr>
        <w:spacing w:after="0" w:line="276" w:lineRule="auto"/>
        <w:jc w:val="left"/>
        <w:rPr>
          <w:rFonts w:asciiTheme="minorHAnsi" w:hAnsiTheme="minorHAnsi" w:cstheme="minorHAnsi"/>
          <w:sz w:val="22"/>
        </w:rPr>
      </w:pPr>
      <w:r w:rsidRPr="009F5218">
        <w:rPr>
          <w:rFonts w:asciiTheme="minorHAnsi" w:hAnsiTheme="minorHAnsi" w:cstheme="minorHAnsi"/>
          <w:sz w:val="22"/>
        </w:rPr>
        <w:t xml:space="preserve">Nair BV, Schuler R, Stewart S, Taylor-Gjevre RM. Self-Reported Barriers to Healthcare Access for Rheumatoid Arthritis Patients in Rural and Northern Saskatchewan: A Mixed Methods Study. </w:t>
      </w:r>
      <w:r w:rsidRPr="00B61689">
        <w:rPr>
          <w:rFonts w:asciiTheme="minorHAnsi" w:hAnsiTheme="minorHAnsi" w:cstheme="minorHAnsi"/>
          <w:i/>
          <w:sz w:val="22"/>
        </w:rPr>
        <w:t>Musculoskeletal Care</w:t>
      </w:r>
      <w:r w:rsidRPr="009F5218">
        <w:rPr>
          <w:rFonts w:asciiTheme="minorHAnsi" w:hAnsiTheme="minorHAnsi" w:cstheme="minorHAnsi"/>
          <w:sz w:val="22"/>
        </w:rPr>
        <w:t xml:space="preserve"> 2016;14(4):243-51.</w:t>
      </w:r>
    </w:p>
    <w:p w14:paraId="00029A9B" w14:textId="41365656" w:rsidR="00A64468" w:rsidRPr="009F5218" w:rsidRDefault="00A64468" w:rsidP="009F5218">
      <w:pPr>
        <w:pStyle w:val="EndNoteBibliography"/>
        <w:numPr>
          <w:ilvl w:val="0"/>
          <w:numId w:val="11"/>
        </w:numPr>
        <w:spacing w:after="0" w:line="276" w:lineRule="auto"/>
        <w:jc w:val="left"/>
        <w:rPr>
          <w:rFonts w:asciiTheme="minorHAnsi" w:hAnsiTheme="minorHAnsi" w:cstheme="minorHAnsi"/>
          <w:sz w:val="22"/>
        </w:rPr>
      </w:pPr>
      <w:r w:rsidRPr="009F5218">
        <w:rPr>
          <w:rFonts w:asciiTheme="minorHAnsi" w:hAnsiTheme="minorHAnsi" w:cstheme="minorHAnsi"/>
          <w:sz w:val="22"/>
        </w:rPr>
        <w:t xml:space="preserve">Raciborski F, Klak A, Kwiatkowska B, Batko B, Sochocka-Bykowska M, Zon-Giebel A, et al. Diagnostic delays in rheumatic diseases with associated arthritis. </w:t>
      </w:r>
      <w:r w:rsidRPr="00B61689">
        <w:rPr>
          <w:rFonts w:asciiTheme="minorHAnsi" w:hAnsiTheme="minorHAnsi" w:cstheme="minorHAnsi"/>
          <w:i/>
          <w:sz w:val="22"/>
        </w:rPr>
        <w:t>Re</w:t>
      </w:r>
      <w:r w:rsidR="00B61689">
        <w:rPr>
          <w:rFonts w:asciiTheme="minorHAnsi" w:hAnsiTheme="minorHAnsi" w:cstheme="minorHAnsi"/>
          <w:i/>
          <w:sz w:val="22"/>
        </w:rPr>
        <w:t>umatologia</w:t>
      </w:r>
      <w:r w:rsidRPr="009F5218">
        <w:rPr>
          <w:rFonts w:asciiTheme="minorHAnsi" w:hAnsiTheme="minorHAnsi" w:cstheme="minorHAnsi"/>
          <w:sz w:val="22"/>
        </w:rPr>
        <w:t xml:space="preserve"> 2017;55(4):169-76.</w:t>
      </w:r>
    </w:p>
    <w:p w14:paraId="7EF1D00C" w14:textId="205426CE" w:rsidR="00A64468" w:rsidRPr="009F5218" w:rsidRDefault="00A64468" w:rsidP="009F5218">
      <w:pPr>
        <w:pStyle w:val="EndNoteBibliography"/>
        <w:numPr>
          <w:ilvl w:val="0"/>
          <w:numId w:val="11"/>
        </w:numPr>
        <w:spacing w:after="0" w:line="276" w:lineRule="auto"/>
        <w:jc w:val="left"/>
        <w:rPr>
          <w:rFonts w:asciiTheme="minorHAnsi" w:hAnsiTheme="minorHAnsi" w:cstheme="minorHAnsi"/>
          <w:sz w:val="22"/>
        </w:rPr>
      </w:pPr>
      <w:r w:rsidRPr="009F5218">
        <w:rPr>
          <w:rFonts w:asciiTheme="minorHAnsi" w:hAnsiTheme="minorHAnsi" w:cstheme="minorHAnsi"/>
          <w:sz w:val="22"/>
        </w:rPr>
        <w:t xml:space="preserve">Widdifield J, Paterson JM, Bernatsky S, Tu K, Thorne JC, Ivers N, et al. Access to rheumatologists among patients with newly diagnosed rheumatoid arthritis in a Canadian universal public healthcare system. </w:t>
      </w:r>
      <w:r w:rsidRPr="00B61689">
        <w:rPr>
          <w:rFonts w:asciiTheme="minorHAnsi" w:hAnsiTheme="minorHAnsi" w:cstheme="minorHAnsi"/>
          <w:i/>
          <w:sz w:val="22"/>
        </w:rPr>
        <w:t>BMJ Open</w:t>
      </w:r>
      <w:r w:rsidRPr="009F5218">
        <w:rPr>
          <w:rFonts w:asciiTheme="minorHAnsi" w:hAnsiTheme="minorHAnsi" w:cstheme="minorHAnsi"/>
          <w:sz w:val="22"/>
        </w:rPr>
        <w:t xml:space="preserve"> 2014;</w:t>
      </w:r>
      <w:r w:rsidR="00B61689">
        <w:rPr>
          <w:rFonts w:asciiTheme="minorHAnsi" w:hAnsiTheme="minorHAnsi" w:cstheme="minorHAnsi"/>
          <w:sz w:val="22"/>
        </w:rPr>
        <w:t xml:space="preserve"> </w:t>
      </w:r>
      <w:r w:rsidRPr="009F5218">
        <w:rPr>
          <w:rFonts w:asciiTheme="minorHAnsi" w:hAnsiTheme="minorHAnsi" w:cstheme="minorHAnsi"/>
          <w:sz w:val="22"/>
        </w:rPr>
        <w:t>4(1):e003888.</w:t>
      </w:r>
    </w:p>
    <w:p w14:paraId="100F5450" w14:textId="1B53BCD2" w:rsidR="00626408" w:rsidRDefault="00A64468" w:rsidP="007803B5">
      <w:pPr>
        <w:pStyle w:val="EndNoteBibliography"/>
        <w:numPr>
          <w:ilvl w:val="0"/>
          <w:numId w:val="11"/>
        </w:numPr>
        <w:spacing w:after="0" w:line="276" w:lineRule="auto"/>
        <w:jc w:val="left"/>
        <w:rPr>
          <w:rFonts w:asciiTheme="minorHAnsi" w:hAnsiTheme="minorHAnsi" w:cstheme="minorHAnsi"/>
          <w:sz w:val="22"/>
        </w:rPr>
      </w:pPr>
      <w:r w:rsidRPr="00626408">
        <w:rPr>
          <w:rFonts w:asciiTheme="minorHAnsi" w:hAnsiTheme="minorHAnsi" w:cstheme="minorHAnsi"/>
          <w:sz w:val="22"/>
        </w:rPr>
        <w:t xml:space="preserve">Iltchev P, Sliwczynski A, Czeleko T, Sierocka A, Tlustochowicz M, Tlustochowicz W, et al. Epidemiology of Rheumatoid Arthritis (RA) in rural and urban areas of Poland - 2008-2012. </w:t>
      </w:r>
      <w:r w:rsidRPr="00B61689">
        <w:rPr>
          <w:rFonts w:asciiTheme="minorHAnsi" w:hAnsiTheme="minorHAnsi" w:cstheme="minorHAnsi"/>
          <w:i/>
          <w:sz w:val="22"/>
        </w:rPr>
        <w:t>Ann Agric Environ Med</w:t>
      </w:r>
      <w:r w:rsidRPr="00626408">
        <w:rPr>
          <w:rFonts w:asciiTheme="minorHAnsi" w:hAnsiTheme="minorHAnsi" w:cstheme="minorHAnsi"/>
          <w:sz w:val="22"/>
        </w:rPr>
        <w:t xml:space="preserve"> 2016;23(2):350-6.</w:t>
      </w:r>
    </w:p>
    <w:p w14:paraId="6AE494CA" w14:textId="2EB1DDA2" w:rsidR="00A64468" w:rsidRPr="00626408" w:rsidRDefault="00A64468" w:rsidP="007803B5">
      <w:pPr>
        <w:pStyle w:val="EndNoteBibliography"/>
        <w:numPr>
          <w:ilvl w:val="0"/>
          <w:numId w:val="11"/>
        </w:numPr>
        <w:spacing w:after="0" w:line="276" w:lineRule="auto"/>
        <w:jc w:val="left"/>
        <w:rPr>
          <w:rFonts w:asciiTheme="minorHAnsi" w:hAnsiTheme="minorHAnsi" w:cstheme="minorHAnsi"/>
          <w:sz w:val="22"/>
        </w:rPr>
      </w:pPr>
      <w:r w:rsidRPr="00626408">
        <w:rPr>
          <w:rFonts w:asciiTheme="minorHAnsi" w:hAnsiTheme="minorHAnsi" w:cstheme="minorHAnsi"/>
          <w:sz w:val="22"/>
        </w:rPr>
        <w:lastRenderedPageBreak/>
        <w:t xml:space="preserve">Hollick </w:t>
      </w:r>
      <w:r w:rsidR="00626408" w:rsidRPr="00626408">
        <w:rPr>
          <w:rFonts w:asciiTheme="minorHAnsi" w:hAnsiTheme="minorHAnsi" w:cstheme="minorHAnsi"/>
          <w:sz w:val="22"/>
        </w:rPr>
        <w:t>RJ &amp;</w:t>
      </w:r>
      <w:r w:rsidRPr="00626408">
        <w:rPr>
          <w:rFonts w:asciiTheme="minorHAnsi" w:hAnsiTheme="minorHAnsi" w:cstheme="minorHAnsi"/>
          <w:sz w:val="22"/>
        </w:rPr>
        <w:t xml:space="preserve"> Macfarlane</w:t>
      </w:r>
      <w:r w:rsidR="00626408" w:rsidRPr="00626408">
        <w:rPr>
          <w:rFonts w:asciiTheme="minorHAnsi" w:hAnsiTheme="minorHAnsi" w:cstheme="minorHAnsi"/>
          <w:sz w:val="22"/>
        </w:rPr>
        <w:t xml:space="preserve"> GJ.  </w:t>
      </w:r>
      <w:r w:rsidR="00626408" w:rsidRPr="00626408">
        <w:rPr>
          <w:rFonts w:cstheme="minorHAnsi"/>
          <w:sz w:val="22"/>
        </w:rPr>
        <w:t>Do patients with rheumatic diseases living in rural settings have poorer outcomes? Results from a systematic review of the literature</w:t>
      </w:r>
      <w:r w:rsidR="00626408">
        <w:rPr>
          <w:rFonts w:cstheme="minorHAnsi"/>
          <w:sz w:val="22"/>
        </w:rPr>
        <w:t>.</w:t>
      </w:r>
      <w:r w:rsidR="00626408" w:rsidRPr="00626408">
        <w:rPr>
          <w:rFonts w:cstheme="minorHAnsi"/>
          <w:sz w:val="22"/>
        </w:rPr>
        <w:t xml:space="preserve"> </w:t>
      </w:r>
      <w:r w:rsidR="00626408">
        <w:rPr>
          <w:rFonts w:asciiTheme="minorHAnsi" w:hAnsiTheme="minorHAnsi" w:cstheme="minorHAnsi"/>
          <w:sz w:val="22"/>
        </w:rPr>
        <w:t>Arthritis Care and Research</w:t>
      </w:r>
      <w:r w:rsidR="00774AC6">
        <w:rPr>
          <w:rFonts w:asciiTheme="minorHAnsi" w:hAnsiTheme="minorHAnsi" w:cstheme="minorHAnsi"/>
          <w:sz w:val="22"/>
        </w:rPr>
        <w:t xml:space="preserve">, </w:t>
      </w:r>
      <w:r w:rsidR="00774AC6" w:rsidRPr="00774AC6">
        <w:rPr>
          <w:rFonts w:asciiTheme="minorHAnsi" w:hAnsiTheme="minorHAnsi" w:cstheme="minorHAnsi"/>
          <w:i/>
          <w:sz w:val="22"/>
        </w:rPr>
        <w:t>In press</w:t>
      </w:r>
      <w:r w:rsidR="00626408">
        <w:rPr>
          <w:rFonts w:asciiTheme="minorHAnsi" w:hAnsiTheme="minorHAnsi" w:cstheme="minorHAnsi"/>
          <w:sz w:val="22"/>
        </w:rPr>
        <w:t>.</w:t>
      </w:r>
    </w:p>
    <w:p w14:paraId="29F72CF4" w14:textId="41EA40D7" w:rsidR="00A64468" w:rsidRPr="009F5218" w:rsidRDefault="00A64468" w:rsidP="00D50C30">
      <w:pPr>
        <w:pStyle w:val="CommentText"/>
        <w:numPr>
          <w:ilvl w:val="0"/>
          <w:numId w:val="11"/>
        </w:numPr>
        <w:spacing w:after="0" w:line="276" w:lineRule="auto"/>
        <w:ind w:left="714" w:hanging="357"/>
        <w:rPr>
          <w:rFonts w:cstheme="minorHAnsi"/>
          <w:sz w:val="22"/>
          <w:szCs w:val="22"/>
        </w:rPr>
      </w:pPr>
      <w:r w:rsidRPr="009F5218">
        <w:rPr>
          <w:rFonts w:cstheme="minorHAnsi"/>
          <w:sz w:val="22"/>
          <w:szCs w:val="22"/>
        </w:rPr>
        <w:t xml:space="preserve">Ivankova, N, Creswell, JW and Stick, S. Using Mixed Methods Sequential Explanatory Design: From Theory to Practice. </w:t>
      </w:r>
      <w:r w:rsidRPr="00B61689">
        <w:rPr>
          <w:rFonts w:cstheme="minorHAnsi"/>
          <w:i/>
          <w:sz w:val="22"/>
          <w:szCs w:val="22"/>
        </w:rPr>
        <w:t>Field Methods</w:t>
      </w:r>
      <w:r w:rsidRPr="009F5218">
        <w:rPr>
          <w:rFonts w:cstheme="minorHAnsi"/>
          <w:sz w:val="22"/>
          <w:szCs w:val="22"/>
        </w:rPr>
        <w:t xml:space="preserve"> 2006; 18 (3): 3-20.</w:t>
      </w:r>
    </w:p>
    <w:p w14:paraId="0C02E4E5" w14:textId="0830599B" w:rsidR="00916E4B" w:rsidRPr="009F5218" w:rsidRDefault="00C94FC9" w:rsidP="00D50C30">
      <w:pPr>
        <w:pStyle w:val="EndNoteBibliography"/>
        <w:numPr>
          <w:ilvl w:val="0"/>
          <w:numId w:val="11"/>
        </w:numPr>
        <w:spacing w:after="0" w:line="276" w:lineRule="auto"/>
        <w:ind w:left="714" w:hanging="357"/>
        <w:jc w:val="left"/>
        <w:rPr>
          <w:rFonts w:asciiTheme="minorHAnsi" w:hAnsiTheme="minorHAnsi" w:cstheme="minorHAnsi"/>
          <w:sz w:val="22"/>
        </w:rPr>
      </w:pPr>
      <w:r w:rsidRPr="009F5218">
        <w:rPr>
          <w:rFonts w:asciiTheme="minorHAnsi" w:hAnsiTheme="minorHAnsi" w:cstheme="minorHAnsi"/>
          <w:sz w:val="22"/>
        </w:rPr>
        <w:t xml:space="preserve">Sieper J, Rudwaleit M, Baraliakos X, Brandt J, Braun J, Burgos-Vargas R, Dougados M, Hermann KG, Landewé R, Maksymowych W, van der Heijde D. The Assessment of SpondyloArthritis international Society (ASAS) handbook: a guide to assess spondyloarthritis. </w:t>
      </w:r>
      <w:r w:rsidRPr="00B61689">
        <w:rPr>
          <w:rFonts w:asciiTheme="minorHAnsi" w:hAnsiTheme="minorHAnsi" w:cstheme="minorHAnsi"/>
          <w:i/>
          <w:sz w:val="22"/>
        </w:rPr>
        <w:t>Ann Rheum Dis</w:t>
      </w:r>
      <w:r w:rsidRPr="009F5218">
        <w:rPr>
          <w:rFonts w:asciiTheme="minorHAnsi" w:hAnsiTheme="minorHAnsi" w:cstheme="minorHAnsi"/>
          <w:sz w:val="22"/>
        </w:rPr>
        <w:t xml:space="preserve"> 20</w:t>
      </w:r>
      <w:r w:rsidR="00B61689">
        <w:rPr>
          <w:rFonts w:asciiTheme="minorHAnsi" w:hAnsiTheme="minorHAnsi" w:cstheme="minorHAnsi"/>
          <w:sz w:val="22"/>
        </w:rPr>
        <w:t>09</w:t>
      </w:r>
      <w:r w:rsidRPr="009F5218">
        <w:rPr>
          <w:rFonts w:asciiTheme="minorHAnsi" w:hAnsiTheme="minorHAnsi" w:cstheme="minorHAnsi"/>
          <w:sz w:val="22"/>
        </w:rPr>
        <w:t>;</w:t>
      </w:r>
      <w:r w:rsidR="00B61689">
        <w:rPr>
          <w:rFonts w:asciiTheme="minorHAnsi" w:hAnsiTheme="minorHAnsi" w:cstheme="minorHAnsi"/>
          <w:sz w:val="22"/>
        </w:rPr>
        <w:t xml:space="preserve"> </w:t>
      </w:r>
      <w:r w:rsidRPr="009F5218">
        <w:rPr>
          <w:rFonts w:asciiTheme="minorHAnsi" w:hAnsiTheme="minorHAnsi" w:cstheme="minorHAnsi"/>
          <w:sz w:val="22"/>
        </w:rPr>
        <w:t>68 Suppl 2:ii1-44.</w:t>
      </w:r>
    </w:p>
    <w:p w14:paraId="2508B26A" w14:textId="6613D2E5" w:rsidR="00C94FC9" w:rsidRPr="009F5218" w:rsidRDefault="00C94FC9" w:rsidP="009F5218">
      <w:pPr>
        <w:pStyle w:val="EndNoteBibliography"/>
        <w:numPr>
          <w:ilvl w:val="0"/>
          <w:numId w:val="11"/>
        </w:numPr>
        <w:spacing w:after="0" w:line="276" w:lineRule="auto"/>
        <w:jc w:val="left"/>
        <w:rPr>
          <w:rFonts w:asciiTheme="minorHAnsi" w:hAnsiTheme="minorHAnsi" w:cstheme="minorHAnsi"/>
          <w:sz w:val="22"/>
        </w:rPr>
      </w:pPr>
      <w:r w:rsidRPr="009F5218">
        <w:rPr>
          <w:rFonts w:asciiTheme="minorHAnsi" w:hAnsiTheme="minorHAnsi" w:cstheme="minorHAnsi"/>
          <w:sz w:val="22"/>
        </w:rPr>
        <w:t xml:space="preserve">Macfarlane GJ, Barnish MS, Jones EA, Kay L, Keat A, Meldrum KT et al. The British Society for Rheumatology Biologics Registers in Ankylosing Spondylitis (BSRBR-AS) study: Protocol for a prospective cohort study of the long-term safety and quality of life outcomes of biologic treatment. </w:t>
      </w:r>
      <w:r w:rsidRPr="00B61689">
        <w:rPr>
          <w:rFonts w:asciiTheme="minorHAnsi" w:hAnsiTheme="minorHAnsi" w:cstheme="minorHAnsi"/>
          <w:i/>
          <w:sz w:val="22"/>
        </w:rPr>
        <w:t>BMC Musculoskelet Disord</w:t>
      </w:r>
      <w:r w:rsidRPr="009F5218">
        <w:rPr>
          <w:rFonts w:asciiTheme="minorHAnsi" w:hAnsiTheme="minorHAnsi" w:cstheme="minorHAnsi"/>
          <w:sz w:val="22"/>
        </w:rPr>
        <w:t xml:space="preserve"> 2015;16:347. </w:t>
      </w:r>
    </w:p>
    <w:p w14:paraId="7DC9EF2E" w14:textId="4827F714" w:rsidR="00916E4B" w:rsidRPr="009F5218" w:rsidRDefault="00916E4B" w:rsidP="009F5218">
      <w:pPr>
        <w:pStyle w:val="ListParagraph"/>
        <w:numPr>
          <w:ilvl w:val="0"/>
          <w:numId w:val="11"/>
        </w:numPr>
        <w:spacing w:line="276" w:lineRule="auto"/>
        <w:rPr>
          <w:rFonts w:cstheme="minorHAnsi"/>
        </w:rPr>
      </w:pPr>
      <w:r w:rsidRPr="009F5218">
        <w:rPr>
          <w:rFonts w:cstheme="minorHAnsi"/>
        </w:rPr>
        <w:t xml:space="preserve">Jenkinson TR, Mallorie PA, Whitelock HC, Kennedy LG, Garrett SL, Calin A. Defining spinal mobility in ankylosing spondylitis (AS). The Bath AS Metrology Index. </w:t>
      </w:r>
      <w:r w:rsidRPr="00B61689">
        <w:rPr>
          <w:rFonts w:cstheme="minorHAnsi"/>
          <w:i/>
        </w:rPr>
        <w:t>J Rheumatol</w:t>
      </w:r>
      <w:r w:rsidRPr="009F5218">
        <w:rPr>
          <w:rFonts w:cstheme="minorHAnsi"/>
        </w:rPr>
        <w:t xml:space="preserve"> 1994;</w:t>
      </w:r>
      <w:r w:rsidR="002E39F0">
        <w:rPr>
          <w:rFonts w:cstheme="minorHAnsi"/>
        </w:rPr>
        <w:t xml:space="preserve"> </w:t>
      </w:r>
      <w:r w:rsidRPr="009F5218">
        <w:rPr>
          <w:rFonts w:cstheme="minorHAnsi"/>
        </w:rPr>
        <w:t>21:1694-8.</w:t>
      </w:r>
    </w:p>
    <w:p w14:paraId="2836839C" w14:textId="1377F019" w:rsidR="00916E4B" w:rsidRPr="009F5218" w:rsidRDefault="002E39F0" w:rsidP="009F5218">
      <w:pPr>
        <w:pStyle w:val="ListParagraph"/>
        <w:numPr>
          <w:ilvl w:val="0"/>
          <w:numId w:val="11"/>
        </w:numPr>
        <w:spacing w:line="276" w:lineRule="auto"/>
        <w:rPr>
          <w:rFonts w:cstheme="minorHAnsi"/>
        </w:rPr>
      </w:pPr>
      <w:r>
        <w:rPr>
          <w:rFonts w:cstheme="minorHAnsi"/>
        </w:rPr>
        <w:t xml:space="preserve">Reilly MC, </w:t>
      </w:r>
      <w:r w:rsidR="00916E4B" w:rsidRPr="009F5218">
        <w:rPr>
          <w:rFonts w:cstheme="minorHAnsi"/>
        </w:rPr>
        <w:t xml:space="preserve">Zbrozek AS,  Dukes EM. The validity and reproducibility of a work productivity and activity impairment instrument. </w:t>
      </w:r>
      <w:r w:rsidR="00916E4B" w:rsidRPr="00B61689">
        <w:rPr>
          <w:rFonts w:cstheme="minorHAnsi"/>
          <w:i/>
        </w:rPr>
        <w:t>Pharmacoeconomics</w:t>
      </w:r>
      <w:r w:rsidR="00916E4B" w:rsidRPr="009F5218">
        <w:rPr>
          <w:rFonts w:cstheme="minorHAnsi"/>
        </w:rPr>
        <w:t xml:space="preserve"> 1993;</w:t>
      </w:r>
      <w:r>
        <w:rPr>
          <w:rFonts w:cstheme="minorHAnsi"/>
        </w:rPr>
        <w:t xml:space="preserve"> </w:t>
      </w:r>
      <w:r w:rsidR="00916E4B" w:rsidRPr="009F5218">
        <w:rPr>
          <w:rFonts w:cstheme="minorHAnsi"/>
        </w:rPr>
        <w:t>4:353-65.</w:t>
      </w:r>
    </w:p>
    <w:p w14:paraId="4E63B650" w14:textId="120DA254" w:rsidR="00916E4B" w:rsidRPr="009F5218" w:rsidRDefault="00916E4B" w:rsidP="009F5218">
      <w:pPr>
        <w:pStyle w:val="ListParagraph"/>
        <w:numPr>
          <w:ilvl w:val="0"/>
          <w:numId w:val="11"/>
        </w:numPr>
        <w:spacing w:line="276" w:lineRule="auto"/>
        <w:rPr>
          <w:rFonts w:cstheme="minorHAnsi"/>
        </w:rPr>
      </w:pPr>
      <w:r w:rsidRPr="009F5218">
        <w:rPr>
          <w:rFonts w:cstheme="minorHAnsi"/>
        </w:rPr>
        <w:t xml:space="preserve">Reilly MC, Gooch KL, Wong RL, Kupper H, van der Heijde D. Validity,reliability and responsiveness of the Work Productivity and Activity Impairment Questionnaire in ankylosing spondylitis. </w:t>
      </w:r>
      <w:r w:rsidRPr="00B61689">
        <w:rPr>
          <w:rFonts w:cstheme="minorHAnsi"/>
          <w:i/>
        </w:rPr>
        <w:t>Rheumatology</w:t>
      </w:r>
      <w:r w:rsidRPr="009F5218">
        <w:rPr>
          <w:rFonts w:cstheme="minorHAnsi"/>
        </w:rPr>
        <w:t xml:space="preserve"> 2010;</w:t>
      </w:r>
      <w:r w:rsidR="002E39F0">
        <w:rPr>
          <w:rFonts w:cstheme="minorHAnsi"/>
        </w:rPr>
        <w:t xml:space="preserve"> </w:t>
      </w:r>
      <w:r w:rsidRPr="009F5218">
        <w:rPr>
          <w:rFonts w:cstheme="minorHAnsi"/>
        </w:rPr>
        <w:t>49:812-9.</w:t>
      </w:r>
    </w:p>
    <w:p w14:paraId="51A021AD" w14:textId="403EA557" w:rsidR="00916E4B" w:rsidRPr="009F5218" w:rsidRDefault="00916E4B" w:rsidP="009F5218">
      <w:pPr>
        <w:pStyle w:val="ListParagraph"/>
        <w:numPr>
          <w:ilvl w:val="0"/>
          <w:numId w:val="11"/>
        </w:numPr>
        <w:spacing w:line="276" w:lineRule="auto"/>
        <w:rPr>
          <w:rFonts w:cstheme="minorHAnsi"/>
        </w:rPr>
      </w:pPr>
      <w:r w:rsidRPr="009F5218">
        <w:rPr>
          <w:rFonts w:cstheme="minorHAnsi"/>
        </w:rPr>
        <w:t xml:space="preserve">Doward LC, Spoorenberg A, Cook SA, Whalley D, Helliwell PS, Kay LJ et al. Development of the ASQoL: a quality of life instrument specific to ankylosing spondylitis. </w:t>
      </w:r>
      <w:r w:rsidRPr="00B61689">
        <w:rPr>
          <w:rFonts w:cstheme="minorHAnsi"/>
          <w:i/>
        </w:rPr>
        <w:t>Ann Rheum Dis</w:t>
      </w:r>
      <w:r w:rsidRPr="009F5218">
        <w:rPr>
          <w:rFonts w:cstheme="minorHAnsi"/>
        </w:rPr>
        <w:t xml:space="preserve"> 2003;</w:t>
      </w:r>
      <w:r w:rsidR="002E39F0">
        <w:rPr>
          <w:rFonts w:cstheme="minorHAnsi"/>
        </w:rPr>
        <w:t xml:space="preserve"> </w:t>
      </w:r>
      <w:r w:rsidRPr="009F5218">
        <w:rPr>
          <w:rFonts w:cstheme="minorHAnsi"/>
        </w:rPr>
        <w:t>62:20-6.</w:t>
      </w:r>
    </w:p>
    <w:p w14:paraId="0738DA52" w14:textId="22B5A8E5" w:rsidR="00916E4B" w:rsidRPr="009F5218" w:rsidRDefault="00916E4B" w:rsidP="009F5218">
      <w:pPr>
        <w:pStyle w:val="ListParagraph"/>
        <w:numPr>
          <w:ilvl w:val="0"/>
          <w:numId w:val="11"/>
        </w:numPr>
        <w:spacing w:line="276" w:lineRule="auto"/>
        <w:jc w:val="both"/>
        <w:rPr>
          <w:rFonts w:cstheme="minorHAnsi"/>
        </w:rPr>
      </w:pPr>
      <w:r w:rsidRPr="009F5218">
        <w:rPr>
          <w:rFonts w:cstheme="minorHAnsi"/>
        </w:rPr>
        <w:t>Ware JE Jr, Sherbourne CD. The MOS 36-item short-form health survey (SF-36). I. Conceptual framework and it</w:t>
      </w:r>
      <w:r w:rsidR="002E39F0">
        <w:rPr>
          <w:rFonts w:cstheme="minorHAnsi"/>
        </w:rPr>
        <w:t xml:space="preserve">em selection. </w:t>
      </w:r>
      <w:r w:rsidR="002E39F0" w:rsidRPr="00B61689">
        <w:rPr>
          <w:rFonts w:cstheme="minorHAnsi"/>
          <w:i/>
        </w:rPr>
        <w:t>Med Care</w:t>
      </w:r>
      <w:r w:rsidR="002E39F0">
        <w:rPr>
          <w:rFonts w:cstheme="minorHAnsi"/>
        </w:rPr>
        <w:t xml:space="preserve"> 1992</w:t>
      </w:r>
      <w:r w:rsidRPr="009F5218">
        <w:rPr>
          <w:rFonts w:cstheme="minorHAnsi"/>
        </w:rPr>
        <w:t>;</w:t>
      </w:r>
      <w:r w:rsidR="002E39F0">
        <w:rPr>
          <w:rFonts w:cstheme="minorHAnsi"/>
        </w:rPr>
        <w:t xml:space="preserve"> </w:t>
      </w:r>
      <w:r w:rsidRPr="009F5218">
        <w:rPr>
          <w:rFonts w:cstheme="minorHAnsi"/>
        </w:rPr>
        <w:t>30(6):473-83.</w:t>
      </w:r>
    </w:p>
    <w:p w14:paraId="2B1C218E" w14:textId="59D9A5DD" w:rsidR="00916E4B" w:rsidRPr="009F5218" w:rsidRDefault="00916E4B" w:rsidP="009F5218">
      <w:pPr>
        <w:pStyle w:val="ListParagraph"/>
        <w:numPr>
          <w:ilvl w:val="0"/>
          <w:numId w:val="11"/>
        </w:numPr>
        <w:spacing w:line="276" w:lineRule="auto"/>
        <w:rPr>
          <w:rFonts w:cstheme="minorHAnsi"/>
        </w:rPr>
      </w:pPr>
      <w:r w:rsidRPr="009F5218">
        <w:rPr>
          <w:rFonts w:cstheme="minorHAnsi"/>
        </w:rPr>
        <w:t xml:space="preserve">Zigmond AS, Snaith RP. The hospital anxiety and depression scale. </w:t>
      </w:r>
      <w:r w:rsidRPr="00B61689">
        <w:rPr>
          <w:rFonts w:cstheme="minorHAnsi"/>
          <w:i/>
        </w:rPr>
        <w:t>Acta Psychiatr Scand</w:t>
      </w:r>
      <w:r w:rsidRPr="009F5218">
        <w:rPr>
          <w:rFonts w:cstheme="minorHAnsi"/>
        </w:rPr>
        <w:t xml:space="preserve"> 1983;</w:t>
      </w:r>
      <w:r w:rsidR="002E39F0">
        <w:rPr>
          <w:rFonts w:cstheme="minorHAnsi"/>
        </w:rPr>
        <w:t xml:space="preserve"> </w:t>
      </w:r>
      <w:r w:rsidRPr="009F5218">
        <w:rPr>
          <w:rFonts w:cstheme="minorHAnsi"/>
        </w:rPr>
        <w:t xml:space="preserve">67:361-70. </w:t>
      </w:r>
    </w:p>
    <w:p w14:paraId="71400D0A" w14:textId="483626E8" w:rsidR="00916E4B" w:rsidRPr="009F5218" w:rsidRDefault="00916E4B" w:rsidP="009F5218">
      <w:pPr>
        <w:pStyle w:val="ListParagraph"/>
        <w:numPr>
          <w:ilvl w:val="0"/>
          <w:numId w:val="11"/>
        </w:numPr>
        <w:spacing w:line="276" w:lineRule="auto"/>
        <w:rPr>
          <w:rFonts w:cstheme="minorHAnsi"/>
        </w:rPr>
      </w:pPr>
      <w:r w:rsidRPr="009F5218">
        <w:rPr>
          <w:rFonts w:cstheme="minorHAnsi"/>
        </w:rPr>
        <w:t xml:space="preserve">Chalder T, Berelowitz G, Pawlikowska T, Watts L, Wessely S, Wright D et al. Development of a fatigue scale. </w:t>
      </w:r>
      <w:r w:rsidRPr="00B61689">
        <w:rPr>
          <w:rFonts w:cstheme="minorHAnsi"/>
          <w:i/>
        </w:rPr>
        <w:t>J Psychosom Res</w:t>
      </w:r>
      <w:r w:rsidRPr="009F5218">
        <w:rPr>
          <w:rFonts w:cstheme="minorHAnsi"/>
        </w:rPr>
        <w:t xml:space="preserve"> 1993;</w:t>
      </w:r>
      <w:r w:rsidR="002E39F0">
        <w:rPr>
          <w:rFonts w:cstheme="minorHAnsi"/>
        </w:rPr>
        <w:t xml:space="preserve"> </w:t>
      </w:r>
      <w:r w:rsidRPr="009F5218">
        <w:rPr>
          <w:rFonts w:cstheme="minorHAnsi"/>
        </w:rPr>
        <w:t>37:147-53.</w:t>
      </w:r>
    </w:p>
    <w:p w14:paraId="42A6B970" w14:textId="607F6334" w:rsidR="00916E4B" w:rsidRPr="009F5218" w:rsidRDefault="00916E4B" w:rsidP="009F5218">
      <w:pPr>
        <w:pStyle w:val="ListParagraph"/>
        <w:numPr>
          <w:ilvl w:val="0"/>
          <w:numId w:val="11"/>
        </w:numPr>
        <w:spacing w:line="276" w:lineRule="auto"/>
        <w:rPr>
          <w:rFonts w:cstheme="minorHAnsi"/>
        </w:rPr>
      </w:pPr>
      <w:r w:rsidRPr="009F5218">
        <w:rPr>
          <w:rFonts w:cstheme="minorHAnsi"/>
        </w:rPr>
        <w:t xml:space="preserve">Jenkins CD, Stanton BA, Niemcryk SJ, Rose RM. A scale for the estimation of sleep problems in clinical research. </w:t>
      </w:r>
      <w:r w:rsidRPr="00B61689">
        <w:rPr>
          <w:rFonts w:cstheme="minorHAnsi"/>
          <w:i/>
        </w:rPr>
        <w:t>J Clin Epidemiol</w:t>
      </w:r>
      <w:r w:rsidRPr="009F5218">
        <w:rPr>
          <w:rFonts w:cstheme="minorHAnsi"/>
        </w:rPr>
        <w:t xml:space="preserve"> 1988;</w:t>
      </w:r>
      <w:r w:rsidR="002E39F0">
        <w:rPr>
          <w:rFonts w:cstheme="minorHAnsi"/>
        </w:rPr>
        <w:t xml:space="preserve"> </w:t>
      </w:r>
      <w:r w:rsidRPr="009F5218">
        <w:rPr>
          <w:rFonts w:cstheme="minorHAnsi"/>
        </w:rPr>
        <w:t>41:313-21.</w:t>
      </w:r>
    </w:p>
    <w:p w14:paraId="37BB2426" w14:textId="30191B3A" w:rsidR="00916E4B" w:rsidRPr="009F5218" w:rsidRDefault="00916E4B" w:rsidP="009F5218">
      <w:pPr>
        <w:pStyle w:val="ListParagraph"/>
        <w:numPr>
          <w:ilvl w:val="0"/>
          <w:numId w:val="11"/>
        </w:numPr>
        <w:spacing w:line="276" w:lineRule="auto"/>
        <w:rPr>
          <w:rFonts w:cstheme="minorHAnsi"/>
        </w:rPr>
      </w:pPr>
      <w:r w:rsidRPr="009F5218">
        <w:rPr>
          <w:rFonts w:cstheme="minorHAnsi"/>
        </w:rPr>
        <w:t xml:space="preserve">Garrett S, Jenkinson T, Kennedy LG, Whitelock H, Gaisford P, Calin A. A new approach to defining disease status in ankylosing spondylitis: the Bath Ankylosing Spondylitis Disease Activity Index. </w:t>
      </w:r>
      <w:r w:rsidRPr="00B61689">
        <w:rPr>
          <w:rFonts w:cstheme="minorHAnsi"/>
          <w:i/>
        </w:rPr>
        <w:t>J Rheumatol</w:t>
      </w:r>
      <w:r w:rsidRPr="009F5218">
        <w:rPr>
          <w:rFonts w:cstheme="minorHAnsi"/>
        </w:rPr>
        <w:t xml:space="preserve"> 1994;</w:t>
      </w:r>
      <w:r w:rsidR="002E39F0">
        <w:rPr>
          <w:rFonts w:cstheme="minorHAnsi"/>
        </w:rPr>
        <w:t xml:space="preserve"> </w:t>
      </w:r>
      <w:r w:rsidRPr="009F5218">
        <w:rPr>
          <w:rFonts w:cstheme="minorHAnsi"/>
        </w:rPr>
        <w:t>21:2286-91.</w:t>
      </w:r>
    </w:p>
    <w:p w14:paraId="216694C8" w14:textId="7B42B7D6" w:rsidR="00916E4B" w:rsidRPr="009F5218" w:rsidRDefault="00916E4B" w:rsidP="009F5218">
      <w:pPr>
        <w:pStyle w:val="ListParagraph"/>
        <w:numPr>
          <w:ilvl w:val="0"/>
          <w:numId w:val="11"/>
        </w:numPr>
        <w:spacing w:line="276" w:lineRule="auto"/>
        <w:rPr>
          <w:rFonts w:cstheme="minorHAnsi"/>
        </w:rPr>
      </w:pPr>
      <w:r w:rsidRPr="009F5218">
        <w:rPr>
          <w:rFonts w:cstheme="minorHAnsi"/>
        </w:rPr>
        <w:t xml:space="preserve">Calin A, Garrett S, Whitelock H, Kennedy LG, O'hea J, Mallorie P et al. A new approach to defining functional ability in ankylosing spondylitis: the development of the Bath Ankylosing Spondylitis Functional Index. </w:t>
      </w:r>
      <w:r w:rsidRPr="00B61689">
        <w:rPr>
          <w:rFonts w:cstheme="minorHAnsi"/>
          <w:i/>
        </w:rPr>
        <w:t>J Rheumatol</w:t>
      </w:r>
      <w:r w:rsidRPr="009F5218">
        <w:rPr>
          <w:rFonts w:cstheme="minorHAnsi"/>
        </w:rPr>
        <w:t xml:space="preserve"> 1994;</w:t>
      </w:r>
      <w:r w:rsidR="002E39F0">
        <w:rPr>
          <w:rFonts w:cstheme="minorHAnsi"/>
        </w:rPr>
        <w:t xml:space="preserve"> </w:t>
      </w:r>
      <w:r w:rsidRPr="009F5218">
        <w:rPr>
          <w:rFonts w:cstheme="minorHAnsi"/>
        </w:rPr>
        <w:t>21:2281-5.</w:t>
      </w:r>
    </w:p>
    <w:p w14:paraId="7766815D" w14:textId="499374E4" w:rsidR="00916E4B" w:rsidRPr="009F5218" w:rsidRDefault="00916E4B" w:rsidP="009F5218">
      <w:pPr>
        <w:pStyle w:val="ListParagraph"/>
        <w:numPr>
          <w:ilvl w:val="0"/>
          <w:numId w:val="11"/>
        </w:numPr>
        <w:spacing w:line="276" w:lineRule="auto"/>
        <w:rPr>
          <w:rFonts w:cstheme="minorHAnsi"/>
        </w:rPr>
      </w:pPr>
      <w:r w:rsidRPr="009F5218">
        <w:rPr>
          <w:rFonts w:cstheme="minorHAnsi"/>
        </w:rPr>
        <w:t xml:space="preserve">Jones SD, Steiner A, Garrett SL, Calin A. The Bath Ankylosing Spondylitis Patient Global Score (BAS-G). </w:t>
      </w:r>
      <w:r w:rsidRPr="00B61689">
        <w:rPr>
          <w:rFonts w:cstheme="minorHAnsi"/>
          <w:i/>
        </w:rPr>
        <w:t>Br J Rheumatol</w:t>
      </w:r>
      <w:r w:rsidRPr="009F5218">
        <w:rPr>
          <w:rFonts w:cstheme="minorHAnsi"/>
        </w:rPr>
        <w:t xml:space="preserve"> 1996;</w:t>
      </w:r>
      <w:r w:rsidR="002E39F0">
        <w:rPr>
          <w:rFonts w:cstheme="minorHAnsi"/>
        </w:rPr>
        <w:t xml:space="preserve"> </w:t>
      </w:r>
      <w:r w:rsidRPr="009F5218">
        <w:rPr>
          <w:rFonts w:cstheme="minorHAnsi"/>
        </w:rPr>
        <w:t>35:66-71.</w:t>
      </w:r>
    </w:p>
    <w:p w14:paraId="2386B067" w14:textId="77777777" w:rsidR="00916E4B" w:rsidRPr="009F5218" w:rsidRDefault="00916E4B" w:rsidP="00D50C30">
      <w:pPr>
        <w:pStyle w:val="ListParagraph"/>
        <w:numPr>
          <w:ilvl w:val="0"/>
          <w:numId w:val="11"/>
        </w:numPr>
        <w:spacing w:line="276" w:lineRule="auto"/>
        <w:rPr>
          <w:rFonts w:cstheme="minorHAnsi"/>
        </w:rPr>
      </w:pPr>
      <w:r w:rsidRPr="009F5218">
        <w:rPr>
          <w:rFonts w:cstheme="minorHAnsi"/>
        </w:rPr>
        <w:t>Ministry of Housing, Communities &amp; Local Government. Index of Multiple Deprivation Score 2010. [Internet. Accessed June 2019] Available from: http://opendatacommunities.org/data/societal-wellbeing/deprivation/imd-score-2010</w:t>
      </w:r>
    </w:p>
    <w:p w14:paraId="012A287A" w14:textId="77777777" w:rsidR="00916E4B" w:rsidRPr="009F5218" w:rsidRDefault="00916E4B" w:rsidP="00D50C30">
      <w:pPr>
        <w:pStyle w:val="ListParagraph"/>
        <w:numPr>
          <w:ilvl w:val="0"/>
          <w:numId w:val="11"/>
        </w:numPr>
        <w:spacing w:line="276" w:lineRule="auto"/>
        <w:rPr>
          <w:rFonts w:cstheme="minorHAnsi"/>
        </w:rPr>
      </w:pPr>
      <w:r w:rsidRPr="009F5218">
        <w:rPr>
          <w:rFonts w:cstheme="minorHAnsi"/>
        </w:rPr>
        <w:lastRenderedPageBreak/>
        <w:t xml:space="preserve">Scottish Executive. Scottish Index of Multiple Deprivation 2004: Summary Technical Report. Edinburgh: Scottish Executive; 2004. [Internet. Accessed June 2019] Available from: </w:t>
      </w:r>
      <w:hyperlink r:id="rId15" w:history="1">
        <w:r w:rsidRPr="009F5218">
          <w:rPr>
            <w:rStyle w:val="Hyperlink"/>
            <w:rFonts w:cstheme="minorHAnsi"/>
          </w:rPr>
          <w:t>www.gov.scot/Topics/Statistics/SIMD/</w:t>
        </w:r>
      </w:hyperlink>
    </w:p>
    <w:p w14:paraId="2ED6A1C1" w14:textId="3695839E" w:rsidR="00916E4B" w:rsidRPr="009F5218" w:rsidRDefault="00916E4B" w:rsidP="009F5218">
      <w:pPr>
        <w:pStyle w:val="ListParagraph"/>
        <w:numPr>
          <w:ilvl w:val="0"/>
          <w:numId w:val="11"/>
        </w:numPr>
        <w:spacing w:line="276" w:lineRule="auto"/>
        <w:rPr>
          <w:rFonts w:cstheme="minorHAnsi"/>
        </w:rPr>
      </w:pPr>
      <w:r w:rsidRPr="009F5218">
        <w:rPr>
          <w:rFonts w:cstheme="minorHAnsi"/>
          <w:color w:val="222222"/>
        </w:rPr>
        <w:t xml:space="preserve">Macfarlane GJ, Shim J, Jones GT, Walker-Bone K, Pathan E, Dean LE. Identifying Persons with Axial Spondyloarthritis At Risk of Poor Work Outcome: Results from the British Society for Rheumatology Biologics Register. </w:t>
      </w:r>
      <w:r w:rsidR="00B61689" w:rsidRPr="00B61689">
        <w:rPr>
          <w:rFonts w:cstheme="minorHAnsi"/>
          <w:i/>
        </w:rPr>
        <w:t>J Rheumatol</w:t>
      </w:r>
      <w:r w:rsidR="00B61689" w:rsidRPr="009F5218">
        <w:rPr>
          <w:rFonts w:cstheme="minorHAnsi"/>
        </w:rPr>
        <w:t xml:space="preserve"> </w:t>
      </w:r>
      <w:r w:rsidRPr="009F5218">
        <w:rPr>
          <w:rFonts w:cstheme="minorHAnsi"/>
          <w:color w:val="222222"/>
        </w:rPr>
        <w:t>2019;</w:t>
      </w:r>
      <w:r w:rsidR="00D50C30">
        <w:rPr>
          <w:rFonts w:cstheme="minorHAnsi"/>
          <w:color w:val="222222"/>
        </w:rPr>
        <w:t xml:space="preserve"> </w:t>
      </w:r>
      <w:r w:rsidRPr="009F5218">
        <w:rPr>
          <w:rFonts w:cstheme="minorHAnsi"/>
          <w:color w:val="222222"/>
        </w:rPr>
        <w:t>46(2):145-52.</w:t>
      </w:r>
    </w:p>
    <w:p w14:paraId="0B3A56B6" w14:textId="6ED41049" w:rsidR="00916E4B" w:rsidRPr="009F5218" w:rsidRDefault="00916E4B" w:rsidP="009F5218">
      <w:pPr>
        <w:pStyle w:val="ListParagraph"/>
        <w:numPr>
          <w:ilvl w:val="0"/>
          <w:numId w:val="11"/>
        </w:numPr>
        <w:spacing w:line="276" w:lineRule="auto"/>
        <w:jc w:val="both"/>
        <w:rPr>
          <w:rFonts w:cstheme="minorHAnsi"/>
        </w:rPr>
      </w:pPr>
      <w:r w:rsidRPr="009F5218">
        <w:rPr>
          <w:rFonts w:cstheme="minorHAnsi"/>
        </w:rPr>
        <w:t>Anderson JJ, Baron G, van der Heijde D, Felson DT, Dougados M. Ankylosing spondylitis assessment group preliminary definitio</w:t>
      </w:r>
      <w:r w:rsidR="00626408">
        <w:rPr>
          <w:rFonts w:cstheme="minorHAnsi"/>
        </w:rPr>
        <w:t xml:space="preserve">n of short-term improvement in </w:t>
      </w:r>
      <w:r w:rsidRPr="009F5218">
        <w:rPr>
          <w:rFonts w:cstheme="minorHAnsi"/>
        </w:rPr>
        <w:t>ankylosing spondy</w:t>
      </w:r>
      <w:r w:rsidR="00B61689">
        <w:rPr>
          <w:rFonts w:cstheme="minorHAnsi"/>
        </w:rPr>
        <w:t xml:space="preserve">litis. </w:t>
      </w:r>
      <w:r w:rsidR="00B61689" w:rsidRPr="00B61689">
        <w:rPr>
          <w:rFonts w:cstheme="minorHAnsi"/>
          <w:i/>
        </w:rPr>
        <w:t>Arthritis Rheum</w:t>
      </w:r>
      <w:r w:rsidR="00B61689">
        <w:rPr>
          <w:rFonts w:cstheme="minorHAnsi"/>
        </w:rPr>
        <w:t xml:space="preserve"> </w:t>
      </w:r>
      <w:r w:rsidR="00626408">
        <w:rPr>
          <w:rFonts w:cstheme="minorHAnsi"/>
        </w:rPr>
        <w:t>2001</w:t>
      </w:r>
      <w:r w:rsidRPr="009F5218">
        <w:rPr>
          <w:rFonts w:cstheme="minorHAnsi"/>
        </w:rPr>
        <w:t>;</w:t>
      </w:r>
      <w:r w:rsidR="00626408">
        <w:rPr>
          <w:rFonts w:cstheme="minorHAnsi"/>
        </w:rPr>
        <w:t xml:space="preserve"> </w:t>
      </w:r>
      <w:r w:rsidRPr="009F5218">
        <w:rPr>
          <w:rFonts w:cstheme="minorHAnsi"/>
        </w:rPr>
        <w:t>44(8):1876-86.</w:t>
      </w:r>
    </w:p>
    <w:p w14:paraId="1EA5FD18" w14:textId="445F7EA8" w:rsidR="00916E4B" w:rsidRPr="009F5218" w:rsidRDefault="00916E4B" w:rsidP="00D50C30">
      <w:pPr>
        <w:pStyle w:val="ListParagraph"/>
        <w:numPr>
          <w:ilvl w:val="0"/>
          <w:numId w:val="11"/>
        </w:numPr>
        <w:spacing w:after="0" w:line="276" w:lineRule="auto"/>
        <w:ind w:left="714" w:hanging="357"/>
        <w:jc w:val="both"/>
        <w:rPr>
          <w:rFonts w:cstheme="minorHAnsi"/>
        </w:rPr>
      </w:pPr>
      <w:r w:rsidRPr="009F5218">
        <w:rPr>
          <w:rFonts w:cstheme="minorHAnsi"/>
        </w:rPr>
        <w:t>Brandt J, Listing J, Sieper J, Rudwaleit M, van der Heijde D, Braun J. Development and preselection of criteria for short term improvement after anti-TNF alpha treatment in ankylos</w:t>
      </w:r>
      <w:r w:rsidR="00B61689">
        <w:rPr>
          <w:rFonts w:cstheme="minorHAnsi"/>
        </w:rPr>
        <w:t xml:space="preserve">ing spondylitis. </w:t>
      </w:r>
      <w:r w:rsidR="00B61689" w:rsidRPr="00B61689">
        <w:rPr>
          <w:rFonts w:cstheme="minorHAnsi"/>
          <w:i/>
        </w:rPr>
        <w:t>Ann Rheum Dis</w:t>
      </w:r>
      <w:r w:rsidR="00B61689">
        <w:rPr>
          <w:rFonts w:cstheme="minorHAnsi"/>
        </w:rPr>
        <w:t xml:space="preserve"> </w:t>
      </w:r>
      <w:r w:rsidRPr="009F5218">
        <w:rPr>
          <w:rFonts w:cstheme="minorHAnsi"/>
        </w:rPr>
        <w:t>2004;</w:t>
      </w:r>
      <w:r w:rsidR="00626408">
        <w:rPr>
          <w:rFonts w:cstheme="minorHAnsi"/>
        </w:rPr>
        <w:t xml:space="preserve"> </w:t>
      </w:r>
      <w:r w:rsidRPr="009F5218">
        <w:rPr>
          <w:rFonts w:cstheme="minorHAnsi"/>
        </w:rPr>
        <w:t xml:space="preserve">63(11):1438-44. </w:t>
      </w:r>
    </w:p>
    <w:p w14:paraId="735D467B" w14:textId="7FE7681C" w:rsidR="004C2FB9" w:rsidRPr="00D97FB1" w:rsidRDefault="00F47343" w:rsidP="004C2FB9">
      <w:pPr>
        <w:pStyle w:val="EndNoteBibliography"/>
        <w:numPr>
          <w:ilvl w:val="0"/>
          <w:numId w:val="11"/>
        </w:numPr>
        <w:spacing w:after="0" w:line="276" w:lineRule="auto"/>
        <w:ind w:left="714" w:hanging="357"/>
        <w:jc w:val="left"/>
        <w:rPr>
          <w:rStyle w:val="doilink"/>
          <w:rFonts w:asciiTheme="minorHAnsi" w:hAnsiTheme="minorHAnsi" w:cstheme="minorHAnsi"/>
          <w:sz w:val="22"/>
        </w:rPr>
      </w:pPr>
      <w:r w:rsidRPr="00F47343">
        <w:rPr>
          <w:rStyle w:val="authors"/>
          <w:rFonts w:ascii="&amp;quot" w:hAnsi="&amp;quot"/>
          <w:color w:val="333333"/>
        </w:rPr>
        <w:t xml:space="preserve"> </w:t>
      </w:r>
      <w:r w:rsidRPr="00F47343">
        <w:rPr>
          <w:rStyle w:val="authors"/>
          <w:rFonts w:asciiTheme="minorHAnsi" w:hAnsiTheme="minorHAnsi" w:cstheme="minorHAnsi"/>
          <w:color w:val="333333"/>
          <w:sz w:val="22"/>
        </w:rPr>
        <w:t>Braun</w:t>
      </w:r>
      <w:r w:rsidR="00D97FB1">
        <w:rPr>
          <w:rStyle w:val="authors"/>
          <w:rFonts w:asciiTheme="minorHAnsi" w:hAnsiTheme="minorHAnsi" w:cstheme="minorHAnsi"/>
          <w:color w:val="333333"/>
          <w:sz w:val="22"/>
        </w:rPr>
        <w:t xml:space="preserve"> V</w:t>
      </w:r>
      <w:r w:rsidRPr="00F47343">
        <w:rPr>
          <w:rStyle w:val="authors"/>
          <w:rFonts w:asciiTheme="minorHAnsi" w:hAnsiTheme="minorHAnsi" w:cstheme="minorHAnsi"/>
          <w:color w:val="333333"/>
          <w:sz w:val="22"/>
        </w:rPr>
        <w:t xml:space="preserve"> &amp; Clarke</w:t>
      </w:r>
      <w:r w:rsidR="00D97FB1">
        <w:rPr>
          <w:rStyle w:val="authors"/>
          <w:rFonts w:asciiTheme="minorHAnsi" w:hAnsiTheme="minorHAnsi" w:cstheme="minorHAnsi"/>
          <w:color w:val="333333"/>
          <w:sz w:val="22"/>
        </w:rPr>
        <w:t xml:space="preserve"> V.</w:t>
      </w:r>
      <w:r w:rsidRPr="00F47343">
        <w:rPr>
          <w:rFonts w:asciiTheme="minorHAnsi" w:hAnsiTheme="minorHAnsi" w:cstheme="minorHAnsi"/>
          <w:color w:val="333333"/>
          <w:sz w:val="22"/>
        </w:rPr>
        <w:t xml:space="preserve"> </w:t>
      </w:r>
      <w:r w:rsidRPr="00F47343">
        <w:rPr>
          <w:rStyle w:val="arttitle"/>
          <w:rFonts w:asciiTheme="minorHAnsi" w:hAnsiTheme="minorHAnsi" w:cstheme="minorHAnsi"/>
          <w:color w:val="333333"/>
          <w:sz w:val="22"/>
        </w:rPr>
        <w:t xml:space="preserve">Using </w:t>
      </w:r>
      <w:r w:rsidR="00D97FB1">
        <w:rPr>
          <w:rStyle w:val="arttitle"/>
          <w:rFonts w:asciiTheme="minorHAnsi" w:hAnsiTheme="minorHAnsi" w:cstheme="minorHAnsi"/>
          <w:color w:val="333333"/>
          <w:sz w:val="22"/>
        </w:rPr>
        <w:t xml:space="preserve">thematic analysis in psychology. </w:t>
      </w:r>
      <w:r w:rsidRPr="00D97FB1">
        <w:rPr>
          <w:rStyle w:val="serialtitle"/>
          <w:rFonts w:asciiTheme="minorHAnsi" w:hAnsiTheme="minorHAnsi" w:cstheme="minorHAnsi"/>
          <w:i/>
          <w:color w:val="333333"/>
          <w:sz w:val="22"/>
        </w:rPr>
        <w:t>Qualitative Research in Psychology</w:t>
      </w:r>
      <w:r w:rsidR="00D97FB1">
        <w:rPr>
          <w:rStyle w:val="serialtitle"/>
          <w:rFonts w:asciiTheme="minorHAnsi" w:hAnsiTheme="minorHAnsi" w:cstheme="minorHAnsi"/>
          <w:color w:val="333333"/>
          <w:sz w:val="22"/>
        </w:rPr>
        <w:t xml:space="preserve"> </w:t>
      </w:r>
      <w:r w:rsidR="00D97FB1" w:rsidRPr="00F47343">
        <w:rPr>
          <w:rFonts w:asciiTheme="minorHAnsi" w:hAnsiTheme="minorHAnsi" w:cstheme="minorHAnsi"/>
          <w:color w:val="333333"/>
          <w:sz w:val="22"/>
        </w:rPr>
        <w:t xml:space="preserve"> </w:t>
      </w:r>
      <w:r w:rsidR="00D97FB1">
        <w:rPr>
          <w:rStyle w:val="Date2"/>
          <w:rFonts w:asciiTheme="minorHAnsi" w:hAnsiTheme="minorHAnsi" w:cstheme="minorHAnsi"/>
          <w:color w:val="333333"/>
          <w:sz w:val="22"/>
        </w:rPr>
        <w:t>2006</w:t>
      </w:r>
      <w:r w:rsidRPr="00F47343">
        <w:rPr>
          <w:rStyle w:val="serialtitle"/>
          <w:rFonts w:asciiTheme="minorHAnsi" w:hAnsiTheme="minorHAnsi" w:cstheme="minorHAnsi"/>
          <w:color w:val="333333"/>
          <w:sz w:val="22"/>
        </w:rPr>
        <w:t>,</w:t>
      </w:r>
      <w:r w:rsidRPr="00F47343">
        <w:rPr>
          <w:rFonts w:asciiTheme="minorHAnsi" w:hAnsiTheme="minorHAnsi" w:cstheme="minorHAnsi"/>
          <w:color w:val="333333"/>
          <w:sz w:val="22"/>
        </w:rPr>
        <w:t xml:space="preserve"> </w:t>
      </w:r>
      <w:r w:rsidRPr="00F47343">
        <w:rPr>
          <w:rStyle w:val="volumeissue"/>
          <w:rFonts w:asciiTheme="minorHAnsi" w:hAnsiTheme="minorHAnsi" w:cstheme="minorHAnsi"/>
          <w:color w:val="333333"/>
          <w:sz w:val="22"/>
        </w:rPr>
        <w:t>3:2,</w:t>
      </w:r>
      <w:r w:rsidRPr="00F47343">
        <w:rPr>
          <w:rFonts w:asciiTheme="minorHAnsi" w:hAnsiTheme="minorHAnsi" w:cstheme="minorHAnsi"/>
          <w:color w:val="333333"/>
          <w:sz w:val="22"/>
        </w:rPr>
        <w:t xml:space="preserve"> </w:t>
      </w:r>
      <w:r w:rsidRPr="00F47343">
        <w:rPr>
          <w:rStyle w:val="pagerange"/>
          <w:rFonts w:asciiTheme="minorHAnsi" w:hAnsiTheme="minorHAnsi" w:cstheme="minorHAnsi"/>
          <w:color w:val="333333"/>
          <w:sz w:val="22"/>
        </w:rPr>
        <w:t>77-101,</w:t>
      </w:r>
      <w:r w:rsidRPr="00F47343">
        <w:rPr>
          <w:rFonts w:asciiTheme="minorHAnsi" w:hAnsiTheme="minorHAnsi" w:cstheme="minorHAnsi"/>
          <w:color w:val="333333"/>
          <w:sz w:val="22"/>
        </w:rPr>
        <w:t xml:space="preserve"> </w:t>
      </w:r>
      <w:r w:rsidRPr="00F47343">
        <w:rPr>
          <w:rStyle w:val="doilink"/>
          <w:rFonts w:asciiTheme="minorHAnsi" w:hAnsiTheme="minorHAnsi" w:cstheme="minorHAnsi"/>
          <w:color w:val="333333"/>
          <w:sz w:val="22"/>
        </w:rPr>
        <w:t xml:space="preserve">DOI: </w:t>
      </w:r>
      <w:hyperlink r:id="rId16" w:history="1">
        <w:r w:rsidRPr="00F47343">
          <w:rPr>
            <w:rStyle w:val="Hyperlink"/>
            <w:rFonts w:asciiTheme="minorHAnsi" w:hAnsiTheme="minorHAnsi" w:cstheme="minorHAnsi"/>
            <w:color w:val="333333"/>
            <w:sz w:val="22"/>
          </w:rPr>
          <w:t>10.1191/1478088706qp063oa</w:t>
        </w:r>
      </w:hyperlink>
    </w:p>
    <w:p w14:paraId="2DA9B8B0" w14:textId="046AB599" w:rsidR="00D97FB1" w:rsidRPr="00D97FB1" w:rsidRDefault="00D97FB1" w:rsidP="004C2FB9">
      <w:pPr>
        <w:pStyle w:val="EndNoteBibliography"/>
        <w:numPr>
          <w:ilvl w:val="0"/>
          <w:numId w:val="11"/>
        </w:numPr>
        <w:spacing w:after="0" w:line="276" w:lineRule="auto"/>
        <w:ind w:left="714" w:hanging="357"/>
        <w:jc w:val="left"/>
        <w:rPr>
          <w:rFonts w:asciiTheme="minorHAnsi" w:hAnsiTheme="minorHAnsi" w:cstheme="minorHAnsi"/>
          <w:sz w:val="22"/>
        </w:rPr>
      </w:pPr>
      <w:r w:rsidRPr="00D97FB1">
        <w:rPr>
          <w:rStyle w:val="authors"/>
          <w:rFonts w:asciiTheme="minorHAnsi" w:hAnsiTheme="minorHAnsi" w:cstheme="minorHAnsi"/>
          <w:color w:val="333333"/>
          <w:sz w:val="22"/>
        </w:rPr>
        <w:t>Braun</w:t>
      </w:r>
      <w:r>
        <w:rPr>
          <w:rStyle w:val="authors"/>
          <w:rFonts w:asciiTheme="minorHAnsi" w:hAnsiTheme="minorHAnsi" w:cstheme="minorHAnsi"/>
          <w:color w:val="333333"/>
          <w:sz w:val="22"/>
        </w:rPr>
        <w:t xml:space="preserve"> V</w:t>
      </w:r>
      <w:r w:rsidRPr="00D97FB1">
        <w:rPr>
          <w:rStyle w:val="authors"/>
          <w:rFonts w:asciiTheme="minorHAnsi" w:hAnsiTheme="minorHAnsi" w:cstheme="minorHAnsi"/>
          <w:color w:val="333333"/>
          <w:sz w:val="22"/>
        </w:rPr>
        <w:t xml:space="preserve"> &amp; Clarke</w:t>
      </w:r>
      <w:r>
        <w:rPr>
          <w:rStyle w:val="authors"/>
          <w:rFonts w:asciiTheme="minorHAnsi" w:hAnsiTheme="minorHAnsi" w:cstheme="minorHAnsi"/>
          <w:color w:val="333333"/>
          <w:sz w:val="22"/>
        </w:rPr>
        <w:t xml:space="preserve"> V.</w:t>
      </w:r>
      <w:r w:rsidRPr="00D97FB1">
        <w:rPr>
          <w:rStyle w:val="arttitle"/>
          <w:rFonts w:asciiTheme="minorHAnsi" w:hAnsiTheme="minorHAnsi" w:cstheme="minorHAnsi"/>
          <w:color w:val="333333"/>
          <w:sz w:val="22"/>
        </w:rPr>
        <w:t xml:space="preserve">To saturate or not to saturate? Questioning data saturation as a useful concept for thematic analysis and sample-size rationales. </w:t>
      </w:r>
      <w:r w:rsidRPr="00D97FB1">
        <w:rPr>
          <w:rStyle w:val="serialtitle"/>
          <w:rFonts w:asciiTheme="minorHAnsi" w:hAnsiTheme="minorHAnsi" w:cstheme="minorHAnsi"/>
          <w:i/>
          <w:color w:val="333333"/>
          <w:sz w:val="22"/>
        </w:rPr>
        <w:t>Qualitative Research in Sport, Exercise and Health</w:t>
      </w:r>
      <w:r>
        <w:rPr>
          <w:rStyle w:val="serialtitle"/>
          <w:rFonts w:asciiTheme="minorHAnsi" w:hAnsiTheme="minorHAnsi" w:cstheme="minorHAnsi"/>
          <w:color w:val="333333"/>
          <w:sz w:val="22"/>
        </w:rPr>
        <w:t xml:space="preserve"> 2019</w:t>
      </w:r>
      <w:r w:rsidRPr="00D97FB1">
        <w:rPr>
          <w:rStyle w:val="serialtitle"/>
          <w:rFonts w:asciiTheme="minorHAnsi" w:hAnsiTheme="minorHAnsi" w:cstheme="minorHAnsi"/>
          <w:color w:val="333333"/>
          <w:sz w:val="22"/>
        </w:rPr>
        <w:t>,</w:t>
      </w:r>
      <w:r w:rsidRPr="00D97FB1">
        <w:rPr>
          <w:rFonts w:asciiTheme="minorHAnsi" w:hAnsiTheme="minorHAnsi" w:cstheme="minorHAnsi"/>
          <w:color w:val="333333"/>
          <w:sz w:val="22"/>
          <w:shd w:val="clear" w:color="auto" w:fill="FFFFFF"/>
        </w:rPr>
        <w:t xml:space="preserve"> </w:t>
      </w:r>
      <w:r w:rsidRPr="00D97FB1">
        <w:rPr>
          <w:rStyle w:val="doilink"/>
          <w:rFonts w:asciiTheme="minorHAnsi" w:hAnsiTheme="minorHAnsi" w:cstheme="minorHAnsi"/>
          <w:color w:val="333333"/>
          <w:sz w:val="22"/>
        </w:rPr>
        <w:t xml:space="preserve">DOI: </w:t>
      </w:r>
      <w:hyperlink r:id="rId17" w:history="1">
        <w:r w:rsidRPr="00D97FB1">
          <w:rPr>
            <w:rStyle w:val="Hyperlink"/>
            <w:rFonts w:asciiTheme="minorHAnsi" w:hAnsiTheme="minorHAnsi" w:cstheme="minorHAnsi"/>
            <w:color w:val="333333"/>
            <w:sz w:val="22"/>
          </w:rPr>
          <w:t>10.1080/2159676X.2019.1704846</w:t>
        </w:r>
      </w:hyperlink>
    </w:p>
    <w:p w14:paraId="6B8FD7CF" w14:textId="7BB53FCB" w:rsidR="004C2FB9" w:rsidRPr="004C2FB9" w:rsidRDefault="004C2FB9" w:rsidP="004C2FB9">
      <w:pPr>
        <w:pStyle w:val="EndNoteBibliography"/>
        <w:numPr>
          <w:ilvl w:val="0"/>
          <w:numId w:val="11"/>
        </w:numPr>
        <w:spacing w:after="0" w:line="276" w:lineRule="auto"/>
        <w:ind w:left="714" w:hanging="357"/>
        <w:jc w:val="left"/>
        <w:rPr>
          <w:rFonts w:asciiTheme="minorHAnsi" w:hAnsiTheme="minorHAnsi" w:cstheme="minorHAnsi"/>
          <w:sz w:val="22"/>
        </w:rPr>
      </w:pPr>
      <w:r w:rsidRPr="004C2FB9">
        <w:rPr>
          <w:rFonts w:asciiTheme="minorHAnsi" w:hAnsiTheme="minorHAnsi" w:cstheme="minorHAnsi"/>
          <w:bCs/>
          <w:color w:val="231F20"/>
          <w:sz w:val="22"/>
        </w:rPr>
        <w:t>Beaton DE, Tang K, Gignac MAM et al. Reliability, Validity, and Responsiveness of Five</w:t>
      </w:r>
    </w:p>
    <w:p w14:paraId="2A612E0B" w14:textId="77777777" w:rsidR="004C2FB9" w:rsidRDefault="004C2FB9" w:rsidP="004C2FB9">
      <w:pPr>
        <w:autoSpaceDE w:val="0"/>
        <w:autoSpaceDN w:val="0"/>
        <w:adjustRightInd w:val="0"/>
        <w:spacing w:after="0" w:line="240" w:lineRule="auto"/>
        <w:ind w:left="709"/>
        <w:rPr>
          <w:rFonts w:cstheme="minorHAnsi"/>
          <w:color w:val="231F20"/>
        </w:rPr>
      </w:pPr>
      <w:r w:rsidRPr="004C2FB9">
        <w:rPr>
          <w:rFonts w:cstheme="minorHAnsi"/>
          <w:bCs/>
          <w:color w:val="231F20"/>
        </w:rPr>
        <w:t xml:space="preserve">At-Work Productivity Measures in Patients With Rheumatoid Arthritis or Osteoarthritis. </w:t>
      </w:r>
      <w:r w:rsidRPr="004C2FB9">
        <w:rPr>
          <w:rFonts w:cstheme="minorHAnsi"/>
          <w:i/>
          <w:color w:val="231F20"/>
        </w:rPr>
        <w:t xml:space="preserve">Arthritis Care &amp; Research </w:t>
      </w:r>
      <w:r w:rsidRPr="004C2FB9">
        <w:rPr>
          <w:rFonts w:cstheme="minorHAnsi"/>
          <w:color w:val="231F20"/>
        </w:rPr>
        <w:t>2010; 62(1): 28–37. DOI 10.1002/acr.20011</w:t>
      </w:r>
    </w:p>
    <w:p w14:paraId="3E9E79D9" w14:textId="7C4EA52E" w:rsidR="0011533D" w:rsidRPr="0014553F" w:rsidRDefault="004C2FB9" w:rsidP="0060742D">
      <w:pPr>
        <w:pStyle w:val="ListParagraph"/>
        <w:numPr>
          <w:ilvl w:val="0"/>
          <w:numId w:val="11"/>
        </w:numPr>
        <w:autoSpaceDE w:val="0"/>
        <w:autoSpaceDN w:val="0"/>
        <w:adjustRightInd w:val="0"/>
        <w:spacing w:after="0" w:line="240" w:lineRule="auto"/>
        <w:rPr>
          <w:rFonts w:cstheme="minorHAnsi"/>
          <w:color w:val="231F20"/>
        </w:rPr>
      </w:pPr>
      <w:r>
        <w:rPr>
          <w:bCs/>
        </w:rPr>
        <w:t xml:space="preserve">Gardner BT, </w:t>
      </w:r>
      <w:r w:rsidRPr="004C2FB9">
        <w:rPr>
          <w:bCs/>
        </w:rPr>
        <w:t>Dale</w:t>
      </w:r>
      <w:r>
        <w:rPr>
          <w:bCs/>
        </w:rPr>
        <w:t xml:space="preserve"> AD</w:t>
      </w:r>
      <w:r w:rsidRPr="004C2FB9">
        <w:rPr>
          <w:bCs/>
        </w:rPr>
        <w:t>, Buckner-Petty</w:t>
      </w:r>
      <w:r w:rsidR="004852C2">
        <w:rPr>
          <w:bCs/>
        </w:rPr>
        <w:t xml:space="preserve"> S</w:t>
      </w:r>
      <w:r w:rsidRPr="004C2FB9">
        <w:rPr>
          <w:bCs/>
        </w:rPr>
        <w:t xml:space="preserve">. Comparison of employer productivity metrics to lost productivity estimated by commonly used questionnaires. </w:t>
      </w:r>
      <w:r w:rsidRPr="004852C2">
        <w:rPr>
          <w:i/>
        </w:rPr>
        <w:t>J Occup Environ Med</w:t>
      </w:r>
      <w:r w:rsidR="004852C2">
        <w:t xml:space="preserve"> 2016</w:t>
      </w:r>
      <w:r w:rsidRPr="004C2FB9">
        <w:t>; 58(2): 170–177. doi:10.1097/JOM.0000000000000587.</w:t>
      </w:r>
    </w:p>
    <w:p w14:paraId="7023D310" w14:textId="76D845D2" w:rsidR="00D97FB1" w:rsidRPr="0060742D" w:rsidRDefault="00D97FB1" w:rsidP="0060742D">
      <w:pPr>
        <w:pStyle w:val="ListParagraph"/>
        <w:numPr>
          <w:ilvl w:val="0"/>
          <w:numId w:val="11"/>
        </w:numPr>
        <w:autoSpaceDE w:val="0"/>
        <w:autoSpaceDN w:val="0"/>
        <w:adjustRightInd w:val="0"/>
        <w:spacing w:after="0" w:line="240" w:lineRule="auto"/>
        <w:rPr>
          <w:rFonts w:cstheme="minorHAnsi"/>
          <w:color w:val="231F20"/>
        </w:rPr>
      </w:pPr>
      <w:r>
        <w:t>Tang K, Boonen A, Verstappen SMM et al. Worker Productivity Outcome Measures: OMERACT Filter Evidence and Agenda for Future Research</w:t>
      </w:r>
      <w:r w:rsidR="0014553F">
        <w:t xml:space="preserve">. </w:t>
      </w:r>
      <w:r w:rsidR="0014553F">
        <w:rPr>
          <w:i/>
        </w:rPr>
        <w:t>J Rheumatol</w:t>
      </w:r>
      <w:r w:rsidR="0014553F">
        <w:t xml:space="preserve"> 2014; 41: 165-76</w:t>
      </w:r>
    </w:p>
    <w:p w14:paraId="34DD2D18" w14:textId="5ECBF3EB" w:rsidR="004A7082" w:rsidRPr="0011533D" w:rsidRDefault="004A7082" w:rsidP="0011533D">
      <w:pPr>
        <w:pStyle w:val="ListParagraph"/>
        <w:numPr>
          <w:ilvl w:val="0"/>
          <w:numId w:val="11"/>
        </w:numPr>
        <w:autoSpaceDE w:val="0"/>
        <w:autoSpaceDN w:val="0"/>
        <w:adjustRightInd w:val="0"/>
        <w:spacing w:after="0" w:line="240" w:lineRule="auto"/>
        <w:rPr>
          <w:rFonts w:cstheme="minorHAnsi"/>
          <w:color w:val="231F20"/>
        </w:rPr>
      </w:pPr>
      <w:r>
        <w:t>MacArthur</w:t>
      </w:r>
      <w:r w:rsidR="0011533D" w:rsidRPr="0011533D">
        <w:rPr>
          <w:rFonts w:cstheme="minorHAnsi"/>
        </w:rPr>
        <w:t xml:space="preserve"> McArthur M, Birt L, Goodacre L. “Better but not best”: a qualitative exploration of the experiences of occupational gain for people with inflammatory arthritis receiving anti-TNF alpha treatment. </w:t>
      </w:r>
      <w:r w:rsidR="0011533D" w:rsidRPr="0011533D">
        <w:rPr>
          <w:rFonts w:cstheme="minorHAnsi"/>
          <w:i/>
        </w:rPr>
        <w:t>Disability and Rehabilitation</w:t>
      </w:r>
      <w:r w:rsidR="0011533D" w:rsidRPr="0011533D">
        <w:rPr>
          <w:rFonts w:cstheme="minorHAnsi"/>
        </w:rPr>
        <w:t xml:space="preserve"> 2015; 37(10): 854-863</w:t>
      </w:r>
    </w:p>
    <w:p w14:paraId="27E4143D" w14:textId="370FB9FF" w:rsidR="00F5304A" w:rsidRPr="0011533D" w:rsidRDefault="00C94FC9" w:rsidP="000527CF">
      <w:pPr>
        <w:pStyle w:val="ListParagraph"/>
        <w:numPr>
          <w:ilvl w:val="0"/>
          <w:numId w:val="11"/>
        </w:numPr>
        <w:spacing w:after="0" w:line="276" w:lineRule="auto"/>
        <w:rPr>
          <w:rFonts w:cstheme="minorHAnsi"/>
        </w:rPr>
      </w:pPr>
      <w:r w:rsidRPr="0011533D">
        <w:rPr>
          <w:rFonts w:cstheme="minorHAnsi"/>
          <w:color w:val="2A2A2A"/>
        </w:rPr>
        <w:t xml:space="preserve">Kinman, </w:t>
      </w:r>
      <w:r w:rsidR="004363AE" w:rsidRPr="0011533D">
        <w:rPr>
          <w:rFonts w:cstheme="minorHAnsi"/>
          <w:color w:val="2A2A2A"/>
        </w:rPr>
        <w:t xml:space="preserve">G. </w:t>
      </w:r>
      <w:r w:rsidRPr="0011533D">
        <w:rPr>
          <w:rFonts w:cstheme="minorHAnsi"/>
          <w:color w:val="2A2A2A"/>
        </w:rPr>
        <w:t xml:space="preserve">Sickness presenteeism at work: prevalence, costs and management, </w:t>
      </w:r>
      <w:r w:rsidRPr="0011533D">
        <w:rPr>
          <w:rFonts w:cstheme="minorHAnsi"/>
          <w:i/>
          <w:iCs/>
          <w:color w:val="2A2A2A"/>
          <w:bdr w:val="none" w:sz="0" w:space="0" w:color="auto" w:frame="1"/>
        </w:rPr>
        <w:t>British Medical Bulletin</w:t>
      </w:r>
      <w:r w:rsidR="00B61689" w:rsidRPr="0011533D">
        <w:rPr>
          <w:rFonts w:cstheme="minorHAnsi"/>
          <w:color w:val="2A2A2A"/>
        </w:rPr>
        <w:t xml:space="preserve"> </w:t>
      </w:r>
      <w:r w:rsidR="004363AE" w:rsidRPr="0011533D">
        <w:rPr>
          <w:rFonts w:cstheme="minorHAnsi"/>
          <w:color w:val="2A2A2A"/>
        </w:rPr>
        <w:t>2009; 129(</w:t>
      </w:r>
      <w:r w:rsidRPr="0011533D">
        <w:rPr>
          <w:rFonts w:cstheme="minorHAnsi"/>
          <w:color w:val="2A2A2A"/>
        </w:rPr>
        <w:t>1</w:t>
      </w:r>
      <w:r w:rsidR="004363AE" w:rsidRPr="0011533D">
        <w:rPr>
          <w:rFonts w:cstheme="minorHAnsi"/>
          <w:color w:val="2A2A2A"/>
        </w:rPr>
        <w:t>):</w:t>
      </w:r>
      <w:r w:rsidR="00F5304A" w:rsidRPr="0011533D">
        <w:rPr>
          <w:rFonts w:cstheme="minorHAnsi"/>
          <w:color w:val="2A2A2A"/>
        </w:rPr>
        <w:t xml:space="preserve"> 69–78. </w:t>
      </w:r>
      <w:hyperlink r:id="rId18" w:history="1">
        <w:r w:rsidRPr="0011533D">
          <w:rPr>
            <w:rFonts w:cstheme="minorHAnsi"/>
            <w:color w:val="006FB7"/>
            <w:u w:val="single"/>
            <w:bdr w:val="none" w:sz="0" w:space="0" w:color="auto" w:frame="1"/>
          </w:rPr>
          <w:t>https://doi.org/10.1093/bmb/ldy043</w:t>
        </w:r>
      </w:hyperlink>
    </w:p>
    <w:p w14:paraId="5B3D53D8" w14:textId="1FFB3D8A" w:rsidR="00F5304A" w:rsidRPr="009F5218" w:rsidRDefault="00C94FC9" w:rsidP="004C2FB9">
      <w:pPr>
        <w:pStyle w:val="EndNoteBibliography"/>
        <w:numPr>
          <w:ilvl w:val="0"/>
          <w:numId w:val="11"/>
        </w:numPr>
        <w:spacing w:after="0" w:line="276" w:lineRule="auto"/>
        <w:jc w:val="left"/>
        <w:rPr>
          <w:rFonts w:asciiTheme="minorHAnsi" w:hAnsiTheme="minorHAnsi" w:cstheme="minorHAnsi"/>
          <w:color w:val="222222"/>
          <w:sz w:val="22"/>
        </w:rPr>
      </w:pPr>
      <w:r w:rsidRPr="009F5218">
        <w:rPr>
          <w:rFonts w:asciiTheme="minorHAnsi" w:eastAsia="Times New Roman" w:hAnsiTheme="minorHAnsi" w:cstheme="minorHAnsi"/>
          <w:color w:val="333333"/>
          <w:sz w:val="22"/>
          <w:lang w:eastAsia="en-GB"/>
        </w:rPr>
        <w:t xml:space="preserve">Mohamed, LK. First-career and second-career nurses’ experiences of stress, presenteeism and burn-out during transition to practice. </w:t>
      </w:r>
      <w:r w:rsidRPr="009F5218">
        <w:rPr>
          <w:rFonts w:asciiTheme="minorHAnsi" w:eastAsia="Times New Roman" w:hAnsiTheme="minorHAnsi" w:cstheme="minorHAnsi"/>
          <w:i/>
          <w:iCs/>
          <w:color w:val="333333"/>
          <w:sz w:val="22"/>
          <w:lang w:eastAsia="en-GB"/>
        </w:rPr>
        <w:t xml:space="preserve">Evidence-Based Nursing </w:t>
      </w:r>
      <w:r w:rsidRPr="009F5218">
        <w:rPr>
          <w:rFonts w:asciiTheme="minorHAnsi" w:eastAsia="Times New Roman" w:hAnsiTheme="minorHAnsi" w:cstheme="minorHAnsi"/>
          <w:color w:val="333333"/>
          <w:sz w:val="22"/>
          <w:lang w:eastAsia="en-GB"/>
        </w:rPr>
        <w:t>2019;</w:t>
      </w:r>
      <w:r w:rsidR="00B61689">
        <w:rPr>
          <w:rFonts w:asciiTheme="minorHAnsi" w:eastAsia="Times New Roman" w:hAnsiTheme="minorHAnsi" w:cstheme="minorHAnsi"/>
          <w:color w:val="333333"/>
          <w:sz w:val="22"/>
          <w:lang w:eastAsia="en-GB"/>
        </w:rPr>
        <w:t xml:space="preserve"> </w:t>
      </w:r>
      <w:r w:rsidRPr="00B61689">
        <w:rPr>
          <w:rFonts w:asciiTheme="minorHAnsi" w:eastAsia="Times New Roman" w:hAnsiTheme="minorHAnsi" w:cstheme="minorHAnsi"/>
          <w:bCs/>
          <w:color w:val="333333"/>
          <w:sz w:val="22"/>
          <w:lang w:eastAsia="en-GB"/>
        </w:rPr>
        <w:t>22</w:t>
      </w:r>
      <w:r w:rsidRPr="009F5218">
        <w:rPr>
          <w:rFonts w:asciiTheme="minorHAnsi" w:eastAsia="Times New Roman" w:hAnsiTheme="minorHAnsi" w:cstheme="minorHAnsi"/>
          <w:b/>
          <w:bCs/>
          <w:color w:val="333333"/>
          <w:sz w:val="22"/>
          <w:lang w:eastAsia="en-GB"/>
        </w:rPr>
        <w:t>:</w:t>
      </w:r>
      <w:r w:rsidRPr="009F5218">
        <w:rPr>
          <w:rFonts w:asciiTheme="minorHAnsi" w:eastAsia="Times New Roman" w:hAnsiTheme="minorHAnsi" w:cstheme="minorHAnsi"/>
          <w:color w:val="333333"/>
          <w:sz w:val="22"/>
          <w:lang w:eastAsia="en-GB"/>
        </w:rPr>
        <w:t xml:space="preserve">85. </w:t>
      </w:r>
    </w:p>
    <w:p w14:paraId="0B9B1829" w14:textId="2825D04C" w:rsidR="00C94FC9" w:rsidRDefault="00626408" w:rsidP="004C2FB9">
      <w:pPr>
        <w:pStyle w:val="EndNoteBibliography"/>
        <w:numPr>
          <w:ilvl w:val="0"/>
          <w:numId w:val="11"/>
        </w:numPr>
        <w:spacing w:after="0" w:line="276" w:lineRule="auto"/>
        <w:jc w:val="left"/>
        <w:rPr>
          <w:rFonts w:asciiTheme="minorHAnsi" w:hAnsiTheme="minorHAnsi" w:cstheme="minorHAnsi"/>
          <w:color w:val="222222"/>
          <w:sz w:val="22"/>
        </w:rPr>
      </w:pPr>
      <w:r>
        <w:rPr>
          <w:rFonts w:asciiTheme="minorHAnsi" w:hAnsiTheme="minorHAnsi" w:cstheme="minorHAnsi"/>
          <w:color w:val="222222"/>
          <w:sz w:val="22"/>
        </w:rPr>
        <w:t xml:space="preserve">Arjona-Fuentes JM, Ariza-Montes A, </w:t>
      </w:r>
      <w:r w:rsidR="00C94FC9" w:rsidRPr="009F5218">
        <w:rPr>
          <w:rFonts w:asciiTheme="minorHAnsi" w:hAnsiTheme="minorHAnsi" w:cstheme="minorHAnsi"/>
          <w:color w:val="222222"/>
          <w:sz w:val="22"/>
        </w:rPr>
        <w:t>Han</w:t>
      </w:r>
      <w:r>
        <w:rPr>
          <w:rFonts w:asciiTheme="minorHAnsi" w:hAnsiTheme="minorHAnsi" w:cstheme="minorHAnsi"/>
          <w:color w:val="222222"/>
          <w:sz w:val="22"/>
        </w:rPr>
        <w:t xml:space="preserve"> H, </w:t>
      </w:r>
      <w:r w:rsidR="00C94FC9" w:rsidRPr="009F5218">
        <w:rPr>
          <w:rFonts w:asciiTheme="minorHAnsi" w:hAnsiTheme="minorHAnsi" w:cstheme="minorHAnsi"/>
          <w:color w:val="222222"/>
          <w:sz w:val="22"/>
        </w:rPr>
        <w:t>Law</w:t>
      </w:r>
      <w:r>
        <w:rPr>
          <w:rFonts w:asciiTheme="minorHAnsi" w:hAnsiTheme="minorHAnsi" w:cstheme="minorHAnsi"/>
          <w:color w:val="222222"/>
          <w:sz w:val="22"/>
        </w:rPr>
        <w:t xml:space="preserve"> R. </w:t>
      </w:r>
      <w:r w:rsidR="00C94FC9" w:rsidRPr="009F5218">
        <w:rPr>
          <w:rFonts w:asciiTheme="minorHAnsi" w:hAnsiTheme="minorHAnsi" w:cstheme="minorHAnsi"/>
          <w:color w:val="222222"/>
          <w:sz w:val="22"/>
        </w:rPr>
        <w:t xml:space="preserve">Silent threat of presenteeism in the hospitality industry: Examining individual, organisational and </w:t>
      </w:r>
      <w:r>
        <w:rPr>
          <w:rFonts w:asciiTheme="minorHAnsi" w:hAnsiTheme="minorHAnsi" w:cstheme="minorHAnsi"/>
          <w:color w:val="222222"/>
          <w:sz w:val="22"/>
        </w:rPr>
        <w:t>physical/mental health factors.</w:t>
      </w:r>
      <w:r w:rsidR="00C94FC9" w:rsidRPr="009F5218">
        <w:rPr>
          <w:rFonts w:asciiTheme="minorHAnsi" w:hAnsiTheme="minorHAnsi" w:cstheme="minorHAnsi"/>
          <w:color w:val="222222"/>
          <w:sz w:val="22"/>
        </w:rPr>
        <w:t xml:space="preserve"> </w:t>
      </w:r>
      <w:r w:rsidR="00C94FC9" w:rsidRPr="009F5218">
        <w:rPr>
          <w:rFonts w:asciiTheme="minorHAnsi" w:hAnsiTheme="minorHAnsi" w:cstheme="minorHAnsi"/>
          <w:i/>
          <w:iCs/>
          <w:color w:val="222222"/>
          <w:sz w:val="22"/>
        </w:rPr>
        <w:t>International Journal of Hospitality Management</w:t>
      </w:r>
      <w:r w:rsidR="00B61689">
        <w:rPr>
          <w:rFonts w:asciiTheme="minorHAnsi" w:hAnsiTheme="minorHAnsi" w:cstheme="minorHAnsi"/>
          <w:color w:val="222222"/>
          <w:sz w:val="22"/>
        </w:rPr>
        <w:t xml:space="preserve"> </w:t>
      </w:r>
      <w:r>
        <w:rPr>
          <w:rFonts w:asciiTheme="minorHAnsi" w:hAnsiTheme="minorHAnsi" w:cstheme="minorHAnsi"/>
          <w:color w:val="222222"/>
          <w:sz w:val="22"/>
        </w:rPr>
        <w:t>2019; 82</w:t>
      </w:r>
      <w:r w:rsidR="00C94FC9" w:rsidRPr="009F5218">
        <w:rPr>
          <w:rFonts w:asciiTheme="minorHAnsi" w:hAnsiTheme="minorHAnsi" w:cstheme="minorHAnsi"/>
          <w:color w:val="222222"/>
          <w:sz w:val="22"/>
        </w:rPr>
        <w:t>: 191-198.</w:t>
      </w:r>
    </w:p>
    <w:p w14:paraId="1061D332" w14:textId="77777777" w:rsidR="0014553F" w:rsidRDefault="0014553F" w:rsidP="0014553F">
      <w:pPr>
        <w:pStyle w:val="ListParagraph"/>
        <w:numPr>
          <w:ilvl w:val="0"/>
          <w:numId w:val="11"/>
        </w:numPr>
        <w:spacing w:after="0" w:line="276" w:lineRule="auto"/>
        <w:rPr>
          <w:rFonts w:cstheme="minorHAnsi"/>
        </w:rPr>
      </w:pPr>
      <w:r w:rsidRPr="0011533D">
        <w:rPr>
          <w:rFonts w:cstheme="minorHAnsi"/>
        </w:rPr>
        <w:t xml:space="preserve">Primholdt N, Primdahl J, Hendricks O. A Difficult Diagnosis: A Qualitative Study of the Daily Lives of Young Men Diagnosed with Ankylosing Spondylitis. </w:t>
      </w:r>
      <w:r w:rsidRPr="0011533D">
        <w:rPr>
          <w:rFonts w:cstheme="minorHAnsi"/>
          <w:i/>
        </w:rPr>
        <w:t>Musculoskeletal Care</w:t>
      </w:r>
      <w:r w:rsidRPr="0011533D">
        <w:rPr>
          <w:rFonts w:cstheme="minorHAnsi"/>
        </w:rPr>
        <w:t xml:space="preserve"> 2017. 15:140-149</w:t>
      </w:r>
    </w:p>
    <w:p w14:paraId="0ACF8282" w14:textId="2868B03C" w:rsidR="00F5304A" w:rsidRPr="0014553F" w:rsidRDefault="00F5304A" w:rsidP="0014553F">
      <w:pPr>
        <w:pStyle w:val="EndNoteBibliography"/>
        <w:numPr>
          <w:ilvl w:val="0"/>
          <w:numId w:val="11"/>
        </w:numPr>
        <w:spacing w:after="0" w:line="276" w:lineRule="auto"/>
        <w:jc w:val="left"/>
        <w:rPr>
          <w:rFonts w:asciiTheme="minorHAnsi" w:hAnsiTheme="minorHAnsi" w:cstheme="minorHAnsi"/>
          <w:color w:val="222222"/>
          <w:sz w:val="22"/>
        </w:rPr>
      </w:pPr>
      <w:r w:rsidRPr="0014553F">
        <w:rPr>
          <w:rFonts w:asciiTheme="minorHAnsi" w:hAnsiTheme="minorHAnsi" w:cstheme="minorHAnsi"/>
          <w:color w:val="222222"/>
          <w:sz w:val="22"/>
        </w:rPr>
        <w:t>Kar</w:t>
      </w:r>
      <w:r w:rsidR="00D50C30" w:rsidRPr="0014553F">
        <w:rPr>
          <w:rFonts w:asciiTheme="minorHAnsi" w:hAnsiTheme="minorHAnsi" w:cstheme="minorHAnsi"/>
          <w:color w:val="222222"/>
          <w:sz w:val="22"/>
        </w:rPr>
        <w:t>a</w:t>
      </w:r>
      <w:r w:rsidRPr="0014553F">
        <w:rPr>
          <w:rFonts w:asciiTheme="minorHAnsi" w:hAnsiTheme="minorHAnsi" w:cstheme="minorHAnsi"/>
          <w:color w:val="222222"/>
          <w:sz w:val="22"/>
        </w:rPr>
        <w:t>sek</w:t>
      </w:r>
      <w:r w:rsidR="00626408" w:rsidRPr="0014553F">
        <w:rPr>
          <w:rFonts w:asciiTheme="minorHAnsi" w:hAnsiTheme="minorHAnsi" w:cstheme="minorHAnsi"/>
          <w:color w:val="222222"/>
          <w:sz w:val="22"/>
        </w:rPr>
        <w:t xml:space="preserve"> R &amp; Theorell T. </w:t>
      </w:r>
      <w:r w:rsidR="00626408" w:rsidRPr="0014553F">
        <w:rPr>
          <w:rFonts w:asciiTheme="minorHAnsi" w:hAnsiTheme="minorHAnsi" w:cstheme="minorHAnsi"/>
          <w:i/>
          <w:color w:val="222222"/>
          <w:sz w:val="22"/>
        </w:rPr>
        <w:t>Healthy work: Stress, productivity, and the reconstruction of working life</w:t>
      </w:r>
      <w:r w:rsidR="00C8494E" w:rsidRPr="0014553F">
        <w:rPr>
          <w:rFonts w:asciiTheme="minorHAnsi" w:hAnsiTheme="minorHAnsi" w:cstheme="minorHAnsi"/>
          <w:i/>
          <w:color w:val="222222"/>
          <w:sz w:val="22"/>
        </w:rPr>
        <w:t>.</w:t>
      </w:r>
      <w:r w:rsidR="00C8494E" w:rsidRPr="0014553F">
        <w:rPr>
          <w:rFonts w:asciiTheme="minorHAnsi" w:hAnsiTheme="minorHAnsi" w:cstheme="minorHAnsi"/>
          <w:color w:val="222222"/>
          <w:sz w:val="22"/>
        </w:rPr>
        <w:t xml:space="preserve"> </w:t>
      </w:r>
      <w:r w:rsidR="00626408" w:rsidRPr="0014553F">
        <w:rPr>
          <w:rFonts w:asciiTheme="minorHAnsi" w:hAnsiTheme="minorHAnsi" w:cstheme="minorHAnsi"/>
          <w:color w:val="222222"/>
          <w:sz w:val="22"/>
        </w:rPr>
        <w:t>New York, NY: Basic Books</w:t>
      </w:r>
      <w:r w:rsidR="00C8494E" w:rsidRPr="0014553F">
        <w:rPr>
          <w:rFonts w:asciiTheme="minorHAnsi" w:hAnsiTheme="minorHAnsi" w:cstheme="minorHAnsi"/>
          <w:color w:val="222222"/>
          <w:sz w:val="22"/>
        </w:rPr>
        <w:t>; 1990</w:t>
      </w:r>
    </w:p>
    <w:p w14:paraId="7C086BB8" w14:textId="461E69B1" w:rsidR="00F5304A" w:rsidRPr="009F5218" w:rsidRDefault="00F5304A" w:rsidP="004C2FB9">
      <w:pPr>
        <w:pStyle w:val="ListParagraph"/>
        <w:numPr>
          <w:ilvl w:val="0"/>
          <w:numId w:val="11"/>
        </w:numPr>
        <w:spacing w:line="276" w:lineRule="auto"/>
        <w:rPr>
          <w:rFonts w:cstheme="minorHAnsi"/>
        </w:rPr>
      </w:pPr>
      <w:r w:rsidRPr="009F5218">
        <w:rPr>
          <w:rFonts w:cstheme="minorHAnsi"/>
        </w:rPr>
        <w:t>Mengshoel AM. Living With a Fluctuating Illness of Ankylosing Spondylitis: A Qualitative Study</w:t>
      </w:r>
      <w:r w:rsidR="00B61689">
        <w:rPr>
          <w:rFonts w:cstheme="minorHAnsi"/>
        </w:rPr>
        <w:t>.</w:t>
      </w:r>
      <w:r w:rsidRPr="009F5218">
        <w:rPr>
          <w:rFonts w:cstheme="minorHAnsi"/>
        </w:rPr>
        <w:t xml:space="preserve"> </w:t>
      </w:r>
      <w:r w:rsidR="00B61689" w:rsidRPr="00B61689">
        <w:rPr>
          <w:rFonts w:cstheme="minorHAnsi"/>
          <w:i/>
        </w:rPr>
        <w:t>Arthritis Rheum</w:t>
      </w:r>
      <w:r w:rsidR="00B61689">
        <w:rPr>
          <w:rFonts w:cstheme="minorHAnsi"/>
        </w:rPr>
        <w:t xml:space="preserve"> 2008; </w:t>
      </w:r>
      <w:r w:rsidRPr="009F5218">
        <w:rPr>
          <w:rFonts w:cstheme="minorHAnsi"/>
        </w:rPr>
        <w:t>59(10):1439-1444</w:t>
      </w:r>
    </w:p>
    <w:p w14:paraId="673437F7" w14:textId="4771FD1A" w:rsidR="00916E4B" w:rsidRPr="009F5218" w:rsidRDefault="00916E4B" w:rsidP="004C2FB9">
      <w:pPr>
        <w:pStyle w:val="ListParagraph"/>
        <w:numPr>
          <w:ilvl w:val="0"/>
          <w:numId w:val="11"/>
        </w:numPr>
        <w:spacing w:line="276" w:lineRule="auto"/>
        <w:rPr>
          <w:rFonts w:cstheme="minorHAnsi"/>
        </w:rPr>
      </w:pPr>
      <w:r w:rsidRPr="009F5218">
        <w:rPr>
          <w:rFonts w:cstheme="minorHAnsi"/>
        </w:rPr>
        <w:t>Bagcivan G et al. Living with pain in ankylosing spondylitis: a qualitative study</w:t>
      </w:r>
      <w:r w:rsidR="00626408">
        <w:rPr>
          <w:rFonts w:cstheme="minorHAnsi"/>
        </w:rPr>
        <w:t xml:space="preserve">. </w:t>
      </w:r>
      <w:r w:rsidR="00B61689" w:rsidRPr="00B61689">
        <w:rPr>
          <w:rFonts w:cstheme="minorHAnsi"/>
          <w:i/>
        </w:rPr>
        <w:t>Contemporary Nurse</w:t>
      </w:r>
      <w:r w:rsidR="00B61689">
        <w:rPr>
          <w:rFonts w:cstheme="minorHAnsi"/>
        </w:rPr>
        <w:t xml:space="preserve"> </w:t>
      </w:r>
      <w:r w:rsidR="00626408">
        <w:rPr>
          <w:rFonts w:cstheme="minorHAnsi"/>
        </w:rPr>
        <w:t xml:space="preserve">2015; </w:t>
      </w:r>
      <w:r w:rsidRPr="009F5218">
        <w:rPr>
          <w:rFonts w:cstheme="minorHAnsi"/>
        </w:rPr>
        <w:t>51(2-3):135-147</w:t>
      </w:r>
    </w:p>
    <w:p w14:paraId="53BD7F30" w14:textId="58746162" w:rsidR="00F5304A" w:rsidRPr="009F5218" w:rsidRDefault="007803B5" w:rsidP="004C2FB9">
      <w:pPr>
        <w:pStyle w:val="ListParagraph"/>
        <w:numPr>
          <w:ilvl w:val="0"/>
          <w:numId w:val="11"/>
        </w:numPr>
        <w:spacing w:line="276" w:lineRule="auto"/>
        <w:rPr>
          <w:rFonts w:cstheme="minorHAnsi"/>
        </w:rPr>
      </w:pPr>
      <w:r>
        <w:t xml:space="preserve">The </w:t>
      </w:r>
      <w:r w:rsidR="00AA59FA">
        <w:t xml:space="preserve">Council for Work and Health. </w:t>
      </w:r>
      <w:r w:rsidRPr="007803B5">
        <w:rPr>
          <w:i/>
        </w:rPr>
        <w:t>Talking Work: A guide for Doctors discussing work and work modifications with patients</w:t>
      </w:r>
      <w:r w:rsidRPr="007803B5">
        <w:t xml:space="preserve">. </w:t>
      </w:r>
      <w:r w:rsidR="00AA59FA">
        <w:t xml:space="preserve">Available from: </w:t>
      </w:r>
      <w:hyperlink r:id="rId19" w:history="1">
        <w:r w:rsidR="00AA59FA" w:rsidRPr="006C588C">
          <w:rPr>
            <w:rStyle w:val="Hyperlink"/>
          </w:rPr>
          <w:t>https://www.councilforworkandhealth.org.uk/work-modifications/</w:t>
        </w:r>
      </w:hyperlink>
      <w:r w:rsidR="00AA59FA">
        <w:t xml:space="preserve">. </w:t>
      </w:r>
      <w:r>
        <w:t>[</w:t>
      </w:r>
      <w:r w:rsidR="00AA59FA">
        <w:t>Accessed 31</w:t>
      </w:r>
      <w:r w:rsidR="00AA59FA" w:rsidRPr="00AA59FA">
        <w:rPr>
          <w:vertAlign w:val="superscript"/>
        </w:rPr>
        <w:t>st</w:t>
      </w:r>
      <w:r w:rsidR="00AA59FA">
        <w:t xml:space="preserve"> October 2019</w:t>
      </w:r>
      <w:r>
        <w:t>]</w:t>
      </w:r>
      <w:r w:rsidR="00AA59FA">
        <w:t>.</w:t>
      </w:r>
    </w:p>
    <w:p w14:paraId="136722D1" w14:textId="62582C88" w:rsidR="00F5304A" w:rsidRPr="009F5218" w:rsidRDefault="00B61689" w:rsidP="004C2FB9">
      <w:pPr>
        <w:pStyle w:val="ListParagraph"/>
        <w:numPr>
          <w:ilvl w:val="0"/>
          <w:numId w:val="11"/>
        </w:numPr>
        <w:spacing w:line="276" w:lineRule="auto"/>
        <w:rPr>
          <w:rFonts w:cstheme="minorHAnsi"/>
        </w:rPr>
      </w:pPr>
      <w:r>
        <w:rPr>
          <w:rFonts w:cstheme="minorHAnsi"/>
        </w:rPr>
        <w:t>van der Heijde D, Ramiro S, Landewe R et al. 2016 update of the ASAS-</w:t>
      </w:r>
      <w:r w:rsidR="00F5304A" w:rsidRPr="009F5218">
        <w:rPr>
          <w:rFonts w:cstheme="minorHAnsi"/>
        </w:rPr>
        <w:t xml:space="preserve">EULAR </w:t>
      </w:r>
      <w:r>
        <w:rPr>
          <w:rFonts w:cstheme="minorHAnsi"/>
        </w:rPr>
        <w:t xml:space="preserve">management recommendations for axial spondyloarthritis. </w:t>
      </w:r>
      <w:r w:rsidRPr="00B61689">
        <w:rPr>
          <w:rFonts w:cstheme="minorHAnsi"/>
          <w:i/>
        </w:rPr>
        <w:t>Ann Rheum Dis</w:t>
      </w:r>
      <w:r>
        <w:rPr>
          <w:rFonts w:cstheme="minorHAnsi"/>
        </w:rPr>
        <w:t xml:space="preserve"> 2017; 76: 978-991. Doi:10.1136/annrheumdis-2016-210770</w:t>
      </w:r>
    </w:p>
    <w:p w14:paraId="10DC3EA5" w14:textId="39099046" w:rsidR="00511BB9" w:rsidRDefault="00511BB9" w:rsidP="000849F1">
      <w:pPr>
        <w:spacing w:line="360" w:lineRule="auto"/>
        <w:sectPr w:rsidR="00511BB9" w:rsidSect="000849F1">
          <w:headerReference w:type="default" r:id="rId20"/>
          <w:footerReference w:type="default" r:id="rId21"/>
          <w:pgSz w:w="11906" w:h="16838"/>
          <w:pgMar w:top="1440" w:right="1440" w:bottom="1135" w:left="1440" w:header="708" w:footer="708" w:gutter="0"/>
          <w:cols w:space="708"/>
          <w:docGrid w:linePitch="360"/>
        </w:sectPr>
      </w:pPr>
    </w:p>
    <w:p w14:paraId="59BBD082" w14:textId="5AE75FA5" w:rsidR="00E545CB" w:rsidRPr="002E05EF" w:rsidRDefault="00D4693F" w:rsidP="003A4DEE">
      <w:pPr>
        <w:spacing w:line="360" w:lineRule="auto"/>
        <w:rPr>
          <w:b/>
        </w:rPr>
      </w:pPr>
      <w:r>
        <w:rPr>
          <w:b/>
        </w:rPr>
        <w:lastRenderedPageBreak/>
        <w:t>F</w:t>
      </w:r>
      <w:r w:rsidR="000849F1">
        <w:rPr>
          <w:b/>
        </w:rPr>
        <w:t>I</w:t>
      </w:r>
      <w:r>
        <w:rPr>
          <w:b/>
        </w:rPr>
        <w:t>GURE LEGEND</w:t>
      </w:r>
      <w:r w:rsidR="00A80D95">
        <w:rPr>
          <w:b/>
        </w:rPr>
        <w:t>S</w:t>
      </w:r>
    </w:p>
    <w:p w14:paraId="38A0BA02" w14:textId="3FC7C8A7" w:rsidR="00E545CB" w:rsidRPr="002E05EF" w:rsidRDefault="00E545CB" w:rsidP="00A80D95">
      <w:pPr>
        <w:keepNext/>
        <w:spacing w:after="0" w:line="360" w:lineRule="auto"/>
        <w:rPr>
          <w:rFonts w:ascii="Calibri" w:eastAsia="Calibri" w:hAnsi="Calibri" w:cs="Times New Roman"/>
          <w:i/>
          <w:iCs/>
        </w:rPr>
      </w:pPr>
      <w:r w:rsidRPr="002E05EF">
        <w:rPr>
          <w:rFonts w:ascii="Calibri" w:eastAsia="Calibri" w:hAnsi="Calibri" w:cs="Times New Roman"/>
          <w:iCs/>
        </w:rPr>
        <w:t xml:space="preserve">Figure </w:t>
      </w:r>
      <w:r w:rsidR="00586B89">
        <w:rPr>
          <w:rFonts w:ascii="Calibri" w:eastAsia="Calibri" w:hAnsi="Calibri" w:cs="Times New Roman"/>
          <w:iCs/>
        </w:rPr>
        <w:fldChar w:fldCharType="begin"/>
      </w:r>
      <w:r w:rsidR="00586B89">
        <w:rPr>
          <w:rFonts w:ascii="Calibri" w:eastAsia="Calibri" w:hAnsi="Calibri" w:cs="Times New Roman"/>
          <w:iCs/>
        </w:rPr>
        <w:instrText xml:space="preserve"> SEQ Figure \* ARABIC </w:instrText>
      </w:r>
      <w:r w:rsidR="00586B89">
        <w:rPr>
          <w:rFonts w:ascii="Calibri" w:eastAsia="Calibri" w:hAnsi="Calibri" w:cs="Times New Roman"/>
          <w:iCs/>
        </w:rPr>
        <w:fldChar w:fldCharType="separate"/>
      </w:r>
      <w:r w:rsidR="00586B89">
        <w:rPr>
          <w:rFonts w:ascii="Calibri" w:eastAsia="Calibri" w:hAnsi="Calibri" w:cs="Times New Roman"/>
          <w:iCs/>
          <w:noProof/>
        </w:rPr>
        <w:t>1</w:t>
      </w:r>
      <w:r w:rsidR="00586B89">
        <w:rPr>
          <w:rFonts w:ascii="Calibri" w:eastAsia="Calibri" w:hAnsi="Calibri" w:cs="Times New Roman"/>
          <w:iCs/>
        </w:rPr>
        <w:fldChar w:fldCharType="end"/>
      </w:r>
      <w:r w:rsidR="000849F1">
        <w:rPr>
          <w:rFonts w:ascii="Calibri" w:eastAsia="Calibri" w:hAnsi="Calibri" w:cs="Times New Roman"/>
          <w:iCs/>
        </w:rPr>
        <w:t xml:space="preserve">.  </w:t>
      </w:r>
      <w:r w:rsidRPr="002E05EF">
        <w:rPr>
          <w:rFonts w:ascii="Calibri" w:eastAsia="Calibri" w:hAnsi="Calibri" w:cs="Times New Roman"/>
          <w:iCs/>
        </w:rPr>
        <w:t>Relationship between presenteeism and living in a rural area, adjusted for increasing number of factors</w:t>
      </w:r>
    </w:p>
    <w:p w14:paraId="0B0F73C9" w14:textId="77777777" w:rsidR="00A80D95" w:rsidRDefault="00A80D95" w:rsidP="00A80D95">
      <w:pPr>
        <w:pStyle w:val="Caption"/>
        <w:keepNext/>
        <w:spacing w:line="360" w:lineRule="auto"/>
        <w:rPr>
          <w:i w:val="0"/>
          <w:iCs w:val="0"/>
          <w:color w:val="auto"/>
          <w:sz w:val="22"/>
          <w:szCs w:val="22"/>
        </w:rPr>
      </w:pPr>
    </w:p>
    <w:p w14:paraId="36C7651D" w14:textId="38576020" w:rsidR="0052159C" w:rsidRPr="00DA325A" w:rsidRDefault="0052159C" w:rsidP="00A80D95">
      <w:pPr>
        <w:pStyle w:val="Caption"/>
        <w:keepNext/>
        <w:spacing w:line="360" w:lineRule="auto"/>
        <w:rPr>
          <w:i w:val="0"/>
          <w:iCs w:val="0"/>
          <w:color w:val="auto"/>
          <w:sz w:val="22"/>
          <w:szCs w:val="22"/>
        </w:rPr>
      </w:pPr>
      <w:r w:rsidRPr="00DA325A">
        <w:rPr>
          <w:i w:val="0"/>
          <w:iCs w:val="0"/>
          <w:color w:val="auto"/>
          <w:sz w:val="22"/>
          <w:szCs w:val="22"/>
        </w:rPr>
        <w:t xml:space="preserve">Figure </w:t>
      </w:r>
      <w:r w:rsidR="00586B89" w:rsidRPr="00DA325A">
        <w:rPr>
          <w:i w:val="0"/>
          <w:iCs w:val="0"/>
          <w:color w:val="auto"/>
          <w:sz w:val="22"/>
          <w:szCs w:val="22"/>
        </w:rPr>
        <w:fldChar w:fldCharType="begin"/>
      </w:r>
      <w:r w:rsidR="00586B89" w:rsidRPr="00DA325A">
        <w:rPr>
          <w:i w:val="0"/>
          <w:iCs w:val="0"/>
          <w:color w:val="auto"/>
          <w:sz w:val="22"/>
          <w:szCs w:val="22"/>
        </w:rPr>
        <w:instrText xml:space="preserve"> SEQ Figure \* ARABIC </w:instrText>
      </w:r>
      <w:r w:rsidR="00586B89" w:rsidRPr="00DA325A">
        <w:rPr>
          <w:i w:val="0"/>
          <w:iCs w:val="0"/>
          <w:color w:val="auto"/>
          <w:sz w:val="22"/>
          <w:szCs w:val="22"/>
        </w:rPr>
        <w:fldChar w:fldCharType="separate"/>
      </w:r>
      <w:r w:rsidR="00586B89" w:rsidRPr="00DA325A">
        <w:rPr>
          <w:i w:val="0"/>
          <w:iCs w:val="0"/>
          <w:noProof/>
          <w:color w:val="auto"/>
          <w:sz w:val="22"/>
          <w:szCs w:val="22"/>
        </w:rPr>
        <w:t>2</w:t>
      </w:r>
      <w:r w:rsidR="00586B89" w:rsidRPr="00DA325A">
        <w:rPr>
          <w:i w:val="0"/>
          <w:iCs w:val="0"/>
          <w:color w:val="auto"/>
          <w:sz w:val="22"/>
          <w:szCs w:val="22"/>
        </w:rPr>
        <w:fldChar w:fldCharType="end"/>
      </w:r>
      <w:r w:rsidRPr="00DA325A">
        <w:rPr>
          <w:i w:val="0"/>
          <w:iCs w:val="0"/>
          <w:color w:val="auto"/>
          <w:sz w:val="22"/>
          <w:szCs w:val="22"/>
        </w:rPr>
        <w:t>. Relationship between presenteeism</w:t>
      </w:r>
      <w:r w:rsidR="002C2C8E" w:rsidRPr="00DA325A">
        <w:rPr>
          <w:i w:val="0"/>
          <w:iCs w:val="0"/>
          <w:color w:val="auto"/>
          <w:sz w:val="22"/>
          <w:szCs w:val="22"/>
        </w:rPr>
        <w:t xml:space="preserve"> at follow-up</w:t>
      </w:r>
      <w:r w:rsidRPr="00DA325A">
        <w:rPr>
          <w:i w:val="0"/>
          <w:iCs w:val="0"/>
          <w:color w:val="auto"/>
          <w:sz w:val="22"/>
          <w:szCs w:val="22"/>
        </w:rPr>
        <w:t xml:space="preserve"> and living in a rural area amongst biologic patients, adjusted for increasing number of factors</w:t>
      </w:r>
    </w:p>
    <w:p w14:paraId="2209EB63" w14:textId="438EDCB1" w:rsidR="000A088F" w:rsidRDefault="000A088F" w:rsidP="0014553F">
      <w:pPr>
        <w:spacing w:line="360" w:lineRule="auto"/>
      </w:pPr>
    </w:p>
    <w:p w14:paraId="7197F4CD" w14:textId="77777777" w:rsidR="000A088F" w:rsidRDefault="000A088F" w:rsidP="003A4DEE">
      <w:pPr>
        <w:spacing w:line="360" w:lineRule="auto"/>
        <w:ind w:left="426" w:hanging="426"/>
      </w:pPr>
    </w:p>
    <w:p w14:paraId="6D975362" w14:textId="77777777" w:rsidR="006B48D0" w:rsidRPr="006B48D0" w:rsidRDefault="006B48D0" w:rsidP="003A4DEE">
      <w:pPr>
        <w:pStyle w:val="Caption"/>
        <w:keepNext/>
        <w:spacing w:after="0" w:line="360" w:lineRule="auto"/>
        <w:rPr>
          <w:b/>
        </w:rPr>
      </w:pPr>
    </w:p>
    <w:sectPr w:rsidR="006B48D0" w:rsidRPr="006B48D0" w:rsidSect="00C963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6D262" w14:textId="77777777" w:rsidR="00046116" w:rsidRDefault="00046116" w:rsidP="007C703C">
      <w:pPr>
        <w:spacing w:after="0" w:line="240" w:lineRule="auto"/>
      </w:pPr>
      <w:r>
        <w:separator/>
      </w:r>
    </w:p>
  </w:endnote>
  <w:endnote w:type="continuationSeparator" w:id="0">
    <w:p w14:paraId="7A9E19E6" w14:textId="77777777" w:rsidR="00046116" w:rsidRDefault="00046116" w:rsidP="007C703C">
      <w:pPr>
        <w:spacing w:after="0" w:line="240" w:lineRule="auto"/>
      </w:pPr>
      <w:r>
        <w:continuationSeparator/>
      </w:r>
    </w:p>
  </w:endnote>
  <w:endnote w:type="continuationNotice" w:id="1">
    <w:p w14:paraId="2AC5D5F4" w14:textId="77777777" w:rsidR="00046116" w:rsidRDefault="00046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946328"/>
      <w:docPartObj>
        <w:docPartGallery w:val="Page Numbers (Bottom of Page)"/>
        <w:docPartUnique/>
      </w:docPartObj>
    </w:sdtPr>
    <w:sdtEndPr>
      <w:rPr>
        <w:noProof/>
      </w:rPr>
    </w:sdtEndPr>
    <w:sdtContent>
      <w:p w14:paraId="2CD4B0B2" w14:textId="56CC2731" w:rsidR="002908EC" w:rsidRDefault="002908EC">
        <w:pPr>
          <w:pStyle w:val="Footer"/>
          <w:jc w:val="right"/>
        </w:pPr>
        <w:r>
          <w:fldChar w:fldCharType="begin"/>
        </w:r>
        <w:r>
          <w:instrText xml:space="preserve"> PAGE   \* MERGEFORMAT </w:instrText>
        </w:r>
        <w:r>
          <w:fldChar w:fldCharType="separate"/>
        </w:r>
        <w:r w:rsidR="00EF7453">
          <w:rPr>
            <w:noProof/>
          </w:rPr>
          <w:t>23</w:t>
        </w:r>
        <w:r>
          <w:rPr>
            <w:noProof/>
          </w:rPr>
          <w:fldChar w:fldCharType="end"/>
        </w:r>
      </w:p>
    </w:sdtContent>
  </w:sdt>
  <w:p w14:paraId="69DFFFB6" w14:textId="77777777" w:rsidR="002908EC" w:rsidRDefault="00290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2412B" w14:textId="77777777" w:rsidR="00046116" w:rsidRDefault="00046116" w:rsidP="007C703C">
      <w:pPr>
        <w:spacing w:after="0" w:line="240" w:lineRule="auto"/>
      </w:pPr>
      <w:r>
        <w:separator/>
      </w:r>
    </w:p>
  </w:footnote>
  <w:footnote w:type="continuationSeparator" w:id="0">
    <w:p w14:paraId="61B83557" w14:textId="77777777" w:rsidR="00046116" w:rsidRDefault="00046116" w:rsidP="007C703C">
      <w:pPr>
        <w:spacing w:after="0" w:line="240" w:lineRule="auto"/>
      </w:pPr>
      <w:r>
        <w:continuationSeparator/>
      </w:r>
    </w:p>
  </w:footnote>
  <w:footnote w:type="continuationNotice" w:id="1">
    <w:p w14:paraId="128EF1D6" w14:textId="77777777" w:rsidR="00046116" w:rsidRDefault="000461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CEE3C" w14:textId="77777777" w:rsidR="002908EC" w:rsidRDefault="00290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F55B3"/>
    <w:multiLevelType w:val="multilevel"/>
    <w:tmpl w:val="15663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342AF"/>
    <w:multiLevelType w:val="hybridMultilevel"/>
    <w:tmpl w:val="98F0AD1E"/>
    <w:lvl w:ilvl="0" w:tplc="3C7263EA">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537C2"/>
    <w:multiLevelType w:val="multilevel"/>
    <w:tmpl w:val="BE3C93B6"/>
    <w:lvl w:ilvl="0">
      <w:start w:val="1"/>
      <w:numFmt w:val="decimal"/>
      <w:lvlText w:val="%1."/>
      <w:lvlJc w:val="left"/>
      <w:pPr>
        <w:tabs>
          <w:tab w:val="num" w:pos="720"/>
        </w:tabs>
        <w:ind w:left="720" w:hanging="360"/>
      </w:pPr>
      <w:rPr>
        <w:rFonts w:ascii="&amp;quot" w:eastAsia="Times New Roman" w:hAnsi="&amp;quo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0F1E33"/>
    <w:multiLevelType w:val="multilevel"/>
    <w:tmpl w:val="B6461D4E"/>
    <w:lvl w:ilvl="0">
      <w:start w:val="1"/>
      <w:numFmt w:val="decimal"/>
      <w:lvlText w:val="%1."/>
      <w:lvlJc w:val="left"/>
      <w:pPr>
        <w:tabs>
          <w:tab w:val="num" w:pos="720"/>
        </w:tabs>
        <w:ind w:left="720" w:hanging="360"/>
      </w:pPr>
      <w:rPr>
        <w:rFonts w:asciiTheme="minorHAnsi" w:eastAsia="Times New Roman"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841F5E"/>
    <w:multiLevelType w:val="hybridMultilevel"/>
    <w:tmpl w:val="F57AD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67C02"/>
    <w:multiLevelType w:val="hybridMultilevel"/>
    <w:tmpl w:val="771CFFA6"/>
    <w:lvl w:ilvl="0" w:tplc="0C70A1B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B303A"/>
    <w:multiLevelType w:val="hybridMultilevel"/>
    <w:tmpl w:val="5254D57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49526C"/>
    <w:multiLevelType w:val="hybridMultilevel"/>
    <w:tmpl w:val="7166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A2413"/>
    <w:multiLevelType w:val="hybridMultilevel"/>
    <w:tmpl w:val="35C8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D108C"/>
    <w:multiLevelType w:val="hybridMultilevel"/>
    <w:tmpl w:val="B26E9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194FF1"/>
    <w:multiLevelType w:val="hybridMultilevel"/>
    <w:tmpl w:val="39BC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A6FB6"/>
    <w:multiLevelType w:val="hybridMultilevel"/>
    <w:tmpl w:val="84321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356372"/>
    <w:multiLevelType w:val="hybridMultilevel"/>
    <w:tmpl w:val="B26E9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FF0B19"/>
    <w:multiLevelType w:val="hybridMultilevel"/>
    <w:tmpl w:val="889642BC"/>
    <w:lvl w:ilvl="0" w:tplc="8294D64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E92DBC"/>
    <w:multiLevelType w:val="hybridMultilevel"/>
    <w:tmpl w:val="7B48E4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E10DC4"/>
    <w:multiLevelType w:val="hybridMultilevel"/>
    <w:tmpl w:val="2E305800"/>
    <w:lvl w:ilvl="0" w:tplc="F864CD6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1313554"/>
    <w:multiLevelType w:val="hybridMultilevel"/>
    <w:tmpl w:val="0D363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634544"/>
    <w:multiLevelType w:val="hybridMultilevel"/>
    <w:tmpl w:val="1B7A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6"/>
  </w:num>
  <w:num w:numId="4">
    <w:abstractNumId w:val="14"/>
  </w:num>
  <w:num w:numId="5">
    <w:abstractNumId w:val="5"/>
  </w:num>
  <w:num w:numId="6">
    <w:abstractNumId w:val="17"/>
  </w:num>
  <w:num w:numId="7">
    <w:abstractNumId w:val="4"/>
  </w:num>
  <w:num w:numId="8">
    <w:abstractNumId w:val="7"/>
  </w:num>
  <w:num w:numId="9">
    <w:abstractNumId w:val="10"/>
  </w:num>
  <w:num w:numId="10">
    <w:abstractNumId w:val="8"/>
  </w:num>
  <w:num w:numId="11">
    <w:abstractNumId w:val="13"/>
  </w:num>
  <w:num w:numId="12">
    <w:abstractNumId w:val="12"/>
  </w:num>
  <w:num w:numId="13">
    <w:abstractNumId w:val="9"/>
  </w:num>
  <w:num w:numId="14">
    <w:abstractNumId w:val="11"/>
  </w:num>
  <w:num w:numId="15">
    <w:abstractNumId w:val="6"/>
  </w:num>
  <w:num w:numId="16">
    <w:abstractNumId w:val="0"/>
    <w:lvlOverride w:ilvl="0">
      <w:lvl w:ilvl="0">
        <w:numFmt w:val="bullet"/>
        <w:lvlText w:val=""/>
        <w:lvlJc w:val="left"/>
        <w:pPr>
          <w:tabs>
            <w:tab w:val="num" w:pos="720"/>
          </w:tabs>
          <w:ind w:left="720" w:hanging="360"/>
        </w:pPr>
        <w:rPr>
          <w:rFonts w:ascii="Symbol" w:hAnsi="Symbol" w:hint="default"/>
          <w:sz w:val="20"/>
        </w:rPr>
      </w:lvl>
    </w:lvlOverride>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8D0"/>
    <w:rsid w:val="000044BE"/>
    <w:rsid w:val="00004570"/>
    <w:rsid w:val="00004DF4"/>
    <w:rsid w:val="0000601B"/>
    <w:rsid w:val="00007D13"/>
    <w:rsid w:val="00014949"/>
    <w:rsid w:val="00014E29"/>
    <w:rsid w:val="00016BC8"/>
    <w:rsid w:val="00016EAF"/>
    <w:rsid w:val="00017744"/>
    <w:rsid w:val="00020943"/>
    <w:rsid w:val="000211A8"/>
    <w:rsid w:val="000255D5"/>
    <w:rsid w:val="000257B8"/>
    <w:rsid w:val="00040C53"/>
    <w:rsid w:val="00046116"/>
    <w:rsid w:val="00047EBC"/>
    <w:rsid w:val="00050C1A"/>
    <w:rsid w:val="000524D8"/>
    <w:rsid w:val="000527CF"/>
    <w:rsid w:val="00052F28"/>
    <w:rsid w:val="00053E30"/>
    <w:rsid w:val="000553B6"/>
    <w:rsid w:val="00064FD3"/>
    <w:rsid w:val="000717A4"/>
    <w:rsid w:val="00072AD4"/>
    <w:rsid w:val="0007315A"/>
    <w:rsid w:val="00080761"/>
    <w:rsid w:val="00083A1C"/>
    <w:rsid w:val="000849F1"/>
    <w:rsid w:val="00085BC1"/>
    <w:rsid w:val="00087226"/>
    <w:rsid w:val="00090450"/>
    <w:rsid w:val="00091D81"/>
    <w:rsid w:val="00091F7F"/>
    <w:rsid w:val="000938B5"/>
    <w:rsid w:val="000A088F"/>
    <w:rsid w:val="000A743C"/>
    <w:rsid w:val="000B45BE"/>
    <w:rsid w:val="000B554A"/>
    <w:rsid w:val="000D01C2"/>
    <w:rsid w:val="000D084B"/>
    <w:rsid w:val="000D1F40"/>
    <w:rsid w:val="000D2B32"/>
    <w:rsid w:val="000D46F4"/>
    <w:rsid w:val="000E2819"/>
    <w:rsid w:val="000E2BB1"/>
    <w:rsid w:val="000E3954"/>
    <w:rsid w:val="000E4226"/>
    <w:rsid w:val="000F2F68"/>
    <w:rsid w:val="000F511F"/>
    <w:rsid w:val="000F55A3"/>
    <w:rsid w:val="00100672"/>
    <w:rsid w:val="001014F1"/>
    <w:rsid w:val="001014F4"/>
    <w:rsid w:val="00101D7A"/>
    <w:rsid w:val="00106ADF"/>
    <w:rsid w:val="00107E80"/>
    <w:rsid w:val="00110B17"/>
    <w:rsid w:val="00111A7E"/>
    <w:rsid w:val="0011533D"/>
    <w:rsid w:val="001174A7"/>
    <w:rsid w:val="001268DE"/>
    <w:rsid w:val="00127E7A"/>
    <w:rsid w:val="00130CD4"/>
    <w:rsid w:val="00140001"/>
    <w:rsid w:val="00142788"/>
    <w:rsid w:val="0014375A"/>
    <w:rsid w:val="00144FB5"/>
    <w:rsid w:val="0014553F"/>
    <w:rsid w:val="00145C66"/>
    <w:rsid w:val="0015204D"/>
    <w:rsid w:val="00154608"/>
    <w:rsid w:val="001563DA"/>
    <w:rsid w:val="00156602"/>
    <w:rsid w:val="0016263C"/>
    <w:rsid w:val="001723A6"/>
    <w:rsid w:val="00174D5B"/>
    <w:rsid w:val="00176425"/>
    <w:rsid w:val="00180371"/>
    <w:rsid w:val="0018123A"/>
    <w:rsid w:val="001845AE"/>
    <w:rsid w:val="00187CDF"/>
    <w:rsid w:val="00192D91"/>
    <w:rsid w:val="00192EA8"/>
    <w:rsid w:val="00193656"/>
    <w:rsid w:val="001A2E0B"/>
    <w:rsid w:val="001B046A"/>
    <w:rsid w:val="001B06AF"/>
    <w:rsid w:val="001B3FAD"/>
    <w:rsid w:val="001B7441"/>
    <w:rsid w:val="001B7442"/>
    <w:rsid w:val="001C2EC7"/>
    <w:rsid w:val="001C4C3D"/>
    <w:rsid w:val="001C52E5"/>
    <w:rsid w:val="001C5AD4"/>
    <w:rsid w:val="001D1B0E"/>
    <w:rsid w:val="001D1C95"/>
    <w:rsid w:val="001D51BD"/>
    <w:rsid w:val="001E06E7"/>
    <w:rsid w:val="001E1DE0"/>
    <w:rsid w:val="001E471E"/>
    <w:rsid w:val="001E7FAB"/>
    <w:rsid w:val="001F05BF"/>
    <w:rsid w:val="001F182D"/>
    <w:rsid w:val="001F2020"/>
    <w:rsid w:val="001F7A80"/>
    <w:rsid w:val="001F7D2C"/>
    <w:rsid w:val="002028C3"/>
    <w:rsid w:val="00202CA4"/>
    <w:rsid w:val="0020372C"/>
    <w:rsid w:val="00206D5E"/>
    <w:rsid w:val="00206EAA"/>
    <w:rsid w:val="00211556"/>
    <w:rsid w:val="00211A3E"/>
    <w:rsid w:val="00212DDE"/>
    <w:rsid w:val="0021415D"/>
    <w:rsid w:val="00233342"/>
    <w:rsid w:val="00235DD6"/>
    <w:rsid w:val="00242AE6"/>
    <w:rsid w:val="002432CB"/>
    <w:rsid w:val="002451A9"/>
    <w:rsid w:val="002452C4"/>
    <w:rsid w:val="00246822"/>
    <w:rsid w:val="00246FE1"/>
    <w:rsid w:val="002538D1"/>
    <w:rsid w:val="0025656E"/>
    <w:rsid w:val="00261F57"/>
    <w:rsid w:val="00266407"/>
    <w:rsid w:val="0026727B"/>
    <w:rsid w:val="0026783C"/>
    <w:rsid w:val="002728D5"/>
    <w:rsid w:val="002808C0"/>
    <w:rsid w:val="002812D3"/>
    <w:rsid w:val="00281A4F"/>
    <w:rsid w:val="00281CCC"/>
    <w:rsid w:val="00282B32"/>
    <w:rsid w:val="00284BB6"/>
    <w:rsid w:val="0028658F"/>
    <w:rsid w:val="002900F6"/>
    <w:rsid w:val="002908EC"/>
    <w:rsid w:val="00294E6A"/>
    <w:rsid w:val="002A1B3C"/>
    <w:rsid w:val="002A4876"/>
    <w:rsid w:val="002A583E"/>
    <w:rsid w:val="002A5C18"/>
    <w:rsid w:val="002B1E07"/>
    <w:rsid w:val="002B26AF"/>
    <w:rsid w:val="002B509E"/>
    <w:rsid w:val="002B5795"/>
    <w:rsid w:val="002B6319"/>
    <w:rsid w:val="002B6950"/>
    <w:rsid w:val="002B6E1A"/>
    <w:rsid w:val="002B73FF"/>
    <w:rsid w:val="002B79DF"/>
    <w:rsid w:val="002C009C"/>
    <w:rsid w:val="002C2C8E"/>
    <w:rsid w:val="002C76D6"/>
    <w:rsid w:val="002D4664"/>
    <w:rsid w:val="002D5A38"/>
    <w:rsid w:val="002D5B5E"/>
    <w:rsid w:val="002D6202"/>
    <w:rsid w:val="002D7FE3"/>
    <w:rsid w:val="002E05EF"/>
    <w:rsid w:val="002E0E48"/>
    <w:rsid w:val="002E0E7C"/>
    <w:rsid w:val="002E2035"/>
    <w:rsid w:val="002E39F0"/>
    <w:rsid w:val="002E3DC6"/>
    <w:rsid w:val="002E7633"/>
    <w:rsid w:val="002E7981"/>
    <w:rsid w:val="002F740B"/>
    <w:rsid w:val="002F749C"/>
    <w:rsid w:val="002F76A5"/>
    <w:rsid w:val="00301F97"/>
    <w:rsid w:val="0030463C"/>
    <w:rsid w:val="00304864"/>
    <w:rsid w:val="00305943"/>
    <w:rsid w:val="00313AB6"/>
    <w:rsid w:val="00315DB0"/>
    <w:rsid w:val="0033102D"/>
    <w:rsid w:val="0033199C"/>
    <w:rsid w:val="003335D4"/>
    <w:rsid w:val="00333D00"/>
    <w:rsid w:val="003344DD"/>
    <w:rsid w:val="00336317"/>
    <w:rsid w:val="00337CD6"/>
    <w:rsid w:val="0034084B"/>
    <w:rsid w:val="003408F8"/>
    <w:rsid w:val="00343E01"/>
    <w:rsid w:val="00346418"/>
    <w:rsid w:val="00351DDA"/>
    <w:rsid w:val="00351DE8"/>
    <w:rsid w:val="00355321"/>
    <w:rsid w:val="00362156"/>
    <w:rsid w:val="00363324"/>
    <w:rsid w:val="00364969"/>
    <w:rsid w:val="003649AF"/>
    <w:rsid w:val="00365898"/>
    <w:rsid w:val="003716BE"/>
    <w:rsid w:val="00374E34"/>
    <w:rsid w:val="0037552E"/>
    <w:rsid w:val="00376F9B"/>
    <w:rsid w:val="00377086"/>
    <w:rsid w:val="00377CFB"/>
    <w:rsid w:val="00380EE6"/>
    <w:rsid w:val="00384C27"/>
    <w:rsid w:val="00385921"/>
    <w:rsid w:val="00385D9A"/>
    <w:rsid w:val="00385DC4"/>
    <w:rsid w:val="00390E22"/>
    <w:rsid w:val="00390FE8"/>
    <w:rsid w:val="00391FBF"/>
    <w:rsid w:val="003A3B48"/>
    <w:rsid w:val="003A42E4"/>
    <w:rsid w:val="003A4DEE"/>
    <w:rsid w:val="003A54B7"/>
    <w:rsid w:val="003A5AD0"/>
    <w:rsid w:val="003A77E9"/>
    <w:rsid w:val="003B0186"/>
    <w:rsid w:val="003B40F7"/>
    <w:rsid w:val="003B43EA"/>
    <w:rsid w:val="003B5846"/>
    <w:rsid w:val="003C037B"/>
    <w:rsid w:val="003C0C5B"/>
    <w:rsid w:val="003C2143"/>
    <w:rsid w:val="003C2857"/>
    <w:rsid w:val="003C5954"/>
    <w:rsid w:val="003C6498"/>
    <w:rsid w:val="003E02BF"/>
    <w:rsid w:val="003E22A8"/>
    <w:rsid w:val="003E2A24"/>
    <w:rsid w:val="003E6386"/>
    <w:rsid w:val="003E6A3C"/>
    <w:rsid w:val="003E74DD"/>
    <w:rsid w:val="003E7EF2"/>
    <w:rsid w:val="003F26F2"/>
    <w:rsid w:val="003F529F"/>
    <w:rsid w:val="003F5C8E"/>
    <w:rsid w:val="003F6403"/>
    <w:rsid w:val="00403977"/>
    <w:rsid w:val="00404872"/>
    <w:rsid w:val="00406F63"/>
    <w:rsid w:val="00413A99"/>
    <w:rsid w:val="00413CCA"/>
    <w:rsid w:val="00420BAE"/>
    <w:rsid w:val="00421224"/>
    <w:rsid w:val="0042123C"/>
    <w:rsid w:val="00421E53"/>
    <w:rsid w:val="00424DA7"/>
    <w:rsid w:val="00430B62"/>
    <w:rsid w:val="0043578B"/>
    <w:rsid w:val="004363AE"/>
    <w:rsid w:val="00443104"/>
    <w:rsid w:val="00443DBC"/>
    <w:rsid w:val="00446215"/>
    <w:rsid w:val="004468B7"/>
    <w:rsid w:val="00452F20"/>
    <w:rsid w:val="00456ACB"/>
    <w:rsid w:val="00457346"/>
    <w:rsid w:val="0046108B"/>
    <w:rsid w:val="00461090"/>
    <w:rsid w:val="00461743"/>
    <w:rsid w:val="00463FB1"/>
    <w:rsid w:val="00465791"/>
    <w:rsid w:val="00465868"/>
    <w:rsid w:val="00466BA0"/>
    <w:rsid w:val="00470EC5"/>
    <w:rsid w:val="0047299F"/>
    <w:rsid w:val="004801FA"/>
    <w:rsid w:val="004852C2"/>
    <w:rsid w:val="00486A69"/>
    <w:rsid w:val="00490F0B"/>
    <w:rsid w:val="00497F3E"/>
    <w:rsid w:val="004A2B67"/>
    <w:rsid w:val="004A7082"/>
    <w:rsid w:val="004B047C"/>
    <w:rsid w:val="004B12B9"/>
    <w:rsid w:val="004C206B"/>
    <w:rsid w:val="004C2FB9"/>
    <w:rsid w:val="004C4C94"/>
    <w:rsid w:val="004C6392"/>
    <w:rsid w:val="004D6E2F"/>
    <w:rsid w:val="004E303E"/>
    <w:rsid w:val="004E4957"/>
    <w:rsid w:val="004E730D"/>
    <w:rsid w:val="004E780C"/>
    <w:rsid w:val="004F2291"/>
    <w:rsid w:val="004F29A8"/>
    <w:rsid w:val="004F2DDF"/>
    <w:rsid w:val="004F5EE4"/>
    <w:rsid w:val="005000E8"/>
    <w:rsid w:val="00503BB7"/>
    <w:rsid w:val="00505485"/>
    <w:rsid w:val="00505E87"/>
    <w:rsid w:val="00506E54"/>
    <w:rsid w:val="00510778"/>
    <w:rsid w:val="00510A85"/>
    <w:rsid w:val="00511BB9"/>
    <w:rsid w:val="00513DC5"/>
    <w:rsid w:val="00516E81"/>
    <w:rsid w:val="0052078B"/>
    <w:rsid w:val="00520AC0"/>
    <w:rsid w:val="0052159C"/>
    <w:rsid w:val="00522183"/>
    <w:rsid w:val="005257A7"/>
    <w:rsid w:val="00533A24"/>
    <w:rsid w:val="005343B2"/>
    <w:rsid w:val="00536C4E"/>
    <w:rsid w:val="00537E54"/>
    <w:rsid w:val="00541B12"/>
    <w:rsid w:val="005428C0"/>
    <w:rsid w:val="00542C1B"/>
    <w:rsid w:val="00543B27"/>
    <w:rsid w:val="00545265"/>
    <w:rsid w:val="005460A0"/>
    <w:rsid w:val="00546D52"/>
    <w:rsid w:val="005522CB"/>
    <w:rsid w:val="00553FBF"/>
    <w:rsid w:val="005602E4"/>
    <w:rsid w:val="005608C9"/>
    <w:rsid w:val="0056116B"/>
    <w:rsid w:val="005657A2"/>
    <w:rsid w:val="00570751"/>
    <w:rsid w:val="0057129C"/>
    <w:rsid w:val="00571E7E"/>
    <w:rsid w:val="0058108C"/>
    <w:rsid w:val="00582F00"/>
    <w:rsid w:val="00583745"/>
    <w:rsid w:val="00585865"/>
    <w:rsid w:val="00586842"/>
    <w:rsid w:val="00586B89"/>
    <w:rsid w:val="00586DEC"/>
    <w:rsid w:val="005872A4"/>
    <w:rsid w:val="00592395"/>
    <w:rsid w:val="00594486"/>
    <w:rsid w:val="00594CCA"/>
    <w:rsid w:val="0059513B"/>
    <w:rsid w:val="005A09F8"/>
    <w:rsid w:val="005A3F47"/>
    <w:rsid w:val="005A5905"/>
    <w:rsid w:val="005A70EE"/>
    <w:rsid w:val="005A721D"/>
    <w:rsid w:val="005B2C4E"/>
    <w:rsid w:val="005B4792"/>
    <w:rsid w:val="005B4E88"/>
    <w:rsid w:val="005B50BF"/>
    <w:rsid w:val="005B59FC"/>
    <w:rsid w:val="005C034B"/>
    <w:rsid w:val="005C1EA3"/>
    <w:rsid w:val="005C3D97"/>
    <w:rsid w:val="005C4281"/>
    <w:rsid w:val="005C4CC6"/>
    <w:rsid w:val="005D0AEA"/>
    <w:rsid w:val="005D116C"/>
    <w:rsid w:val="005D1C92"/>
    <w:rsid w:val="005E0936"/>
    <w:rsid w:val="005E601F"/>
    <w:rsid w:val="005F71E8"/>
    <w:rsid w:val="006005C6"/>
    <w:rsid w:val="00600744"/>
    <w:rsid w:val="00600D91"/>
    <w:rsid w:val="00602F05"/>
    <w:rsid w:val="00603CF4"/>
    <w:rsid w:val="0060742D"/>
    <w:rsid w:val="00607624"/>
    <w:rsid w:val="00612EFC"/>
    <w:rsid w:val="0061364C"/>
    <w:rsid w:val="0061537F"/>
    <w:rsid w:val="00620A26"/>
    <w:rsid w:val="00622528"/>
    <w:rsid w:val="00623A25"/>
    <w:rsid w:val="0062575B"/>
    <w:rsid w:val="00626408"/>
    <w:rsid w:val="006264F6"/>
    <w:rsid w:val="006360AD"/>
    <w:rsid w:val="006416EF"/>
    <w:rsid w:val="006423FA"/>
    <w:rsid w:val="00645325"/>
    <w:rsid w:val="00647DA7"/>
    <w:rsid w:val="00651FA7"/>
    <w:rsid w:val="00652871"/>
    <w:rsid w:val="00653D2A"/>
    <w:rsid w:val="006559D8"/>
    <w:rsid w:val="00657A10"/>
    <w:rsid w:val="00657D40"/>
    <w:rsid w:val="0066441D"/>
    <w:rsid w:val="00672395"/>
    <w:rsid w:val="00673899"/>
    <w:rsid w:val="00674F99"/>
    <w:rsid w:val="006771C7"/>
    <w:rsid w:val="0067772C"/>
    <w:rsid w:val="00683E98"/>
    <w:rsid w:val="00684710"/>
    <w:rsid w:val="006A1D15"/>
    <w:rsid w:val="006A2C65"/>
    <w:rsid w:val="006A6950"/>
    <w:rsid w:val="006B0636"/>
    <w:rsid w:val="006B0BC9"/>
    <w:rsid w:val="006B4702"/>
    <w:rsid w:val="006B48D0"/>
    <w:rsid w:val="006B6A8B"/>
    <w:rsid w:val="006C05E0"/>
    <w:rsid w:val="006C56A0"/>
    <w:rsid w:val="006D18D1"/>
    <w:rsid w:val="006D236B"/>
    <w:rsid w:val="006D2B05"/>
    <w:rsid w:val="006D2B1E"/>
    <w:rsid w:val="006D6120"/>
    <w:rsid w:val="006D6553"/>
    <w:rsid w:val="006D7A3B"/>
    <w:rsid w:val="006E0F54"/>
    <w:rsid w:val="006E24CD"/>
    <w:rsid w:val="006E5460"/>
    <w:rsid w:val="006E7847"/>
    <w:rsid w:val="006F2619"/>
    <w:rsid w:val="006F286B"/>
    <w:rsid w:val="006F2F96"/>
    <w:rsid w:val="006F468E"/>
    <w:rsid w:val="00703D54"/>
    <w:rsid w:val="00704E4B"/>
    <w:rsid w:val="0070717B"/>
    <w:rsid w:val="0070773B"/>
    <w:rsid w:val="0071775D"/>
    <w:rsid w:val="00717A5B"/>
    <w:rsid w:val="00717A93"/>
    <w:rsid w:val="00717D92"/>
    <w:rsid w:val="00724A8E"/>
    <w:rsid w:val="00724F06"/>
    <w:rsid w:val="007302D4"/>
    <w:rsid w:val="00732600"/>
    <w:rsid w:val="00735E87"/>
    <w:rsid w:val="00741FC5"/>
    <w:rsid w:val="0074280E"/>
    <w:rsid w:val="00744E78"/>
    <w:rsid w:val="00744F00"/>
    <w:rsid w:val="0074762A"/>
    <w:rsid w:val="00750D9C"/>
    <w:rsid w:val="00752CDE"/>
    <w:rsid w:val="00753920"/>
    <w:rsid w:val="00760CE1"/>
    <w:rsid w:val="0076428D"/>
    <w:rsid w:val="00766013"/>
    <w:rsid w:val="007709AB"/>
    <w:rsid w:val="007709C9"/>
    <w:rsid w:val="007728CD"/>
    <w:rsid w:val="0077440A"/>
    <w:rsid w:val="00774AC6"/>
    <w:rsid w:val="00774B5F"/>
    <w:rsid w:val="007803B5"/>
    <w:rsid w:val="00781F6A"/>
    <w:rsid w:val="00786B28"/>
    <w:rsid w:val="00787651"/>
    <w:rsid w:val="00787D7C"/>
    <w:rsid w:val="00790178"/>
    <w:rsid w:val="0079068B"/>
    <w:rsid w:val="007A10E9"/>
    <w:rsid w:val="007A183D"/>
    <w:rsid w:val="007A2B90"/>
    <w:rsid w:val="007A4663"/>
    <w:rsid w:val="007A634C"/>
    <w:rsid w:val="007A7B72"/>
    <w:rsid w:val="007B29E3"/>
    <w:rsid w:val="007B6A0E"/>
    <w:rsid w:val="007C06BF"/>
    <w:rsid w:val="007C3D00"/>
    <w:rsid w:val="007C6E91"/>
    <w:rsid w:val="007C703C"/>
    <w:rsid w:val="007D19C8"/>
    <w:rsid w:val="007D26F6"/>
    <w:rsid w:val="007D33DC"/>
    <w:rsid w:val="007D3675"/>
    <w:rsid w:val="007D59D4"/>
    <w:rsid w:val="007D7FBA"/>
    <w:rsid w:val="007E1FB8"/>
    <w:rsid w:val="007E2466"/>
    <w:rsid w:val="007E4775"/>
    <w:rsid w:val="007E711B"/>
    <w:rsid w:val="007F26FF"/>
    <w:rsid w:val="007F7AF8"/>
    <w:rsid w:val="00800485"/>
    <w:rsid w:val="008014BB"/>
    <w:rsid w:val="00801C6A"/>
    <w:rsid w:val="00802DAD"/>
    <w:rsid w:val="00803236"/>
    <w:rsid w:val="00805CBD"/>
    <w:rsid w:val="008146B4"/>
    <w:rsid w:val="00814F2B"/>
    <w:rsid w:val="00814FAC"/>
    <w:rsid w:val="0081575B"/>
    <w:rsid w:val="00815793"/>
    <w:rsid w:val="00816950"/>
    <w:rsid w:val="00827136"/>
    <w:rsid w:val="00827746"/>
    <w:rsid w:val="00830D7E"/>
    <w:rsid w:val="00833A95"/>
    <w:rsid w:val="008357B5"/>
    <w:rsid w:val="00836977"/>
    <w:rsid w:val="00836E25"/>
    <w:rsid w:val="00840E44"/>
    <w:rsid w:val="00840F71"/>
    <w:rsid w:val="00842CC2"/>
    <w:rsid w:val="00845777"/>
    <w:rsid w:val="00845EF9"/>
    <w:rsid w:val="00846203"/>
    <w:rsid w:val="008472A3"/>
    <w:rsid w:val="008530EF"/>
    <w:rsid w:val="0085403C"/>
    <w:rsid w:val="00861F01"/>
    <w:rsid w:val="008636DC"/>
    <w:rsid w:val="00864606"/>
    <w:rsid w:val="008737DC"/>
    <w:rsid w:val="00880B79"/>
    <w:rsid w:val="00884537"/>
    <w:rsid w:val="008854E8"/>
    <w:rsid w:val="00891337"/>
    <w:rsid w:val="00892D5A"/>
    <w:rsid w:val="008A2A63"/>
    <w:rsid w:val="008A3F7B"/>
    <w:rsid w:val="008A6C72"/>
    <w:rsid w:val="008A6E89"/>
    <w:rsid w:val="008A70A8"/>
    <w:rsid w:val="008B631B"/>
    <w:rsid w:val="008C00D8"/>
    <w:rsid w:val="008C095B"/>
    <w:rsid w:val="008C14B6"/>
    <w:rsid w:val="008C6CFD"/>
    <w:rsid w:val="008D67F2"/>
    <w:rsid w:val="008E1BF1"/>
    <w:rsid w:val="008E5A7B"/>
    <w:rsid w:val="008E655E"/>
    <w:rsid w:val="008F5664"/>
    <w:rsid w:val="008F7BCB"/>
    <w:rsid w:val="009119A2"/>
    <w:rsid w:val="009141DB"/>
    <w:rsid w:val="00916E4B"/>
    <w:rsid w:val="009201F7"/>
    <w:rsid w:val="00923394"/>
    <w:rsid w:val="009238E0"/>
    <w:rsid w:val="00924B8D"/>
    <w:rsid w:val="00925FB2"/>
    <w:rsid w:val="00931762"/>
    <w:rsid w:val="009358C6"/>
    <w:rsid w:val="00940960"/>
    <w:rsid w:val="009445CC"/>
    <w:rsid w:val="009454C0"/>
    <w:rsid w:val="00954FF4"/>
    <w:rsid w:val="00956E41"/>
    <w:rsid w:val="00960756"/>
    <w:rsid w:val="00962F11"/>
    <w:rsid w:val="00966F14"/>
    <w:rsid w:val="00971A5C"/>
    <w:rsid w:val="00973E97"/>
    <w:rsid w:val="00974600"/>
    <w:rsid w:val="00977FBC"/>
    <w:rsid w:val="0098054C"/>
    <w:rsid w:val="00981078"/>
    <w:rsid w:val="009819BF"/>
    <w:rsid w:val="00983096"/>
    <w:rsid w:val="0099163B"/>
    <w:rsid w:val="00995F9B"/>
    <w:rsid w:val="009A1B58"/>
    <w:rsid w:val="009A22B8"/>
    <w:rsid w:val="009A512C"/>
    <w:rsid w:val="009A51C1"/>
    <w:rsid w:val="009A5355"/>
    <w:rsid w:val="009B2A6A"/>
    <w:rsid w:val="009B6582"/>
    <w:rsid w:val="009B6AC4"/>
    <w:rsid w:val="009C0E8C"/>
    <w:rsid w:val="009C7012"/>
    <w:rsid w:val="009C7E53"/>
    <w:rsid w:val="009D0869"/>
    <w:rsid w:val="009D0BBD"/>
    <w:rsid w:val="009D32C7"/>
    <w:rsid w:val="009D6B99"/>
    <w:rsid w:val="009E5A3C"/>
    <w:rsid w:val="009E5F3F"/>
    <w:rsid w:val="009E5F8A"/>
    <w:rsid w:val="009E6AE7"/>
    <w:rsid w:val="009F5218"/>
    <w:rsid w:val="009F5574"/>
    <w:rsid w:val="009F6DCB"/>
    <w:rsid w:val="00A00788"/>
    <w:rsid w:val="00A043A1"/>
    <w:rsid w:val="00A069A6"/>
    <w:rsid w:val="00A1260F"/>
    <w:rsid w:val="00A17893"/>
    <w:rsid w:val="00A2125F"/>
    <w:rsid w:val="00A21DF0"/>
    <w:rsid w:val="00A2657A"/>
    <w:rsid w:val="00A32A6B"/>
    <w:rsid w:val="00A41720"/>
    <w:rsid w:val="00A42559"/>
    <w:rsid w:val="00A4422F"/>
    <w:rsid w:val="00A52BF3"/>
    <w:rsid w:val="00A540F9"/>
    <w:rsid w:val="00A560B0"/>
    <w:rsid w:val="00A61BE2"/>
    <w:rsid w:val="00A64468"/>
    <w:rsid w:val="00A66BCC"/>
    <w:rsid w:val="00A80D95"/>
    <w:rsid w:val="00A80FF1"/>
    <w:rsid w:val="00A8340B"/>
    <w:rsid w:val="00A84BBA"/>
    <w:rsid w:val="00A87961"/>
    <w:rsid w:val="00A910ED"/>
    <w:rsid w:val="00A91453"/>
    <w:rsid w:val="00A938D9"/>
    <w:rsid w:val="00A95B99"/>
    <w:rsid w:val="00AA04AF"/>
    <w:rsid w:val="00AA0A99"/>
    <w:rsid w:val="00AA41D0"/>
    <w:rsid w:val="00AA55C9"/>
    <w:rsid w:val="00AA59FA"/>
    <w:rsid w:val="00AA692F"/>
    <w:rsid w:val="00AB1FE0"/>
    <w:rsid w:val="00AB3600"/>
    <w:rsid w:val="00AB4869"/>
    <w:rsid w:val="00AB5EC6"/>
    <w:rsid w:val="00AC008C"/>
    <w:rsid w:val="00AC1557"/>
    <w:rsid w:val="00AC4A22"/>
    <w:rsid w:val="00AC60E5"/>
    <w:rsid w:val="00AC6529"/>
    <w:rsid w:val="00AC7004"/>
    <w:rsid w:val="00AD36BA"/>
    <w:rsid w:val="00AD4884"/>
    <w:rsid w:val="00AD60D6"/>
    <w:rsid w:val="00AE2089"/>
    <w:rsid w:val="00AE6017"/>
    <w:rsid w:val="00AE6A3D"/>
    <w:rsid w:val="00AF27F4"/>
    <w:rsid w:val="00B0123A"/>
    <w:rsid w:val="00B014F3"/>
    <w:rsid w:val="00B02075"/>
    <w:rsid w:val="00B036A4"/>
    <w:rsid w:val="00B052F3"/>
    <w:rsid w:val="00B064B4"/>
    <w:rsid w:val="00B07BAD"/>
    <w:rsid w:val="00B1006B"/>
    <w:rsid w:val="00B10501"/>
    <w:rsid w:val="00B112B3"/>
    <w:rsid w:val="00B131E6"/>
    <w:rsid w:val="00B13CB3"/>
    <w:rsid w:val="00B246D5"/>
    <w:rsid w:val="00B25B59"/>
    <w:rsid w:val="00B363AC"/>
    <w:rsid w:val="00B41F07"/>
    <w:rsid w:val="00B452C9"/>
    <w:rsid w:val="00B462FF"/>
    <w:rsid w:val="00B46A9A"/>
    <w:rsid w:val="00B51479"/>
    <w:rsid w:val="00B56A1C"/>
    <w:rsid w:val="00B60D3B"/>
    <w:rsid w:val="00B61689"/>
    <w:rsid w:val="00B62418"/>
    <w:rsid w:val="00B62CEA"/>
    <w:rsid w:val="00B65159"/>
    <w:rsid w:val="00B71B4B"/>
    <w:rsid w:val="00B73B4B"/>
    <w:rsid w:val="00B76DAE"/>
    <w:rsid w:val="00B809A1"/>
    <w:rsid w:val="00B80B3B"/>
    <w:rsid w:val="00B83EFB"/>
    <w:rsid w:val="00B87132"/>
    <w:rsid w:val="00B9230F"/>
    <w:rsid w:val="00B94F99"/>
    <w:rsid w:val="00BA073E"/>
    <w:rsid w:val="00BA3E3D"/>
    <w:rsid w:val="00BA72A8"/>
    <w:rsid w:val="00BB1E40"/>
    <w:rsid w:val="00BB4890"/>
    <w:rsid w:val="00BB4D5B"/>
    <w:rsid w:val="00BB6C84"/>
    <w:rsid w:val="00BC2A9C"/>
    <w:rsid w:val="00BC4002"/>
    <w:rsid w:val="00BC57F2"/>
    <w:rsid w:val="00BC65C7"/>
    <w:rsid w:val="00BC722F"/>
    <w:rsid w:val="00BD020A"/>
    <w:rsid w:val="00BD07B6"/>
    <w:rsid w:val="00BD3CC1"/>
    <w:rsid w:val="00BD4399"/>
    <w:rsid w:val="00BD49D1"/>
    <w:rsid w:val="00BE3ED3"/>
    <w:rsid w:val="00BF195E"/>
    <w:rsid w:val="00BF5F54"/>
    <w:rsid w:val="00BF71AE"/>
    <w:rsid w:val="00BF7CCC"/>
    <w:rsid w:val="00C02D0B"/>
    <w:rsid w:val="00C0499E"/>
    <w:rsid w:val="00C07D0C"/>
    <w:rsid w:val="00C11E86"/>
    <w:rsid w:val="00C13DD9"/>
    <w:rsid w:val="00C14FD4"/>
    <w:rsid w:val="00C15112"/>
    <w:rsid w:val="00C15C5C"/>
    <w:rsid w:val="00C16404"/>
    <w:rsid w:val="00C17333"/>
    <w:rsid w:val="00C20CA0"/>
    <w:rsid w:val="00C26621"/>
    <w:rsid w:val="00C31762"/>
    <w:rsid w:val="00C31A70"/>
    <w:rsid w:val="00C334CF"/>
    <w:rsid w:val="00C33AB1"/>
    <w:rsid w:val="00C35E44"/>
    <w:rsid w:val="00C41841"/>
    <w:rsid w:val="00C42291"/>
    <w:rsid w:val="00C46CAC"/>
    <w:rsid w:val="00C4746A"/>
    <w:rsid w:val="00C47FA4"/>
    <w:rsid w:val="00C6641D"/>
    <w:rsid w:val="00C74813"/>
    <w:rsid w:val="00C7780C"/>
    <w:rsid w:val="00C80D49"/>
    <w:rsid w:val="00C824D5"/>
    <w:rsid w:val="00C83175"/>
    <w:rsid w:val="00C8494E"/>
    <w:rsid w:val="00C84F22"/>
    <w:rsid w:val="00C87152"/>
    <w:rsid w:val="00C93F97"/>
    <w:rsid w:val="00C9494B"/>
    <w:rsid w:val="00C94FC9"/>
    <w:rsid w:val="00C96392"/>
    <w:rsid w:val="00C96A14"/>
    <w:rsid w:val="00C96E28"/>
    <w:rsid w:val="00CA148E"/>
    <w:rsid w:val="00CA32FF"/>
    <w:rsid w:val="00CA3E98"/>
    <w:rsid w:val="00CB40FC"/>
    <w:rsid w:val="00CB484F"/>
    <w:rsid w:val="00CB569A"/>
    <w:rsid w:val="00CC106E"/>
    <w:rsid w:val="00CC37BC"/>
    <w:rsid w:val="00CC7FAF"/>
    <w:rsid w:val="00CD2D0A"/>
    <w:rsid w:val="00CD7398"/>
    <w:rsid w:val="00CD7AE7"/>
    <w:rsid w:val="00CE093C"/>
    <w:rsid w:val="00CE4795"/>
    <w:rsid w:val="00CE7176"/>
    <w:rsid w:val="00CE7FE6"/>
    <w:rsid w:val="00CF055C"/>
    <w:rsid w:val="00CF09E1"/>
    <w:rsid w:val="00CF34F6"/>
    <w:rsid w:val="00CF51A1"/>
    <w:rsid w:val="00D05155"/>
    <w:rsid w:val="00D1095D"/>
    <w:rsid w:val="00D13126"/>
    <w:rsid w:val="00D13F4B"/>
    <w:rsid w:val="00D14B5B"/>
    <w:rsid w:val="00D14D0F"/>
    <w:rsid w:val="00D17782"/>
    <w:rsid w:val="00D20FB8"/>
    <w:rsid w:val="00D248FD"/>
    <w:rsid w:val="00D260A5"/>
    <w:rsid w:val="00D309C7"/>
    <w:rsid w:val="00D31270"/>
    <w:rsid w:val="00D3225F"/>
    <w:rsid w:val="00D32691"/>
    <w:rsid w:val="00D33109"/>
    <w:rsid w:val="00D4018B"/>
    <w:rsid w:val="00D419D8"/>
    <w:rsid w:val="00D4233B"/>
    <w:rsid w:val="00D4269F"/>
    <w:rsid w:val="00D437CE"/>
    <w:rsid w:val="00D45C43"/>
    <w:rsid w:val="00D4693F"/>
    <w:rsid w:val="00D46CE6"/>
    <w:rsid w:val="00D47E35"/>
    <w:rsid w:val="00D50C30"/>
    <w:rsid w:val="00D53780"/>
    <w:rsid w:val="00D54785"/>
    <w:rsid w:val="00D5758F"/>
    <w:rsid w:val="00D608CB"/>
    <w:rsid w:val="00D638D9"/>
    <w:rsid w:val="00D64951"/>
    <w:rsid w:val="00D66D5A"/>
    <w:rsid w:val="00D7405F"/>
    <w:rsid w:val="00D74770"/>
    <w:rsid w:val="00D75E33"/>
    <w:rsid w:val="00D80B90"/>
    <w:rsid w:val="00D80E12"/>
    <w:rsid w:val="00D86C47"/>
    <w:rsid w:val="00D87076"/>
    <w:rsid w:val="00D91BB2"/>
    <w:rsid w:val="00D929CD"/>
    <w:rsid w:val="00D95872"/>
    <w:rsid w:val="00D97452"/>
    <w:rsid w:val="00D97501"/>
    <w:rsid w:val="00D97FB1"/>
    <w:rsid w:val="00DA325A"/>
    <w:rsid w:val="00DB13F8"/>
    <w:rsid w:val="00DB1936"/>
    <w:rsid w:val="00DB25FE"/>
    <w:rsid w:val="00DB3A4C"/>
    <w:rsid w:val="00DB3F22"/>
    <w:rsid w:val="00DC6FBB"/>
    <w:rsid w:val="00DD0355"/>
    <w:rsid w:val="00DD197B"/>
    <w:rsid w:val="00DD1E46"/>
    <w:rsid w:val="00DD2F8A"/>
    <w:rsid w:val="00DD389A"/>
    <w:rsid w:val="00DD50A3"/>
    <w:rsid w:val="00DD7722"/>
    <w:rsid w:val="00DE1774"/>
    <w:rsid w:val="00DE444B"/>
    <w:rsid w:val="00DF173C"/>
    <w:rsid w:val="00DF1A16"/>
    <w:rsid w:val="00DF4123"/>
    <w:rsid w:val="00DF55B3"/>
    <w:rsid w:val="00DF73F2"/>
    <w:rsid w:val="00E156FF"/>
    <w:rsid w:val="00E262B0"/>
    <w:rsid w:val="00E31877"/>
    <w:rsid w:val="00E323A9"/>
    <w:rsid w:val="00E43A51"/>
    <w:rsid w:val="00E45619"/>
    <w:rsid w:val="00E46AE6"/>
    <w:rsid w:val="00E535DB"/>
    <w:rsid w:val="00E54398"/>
    <w:rsid w:val="00E545CB"/>
    <w:rsid w:val="00E547A6"/>
    <w:rsid w:val="00E55568"/>
    <w:rsid w:val="00E56088"/>
    <w:rsid w:val="00E6461D"/>
    <w:rsid w:val="00E652D9"/>
    <w:rsid w:val="00E67E7B"/>
    <w:rsid w:val="00E72183"/>
    <w:rsid w:val="00E7677C"/>
    <w:rsid w:val="00E77695"/>
    <w:rsid w:val="00E80243"/>
    <w:rsid w:val="00E82987"/>
    <w:rsid w:val="00E85DE2"/>
    <w:rsid w:val="00E90261"/>
    <w:rsid w:val="00E936B1"/>
    <w:rsid w:val="00E94CFB"/>
    <w:rsid w:val="00EA27F7"/>
    <w:rsid w:val="00EA2DA4"/>
    <w:rsid w:val="00EA5226"/>
    <w:rsid w:val="00EB479B"/>
    <w:rsid w:val="00EB54C7"/>
    <w:rsid w:val="00EB776C"/>
    <w:rsid w:val="00EC01BE"/>
    <w:rsid w:val="00EC0334"/>
    <w:rsid w:val="00EC16C6"/>
    <w:rsid w:val="00ED0778"/>
    <w:rsid w:val="00ED3B73"/>
    <w:rsid w:val="00ED421C"/>
    <w:rsid w:val="00ED47F1"/>
    <w:rsid w:val="00ED4D3A"/>
    <w:rsid w:val="00EE0923"/>
    <w:rsid w:val="00EE1EDF"/>
    <w:rsid w:val="00EE2F4C"/>
    <w:rsid w:val="00EE46CC"/>
    <w:rsid w:val="00EF08C1"/>
    <w:rsid w:val="00EF2CBC"/>
    <w:rsid w:val="00EF37E3"/>
    <w:rsid w:val="00EF5152"/>
    <w:rsid w:val="00EF628F"/>
    <w:rsid w:val="00EF7453"/>
    <w:rsid w:val="00F02FAB"/>
    <w:rsid w:val="00F05037"/>
    <w:rsid w:val="00F067DE"/>
    <w:rsid w:val="00F0723D"/>
    <w:rsid w:val="00F078E3"/>
    <w:rsid w:val="00F15DCF"/>
    <w:rsid w:val="00F222A6"/>
    <w:rsid w:val="00F22995"/>
    <w:rsid w:val="00F2379D"/>
    <w:rsid w:val="00F23A1E"/>
    <w:rsid w:val="00F26702"/>
    <w:rsid w:val="00F269E3"/>
    <w:rsid w:val="00F26CC5"/>
    <w:rsid w:val="00F27417"/>
    <w:rsid w:val="00F27F01"/>
    <w:rsid w:val="00F3003E"/>
    <w:rsid w:val="00F318E9"/>
    <w:rsid w:val="00F35A82"/>
    <w:rsid w:val="00F37315"/>
    <w:rsid w:val="00F40042"/>
    <w:rsid w:val="00F41D82"/>
    <w:rsid w:val="00F42095"/>
    <w:rsid w:val="00F43338"/>
    <w:rsid w:val="00F46126"/>
    <w:rsid w:val="00F47343"/>
    <w:rsid w:val="00F5304A"/>
    <w:rsid w:val="00F53CDF"/>
    <w:rsid w:val="00F5703D"/>
    <w:rsid w:val="00F5706C"/>
    <w:rsid w:val="00F57CC5"/>
    <w:rsid w:val="00F6678E"/>
    <w:rsid w:val="00F71DFC"/>
    <w:rsid w:val="00F71FEF"/>
    <w:rsid w:val="00F72292"/>
    <w:rsid w:val="00F73837"/>
    <w:rsid w:val="00F76734"/>
    <w:rsid w:val="00F777EA"/>
    <w:rsid w:val="00F83704"/>
    <w:rsid w:val="00F83B0E"/>
    <w:rsid w:val="00F910D3"/>
    <w:rsid w:val="00F9187B"/>
    <w:rsid w:val="00F96FAD"/>
    <w:rsid w:val="00FA1DF5"/>
    <w:rsid w:val="00FB013A"/>
    <w:rsid w:val="00FB1183"/>
    <w:rsid w:val="00FB619D"/>
    <w:rsid w:val="00FB66AC"/>
    <w:rsid w:val="00FC4A67"/>
    <w:rsid w:val="00FC53A0"/>
    <w:rsid w:val="00FC57D5"/>
    <w:rsid w:val="00FC5E5F"/>
    <w:rsid w:val="00FC69FE"/>
    <w:rsid w:val="00FD0C1D"/>
    <w:rsid w:val="00FD4D5E"/>
    <w:rsid w:val="00FD53AA"/>
    <w:rsid w:val="00FD7B50"/>
    <w:rsid w:val="00FE21D1"/>
    <w:rsid w:val="00FE3FB6"/>
    <w:rsid w:val="00FE7477"/>
    <w:rsid w:val="00FF059E"/>
    <w:rsid w:val="00FF7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9DFF"/>
  <w15:chartTrackingRefBased/>
  <w15:docId w15:val="{ECEDA1F4-55A9-49DE-8552-5222AB09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48D0"/>
  </w:style>
  <w:style w:type="paragraph" w:styleId="Heading1">
    <w:name w:val="heading 1"/>
    <w:basedOn w:val="Normal"/>
    <w:next w:val="Normal"/>
    <w:link w:val="Heading1Char"/>
    <w:uiPriority w:val="9"/>
    <w:qFormat/>
    <w:rsid w:val="002468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A1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65868"/>
    <w:pPr>
      <w:spacing w:after="200" w:line="240" w:lineRule="auto"/>
    </w:pPr>
    <w:rPr>
      <w:i/>
      <w:iCs/>
      <w:color w:val="44546A" w:themeColor="text2"/>
      <w:sz w:val="18"/>
      <w:szCs w:val="18"/>
    </w:rPr>
  </w:style>
  <w:style w:type="paragraph" w:styleId="ListParagraph">
    <w:name w:val="List Paragraph"/>
    <w:basedOn w:val="Normal"/>
    <w:uiPriority w:val="34"/>
    <w:qFormat/>
    <w:rsid w:val="00D13F4B"/>
    <w:pPr>
      <w:ind w:left="720"/>
      <w:contextualSpacing/>
    </w:pPr>
  </w:style>
  <w:style w:type="paragraph" w:styleId="BalloonText">
    <w:name w:val="Balloon Text"/>
    <w:basedOn w:val="Normal"/>
    <w:link w:val="BalloonTextChar"/>
    <w:uiPriority w:val="99"/>
    <w:semiHidden/>
    <w:unhideWhenUsed/>
    <w:rsid w:val="00760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CE1"/>
    <w:rPr>
      <w:rFonts w:ascii="Segoe UI" w:hAnsi="Segoe UI" w:cs="Segoe UI"/>
      <w:sz w:val="18"/>
      <w:szCs w:val="18"/>
    </w:rPr>
  </w:style>
  <w:style w:type="character" w:styleId="Hyperlink">
    <w:name w:val="Hyperlink"/>
    <w:basedOn w:val="DefaultParagraphFont"/>
    <w:uiPriority w:val="99"/>
    <w:unhideWhenUsed/>
    <w:rsid w:val="0043578B"/>
    <w:rPr>
      <w:color w:val="0000FF"/>
      <w:u w:val="single"/>
    </w:rPr>
  </w:style>
  <w:style w:type="character" w:styleId="CommentReference">
    <w:name w:val="annotation reference"/>
    <w:basedOn w:val="DefaultParagraphFont"/>
    <w:uiPriority w:val="99"/>
    <w:semiHidden/>
    <w:unhideWhenUsed/>
    <w:rsid w:val="002812D3"/>
    <w:rPr>
      <w:sz w:val="16"/>
      <w:szCs w:val="16"/>
    </w:rPr>
  </w:style>
  <w:style w:type="paragraph" w:styleId="CommentText">
    <w:name w:val="annotation text"/>
    <w:basedOn w:val="Normal"/>
    <w:link w:val="CommentTextChar"/>
    <w:uiPriority w:val="99"/>
    <w:unhideWhenUsed/>
    <w:rsid w:val="002812D3"/>
    <w:pPr>
      <w:spacing w:line="240" w:lineRule="auto"/>
    </w:pPr>
    <w:rPr>
      <w:sz w:val="20"/>
      <w:szCs w:val="20"/>
    </w:rPr>
  </w:style>
  <w:style w:type="character" w:customStyle="1" w:styleId="CommentTextChar">
    <w:name w:val="Comment Text Char"/>
    <w:basedOn w:val="DefaultParagraphFont"/>
    <w:link w:val="CommentText"/>
    <w:uiPriority w:val="99"/>
    <w:rsid w:val="002812D3"/>
    <w:rPr>
      <w:sz w:val="20"/>
      <w:szCs w:val="20"/>
    </w:rPr>
  </w:style>
  <w:style w:type="paragraph" w:styleId="CommentSubject">
    <w:name w:val="annotation subject"/>
    <w:basedOn w:val="CommentText"/>
    <w:next w:val="CommentText"/>
    <w:link w:val="CommentSubjectChar"/>
    <w:uiPriority w:val="99"/>
    <w:semiHidden/>
    <w:unhideWhenUsed/>
    <w:rsid w:val="002812D3"/>
    <w:rPr>
      <w:b/>
      <w:bCs/>
    </w:rPr>
  </w:style>
  <w:style w:type="character" w:customStyle="1" w:styleId="CommentSubjectChar">
    <w:name w:val="Comment Subject Char"/>
    <w:basedOn w:val="CommentTextChar"/>
    <w:link w:val="CommentSubject"/>
    <w:uiPriority w:val="99"/>
    <w:semiHidden/>
    <w:rsid w:val="002812D3"/>
    <w:rPr>
      <w:b/>
      <w:bCs/>
      <w:sz w:val="20"/>
      <w:szCs w:val="20"/>
    </w:rPr>
  </w:style>
  <w:style w:type="character" w:customStyle="1" w:styleId="Heading1Char">
    <w:name w:val="Heading 1 Char"/>
    <w:basedOn w:val="DefaultParagraphFont"/>
    <w:link w:val="Heading1"/>
    <w:uiPriority w:val="9"/>
    <w:rsid w:val="00246822"/>
    <w:rPr>
      <w:rFonts w:asciiTheme="majorHAnsi" w:eastAsiaTheme="majorEastAsia" w:hAnsiTheme="majorHAnsi" w:cstheme="majorBidi"/>
      <w:color w:val="2E74B5" w:themeColor="accent1" w:themeShade="BF"/>
      <w:sz w:val="32"/>
      <w:szCs w:val="32"/>
    </w:rPr>
  </w:style>
  <w:style w:type="paragraph" w:customStyle="1" w:styleId="Normal0">
    <w:name w:val="[Normal]"/>
    <w:uiPriority w:val="99"/>
    <w:rsid w:val="00E31877"/>
    <w:pPr>
      <w:widowControl w:val="0"/>
      <w:autoSpaceDE w:val="0"/>
      <w:autoSpaceDN w:val="0"/>
      <w:adjustRightInd w:val="0"/>
      <w:spacing w:after="0" w:line="240" w:lineRule="auto"/>
    </w:pPr>
    <w:rPr>
      <w:rFonts w:ascii="Arial" w:hAnsi="Arial" w:cs="Arial"/>
      <w:sz w:val="24"/>
      <w:szCs w:val="24"/>
    </w:rPr>
  </w:style>
  <w:style w:type="paragraph" w:styleId="Quote">
    <w:name w:val="Quote"/>
    <w:basedOn w:val="Normal"/>
    <w:next w:val="Normal"/>
    <w:link w:val="QuoteChar"/>
    <w:uiPriority w:val="29"/>
    <w:qFormat/>
    <w:rsid w:val="00802DA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02DAD"/>
    <w:rPr>
      <w:i/>
      <w:iCs/>
      <w:color w:val="404040" w:themeColor="text1" w:themeTint="BF"/>
    </w:rPr>
  </w:style>
  <w:style w:type="table" w:customStyle="1" w:styleId="TableGrid0">
    <w:name w:val="TableGrid"/>
    <w:rsid w:val="006A1D15"/>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6A1D15"/>
    <w:rPr>
      <w:rFonts w:asciiTheme="majorHAnsi" w:eastAsiaTheme="majorEastAsia" w:hAnsiTheme="majorHAnsi" w:cstheme="majorBidi"/>
      <w:color w:val="1F4D78" w:themeColor="accent1" w:themeShade="7F"/>
      <w:sz w:val="24"/>
      <w:szCs w:val="24"/>
    </w:rPr>
  </w:style>
  <w:style w:type="paragraph" w:customStyle="1" w:styleId="ParticipantRef">
    <w:name w:val="Participant Ref"/>
    <w:basedOn w:val="Normal"/>
    <w:link w:val="ParticipantRefChar"/>
    <w:qFormat/>
    <w:rsid w:val="006A1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pPr>
    <w:rPr>
      <w:rFonts w:ascii="Arial" w:hAnsi="Arial" w:cs="Arial"/>
      <w:sz w:val="16"/>
      <w:szCs w:val="16"/>
    </w:rPr>
  </w:style>
  <w:style w:type="character" w:customStyle="1" w:styleId="ParticipantRefChar">
    <w:name w:val="Participant Ref Char"/>
    <w:basedOn w:val="DefaultParagraphFont"/>
    <w:link w:val="ParticipantRef"/>
    <w:rsid w:val="006A1D15"/>
    <w:rPr>
      <w:rFonts w:ascii="Arial" w:hAnsi="Arial" w:cs="Arial"/>
      <w:sz w:val="16"/>
      <w:szCs w:val="16"/>
    </w:rPr>
  </w:style>
  <w:style w:type="paragraph" w:customStyle="1" w:styleId="Quote1">
    <w:name w:val="Quote1"/>
    <w:basedOn w:val="Quote"/>
    <w:link w:val="Quote1Char"/>
    <w:qFormat/>
    <w:rsid w:val="006A1D15"/>
    <w:pPr>
      <w:spacing w:line="240" w:lineRule="auto"/>
    </w:pPr>
    <w:rPr>
      <w:rFonts w:ascii="Arial" w:hAnsi="Arial"/>
      <w:sz w:val="24"/>
    </w:rPr>
  </w:style>
  <w:style w:type="paragraph" w:customStyle="1" w:styleId="Style1">
    <w:name w:val="Style1"/>
    <w:basedOn w:val="Normal"/>
    <w:link w:val="Style1Char"/>
    <w:qFormat/>
    <w:rsid w:val="006A1D15"/>
    <w:rPr>
      <w:rFonts w:ascii="Arial" w:hAnsi="Arial"/>
      <w:sz w:val="24"/>
    </w:rPr>
  </w:style>
  <w:style w:type="character" w:customStyle="1" w:styleId="Quote1Char">
    <w:name w:val="Quote1 Char"/>
    <w:basedOn w:val="DefaultParagraphFont"/>
    <w:link w:val="Quote1"/>
    <w:rsid w:val="006A1D15"/>
    <w:rPr>
      <w:rFonts w:ascii="Arial" w:hAnsi="Arial"/>
      <w:i/>
      <w:iCs/>
      <w:color w:val="404040" w:themeColor="text1" w:themeTint="BF"/>
      <w:sz w:val="24"/>
    </w:rPr>
  </w:style>
  <w:style w:type="character" w:customStyle="1" w:styleId="Style1Char">
    <w:name w:val="Style1 Char"/>
    <w:basedOn w:val="DefaultParagraphFont"/>
    <w:link w:val="Style1"/>
    <w:rsid w:val="006A1D15"/>
    <w:rPr>
      <w:rFonts w:ascii="Arial" w:hAnsi="Arial"/>
      <w:sz w:val="24"/>
    </w:rPr>
  </w:style>
  <w:style w:type="table" w:styleId="PlainTable3">
    <w:name w:val="Plain Table 3"/>
    <w:basedOn w:val="TableNormal"/>
    <w:uiPriority w:val="43"/>
    <w:rsid w:val="000F55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55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
    <w:name w:val="EndNote Bibliography"/>
    <w:basedOn w:val="Normal"/>
    <w:link w:val="EndNoteBibliographyChar"/>
    <w:rsid w:val="009119A2"/>
    <w:pPr>
      <w:spacing w:line="240" w:lineRule="auto"/>
      <w:jc w:val="both"/>
    </w:pPr>
    <w:rPr>
      <w:rFonts w:ascii="Calibri" w:hAnsi="Calibri" w:cs="Calibri"/>
      <w:noProof/>
      <w:sz w:val="24"/>
      <w:lang w:val="en-US"/>
    </w:rPr>
  </w:style>
  <w:style w:type="character" w:customStyle="1" w:styleId="EndNoteBibliographyChar">
    <w:name w:val="EndNote Bibliography Char"/>
    <w:basedOn w:val="DefaultParagraphFont"/>
    <w:link w:val="EndNoteBibliography"/>
    <w:rsid w:val="009119A2"/>
    <w:rPr>
      <w:rFonts w:ascii="Calibri" w:hAnsi="Calibri" w:cs="Calibri"/>
      <w:noProof/>
      <w:sz w:val="24"/>
      <w:lang w:val="en-US"/>
    </w:rPr>
  </w:style>
  <w:style w:type="character" w:customStyle="1" w:styleId="highwire-cite-metadata-date">
    <w:name w:val="highwire-cite-metadata-date"/>
    <w:basedOn w:val="DefaultParagraphFont"/>
    <w:rsid w:val="00014949"/>
  </w:style>
  <w:style w:type="character" w:customStyle="1" w:styleId="highwire-cite-metadata-volume">
    <w:name w:val="highwire-cite-metadata-volume"/>
    <w:basedOn w:val="DefaultParagraphFont"/>
    <w:rsid w:val="00014949"/>
  </w:style>
  <w:style w:type="character" w:customStyle="1" w:styleId="highwire-cite-metadata-issue">
    <w:name w:val="highwire-cite-metadata-issue"/>
    <w:basedOn w:val="DefaultParagraphFont"/>
    <w:rsid w:val="00014949"/>
  </w:style>
  <w:style w:type="character" w:customStyle="1" w:styleId="highwire-cite-metadata-pages">
    <w:name w:val="highwire-cite-metadata-pages"/>
    <w:basedOn w:val="DefaultParagraphFont"/>
    <w:rsid w:val="00014949"/>
  </w:style>
  <w:style w:type="character" w:customStyle="1" w:styleId="highwire-cite-metadata-doi">
    <w:name w:val="highwire-cite-metadata-doi"/>
    <w:basedOn w:val="DefaultParagraphFont"/>
    <w:rsid w:val="00014949"/>
  </w:style>
  <w:style w:type="paragraph" w:styleId="Title">
    <w:name w:val="Title"/>
    <w:basedOn w:val="Normal"/>
    <w:next w:val="Normal"/>
    <w:link w:val="TitleChar"/>
    <w:uiPriority w:val="10"/>
    <w:qFormat/>
    <w:rsid w:val="00626408"/>
    <w:pPr>
      <w:spacing w:line="360" w:lineRule="auto"/>
      <w:contextualSpacing/>
      <w:jc w:val="both"/>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626408"/>
    <w:rPr>
      <w:rFonts w:eastAsiaTheme="majorEastAsia" w:cstheme="majorBidi"/>
      <w:b/>
      <w:spacing w:val="-10"/>
      <w:kern w:val="28"/>
      <w:sz w:val="24"/>
      <w:szCs w:val="56"/>
    </w:rPr>
  </w:style>
  <w:style w:type="character" w:styleId="FollowedHyperlink">
    <w:name w:val="FollowedHyperlink"/>
    <w:basedOn w:val="DefaultParagraphFont"/>
    <w:uiPriority w:val="99"/>
    <w:semiHidden/>
    <w:unhideWhenUsed/>
    <w:rsid w:val="007803B5"/>
    <w:rPr>
      <w:color w:val="954F72" w:themeColor="followedHyperlink"/>
      <w:u w:val="single"/>
    </w:rPr>
  </w:style>
  <w:style w:type="paragraph" w:customStyle="1" w:styleId="Default">
    <w:name w:val="Default"/>
    <w:rsid w:val="004C2FB9"/>
    <w:pPr>
      <w:autoSpaceDE w:val="0"/>
      <w:autoSpaceDN w:val="0"/>
      <w:adjustRightInd w:val="0"/>
      <w:spacing w:after="0" w:line="240" w:lineRule="auto"/>
    </w:pPr>
    <w:rPr>
      <w:rFonts w:ascii="Arial" w:hAnsi="Arial" w:cs="Arial"/>
      <w:color w:val="000000"/>
      <w:sz w:val="24"/>
      <w:szCs w:val="24"/>
    </w:rPr>
  </w:style>
  <w:style w:type="paragraph" w:styleId="HTMLAddress">
    <w:name w:val="HTML Address"/>
    <w:basedOn w:val="Normal"/>
    <w:link w:val="HTMLAddressChar"/>
    <w:uiPriority w:val="99"/>
    <w:semiHidden/>
    <w:unhideWhenUsed/>
    <w:rsid w:val="00E6461D"/>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E6461D"/>
    <w:rPr>
      <w:rFonts w:ascii="Times New Roman" w:eastAsia="Times New Roman" w:hAnsi="Times New Roman" w:cs="Times New Roman"/>
      <w:i/>
      <w:iCs/>
      <w:sz w:val="24"/>
      <w:szCs w:val="24"/>
      <w:lang w:eastAsia="en-GB"/>
    </w:rPr>
  </w:style>
  <w:style w:type="character" w:customStyle="1" w:styleId="institution">
    <w:name w:val="institution"/>
    <w:basedOn w:val="DefaultParagraphFont"/>
    <w:rsid w:val="00E6461D"/>
  </w:style>
  <w:style w:type="character" w:customStyle="1" w:styleId="addr-line">
    <w:name w:val="addr-line"/>
    <w:basedOn w:val="DefaultParagraphFont"/>
    <w:rsid w:val="00E6461D"/>
  </w:style>
  <w:style w:type="character" w:customStyle="1" w:styleId="corresp-label">
    <w:name w:val="corresp-label"/>
    <w:basedOn w:val="DefaultParagraphFont"/>
    <w:rsid w:val="00E6461D"/>
  </w:style>
  <w:style w:type="character" w:customStyle="1" w:styleId="em-addr">
    <w:name w:val="em-addr"/>
    <w:basedOn w:val="DefaultParagraphFont"/>
    <w:rsid w:val="00E6461D"/>
  </w:style>
  <w:style w:type="character" w:customStyle="1" w:styleId="authors">
    <w:name w:val="authors"/>
    <w:basedOn w:val="DefaultParagraphFont"/>
    <w:rsid w:val="006559D8"/>
  </w:style>
  <w:style w:type="character" w:customStyle="1" w:styleId="Date1">
    <w:name w:val="Date1"/>
    <w:basedOn w:val="DefaultParagraphFont"/>
    <w:rsid w:val="006559D8"/>
  </w:style>
  <w:style w:type="character" w:customStyle="1" w:styleId="arttitle">
    <w:name w:val="art_title"/>
    <w:basedOn w:val="DefaultParagraphFont"/>
    <w:rsid w:val="006559D8"/>
  </w:style>
  <w:style w:type="character" w:customStyle="1" w:styleId="serialtitle">
    <w:name w:val="serial_title"/>
    <w:basedOn w:val="DefaultParagraphFont"/>
    <w:rsid w:val="006559D8"/>
  </w:style>
  <w:style w:type="character" w:customStyle="1" w:styleId="doilink">
    <w:name w:val="doi_link"/>
    <w:basedOn w:val="DefaultParagraphFont"/>
    <w:rsid w:val="006559D8"/>
  </w:style>
  <w:style w:type="paragraph" w:styleId="Header">
    <w:name w:val="header"/>
    <w:basedOn w:val="Normal"/>
    <w:link w:val="HeaderChar"/>
    <w:uiPriority w:val="99"/>
    <w:unhideWhenUsed/>
    <w:rsid w:val="007C7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03C"/>
  </w:style>
  <w:style w:type="paragraph" w:styleId="Footer">
    <w:name w:val="footer"/>
    <w:basedOn w:val="Normal"/>
    <w:link w:val="FooterChar"/>
    <w:uiPriority w:val="99"/>
    <w:unhideWhenUsed/>
    <w:rsid w:val="007C7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03C"/>
  </w:style>
  <w:style w:type="character" w:customStyle="1" w:styleId="Date2">
    <w:name w:val="Date2"/>
    <w:basedOn w:val="DefaultParagraphFont"/>
    <w:rsid w:val="00F47343"/>
  </w:style>
  <w:style w:type="character" w:customStyle="1" w:styleId="volumeissue">
    <w:name w:val="volume_issue"/>
    <w:basedOn w:val="DefaultParagraphFont"/>
    <w:rsid w:val="00F47343"/>
  </w:style>
  <w:style w:type="character" w:customStyle="1" w:styleId="pagerange">
    <w:name w:val="page_range"/>
    <w:basedOn w:val="DefaultParagraphFont"/>
    <w:rsid w:val="00F47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728">
      <w:bodyDiv w:val="1"/>
      <w:marLeft w:val="0"/>
      <w:marRight w:val="0"/>
      <w:marTop w:val="0"/>
      <w:marBottom w:val="0"/>
      <w:divBdr>
        <w:top w:val="none" w:sz="0" w:space="0" w:color="auto"/>
        <w:left w:val="none" w:sz="0" w:space="0" w:color="auto"/>
        <w:bottom w:val="none" w:sz="0" w:space="0" w:color="auto"/>
        <w:right w:val="none" w:sz="0" w:space="0" w:color="auto"/>
      </w:divBdr>
    </w:div>
    <w:div w:id="444665711">
      <w:bodyDiv w:val="1"/>
      <w:marLeft w:val="0"/>
      <w:marRight w:val="0"/>
      <w:marTop w:val="0"/>
      <w:marBottom w:val="0"/>
      <w:divBdr>
        <w:top w:val="none" w:sz="0" w:space="0" w:color="auto"/>
        <w:left w:val="none" w:sz="0" w:space="0" w:color="auto"/>
        <w:bottom w:val="none" w:sz="0" w:space="0" w:color="auto"/>
        <w:right w:val="none" w:sz="0" w:space="0" w:color="auto"/>
      </w:divBdr>
    </w:div>
    <w:div w:id="502206887">
      <w:bodyDiv w:val="1"/>
      <w:marLeft w:val="0"/>
      <w:marRight w:val="0"/>
      <w:marTop w:val="0"/>
      <w:marBottom w:val="0"/>
      <w:divBdr>
        <w:top w:val="none" w:sz="0" w:space="0" w:color="auto"/>
        <w:left w:val="none" w:sz="0" w:space="0" w:color="auto"/>
        <w:bottom w:val="none" w:sz="0" w:space="0" w:color="auto"/>
        <w:right w:val="none" w:sz="0" w:space="0" w:color="auto"/>
      </w:divBdr>
    </w:div>
    <w:div w:id="861623549">
      <w:bodyDiv w:val="1"/>
      <w:marLeft w:val="0"/>
      <w:marRight w:val="0"/>
      <w:marTop w:val="0"/>
      <w:marBottom w:val="0"/>
      <w:divBdr>
        <w:top w:val="none" w:sz="0" w:space="0" w:color="auto"/>
        <w:left w:val="none" w:sz="0" w:space="0" w:color="auto"/>
        <w:bottom w:val="none" w:sz="0" w:space="0" w:color="auto"/>
        <w:right w:val="none" w:sz="0" w:space="0" w:color="auto"/>
      </w:divBdr>
    </w:div>
    <w:div w:id="947278125">
      <w:bodyDiv w:val="1"/>
      <w:marLeft w:val="0"/>
      <w:marRight w:val="0"/>
      <w:marTop w:val="0"/>
      <w:marBottom w:val="0"/>
      <w:divBdr>
        <w:top w:val="none" w:sz="0" w:space="0" w:color="auto"/>
        <w:left w:val="none" w:sz="0" w:space="0" w:color="auto"/>
        <w:bottom w:val="none" w:sz="0" w:space="0" w:color="auto"/>
        <w:right w:val="none" w:sz="0" w:space="0" w:color="auto"/>
      </w:divBdr>
    </w:div>
    <w:div w:id="974599037">
      <w:bodyDiv w:val="1"/>
      <w:marLeft w:val="0"/>
      <w:marRight w:val="0"/>
      <w:marTop w:val="0"/>
      <w:marBottom w:val="0"/>
      <w:divBdr>
        <w:top w:val="none" w:sz="0" w:space="0" w:color="auto"/>
        <w:left w:val="none" w:sz="0" w:space="0" w:color="auto"/>
        <w:bottom w:val="none" w:sz="0" w:space="0" w:color="auto"/>
        <w:right w:val="none" w:sz="0" w:space="0" w:color="auto"/>
      </w:divBdr>
    </w:div>
    <w:div w:id="1237668363">
      <w:bodyDiv w:val="1"/>
      <w:marLeft w:val="0"/>
      <w:marRight w:val="0"/>
      <w:marTop w:val="0"/>
      <w:marBottom w:val="0"/>
      <w:divBdr>
        <w:top w:val="none" w:sz="0" w:space="0" w:color="auto"/>
        <w:left w:val="none" w:sz="0" w:space="0" w:color="auto"/>
        <w:bottom w:val="none" w:sz="0" w:space="0" w:color="auto"/>
        <w:right w:val="none" w:sz="0" w:space="0" w:color="auto"/>
      </w:divBdr>
    </w:div>
    <w:div w:id="1282764923">
      <w:bodyDiv w:val="1"/>
      <w:marLeft w:val="0"/>
      <w:marRight w:val="0"/>
      <w:marTop w:val="0"/>
      <w:marBottom w:val="0"/>
      <w:divBdr>
        <w:top w:val="none" w:sz="0" w:space="0" w:color="auto"/>
        <w:left w:val="none" w:sz="0" w:space="0" w:color="auto"/>
        <w:bottom w:val="none" w:sz="0" w:space="0" w:color="auto"/>
        <w:right w:val="none" w:sz="0" w:space="0" w:color="auto"/>
      </w:divBdr>
    </w:div>
    <w:div w:id="1298026744">
      <w:bodyDiv w:val="1"/>
      <w:marLeft w:val="0"/>
      <w:marRight w:val="0"/>
      <w:marTop w:val="0"/>
      <w:marBottom w:val="0"/>
      <w:divBdr>
        <w:top w:val="none" w:sz="0" w:space="0" w:color="auto"/>
        <w:left w:val="none" w:sz="0" w:space="0" w:color="auto"/>
        <w:bottom w:val="none" w:sz="0" w:space="0" w:color="auto"/>
        <w:right w:val="none" w:sz="0" w:space="0" w:color="auto"/>
      </w:divBdr>
    </w:div>
    <w:div w:id="1370883829">
      <w:bodyDiv w:val="1"/>
      <w:marLeft w:val="0"/>
      <w:marRight w:val="0"/>
      <w:marTop w:val="0"/>
      <w:marBottom w:val="0"/>
      <w:divBdr>
        <w:top w:val="none" w:sz="0" w:space="0" w:color="auto"/>
        <w:left w:val="none" w:sz="0" w:space="0" w:color="auto"/>
        <w:bottom w:val="none" w:sz="0" w:space="0" w:color="auto"/>
        <w:right w:val="none" w:sz="0" w:space="0" w:color="auto"/>
      </w:divBdr>
    </w:div>
    <w:div w:id="1493719221">
      <w:bodyDiv w:val="1"/>
      <w:marLeft w:val="0"/>
      <w:marRight w:val="0"/>
      <w:marTop w:val="0"/>
      <w:marBottom w:val="0"/>
      <w:divBdr>
        <w:top w:val="none" w:sz="0" w:space="0" w:color="auto"/>
        <w:left w:val="none" w:sz="0" w:space="0" w:color="auto"/>
        <w:bottom w:val="none" w:sz="0" w:space="0" w:color="auto"/>
        <w:right w:val="none" w:sz="0" w:space="0" w:color="auto"/>
      </w:divBdr>
    </w:div>
    <w:div w:id="1539076941">
      <w:bodyDiv w:val="1"/>
      <w:marLeft w:val="0"/>
      <w:marRight w:val="0"/>
      <w:marTop w:val="0"/>
      <w:marBottom w:val="0"/>
      <w:divBdr>
        <w:top w:val="none" w:sz="0" w:space="0" w:color="auto"/>
        <w:left w:val="none" w:sz="0" w:space="0" w:color="auto"/>
        <w:bottom w:val="none" w:sz="0" w:space="0" w:color="auto"/>
        <w:right w:val="none" w:sz="0" w:space="0" w:color="auto"/>
      </w:divBdr>
    </w:div>
    <w:div w:id="1567104538">
      <w:bodyDiv w:val="1"/>
      <w:marLeft w:val="0"/>
      <w:marRight w:val="0"/>
      <w:marTop w:val="0"/>
      <w:marBottom w:val="0"/>
      <w:divBdr>
        <w:top w:val="none" w:sz="0" w:space="0" w:color="auto"/>
        <w:left w:val="none" w:sz="0" w:space="0" w:color="auto"/>
        <w:bottom w:val="none" w:sz="0" w:space="0" w:color="auto"/>
        <w:right w:val="none" w:sz="0" w:space="0" w:color="auto"/>
      </w:divBdr>
    </w:div>
    <w:div w:id="1580168946">
      <w:bodyDiv w:val="1"/>
      <w:marLeft w:val="0"/>
      <w:marRight w:val="0"/>
      <w:marTop w:val="0"/>
      <w:marBottom w:val="0"/>
      <w:divBdr>
        <w:top w:val="none" w:sz="0" w:space="0" w:color="auto"/>
        <w:left w:val="none" w:sz="0" w:space="0" w:color="auto"/>
        <w:bottom w:val="none" w:sz="0" w:space="0" w:color="auto"/>
        <w:right w:val="none" w:sz="0" w:space="0" w:color="auto"/>
      </w:divBdr>
    </w:div>
    <w:div w:id="1632635778">
      <w:bodyDiv w:val="1"/>
      <w:marLeft w:val="0"/>
      <w:marRight w:val="0"/>
      <w:marTop w:val="0"/>
      <w:marBottom w:val="0"/>
      <w:divBdr>
        <w:top w:val="none" w:sz="0" w:space="0" w:color="auto"/>
        <w:left w:val="none" w:sz="0" w:space="0" w:color="auto"/>
        <w:bottom w:val="none" w:sz="0" w:space="0" w:color="auto"/>
        <w:right w:val="none" w:sz="0" w:space="0" w:color="auto"/>
      </w:divBdr>
    </w:div>
    <w:div w:id="1636522718">
      <w:bodyDiv w:val="1"/>
      <w:marLeft w:val="0"/>
      <w:marRight w:val="0"/>
      <w:marTop w:val="0"/>
      <w:marBottom w:val="0"/>
      <w:divBdr>
        <w:top w:val="none" w:sz="0" w:space="0" w:color="auto"/>
        <w:left w:val="none" w:sz="0" w:space="0" w:color="auto"/>
        <w:bottom w:val="none" w:sz="0" w:space="0" w:color="auto"/>
        <w:right w:val="none" w:sz="0" w:space="0" w:color="auto"/>
      </w:divBdr>
    </w:div>
    <w:div w:id="1721782356">
      <w:bodyDiv w:val="1"/>
      <w:marLeft w:val="0"/>
      <w:marRight w:val="0"/>
      <w:marTop w:val="0"/>
      <w:marBottom w:val="0"/>
      <w:divBdr>
        <w:top w:val="none" w:sz="0" w:space="0" w:color="auto"/>
        <w:left w:val="none" w:sz="0" w:space="0" w:color="auto"/>
        <w:bottom w:val="none" w:sz="0" w:space="0" w:color="auto"/>
        <w:right w:val="none" w:sz="0" w:space="0" w:color="auto"/>
      </w:divBdr>
    </w:div>
    <w:div w:id="1845242985">
      <w:bodyDiv w:val="1"/>
      <w:marLeft w:val="0"/>
      <w:marRight w:val="0"/>
      <w:marTop w:val="0"/>
      <w:marBottom w:val="0"/>
      <w:divBdr>
        <w:top w:val="none" w:sz="0" w:space="0" w:color="auto"/>
        <w:left w:val="none" w:sz="0" w:space="0" w:color="auto"/>
        <w:bottom w:val="none" w:sz="0" w:space="0" w:color="auto"/>
        <w:right w:val="none" w:sz="0" w:space="0" w:color="auto"/>
      </w:divBdr>
    </w:div>
    <w:div w:id="1853102757">
      <w:bodyDiv w:val="1"/>
      <w:marLeft w:val="0"/>
      <w:marRight w:val="0"/>
      <w:marTop w:val="0"/>
      <w:marBottom w:val="0"/>
      <w:divBdr>
        <w:top w:val="none" w:sz="0" w:space="0" w:color="auto"/>
        <w:left w:val="none" w:sz="0" w:space="0" w:color="auto"/>
        <w:bottom w:val="none" w:sz="0" w:space="0" w:color="auto"/>
        <w:right w:val="none" w:sz="0" w:space="0" w:color="auto"/>
      </w:divBdr>
    </w:div>
    <w:div w:id="203812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ollick@abdn.ac.uk" TargetMode="External"/><Relationship Id="rId13" Type="http://schemas.openxmlformats.org/officeDocument/2006/relationships/hyperlink" Target="https://www.ruralhealthinfo.org/topics/aging" TargetMode="External"/><Relationship Id="rId18" Type="http://schemas.openxmlformats.org/officeDocument/2006/relationships/hyperlink" Target="https://doi.org/10.1093/bmb/ldy0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36/annrheumdis-2018-213590" TargetMode="External"/><Relationship Id="rId17" Type="http://schemas.openxmlformats.org/officeDocument/2006/relationships/hyperlink" Target="https://doi.org/10.1080/2159676X.2019.1704846" TargetMode="External"/><Relationship Id="rId2" Type="http://schemas.openxmlformats.org/officeDocument/2006/relationships/numbering" Target="numbering.xml"/><Relationship Id="rId16" Type="http://schemas.openxmlformats.org/officeDocument/2006/relationships/hyperlink" Target="https://doi.org/10.1191/1478088706qp063o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899/jrheum.090481" TargetMode="External"/><Relationship Id="rId5" Type="http://schemas.openxmlformats.org/officeDocument/2006/relationships/webSettings" Target="webSettings.xml"/><Relationship Id="rId15" Type="http://schemas.openxmlformats.org/officeDocument/2006/relationships/hyperlink" Target="http://www.gov.scot/Topics/Statistics/SIMD/" TargetMode="External"/><Relationship Id="rId23" Type="http://schemas.openxmlformats.org/officeDocument/2006/relationships/theme" Target="theme/theme1.xml"/><Relationship Id="rId10" Type="http://schemas.openxmlformats.org/officeDocument/2006/relationships/hyperlink" Target="https://doi.org/10.1093/rheumatology/kew147" TargetMode="External"/><Relationship Id="rId19" Type="http://schemas.openxmlformats.org/officeDocument/2006/relationships/hyperlink" Target="https://www.councilforworkandhealth.org.uk/work-modifications/" TargetMode="External"/><Relationship Id="rId4" Type="http://schemas.openxmlformats.org/officeDocument/2006/relationships/settings" Target="settings.xml"/><Relationship Id="rId9" Type="http://schemas.openxmlformats.org/officeDocument/2006/relationships/hyperlink" Target="https://www.abdn.ac.uk/iahs/research/epidemiology/spondyloarthritis.php" TargetMode="External"/><Relationship Id="rId14" Type="http://schemas.openxmlformats.org/officeDocument/2006/relationships/hyperlink" Target="https://www.gov.scot/publications/rural-scotland-key-facts-20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E0665-8B05-46AC-BFB3-FA2760FE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8235</Words>
  <Characters>46945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Linda</dc:creator>
  <cp:keywords/>
  <dc:description/>
  <cp:lastModifiedBy>Drake K.A.</cp:lastModifiedBy>
  <cp:revision>2</cp:revision>
  <cp:lastPrinted>2019-10-28T15:34:00Z</cp:lastPrinted>
  <dcterms:created xsi:type="dcterms:W3CDTF">2020-05-18T11:26:00Z</dcterms:created>
  <dcterms:modified xsi:type="dcterms:W3CDTF">2020-05-18T11:26:00Z</dcterms:modified>
</cp:coreProperties>
</file>