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1AE8B" w14:textId="71366A34" w:rsidR="006C23A3" w:rsidRPr="00F34287" w:rsidRDefault="00813301" w:rsidP="00BA3555">
      <w:pPr>
        <w:spacing w:line="480" w:lineRule="auto"/>
        <w:rPr>
          <w:b/>
          <w:bCs/>
          <w:color w:val="000000" w:themeColor="text1"/>
          <w:sz w:val="36"/>
          <w:szCs w:val="36"/>
        </w:rPr>
      </w:pPr>
      <w:bookmarkStart w:id="0" w:name="_GoBack"/>
      <w:bookmarkEnd w:id="0"/>
      <w:r w:rsidRPr="00F34287">
        <w:rPr>
          <w:b/>
          <w:bCs/>
          <w:color w:val="000000" w:themeColor="text1"/>
          <w:sz w:val="36"/>
          <w:szCs w:val="36"/>
        </w:rPr>
        <w:t xml:space="preserve">Full Title: Age, sex and disease-specific associations between resting heart rate and </w:t>
      </w:r>
      <w:r w:rsidR="00352F39" w:rsidRPr="00F34287">
        <w:rPr>
          <w:b/>
          <w:bCs/>
          <w:color w:val="000000" w:themeColor="text1"/>
          <w:sz w:val="36"/>
          <w:szCs w:val="36"/>
        </w:rPr>
        <w:t xml:space="preserve">cardiovascular </w:t>
      </w:r>
      <w:r w:rsidRPr="00F34287">
        <w:rPr>
          <w:b/>
          <w:bCs/>
          <w:color w:val="000000" w:themeColor="text1"/>
          <w:sz w:val="36"/>
          <w:szCs w:val="36"/>
        </w:rPr>
        <w:t>mortality in the UK BIOBANK</w:t>
      </w:r>
    </w:p>
    <w:p w14:paraId="462BF71D" w14:textId="5B8B8A58" w:rsidR="00813301" w:rsidRPr="00F34287" w:rsidRDefault="00813301" w:rsidP="00BA3555">
      <w:pPr>
        <w:spacing w:line="480" w:lineRule="auto"/>
        <w:rPr>
          <w:b/>
          <w:bCs/>
          <w:color w:val="000000" w:themeColor="text1"/>
          <w:sz w:val="36"/>
          <w:szCs w:val="36"/>
        </w:rPr>
      </w:pPr>
    </w:p>
    <w:p w14:paraId="13472D76" w14:textId="5EB08140" w:rsidR="00813301" w:rsidRPr="00F34287" w:rsidRDefault="00813301" w:rsidP="00BA3555">
      <w:pPr>
        <w:spacing w:line="480" w:lineRule="auto"/>
        <w:rPr>
          <w:b/>
          <w:bCs/>
          <w:color w:val="000000" w:themeColor="text1"/>
          <w:sz w:val="36"/>
          <w:szCs w:val="36"/>
        </w:rPr>
      </w:pPr>
      <w:r w:rsidRPr="00F34287">
        <w:rPr>
          <w:b/>
          <w:bCs/>
          <w:color w:val="000000" w:themeColor="text1"/>
          <w:sz w:val="36"/>
          <w:szCs w:val="36"/>
        </w:rPr>
        <w:t>Short title: Resting heart rate and cardiovascular mortality outcomes</w:t>
      </w:r>
      <w:r w:rsidR="00BC7A25" w:rsidRPr="00F34287">
        <w:rPr>
          <w:b/>
          <w:bCs/>
          <w:color w:val="000000" w:themeColor="text1"/>
          <w:sz w:val="36"/>
          <w:szCs w:val="36"/>
        </w:rPr>
        <w:t xml:space="preserve"> in the UK Biobank</w:t>
      </w:r>
      <w:r w:rsidRPr="00F34287">
        <w:rPr>
          <w:b/>
          <w:bCs/>
          <w:color w:val="000000" w:themeColor="text1"/>
          <w:sz w:val="36"/>
          <w:szCs w:val="36"/>
        </w:rPr>
        <w:t xml:space="preserve"> </w:t>
      </w:r>
    </w:p>
    <w:p w14:paraId="6F2A1A0D" w14:textId="77777777" w:rsidR="008F60D3" w:rsidRPr="00F34287" w:rsidRDefault="008F60D3" w:rsidP="00BA3555">
      <w:pPr>
        <w:spacing w:line="480" w:lineRule="auto"/>
        <w:rPr>
          <w:b/>
          <w:bCs/>
          <w:color w:val="000000" w:themeColor="text1"/>
          <w:sz w:val="22"/>
          <w:szCs w:val="22"/>
        </w:rPr>
      </w:pPr>
    </w:p>
    <w:p w14:paraId="47F197AF" w14:textId="1BB864D3" w:rsidR="00793E81" w:rsidRPr="00F34287" w:rsidRDefault="00793E81" w:rsidP="00BA3555">
      <w:pPr>
        <w:spacing w:line="480" w:lineRule="auto"/>
        <w:rPr>
          <w:color w:val="000000" w:themeColor="text1"/>
          <w:sz w:val="22"/>
          <w:szCs w:val="22"/>
        </w:rPr>
      </w:pPr>
      <w:r w:rsidRPr="00F34287">
        <w:rPr>
          <w:color w:val="000000" w:themeColor="text1"/>
          <w:sz w:val="22"/>
          <w:szCs w:val="22"/>
        </w:rPr>
        <w:t>Zahra Raisi-Estabragh</w:t>
      </w:r>
      <w:r w:rsidR="000D260B" w:rsidRPr="00F34287">
        <w:rPr>
          <w:color w:val="000000" w:themeColor="text1"/>
          <w:sz w:val="22"/>
          <w:szCs w:val="22"/>
          <w:vertAlign w:val="superscript"/>
        </w:rPr>
        <w:t>1, 2</w:t>
      </w:r>
      <w:r w:rsidRPr="00F34287">
        <w:rPr>
          <w:color w:val="000000" w:themeColor="text1"/>
          <w:sz w:val="22"/>
          <w:szCs w:val="22"/>
        </w:rPr>
        <w:t>,</w:t>
      </w:r>
      <w:r w:rsidR="00CC619E" w:rsidRPr="00F34287">
        <w:rPr>
          <w:color w:val="000000" w:themeColor="text1"/>
          <w:sz w:val="22"/>
          <w:szCs w:val="22"/>
        </w:rPr>
        <w:t xml:space="preserve"> </w:t>
      </w:r>
      <w:r w:rsidRPr="00F34287">
        <w:rPr>
          <w:color w:val="000000" w:themeColor="text1"/>
          <w:sz w:val="22"/>
          <w:szCs w:val="22"/>
        </w:rPr>
        <w:t>Jackie Cooper</w:t>
      </w:r>
      <w:r w:rsidR="000D260B" w:rsidRPr="00F34287">
        <w:rPr>
          <w:color w:val="000000" w:themeColor="text1"/>
          <w:sz w:val="22"/>
          <w:szCs w:val="22"/>
          <w:vertAlign w:val="superscript"/>
        </w:rPr>
        <w:t>1, 2</w:t>
      </w:r>
      <w:r w:rsidRPr="00F34287">
        <w:rPr>
          <w:color w:val="000000" w:themeColor="text1"/>
          <w:sz w:val="22"/>
          <w:szCs w:val="22"/>
        </w:rPr>
        <w:t>,</w:t>
      </w:r>
      <w:r w:rsidR="00CC619E" w:rsidRPr="00F34287">
        <w:rPr>
          <w:color w:val="000000" w:themeColor="text1"/>
          <w:sz w:val="22"/>
          <w:szCs w:val="22"/>
        </w:rPr>
        <w:t xml:space="preserve"> </w:t>
      </w:r>
      <w:r w:rsidRPr="00F34287">
        <w:rPr>
          <w:color w:val="000000" w:themeColor="text1"/>
          <w:sz w:val="22"/>
          <w:szCs w:val="22"/>
        </w:rPr>
        <w:t>Rebekah Judge</w:t>
      </w:r>
      <w:r w:rsidR="000D260B" w:rsidRPr="00F34287">
        <w:rPr>
          <w:color w:val="000000" w:themeColor="text1"/>
          <w:sz w:val="22"/>
          <w:szCs w:val="22"/>
          <w:vertAlign w:val="superscript"/>
        </w:rPr>
        <w:t>3</w:t>
      </w:r>
      <w:r w:rsidRPr="00F34287">
        <w:rPr>
          <w:color w:val="000000" w:themeColor="text1"/>
          <w:sz w:val="22"/>
          <w:szCs w:val="22"/>
        </w:rPr>
        <w:t>,</w:t>
      </w:r>
      <w:r w:rsidR="00CC619E" w:rsidRPr="00F34287">
        <w:rPr>
          <w:color w:val="000000" w:themeColor="text1"/>
          <w:sz w:val="22"/>
          <w:szCs w:val="22"/>
        </w:rPr>
        <w:t xml:space="preserve"> </w:t>
      </w:r>
      <w:r w:rsidR="00AF4CE8" w:rsidRPr="00F34287">
        <w:rPr>
          <w:color w:val="000000" w:themeColor="text1"/>
          <w:sz w:val="22"/>
          <w:szCs w:val="22"/>
        </w:rPr>
        <w:t xml:space="preserve">Mohammed </w:t>
      </w:r>
      <w:r w:rsidR="00413E01" w:rsidRPr="00F34287">
        <w:rPr>
          <w:color w:val="000000" w:themeColor="text1"/>
          <w:sz w:val="22"/>
          <w:szCs w:val="22"/>
        </w:rPr>
        <w:t xml:space="preserve">Y. </w:t>
      </w:r>
      <w:r w:rsidR="00AF4CE8" w:rsidRPr="00F34287">
        <w:rPr>
          <w:color w:val="000000" w:themeColor="text1"/>
          <w:sz w:val="22"/>
          <w:szCs w:val="22"/>
        </w:rPr>
        <w:t>Khanji</w:t>
      </w:r>
      <w:r w:rsidR="00AF4CE8" w:rsidRPr="00F34287">
        <w:rPr>
          <w:color w:val="000000" w:themeColor="text1"/>
          <w:sz w:val="22"/>
          <w:szCs w:val="22"/>
          <w:vertAlign w:val="superscript"/>
        </w:rPr>
        <w:t>1, 2</w:t>
      </w:r>
      <w:r w:rsidR="00CC619E" w:rsidRPr="00F34287">
        <w:rPr>
          <w:color w:val="000000" w:themeColor="text1"/>
          <w:sz w:val="22"/>
          <w:szCs w:val="22"/>
        </w:rPr>
        <w:t xml:space="preserve">, </w:t>
      </w:r>
      <w:r w:rsidR="00B51B30" w:rsidRPr="00F34287">
        <w:rPr>
          <w:color w:val="000000" w:themeColor="text1"/>
          <w:sz w:val="22"/>
          <w:szCs w:val="22"/>
        </w:rPr>
        <w:t xml:space="preserve">Patricia </w:t>
      </w:r>
      <w:r w:rsidR="00413E01" w:rsidRPr="00F34287">
        <w:rPr>
          <w:color w:val="000000" w:themeColor="text1"/>
          <w:sz w:val="22"/>
          <w:szCs w:val="22"/>
        </w:rPr>
        <w:t xml:space="preserve">B. </w:t>
      </w:r>
      <w:r w:rsidR="00B51B30" w:rsidRPr="00F34287">
        <w:rPr>
          <w:color w:val="000000" w:themeColor="text1"/>
          <w:sz w:val="22"/>
          <w:szCs w:val="22"/>
        </w:rPr>
        <w:t>Munroe</w:t>
      </w:r>
      <w:r w:rsidR="00B51B30" w:rsidRPr="00F34287">
        <w:rPr>
          <w:color w:val="000000" w:themeColor="text1"/>
          <w:sz w:val="22"/>
          <w:szCs w:val="22"/>
          <w:vertAlign w:val="superscript"/>
        </w:rPr>
        <w:t>1</w:t>
      </w:r>
      <w:r w:rsidR="00B51B30" w:rsidRPr="00F34287">
        <w:rPr>
          <w:color w:val="000000" w:themeColor="text1"/>
          <w:sz w:val="22"/>
          <w:szCs w:val="22"/>
        </w:rPr>
        <w:t>,</w:t>
      </w:r>
      <w:r w:rsidRPr="00F34287">
        <w:rPr>
          <w:color w:val="000000" w:themeColor="text1"/>
          <w:sz w:val="22"/>
          <w:szCs w:val="22"/>
        </w:rPr>
        <w:t xml:space="preserve"> </w:t>
      </w:r>
      <w:r w:rsidR="00BD1BDE" w:rsidRPr="00F34287">
        <w:rPr>
          <w:color w:val="000000" w:themeColor="text1"/>
          <w:sz w:val="22"/>
          <w:szCs w:val="22"/>
        </w:rPr>
        <w:t>Cyrus Cooper</w:t>
      </w:r>
      <w:r w:rsidR="00BD1BDE" w:rsidRPr="00F34287">
        <w:rPr>
          <w:color w:val="000000" w:themeColor="text1"/>
          <w:sz w:val="22"/>
          <w:szCs w:val="22"/>
          <w:vertAlign w:val="superscript"/>
        </w:rPr>
        <w:t>4,5,6</w:t>
      </w:r>
      <w:r w:rsidR="00BD1BDE" w:rsidRPr="00F34287">
        <w:rPr>
          <w:color w:val="000000" w:themeColor="text1"/>
          <w:sz w:val="22"/>
          <w:szCs w:val="22"/>
        </w:rPr>
        <w:t>,</w:t>
      </w:r>
      <w:r w:rsidR="00CC619E" w:rsidRPr="00F34287">
        <w:rPr>
          <w:color w:val="000000" w:themeColor="text1"/>
          <w:sz w:val="22"/>
          <w:szCs w:val="22"/>
        </w:rPr>
        <w:t xml:space="preserve"> </w:t>
      </w:r>
      <w:r w:rsidRPr="00F34287">
        <w:rPr>
          <w:color w:val="000000" w:themeColor="text1"/>
          <w:sz w:val="22"/>
          <w:szCs w:val="22"/>
        </w:rPr>
        <w:t>Nic</w:t>
      </w:r>
      <w:r w:rsidR="00F728E1" w:rsidRPr="00F34287">
        <w:rPr>
          <w:color w:val="000000" w:themeColor="text1"/>
          <w:sz w:val="22"/>
          <w:szCs w:val="22"/>
        </w:rPr>
        <w:t>holas</w:t>
      </w:r>
      <w:r w:rsidRPr="00F34287">
        <w:rPr>
          <w:color w:val="000000" w:themeColor="text1"/>
          <w:sz w:val="22"/>
          <w:szCs w:val="22"/>
        </w:rPr>
        <w:t xml:space="preserve"> C</w:t>
      </w:r>
      <w:r w:rsidR="00413E01" w:rsidRPr="00F34287">
        <w:rPr>
          <w:color w:val="000000" w:themeColor="text1"/>
          <w:sz w:val="22"/>
          <w:szCs w:val="22"/>
        </w:rPr>
        <w:t>.</w:t>
      </w:r>
      <w:r w:rsidRPr="00F34287">
        <w:rPr>
          <w:color w:val="000000" w:themeColor="text1"/>
          <w:sz w:val="22"/>
          <w:szCs w:val="22"/>
        </w:rPr>
        <w:t xml:space="preserve"> Harvey</w:t>
      </w:r>
      <w:r w:rsidR="000D260B" w:rsidRPr="00F34287">
        <w:rPr>
          <w:color w:val="000000" w:themeColor="text1"/>
          <w:sz w:val="22"/>
          <w:szCs w:val="22"/>
          <w:vertAlign w:val="superscript"/>
        </w:rPr>
        <w:t>4</w:t>
      </w:r>
      <w:r w:rsidR="00F728E1" w:rsidRPr="00F34287">
        <w:rPr>
          <w:color w:val="000000" w:themeColor="text1"/>
          <w:sz w:val="22"/>
          <w:szCs w:val="22"/>
          <w:vertAlign w:val="superscript"/>
        </w:rPr>
        <w:t>,5</w:t>
      </w:r>
      <w:r w:rsidR="00F728E1" w:rsidRPr="00F34287">
        <w:rPr>
          <w:color w:val="000000" w:themeColor="text1"/>
          <w:sz w:val="22"/>
          <w:szCs w:val="22"/>
        </w:rPr>
        <w:t>,</w:t>
      </w:r>
      <w:r w:rsidR="00CC619E" w:rsidRPr="00F34287">
        <w:rPr>
          <w:color w:val="000000" w:themeColor="text1"/>
          <w:sz w:val="22"/>
          <w:szCs w:val="22"/>
        </w:rPr>
        <w:t xml:space="preserve"> </w:t>
      </w:r>
      <w:r w:rsidRPr="00F34287">
        <w:rPr>
          <w:color w:val="000000" w:themeColor="text1"/>
          <w:sz w:val="22"/>
          <w:szCs w:val="22"/>
        </w:rPr>
        <w:t>Steffen E</w:t>
      </w:r>
      <w:r w:rsidR="00413E01" w:rsidRPr="00F34287">
        <w:rPr>
          <w:color w:val="000000" w:themeColor="text1"/>
          <w:sz w:val="22"/>
          <w:szCs w:val="22"/>
        </w:rPr>
        <w:t>.</w:t>
      </w:r>
      <w:r w:rsidRPr="00F34287">
        <w:rPr>
          <w:color w:val="000000" w:themeColor="text1"/>
          <w:sz w:val="22"/>
          <w:szCs w:val="22"/>
        </w:rPr>
        <w:t xml:space="preserve"> Petersen</w:t>
      </w:r>
      <w:r w:rsidR="000D260B" w:rsidRPr="00F34287">
        <w:rPr>
          <w:color w:val="000000" w:themeColor="text1"/>
          <w:sz w:val="22"/>
          <w:szCs w:val="22"/>
          <w:vertAlign w:val="superscript"/>
        </w:rPr>
        <w:t>1, 2</w:t>
      </w:r>
      <w:r w:rsidR="00BA3555" w:rsidRPr="00F34287">
        <w:rPr>
          <w:color w:val="000000" w:themeColor="text1"/>
          <w:sz w:val="22"/>
          <w:szCs w:val="22"/>
          <w:vertAlign w:val="superscript"/>
        </w:rPr>
        <w:t>*</w:t>
      </w:r>
    </w:p>
    <w:p w14:paraId="3001C8A2" w14:textId="77777777" w:rsidR="00740B74" w:rsidRPr="00F34287" w:rsidRDefault="00740B74" w:rsidP="00BA3555">
      <w:pPr>
        <w:spacing w:line="480" w:lineRule="auto"/>
        <w:rPr>
          <w:color w:val="000000" w:themeColor="text1"/>
          <w:sz w:val="22"/>
          <w:szCs w:val="22"/>
        </w:rPr>
      </w:pPr>
    </w:p>
    <w:p w14:paraId="37FB1D73" w14:textId="7208EB9E" w:rsidR="000D260B" w:rsidRPr="00F34287" w:rsidRDefault="000D260B" w:rsidP="00BA3555">
      <w:pPr>
        <w:spacing w:line="480" w:lineRule="auto"/>
        <w:rPr>
          <w:color w:val="000000" w:themeColor="text1"/>
          <w:sz w:val="22"/>
          <w:szCs w:val="22"/>
        </w:rPr>
      </w:pPr>
      <w:r w:rsidRPr="00F34287">
        <w:rPr>
          <w:color w:val="000000" w:themeColor="text1"/>
          <w:sz w:val="22"/>
          <w:szCs w:val="22"/>
          <w:vertAlign w:val="superscript"/>
        </w:rPr>
        <w:t>1</w:t>
      </w:r>
      <w:r w:rsidR="00BA3555" w:rsidRPr="00F34287">
        <w:rPr>
          <w:color w:val="000000" w:themeColor="text1"/>
          <w:sz w:val="22"/>
          <w:szCs w:val="22"/>
          <w:vertAlign w:val="superscript"/>
        </w:rPr>
        <w:t xml:space="preserve"> </w:t>
      </w:r>
      <w:r w:rsidRPr="00F34287">
        <w:rPr>
          <w:color w:val="000000" w:themeColor="text1"/>
          <w:sz w:val="22"/>
          <w:szCs w:val="22"/>
        </w:rPr>
        <w:t xml:space="preserve">William Harvey Research Institute, NIHR Barts Biomedical </w:t>
      </w:r>
      <w:r w:rsidR="00B51B30" w:rsidRPr="00F34287">
        <w:rPr>
          <w:color w:val="000000" w:themeColor="text1"/>
          <w:sz w:val="22"/>
          <w:szCs w:val="22"/>
        </w:rPr>
        <w:t xml:space="preserve">Research </w:t>
      </w:r>
      <w:r w:rsidRPr="00F34287">
        <w:rPr>
          <w:color w:val="000000" w:themeColor="text1"/>
          <w:sz w:val="22"/>
          <w:szCs w:val="22"/>
        </w:rPr>
        <w:t>Centre, Queen Mary University of London, Charterhouse Square, London, EC1M 6BQ, UK </w:t>
      </w:r>
    </w:p>
    <w:p w14:paraId="4471D4B3" w14:textId="23A452CB" w:rsidR="000D260B" w:rsidRPr="00F34287" w:rsidRDefault="000D260B" w:rsidP="00BA3555">
      <w:pPr>
        <w:spacing w:line="480" w:lineRule="auto"/>
        <w:rPr>
          <w:color w:val="000000" w:themeColor="text1"/>
          <w:sz w:val="22"/>
          <w:szCs w:val="22"/>
        </w:rPr>
      </w:pPr>
      <w:r w:rsidRPr="00F34287">
        <w:rPr>
          <w:color w:val="000000" w:themeColor="text1"/>
          <w:sz w:val="22"/>
          <w:szCs w:val="22"/>
          <w:vertAlign w:val="superscript"/>
        </w:rPr>
        <w:t>2</w:t>
      </w:r>
      <w:r w:rsidR="00BA3555" w:rsidRPr="00F34287">
        <w:rPr>
          <w:color w:val="000000" w:themeColor="text1"/>
          <w:sz w:val="22"/>
          <w:szCs w:val="22"/>
          <w:vertAlign w:val="superscript"/>
        </w:rPr>
        <w:t xml:space="preserve"> </w:t>
      </w:r>
      <w:r w:rsidRPr="00F34287">
        <w:rPr>
          <w:color w:val="000000" w:themeColor="text1"/>
          <w:sz w:val="22"/>
          <w:szCs w:val="22"/>
        </w:rPr>
        <w:t>Barts Heart Centre, St Bartholomew’s Hospital, Barts Health NHS Trust, West Smithfield, EC1A 7BE, London, UK</w:t>
      </w:r>
    </w:p>
    <w:p w14:paraId="4018FD0C" w14:textId="710D3B2E" w:rsidR="000D260B" w:rsidRPr="00F34287" w:rsidRDefault="000D260B" w:rsidP="00BA3555">
      <w:pPr>
        <w:spacing w:line="480" w:lineRule="auto"/>
        <w:rPr>
          <w:color w:val="000000" w:themeColor="text1"/>
          <w:sz w:val="22"/>
          <w:szCs w:val="22"/>
        </w:rPr>
      </w:pPr>
      <w:r w:rsidRPr="00F34287">
        <w:rPr>
          <w:color w:val="000000" w:themeColor="text1"/>
          <w:sz w:val="22"/>
          <w:szCs w:val="22"/>
          <w:vertAlign w:val="superscript"/>
        </w:rPr>
        <w:t>3</w:t>
      </w:r>
      <w:r w:rsidR="00BA3555" w:rsidRPr="00F34287">
        <w:rPr>
          <w:color w:val="000000" w:themeColor="text1"/>
          <w:sz w:val="22"/>
          <w:szCs w:val="22"/>
          <w:vertAlign w:val="superscript"/>
        </w:rPr>
        <w:t xml:space="preserve"> </w:t>
      </w:r>
      <w:r w:rsidR="00413E01" w:rsidRPr="00F34287">
        <w:rPr>
          <w:color w:val="000000" w:themeColor="text1"/>
          <w:sz w:val="22"/>
          <w:szCs w:val="22"/>
        </w:rPr>
        <w:t xml:space="preserve">Imperial College Healthcare Trust, St Mary’s Hospital, </w:t>
      </w:r>
      <w:proofErr w:type="spellStart"/>
      <w:r w:rsidR="00413E01" w:rsidRPr="00F34287">
        <w:rPr>
          <w:color w:val="000000" w:themeColor="text1"/>
          <w:sz w:val="22"/>
          <w:szCs w:val="22"/>
        </w:rPr>
        <w:t>Praed</w:t>
      </w:r>
      <w:proofErr w:type="spellEnd"/>
      <w:r w:rsidR="00413E01" w:rsidRPr="00F34287">
        <w:rPr>
          <w:color w:val="000000" w:themeColor="text1"/>
          <w:sz w:val="22"/>
          <w:szCs w:val="22"/>
        </w:rPr>
        <w:t xml:space="preserve"> Street, W2 1NY, London, UK</w:t>
      </w:r>
    </w:p>
    <w:p w14:paraId="3BFC9A75" w14:textId="5B43FD3D" w:rsidR="00F728E1" w:rsidRPr="00F34287" w:rsidRDefault="000D260B" w:rsidP="00BA3555">
      <w:pPr>
        <w:spacing w:line="480" w:lineRule="auto"/>
        <w:rPr>
          <w:color w:val="000000" w:themeColor="text1"/>
          <w:sz w:val="22"/>
          <w:szCs w:val="22"/>
        </w:rPr>
      </w:pPr>
      <w:r w:rsidRPr="00F34287">
        <w:rPr>
          <w:color w:val="000000" w:themeColor="text1"/>
          <w:sz w:val="22"/>
          <w:szCs w:val="22"/>
          <w:vertAlign w:val="superscript"/>
        </w:rPr>
        <w:t>4</w:t>
      </w:r>
      <w:r w:rsidRPr="00F34287">
        <w:rPr>
          <w:color w:val="000000" w:themeColor="text1"/>
          <w:sz w:val="22"/>
          <w:szCs w:val="22"/>
        </w:rPr>
        <w:t xml:space="preserve"> MRC Lifecourse Epidemiology Unit (MRCLEU), </w:t>
      </w:r>
      <w:proofErr w:type="spellStart"/>
      <w:r w:rsidRPr="00F34287">
        <w:rPr>
          <w:color w:val="000000" w:themeColor="text1"/>
          <w:sz w:val="22"/>
          <w:szCs w:val="22"/>
        </w:rPr>
        <w:t>Tremona</w:t>
      </w:r>
      <w:proofErr w:type="spellEnd"/>
      <w:r w:rsidRPr="00F34287">
        <w:rPr>
          <w:color w:val="000000" w:themeColor="text1"/>
          <w:sz w:val="22"/>
          <w:szCs w:val="22"/>
        </w:rPr>
        <w:t xml:space="preserve"> Rd, Southampton SO16 6YD, UK</w:t>
      </w:r>
    </w:p>
    <w:p w14:paraId="3179FD3C" w14:textId="5A56FC47" w:rsidR="000D260B" w:rsidRPr="00F34287" w:rsidRDefault="00F728E1" w:rsidP="00BA3555">
      <w:pPr>
        <w:spacing w:line="480" w:lineRule="auto"/>
        <w:rPr>
          <w:color w:val="000000" w:themeColor="text1"/>
          <w:sz w:val="22"/>
          <w:szCs w:val="22"/>
        </w:rPr>
      </w:pPr>
      <w:r w:rsidRPr="00F34287">
        <w:rPr>
          <w:color w:val="000000" w:themeColor="text1"/>
          <w:sz w:val="22"/>
          <w:szCs w:val="22"/>
          <w:vertAlign w:val="superscript"/>
        </w:rPr>
        <w:t>5</w:t>
      </w:r>
      <w:r w:rsidRPr="00F34287">
        <w:rPr>
          <w:color w:val="000000" w:themeColor="text1"/>
          <w:sz w:val="22"/>
          <w:szCs w:val="22"/>
        </w:rPr>
        <w:t xml:space="preserve"> NIHR Southampton Biomedical Research Centre, University of Southampton and University Hospital Southampton NHS Foundation Trust, </w:t>
      </w:r>
      <w:proofErr w:type="spellStart"/>
      <w:r w:rsidRPr="00F34287">
        <w:rPr>
          <w:color w:val="000000" w:themeColor="text1"/>
          <w:sz w:val="22"/>
          <w:szCs w:val="22"/>
        </w:rPr>
        <w:t>Tremona</w:t>
      </w:r>
      <w:proofErr w:type="spellEnd"/>
      <w:r w:rsidRPr="00F34287">
        <w:rPr>
          <w:color w:val="000000" w:themeColor="text1"/>
          <w:sz w:val="22"/>
          <w:szCs w:val="22"/>
        </w:rPr>
        <w:t xml:space="preserve"> Road, Southampton, UK</w:t>
      </w:r>
    </w:p>
    <w:p w14:paraId="34890C5B" w14:textId="561917F1" w:rsidR="00BD1BDE" w:rsidRPr="00F34287" w:rsidRDefault="00BD1BDE" w:rsidP="00BA3555">
      <w:pPr>
        <w:spacing w:line="480" w:lineRule="auto"/>
        <w:rPr>
          <w:rFonts w:eastAsia="AdvTT46dcae81"/>
          <w:color w:val="000000" w:themeColor="text1"/>
          <w:sz w:val="22"/>
          <w:szCs w:val="22"/>
        </w:rPr>
      </w:pPr>
      <w:r w:rsidRPr="00F34287">
        <w:rPr>
          <w:color w:val="000000" w:themeColor="text1"/>
          <w:sz w:val="22"/>
          <w:szCs w:val="22"/>
          <w:vertAlign w:val="superscript"/>
        </w:rPr>
        <w:t>6</w:t>
      </w:r>
      <w:r w:rsidRPr="00F34287">
        <w:rPr>
          <w:color w:val="000000" w:themeColor="text1"/>
          <w:sz w:val="22"/>
          <w:szCs w:val="22"/>
        </w:rPr>
        <w:t xml:space="preserve"> </w:t>
      </w:r>
      <w:r w:rsidRPr="00F34287">
        <w:rPr>
          <w:rFonts w:eastAsia="AdvTT46dcae81"/>
          <w:color w:val="000000" w:themeColor="text1"/>
          <w:sz w:val="22"/>
          <w:szCs w:val="22"/>
        </w:rPr>
        <w:t>NIHR Oxford Biomedical Research Centre, University of Oxford, UK</w:t>
      </w:r>
    </w:p>
    <w:p w14:paraId="55378A87" w14:textId="77777777" w:rsidR="00D25571" w:rsidRPr="00F34287" w:rsidRDefault="00D25571" w:rsidP="00BA3555">
      <w:pPr>
        <w:spacing w:line="480" w:lineRule="auto"/>
        <w:rPr>
          <w:color w:val="000000" w:themeColor="text1"/>
          <w:sz w:val="22"/>
          <w:szCs w:val="22"/>
        </w:rPr>
      </w:pPr>
    </w:p>
    <w:p w14:paraId="7DBD99AD" w14:textId="6990D3BD" w:rsidR="00413E01" w:rsidRPr="00F34287" w:rsidRDefault="00BA3555" w:rsidP="00BA3555">
      <w:pPr>
        <w:spacing w:line="480" w:lineRule="auto"/>
        <w:rPr>
          <w:color w:val="000000" w:themeColor="text1"/>
          <w:sz w:val="22"/>
          <w:szCs w:val="22"/>
        </w:rPr>
      </w:pPr>
      <w:r w:rsidRPr="00F34287">
        <w:rPr>
          <w:b/>
          <w:bCs/>
          <w:color w:val="000000" w:themeColor="text1"/>
          <w:sz w:val="22"/>
          <w:szCs w:val="22"/>
        </w:rPr>
        <w:t>*</w:t>
      </w:r>
      <w:r w:rsidR="00F728E1" w:rsidRPr="00F34287">
        <w:rPr>
          <w:b/>
          <w:bCs/>
          <w:color w:val="000000" w:themeColor="text1"/>
          <w:sz w:val="22"/>
          <w:szCs w:val="22"/>
        </w:rPr>
        <w:t>Corresponding author:</w:t>
      </w:r>
      <w:r w:rsidR="0098504A" w:rsidRPr="00F34287">
        <w:rPr>
          <w:color w:val="000000" w:themeColor="text1"/>
          <w:sz w:val="22"/>
          <w:szCs w:val="22"/>
        </w:rPr>
        <w:t xml:space="preserve"> Professor Steffen </w:t>
      </w:r>
      <w:r w:rsidR="00413E01" w:rsidRPr="00F34287">
        <w:rPr>
          <w:color w:val="000000" w:themeColor="text1"/>
          <w:sz w:val="22"/>
          <w:szCs w:val="22"/>
        </w:rPr>
        <w:t xml:space="preserve">E. </w:t>
      </w:r>
      <w:r w:rsidR="0098504A" w:rsidRPr="00F34287">
        <w:rPr>
          <w:color w:val="000000" w:themeColor="text1"/>
          <w:sz w:val="22"/>
          <w:szCs w:val="22"/>
        </w:rPr>
        <w:t xml:space="preserve">Petersen. </w:t>
      </w:r>
      <w:r w:rsidR="00413E01" w:rsidRPr="00F34287">
        <w:rPr>
          <w:color w:val="000000" w:themeColor="text1"/>
          <w:sz w:val="22"/>
          <w:szCs w:val="22"/>
        </w:rPr>
        <w:t xml:space="preserve">William Harvey Research Institute, NIHR Barts Biomedical Research Centre, Queen Mary University of London, Charterhouse Square, London, EC1M 6BQ, UK  </w:t>
      </w:r>
      <w:r w:rsidR="0098504A" w:rsidRPr="00F34287">
        <w:rPr>
          <w:color w:val="000000" w:themeColor="text1"/>
          <w:sz w:val="22"/>
          <w:szCs w:val="22"/>
        </w:rPr>
        <w:t xml:space="preserve">Email: </w:t>
      </w:r>
      <w:r w:rsidR="00413E01" w:rsidRPr="00F34287">
        <w:rPr>
          <w:color w:val="000000" w:themeColor="text1"/>
          <w:sz w:val="22"/>
          <w:szCs w:val="22"/>
        </w:rPr>
        <w:t xml:space="preserve">s.e.petersen@qmul.ac.uk; </w:t>
      </w:r>
      <w:r w:rsidRPr="00F34287">
        <w:rPr>
          <w:color w:val="000000" w:themeColor="text1"/>
          <w:sz w:val="22"/>
          <w:szCs w:val="22"/>
        </w:rPr>
        <w:t xml:space="preserve">Telephone: </w:t>
      </w:r>
      <w:r w:rsidR="00413E01" w:rsidRPr="00F34287">
        <w:rPr>
          <w:color w:val="000000" w:themeColor="text1"/>
          <w:sz w:val="22"/>
          <w:szCs w:val="22"/>
        </w:rPr>
        <w:t>+44-2078826902</w:t>
      </w:r>
    </w:p>
    <w:p w14:paraId="1BA56602" w14:textId="77777777" w:rsidR="00D93B55" w:rsidRPr="00F34287" w:rsidRDefault="00D93B55" w:rsidP="00BA3555">
      <w:pPr>
        <w:spacing w:after="120" w:line="480" w:lineRule="auto"/>
        <w:rPr>
          <w:b/>
          <w:bCs/>
          <w:color w:val="000000" w:themeColor="text1"/>
          <w:sz w:val="22"/>
          <w:szCs w:val="22"/>
        </w:rPr>
      </w:pPr>
    </w:p>
    <w:p w14:paraId="5AA83A92" w14:textId="799EE62A" w:rsidR="00DD4606" w:rsidRPr="00F34287" w:rsidRDefault="00813301" w:rsidP="00BA3555">
      <w:pPr>
        <w:spacing w:after="120" w:line="480" w:lineRule="auto"/>
        <w:rPr>
          <w:b/>
          <w:bCs/>
          <w:color w:val="000000" w:themeColor="text1"/>
          <w:sz w:val="36"/>
          <w:szCs w:val="36"/>
        </w:rPr>
      </w:pPr>
      <w:r w:rsidRPr="00F34287">
        <w:rPr>
          <w:b/>
          <w:bCs/>
          <w:color w:val="000000" w:themeColor="text1"/>
          <w:sz w:val="36"/>
          <w:szCs w:val="36"/>
        </w:rPr>
        <w:lastRenderedPageBreak/>
        <w:t>Funding information</w:t>
      </w:r>
    </w:p>
    <w:p w14:paraId="07B2565D" w14:textId="6F6DED4F" w:rsidR="005056A4" w:rsidRPr="00F34287" w:rsidRDefault="00DD4606" w:rsidP="005056A4">
      <w:pPr>
        <w:spacing w:line="480" w:lineRule="auto"/>
        <w:rPr>
          <w:bCs/>
          <w:color w:val="000000" w:themeColor="text1"/>
          <w:sz w:val="22"/>
          <w:szCs w:val="22"/>
        </w:rPr>
      </w:pPr>
      <w:r w:rsidRPr="00F34287">
        <w:rPr>
          <w:bCs/>
          <w:color w:val="000000" w:themeColor="text1"/>
          <w:sz w:val="22"/>
          <w:szCs w:val="22"/>
        </w:rPr>
        <w:t xml:space="preserve">ZRE </w:t>
      </w:r>
      <w:r w:rsidR="00F971B3" w:rsidRPr="00F34287">
        <w:rPr>
          <w:bCs/>
          <w:color w:val="000000" w:themeColor="text1"/>
          <w:sz w:val="22"/>
          <w:szCs w:val="22"/>
        </w:rPr>
        <w:t xml:space="preserve">is </w:t>
      </w:r>
      <w:r w:rsidRPr="00F34287">
        <w:rPr>
          <w:bCs/>
          <w:color w:val="000000" w:themeColor="text1"/>
          <w:sz w:val="22"/>
          <w:szCs w:val="22"/>
        </w:rPr>
        <w:t xml:space="preserve">supported by </w:t>
      </w:r>
      <w:r w:rsidR="00F971B3" w:rsidRPr="00F34287">
        <w:rPr>
          <w:bCs/>
          <w:color w:val="000000" w:themeColor="text1"/>
          <w:sz w:val="22"/>
          <w:szCs w:val="22"/>
        </w:rPr>
        <w:t xml:space="preserve">a </w:t>
      </w:r>
      <w:r w:rsidRPr="00F34287">
        <w:rPr>
          <w:bCs/>
          <w:color w:val="000000" w:themeColor="text1"/>
          <w:sz w:val="22"/>
          <w:szCs w:val="22"/>
        </w:rPr>
        <w:t xml:space="preserve">British Heart Foundation Clinical Research Training Fellowship </w:t>
      </w:r>
      <w:r w:rsidR="00F971B3" w:rsidRPr="00F34287">
        <w:rPr>
          <w:bCs/>
          <w:color w:val="000000" w:themeColor="text1"/>
          <w:sz w:val="22"/>
          <w:szCs w:val="22"/>
        </w:rPr>
        <w:t>(</w:t>
      </w:r>
      <w:r w:rsidRPr="00F34287">
        <w:rPr>
          <w:bCs/>
          <w:color w:val="000000" w:themeColor="text1"/>
          <w:sz w:val="22"/>
          <w:szCs w:val="22"/>
        </w:rPr>
        <w:t>FS/17/81/33318</w:t>
      </w:r>
      <w:r w:rsidR="00F971B3" w:rsidRPr="00F34287">
        <w:rPr>
          <w:bCs/>
          <w:color w:val="000000" w:themeColor="text1"/>
          <w:sz w:val="22"/>
          <w:szCs w:val="22"/>
        </w:rPr>
        <w:t>)</w:t>
      </w:r>
      <w:r w:rsidRPr="00F34287">
        <w:rPr>
          <w:bCs/>
          <w:color w:val="000000" w:themeColor="text1"/>
          <w:sz w:val="22"/>
          <w:szCs w:val="22"/>
        </w:rPr>
        <w:t xml:space="preserve">. This project was enabled through access to the MRC </w:t>
      </w:r>
      <w:proofErr w:type="spellStart"/>
      <w:r w:rsidRPr="00F34287">
        <w:rPr>
          <w:bCs/>
          <w:color w:val="000000" w:themeColor="text1"/>
          <w:sz w:val="22"/>
          <w:szCs w:val="22"/>
        </w:rPr>
        <w:t>eMedLab</w:t>
      </w:r>
      <w:proofErr w:type="spellEnd"/>
      <w:r w:rsidRPr="00F34287">
        <w:rPr>
          <w:bCs/>
          <w:color w:val="000000" w:themeColor="text1"/>
          <w:sz w:val="22"/>
          <w:szCs w:val="22"/>
        </w:rPr>
        <w:t xml:space="preserve"> Medical Bioinformatics infrastructure, supported by the Medical Research Council (www.mrc.ac.uk; MR/L016311/1). Data access was granted through UK Biobank access application 2964. SEP acknowledges support from the National Institute for Health Research (NIHR) Cardiovascular Biomedical Research Centre at Barts and funding from the European Union’s Horizon 2020 research and innovation programme </w:t>
      </w:r>
      <w:r w:rsidR="00F971B3" w:rsidRPr="00F34287">
        <w:rPr>
          <w:bCs/>
          <w:color w:val="000000" w:themeColor="text1"/>
          <w:sz w:val="22"/>
          <w:szCs w:val="22"/>
        </w:rPr>
        <w:t>(</w:t>
      </w:r>
      <w:r w:rsidRPr="00F34287">
        <w:rPr>
          <w:bCs/>
          <w:color w:val="000000" w:themeColor="text1"/>
          <w:sz w:val="22"/>
          <w:szCs w:val="22"/>
        </w:rPr>
        <w:t>825903</w:t>
      </w:r>
      <w:r w:rsidR="00F971B3" w:rsidRPr="00F34287">
        <w:rPr>
          <w:bCs/>
          <w:color w:val="000000" w:themeColor="text1"/>
          <w:sz w:val="22"/>
          <w:szCs w:val="22"/>
        </w:rPr>
        <w:t>)</w:t>
      </w:r>
      <w:r w:rsidRPr="00F34287">
        <w:rPr>
          <w:bCs/>
          <w:color w:val="000000" w:themeColor="text1"/>
          <w:sz w:val="22"/>
          <w:szCs w:val="22"/>
        </w:rPr>
        <w:t>.</w:t>
      </w:r>
      <w:r w:rsidR="005056A4" w:rsidRPr="00F34287">
        <w:rPr>
          <w:bCs/>
          <w:color w:val="000000" w:themeColor="text1"/>
          <w:sz w:val="22"/>
          <w:szCs w:val="22"/>
        </w:rPr>
        <w:t xml:space="preserve"> </w:t>
      </w:r>
      <w:r w:rsidR="005056A4" w:rsidRPr="00F34287">
        <w:rPr>
          <w:color w:val="000000" w:themeColor="text1"/>
          <w:sz w:val="22"/>
          <w:szCs w:val="22"/>
        </w:rPr>
        <w:t>The funders had no role in study design, data collection and analysis, decision to publish, or preparation of the manuscript.</w:t>
      </w:r>
    </w:p>
    <w:p w14:paraId="470771A0" w14:textId="77777777" w:rsidR="00DD4606" w:rsidRPr="00F34287" w:rsidRDefault="00DD4606" w:rsidP="00BA3555">
      <w:pPr>
        <w:spacing w:after="120" w:line="480" w:lineRule="auto"/>
        <w:rPr>
          <w:color w:val="000000" w:themeColor="text1"/>
          <w:sz w:val="22"/>
          <w:szCs w:val="22"/>
        </w:rPr>
      </w:pPr>
    </w:p>
    <w:p w14:paraId="039ECFD0" w14:textId="01EB9FE1" w:rsidR="00DD4606" w:rsidRPr="00F34287" w:rsidRDefault="00813301" w:rsidP="00BA3555">
      <w:pPr>
        <w:spacing w:after="120" w:line="480" w:lineRule="auto"/>
        <w:rPr>
          <w:b/>
          <w:color w:val="000000" w:themeColor="text1"/>
          <w:sz w:val="36"/>
          <w:szCs w:val="36"/>
        </w:rPr>
      </w:pPr>
      <w:r w:rsidRPr="00F34287">
        <w:rPr>
          <w:b/>
          <w:color w:val="000000" w:themeColor="text1"/>
          <w:sz w:val="36"/>
          <w:szCs w:val="36"/>
        </w:rPr>
        <w:t>Competing interests</w:t>
      </w:r>
    </w:p>
    <w:p w14:paraId="09D68F40" w14:textId="036250E8" w:rsidR="00E70334" w:rsidRPr="00F34287" w:rsidRDefault="001B6EAE" w:rsidP="001B6EAE">
      <w:pPr>
        <w:spacing w:line="480" w:lineRule="auto"/>
        <w:rPr>
          <w:color w:val="000000" w:themeColor="text1"/>
          <w:sz w:val="22"/>
          <w:szCs w:val="22"/>
        </w:rPr>
      </w:pPr>
      <w:r w:rsidRPr="00F34287">
        <w:rPr>
          <w:rStyle w:val="Emphasis"/>
          <w:i w:val="0"/>
          <w:iCs w:val="0"/>
          <w:color w:val="000000" w:themeColor="text1"/>
          <w:sz w:val="22"/>
          <w:szCs w:val="22"/>
        </w:rPr>
        <w:t>I have read the journal's policy and the authors of this manuscript have the following competing interests:</w:t>
      </w:r>
      <w:r w:rsidRPr="00F34287">
        <w:rPr>
          <w:color w:val="000000" w:themeColor="text1"/>
          <w:sz w:val="22"/>
          <w:szCs w:val="22"/>
        </w:rPr>
        <w:t xml:space="preserve"> </w:t>
      </w:r>
      <w:r w:rsidR="00DD4606" w:rsidRPr="00F34287">
        <w:rPr>
          <w:bCs/>
          <w:color w:val="000000" w:themeColor="text1"/>
          <w:sz w:val="22"/>
          <w:szCs w:val="22"/>
        </w:rPr>
        <w:t xml:space="preserve">SEP acts as a paid consultant to Circle Cardiovascular Imaging Inc., Calgary, Canada and </w:t>
      </w:r>
      <w:proofErr w:type="spellStart"/>
      <w:r w:rsidR="00DD4606" w:rsidRPr="00F34287">
        <w:rPr>
          <w:bCs/>
          <w:color w:val="000000" w:themeColor="text1"/>
          <w:sz w:val="22"/>
          <w:szCs w:val="22"/>
        </w:rPr>
        <w:t>Servier</w:t>
      </w:r>
      <w:proofErr w:type="spellEnd"/>
      <w:r w:rsidR="00DD4606" w:rsidRPr="00F34287">
        <w:rPr>
          <w:bCs/>
          <w:color w:val="000000" w:themeColor="text1"/>
          <w:sz w:val="22"/>
          <w:szCs w:val="22"/>
        </w:rPr>
        <w:t xml:space="preserve">. NCH has received consultancy, lecture fees, and honoraria from Alliance for Better Bone Health, Amgen, MSD, Eli Lilly, </w:t>
      </w:r>
      <w:proofErr w:type="spellStart"/>
      <w:r w:rsidR="00DD4606" w:rsidRPr="00F34287">
        <w:rPr>
          <w:bCs/>
          <w:color w:val="000000" w:themeColor="text1"/>
          <w:sz w:val="22"/>
          <w:szCs w:val="22"/>
        </w:rPr>
        <w:t>Servier</w:t>
      </w:r>
      <w:proofErr w:type="spellEnd"/>
      <w:r w:rsidR="00DD4606" w:rsidRPr="00F34287">
        <w:rPr>
          <w:bCs/>
          <w:color w:val="000000" w:themeColor="text1"/>
          <w:sz w:val="22"/>
          <w:szCs w:val="22"/>
        </w:rPr>
        <w:t xml:space="preserve">, Shire, Radius Health, UCB, </w:t>
      </w:r>
      <w:proofErr w:type="spellStart"/>
      <w:r w:rsidR="00DD4606" w:rsidRPr="00F34287">
        <w:rPr>
          <w:bCs/>
          <w:color w:val="000000" w:themeColor="text1"/>
          <w:sz w:val="22"/>
          <w:szCs w:val="22"/>
        </w:rPr>
        <w:t>Consilient</w:t>
      </w:r>
      <w:proofErr w:type="spellEnd"/>
      <w:r w:rsidR="00DD4606" w:rsidRPr="00F34287">
        <w:rPr>
          <w:bCs/>
          <w:color w:val="000000" w:themeColor="text1"/>
          <w:sz w:val="22"/>
          <w:szCs w:val="22"/>
        </w:rPr>
        <w:t xml:space="preserve"> Healthcare, Kyowa Kirin and </w:t>
      </w:r>
      <w:proofErr w:type="spellStart"/>
      <w:r w:rsidR="00DD4606" w:rsidRPr="00F34287">
        <w:rPr>
          <w:bCs/>
          <w:color w:val="000000" w:themeColor="text1"/>
          <w:sz w:val="22"/>
          <w:szCs w:val="22"/>
        </w:rPr>
        <w:t>Internis</w:t>
      </w:r>
      <w:proofErr w:type="spellEnd"/>
      <w:r w:rsidR="00DD4606" w:rsidRPr="00F34287">
        <w:rPr>
          <w:bCs/>
          <w:color w:val="000000" w:themeColor="text1"/>
          <w:sz w:val="22"/>
          <w:szCs w:val="22"/>
        </w:rPr>
        <w:t xml:space="preserve"> Pharma.</w:t>
      </w:r>
      <w:r w:rsidR="00E70334" w:rsidRPr="00F34287">
        <w:rPr>
          <w:bCs/>
          <w:color w:val="000000" w:themeColor="text1"/>
          <w:sz w:val="22"/>
          <w:szCs w:val="22"/>
        </w:rPr>
        <w:t xml:space="preserve"> </w:t>
      </w:r>
      <w:r w:rsidR="00E70334" w:rsidRPr="00F34287">
        <w:rPr>
          <w:color w:val="000000" w:themeColor="text1"/>
          <w:sz w:val="22"/>
          <w:szCs w:val="22"/>
          <w:shd w:val="clear" w:color="auto" w:fill="FFFFFF"/>
        </w:rPr>
        <w:t>The remaining authors have nothing to disclose</w:t>
      </w:r>
      <w:r w:rsidR="00C109AA" w:rsidRPr="00F34287">
        <w:rPr>
          <w:color w:val="000000" w:themeColor="text1"/>
          <w:sz w:val="22"/>
          <w:szCs w:val="22"/>
          <w:shd w:val="clear" w:color="auto" w:fill="FFFFFF"/>
        </w:rPr>
        <w:t>.</w:t>
      </w:r>
      <w:r w:rsidR="002951C8" w:rsidRPr="00F34287">
        <w:rPr>
          <w:color w:val="000000" w:themeColor="text1"/>
          <w:sz w:val="22"/>
          <w:szCs w:val="22"/>
          <w:shd w:val="clear" w:color="auto" w:fill="FFFFFF"/>
        </w:rPr>
        <w:t xml:space="preserve"> </w:t>
      </w:r>
      <w:r w:rsidR="002951C8" w:rsidRPr="00F34287">
        <w:rPr>
          <w:color w:val="000000" w:themeColor="text1"/>
          <w:sz w:val="22"/>
          <w:szCs w:val="22"/>
        </w:rPr>
        <w:t>This does not alter our adherence to</w:t>
      </w:r>
      <w:r w:rsidR="002951C8" w:rsidRPr="00F34287">
        <w:rPr>
          <w:color w:val="000000" w:themeColor="text1"/>
          <w:sz w:val="22"/>
          <w:szCs w:val="22"/>
          <w:bdr w:val="none" w:sz="0" w:space="0" w:color="auto" w:frame="1"/>
        </w:rPr>
        <w:t> </w:t>
      </w:r>
      <w:r w:rsidR="002951C8" w:rsidRPr="00F34287">
        <w:rPr>
          <w:color w:val="000000" w:themeColor="text1"/>
          <w:sz w:val="22"/>
          <w:szCs w:val="22"/>
        </w:rPr>
        <w:t>PLOS ONE policies on sharing data and materials</w:t>
      </w:r>
      <w:r w:rsidR="002951C8" w:rsidRPr="00F34287">
        <w:rPr>
          <w:color w:val="000000" w:themeColor="text1"/>
          <w:sz w:val="22"/>
          <w:szCs w:val="22"/>
          <w:bdr w:val="none" w:sz="0" w:space="0" w:color="auto" w:frame="1"/>
          <w:lang w:val="en"/>
        </w:rPr>
        <w:t>.</w:t>
      </w:r>
    </w:p>
    <w:p w14:paraId="7E970A04" w14:textId="4B13A919" w:rsidR="00DD4606" w:rsidRPr="00F34287" w:rsidRDefault="00DD4606" w:rsidP="001B6EAE">
      <w:pPr>
        <w:spacing w:line="480" w:lineRule="auto"/>
        <w:rPr>
          <w:bCs/>
          <w:color w:val="000000" w:themeColor="text1"/>
          <w:sz w:val="22"/>
          <w:szCs w:val="22"/>
        </w:rPr>
      </w:pPr>
    </w:p>
    <w:p w14:paraId="74CB0F18" w14:textId="1BFC4CC0" w:rsidR="002951C8" w:rsidRPr="00F34287" w:rsidRDefault="00CA2C8C" w:rsidP="002951C8">
      <w:pPr>
        <w:spacing w:line="480" w:lineRule="auto"/>
        <w:ind w:left="4"/>
        <w:rPr>
          <w:rFonts w:eastAsia="Arial"/>
          <w:b/>
          <w:bCs/>
          <w:color w:val="000000" w:themeColor="text1"/>
          <w:sz w:val="36"/>
          <w:szCs w:val="36"/>
        </w:rPr>
      </w:pPr>
      <w:r w:rsidRPr="00F34287">
        <w:rPr>
          <w:rFonts w:eastAsia="Arial"/>
          <w:b/>
          <w:bCs/>
          <w:color w:val="000000" w:themeColor="text1"/>
          <w:sz w:val="36"/>
          <w:szCs w:val="36"/>
        </w:rPr>
        <w:t>Data a</w:t>
      </w:r>
      <w:r w:rsidR="002951C8" w:rsidRPr="00F34287">
        <w:rPr>
          <w:rFonts w:eastAsia="Arial"/>
          <w:b/>
          <w:bCs/>
          <w:color w:val="000000" w:themeColor="text1"/>
          <w:sz w:val="36"/>
          <w:szCs w:val="36"/>
        </w:rPr>
        <w:t xml:space="preserve">vailability </w:t>
      </w:r>
    </w:p>
    <w:p w14:paraId="0DBDA57B" w14:textId="543271F4" w:rsidR="0047590C" w:rsidRPr="00F34287" w:rsidRDefault="002951C8" w:rsidP="0047590C">
      <w:pPr>
        <w:spacing w:line="480" w:lineRule="auto"/>
        <w:ind w:left="4"/>
        <w:jc w:val="both"/>
        <w:rPr>
          <w:rFonts w:eastAsia="Arial"/>
          <w:color w:val="000000" w:themeColor="text1"/>
          <w:sz w:val="22"/>
          <w:szCs w:val="22"/>
        </w:rPr>
      </w:pPr>
      <w:r w:rsidRPr="00F34287">
        <w:rPr>
          <w:rFonts w:eastAsia="Arial"/>
          <w:color w:val="000000" w:themeColor="text1"/>
          <w:sz w:val="22"/>
          <w:szCs w:val="22"/>
        </w:rPr>
        <w:t xml:space="preserve">This research was conducted using the UK Biobank resource under </w:t>
      </w:r>
      <w:r w:rsidR="00F35372" w:rsidRPr="00F34287">
        <w:rPr>
          <w:rFonts w:eastAsia="Arial"/>
          <w:color w:val="000000" w:themeColor="text1"/>
          <w:sz w:val="22"/>
          <w:szCs w:val="22"/>
        </w:rPr>
        <w:t>access a</w:t>
      </w:r>
      <w:r w:rsidRPr="00F34287">
        <w:rPr>
          <w:rFonts w:eastAsia="Arial"/>
          <w:color w:val="000000" w:themeColor="text1"/>
          <w:sz w:val="22"/>
          <w:szCs w:val="22"/>
        </w:rPr>
        <w:t>pplication 2964. UK Biobank will make the data available to all bona fide researchers for all types of health-related research that is in the public interest, without preferential or exclusive access for any person</w:t>
      </w:r>
      <w:r w:rsidR="00F35372" w:rsidRPr="00F34287">
        <w:rPr>
          <w:rFonts w:eastAsia="Arial"/>
          <w:color w:val="000000" w:themeColor="text1"/>
          <w:sz w:val="22"/>
          <w:szCs w:val="22"/>
        </w:rPr>
        <w:t>s</w:t>
      </w:r>
      <w:r w:rsidRPr="00F34287">
        <w:rPr>
          <w:rFonts w:eastAsia="Arial"/>
          <w:color w:val="000000" w:themeColor="text1"/>
          <w:sz w:val="22"/>
          <w:szCs w:val="22"/>
        </w:rPr>
        <w:t xml:space="preserve">. All researchers will be subject to the same application process and approval criteria as specified by UK Biobank. For </w:t>
      </w:r>
      <w:r w:rsidR="00B52524" w:rsidRPr="00F34287">
        <w:rPr>
          <w:rFonts w:eastAsia="Arial"/>
          <w:color w:val="000000" w:themeColor="text1"/>
          <w:sz w:val="22"/>
          <w:szCs w:val="22"/>
        </w:rPr>
        <w:t>more details on the</w:t>
      </w:r>
      <w:r w:rsidRPr="00F34287">
        <w:rPr>
          <w:rFonts w:eastAsia="Arial"/>
          <w:color w:val="000000" w:themeColor="text1"/>
          <w:sz w:val="22"/>
          <w:szCs w:val="22"/>
        </w:rPr>
        <w:t xml:space="preserve"> access procedure</w:t>
      </w:r>
      <w:r w:rsidR="00B52524" w:rsidRPr="00F34287">
        <w:rPr>
          <w:rFonts w:eastAsia="Arial"/>
          <w:color w:val="000000" w:themeColor="text1"/>
          <w:sz w:val="22"/>
          <w:szCs w:val="22"/>
        </w:rPr>
        <w:t>,</w:t>
      </w:r>
      <w:r w:rsidRPr="00F34287">
        <w:rPr>
          <w:rFonts w:eastAsia="Arial"/>
          <w:color w:val="000000" w:themeColor="text1"/>
          <w:sz w:val="22"/>
          <w:szCs w:val="22"/>
        </w:rPr>
        <w:t xml:space="preserve"> see</w:t>
      </w:r>
      <w:r w:rsidR="00B52524" w:rsidRPr="00F34287">
        <w:rPr>
          <w:rFonts w:eastAsia="Arial"/>
          <w:color w:val="000000" w:themeColor="text1"/>
          <w:sz w:val="22"/>
          <w:szCs w:val="22"/>
        </w:rPr>
        <w:t xml:space="preserve"> the UK Biobank website:</w:t>
      </w:r>
      <w:r w:rsidRPr="00F34287">
        <w:rPr>
          <w:rFonts w:eastAsia="Arial"/>
          <w:color w:val="000000" w:themeColor="text1"/>
          <w:sz w:val="22"/>
          <w:szCs w:val="22"/>
        </w:rPr>
        <w:t xml:space="preserve"> http://www.ukbiobank.ac.uk/register-apply/. </w:t>
      </w:r>
    </w:p>
    <w:p w14:paraId="54138B5E" w14:textId="05F9F5EF" w:rsidR="00DD4606" w:rsidRPr="00F34287" w:rsidRDefault="006D6C5D" w:rsidP="00BA3555">
      <w:pPr>
        <w:spacing w:line="480" w:lineRule="auto"/>
        <w:rPr>
          <w:b/>
          <w:bCs/>
          <w:color w:val="000000" w:themeColor="text1"/>
          <w:sz w:val="36"/>
          <w:szCs w:val="36"/>
        </w:rPr>
      </w:pPr>
      <w:r w:rsidRPr="00F34287">
        <w:rPr>
          <w:b/>
          <w:bCs/>
          <w:color w:val="000000" w:themeColor="text1"/>
          <w:sz w:val="36"/>
          <w:szCs w:val="36"/>
        </w:rPr>
        <w:lastRenderedPageBreak/>
        <w:t xml:space="preserve">Abstract </w:t>
      </w:r>
    </w:p>
    <w:p w14:paraId="11168AA5" w14:textId="28D18C7F" w:rsidR="00DD4606" w:rsidRPr="00F34287" w:rsidRDefault="00DD4606" w:rsidP="00BA3555">
      <w:pPr>
        <w:spacing w:line="480" w:lineRule="auto"/>
        <w:rPr>
          <w:color w:val="000000" w:themeColor="text1"/>
          <w:sz w:val="22"/>
          <w:szCs w:val="22"/>
        </w:rPr>
      </w:pPr>
    </w:p>
    <w:p w14:paraId="1291EE9C" w14:textId="6B03F0B9" w:rsidR="00762D4A" w:rsidRPr="00F34287" w:rsidRDefault="00DD4606" w:rsidP="00BA3555">
      <w:pPr>
        <w:spacing w:line="480" w:lineRule="auto"/>
        <w:rPr>
          <w:color w:val="000000" w:themeColor="text1"/>
          <w:sz w:val="22"/>
          <w:szCs w:val="22"/>
        </w:rPr>
      </w:pPr>
      <w:r w:rsidRPr="00F34287">
        <w:rPr>
          <w:b/>
          <w:bCs/>
          <w:color w:val="000000" w:themeColor="text1"/>
          <w:sz w:val="22"/>
          <w:szCs w:val="22"/>
        </w:rPr>
        <w:t xml:space="preserve">Objective: </w:t>
      </w:r>
      <w:r w:rsidR="00E7666D" w:rsidRPr="00F34287">
        <w:rPr>
          <w:color w:val="000000" w:themeColor="text1"/>
          <w:sz w:val="22"/>
          <w:szCs w:val="22"/>
        </w:rPr>
        <w:t>To</w:t>
      </w:r>
      <w:r w:rsidR="00762D4A" w:rsidRPr="00F34287">
        <w:rPr>
          <w:color w:val="000000" w:themeColor="text1"/>
          <w:sz w:val="22"/>
          <w:szCs w:val="22"/>
        </w:rPr>
        <w:t xml:space="preserve"> define the sex, age, and </w:t>
      </w:r>
      <w:r w:rsidR="00611866" w:rsidRPr="00F34287">
        <w:rPr>
          <w:color w:val="000000" w:themeColor="text1"/>
          <w:sz w:val="22"/>
          <w:szCs w:val="22"/>
        </w:rPr>
        <w:t>disease</w:t>
      </w:r>
      <w:r w:rsidR="00762D4A" w:rsidRPr="00F34287">
        <w:rPr>
          <w:color w:val="000000" w:themeColor="text1"/>
          <w:sz w:val="22"/>
          <w:szCs w:val="22"/>
        </w:rPr>
        <w:t xml:space="preserve">-specific associations of </w:t>
      </w:r>
      <w:r w:rsidR="002639BE" w:rsidRPr="00F34287">
        <w:rPr>
          <w:color w:val="000000" w:themeColor="text1"/>
          <w:sz w:val="22"/>
          <w:szCs w:val="22"/>
        </w:rPr>
        <w:t>resting heart rate (</w:t>
      </w:r>
      <w:r w:rsidR="00762D4A" w:rsidRPr="00F34287">
        <w:rPr>
          <w:color w:val="000000" w:themeColor="text1"/>
          <w:sz w:val="22"/>
          <w:szCs w:val="22"/>
        </w:rPr>
        <w:t>RHR</w:t>
      </w:r>
      <w:r w:rsidR="002639BE" w:rsidRPr="00F34287">
        <w:rPr>
          <w:color w:val="000000" w:themeColor="text1"/>
          <w:sz w:val="22"/>
          <w:szCs w:val="22"/>
        </w:rPr>
        <w:t>)</w:t>
      </w:r>
      <w:r w:rsidR="00762D4A" w:rsidRPr="00F34287">
        <w:rPr>
          <w:color w:val="000000" w:themeColor="text1"/>
          <w:sz w:val="22"/>
          <w:szCs w:val="22"/>
        </w:rPr>
        <w:t xml:space="preserve"> with</w:t>
      </w:r>
      <w:r w:rsidR="00690DF2" w:rsidRPr="00F34287">
        <w:rPr>
          <w:color w:val="000000" w:themeColor="text1"/>
          <w:sz w:val="22"/>
          <w:szCs w:val="22"/>
        </w:rPr>
        <w:t xml:space="preserve"> </w:t>
      </w:r>
      <w:r w:rsidR="00762D4A" w:rsidRPr="00F34287">
        <w:rPr>
          <w:color w:val="000000" w:themeColor="text1"/>
          <w:sz w:val="22"/>
          <w:szCs w:val="22"/>
        </w:rPr>
        <w:t xml:space="preserve">cardiovascular and mortality outcomes in 502,534 individuals from the UK Biobank over 7–12 years of </w:t>
      </w:r>
      <w:r w:rsidR="008F60D3" w:rsidRPr="00F34287">
        <w:rPr>
          <w:color w:val="000000" w:themeColor="text1"/>
          <w:sz w:val="22"/>
          <w:szCs w:val="22"/>
        </w:rPr>
        <w:t xml:space="preserve">prospective </w:t>
      </w:r>
      <w:r w:rsidR="00762D4A" w:rsidRPr="00F34287">
        <w:rPr>
          <w:color w:val="000000" w:themeColor="text1"/>
          <w:sz w:val="22"/>
          <w:szCs w:val="22"/>
        </w:rPr>
        <w:t>follow-up.</w:t>
      </w:r>
    </w:p>
    <w:p w14:paraId="581A0E54" w14:textId="77777777" w:rsidR="00762D4A" w:rsidRPr="00F34287" w:rsidRDefault="00762D4A" w:rsidP="00BA3555">
      <w:pPr>
        <w:spacing w:line="480" w:lineRule="auto"/>
        <w:rPr>
          <w:color w:val="000000" w:themeColor="text1"/>
          <w:sz w:val="22"/>
          <w:szCs w:val="22"/>
        </w:rPr>
      </w:pPr>
    </w:p>
    <w:p w14:paraId="0B5A18D3" w14:textId="20107B80" w:rsidR="004B1B6B" w:rsidRPr="00F34287" w:rsidRDefault="00AF29F7" w:rsidP="00BA3555">
      <w:pPr>
        <w:spacing w:line="480" w:lineRule="auto"/>
        <w:rPr>
          <w:color w:val="000000" w:themeColor="text1"/>
          <w:sz w:val="22"/>
          <w:szCs w:val="22"/>
        </w:rPr>
      </w:pPr>
      <w:r w:rsidRPr="00F34287">
        <w:rPr>
          <w:b/>
          <w:bCs/>
          <w:color w:val="000000" w:themeColor="text1"/>
          <w:sz w:val="22"/>
          <w:szCs w:val="22"/>
        </w:rPr>
        <w:t>Methods</w:t>
      </w:r>
      <w:r w:rsidR="00C414AE" w:rsidRPr="00F34287">
        <w:rPr>
          <w:b/>
          <w:bCs/>
          <w:color w:val="000000" w:themeColor="text1"/>
          <w:sz w:val="22"/>
          <w:szCs w:val="22"/>
        </w:rPr>
        <w:t>:</w:t>
      </w:r>
      <w:r w:rsidR="004B1B6B" w:rsidRPr="00F34287">
        <w:rPr>
          <w:b/>
          <w:bCs/>
          <w:color w:val="000000" w:themeColor="text1"/>
          <w:sz w:val="22"/>
          <w:szCs w:val="22"/>
        </w:rPr>
        <w:t xml:space="preserve"> </w:t>
      </w:r>
      <w:r w:rsidR="0048092F" w:rsidRPr="00F34287">
        <w:rPr>
          <w:color w:val="000000" w:themeColor="text1"/>
          <w:sz w:val="22"/>
          <w:szCs w:val="22"/>
        </w:rPr>
        <w:t xml:space="preserve">The main outcomes were </w:t>
      </w:r>
      <w:r w:rsidR="0048092F" w:rsidRPr="00F34287">
        <w:rPr>
          <w:rStyle w:val="Strong"/>
          <w:b w:val="0"/>
          <w:bCs w:val="0"/>
          <w:color w:val="000000" w:themeColor="text1"/>
          <w:sz w:val="22"/>
          <w:szCs w:val="22"/>
        </w:rPr>
        <w:t>all-cause</w:t>
      </w:r>
      <w:r w:rsidR="0048092F" w:rsidRPr="00F34287">
        <w:rPr>
          <w:color w:val="000000" w:themeColor="text1"/>
          <w:sz w:val="22"/>
          <w:szCs w:val="22"/>
        </w:rPr>
        <w:t xml:space="preserve">, cardiovascular, </w:t>
      </w:r>
      <w:r w:rsidR="00FA4D3D" w:rsidRPr="00F34287">
        <w:rPr>
          <w:color w:val="000000" w:themeColor="text1"/>
          <w:sz w:val="22"/>
          <w:szCs w:val="22"/>
        </w:rPr>
        <w:t xml:space="preserve">and </w:t>
      </w:r>
      <w:r w:rsidR="0048092F" w:rsidRPr="00F34287">
        <w:rPr>
          <w:color w:val="000000" w:themeColor="text1"/>
          <w:sz w:val="22"/>
          <w:szCs w:val="22"/>
        </w:rPr>
        <w:t>ischaemic heart disease</w:t>
      </w:r>
      <w:r w:rsidR="0084485B" w:rsidRPr="00F34287">
        <w:rPr>
          <w:color w:val="000000" w:themeColor="text1"/>
          <w:sz w:val="22"/>
          <w:szCs w:val="22"/>
        </w:rPr>
        <w:t xml:space="preserve"> </w:t>
      </w:r>
      <w:r w:rsidR="0048092F" w:rsidRPr="00F34287">
        <w:rPr>
          <w:color w:val="000000" w:themeColor="text1"/>
          <w:sz w:val="22"/>
          <w:szCs w:val="22"/>
        </w:rPr>
        <w:t>mortality</w:t>
      </w:r>
      <w:r w:rsidR="000608B4" w:rsidRPr="00F34287">
        <w:rPr>
          <w:color w:val="000000" w:themeColor="text1"/>
          <w:sz w:val="22"/>
          <w:szCs w:val="22"/>
        </w:rPr>
        <w:t>.</w:t>
      </w:r>
      <w:r w:rsidR="0048092F" w:rsidRPr="00F34287">
        <w:rPr>
          <w:color w:val="000000" w:themeColor="text1"/>
          <w:sz w:val="22"/>
          <w:szCs w:val="22"/>
        </w:rPr>
        <w:t xml:space="preserve"> </w:t>
      </w:r>
      <w:r w:rsidR="000608B4" w:rsidRPr="00F34287">
        <w:rPr>
          <w:color w:val="000000" w:themeColor="text1"/>
          <w:sz w:val="22"/>
          <w:szCs w:val="22"/>
        </w:rPr>
        <w:t>A</w:t>
      </w:r>
      <w:r w:rsidR="0048092F" w:rsidRPr="00F34287">
        <w:rPr>
          <w:color w:val="000000" w:themeColor="text1"/>
          <w:sz w:val="22"/>
          <w:szCs w:val="22"/>
        </w:rPr>
        <w:t>dditional outcomes included incident</w:t>
      </w:r>
      <w:r w:rsidR="00FA4D3D" w:rsidRPr="00F34287">
        <w:rPr>
          <w:color w:val="000000" w:themeColor="text1"/>
          <w:sz w:val="22"/>
          <w:szCs w:val="22"/>
        </w:rPr>
        <w:t xml:space="preserve"> acute myocardial infarction (AMI), fatal AMI,</w:t>
      </w:r>
      <w:r w:rsidR="0084485B" w:rsidRPr="00F34287">
        <w:rPr>
          <w:color w:val="000000" w:themeColor="text1"/>
          <w:sz w:val="22"/>
          <w:szCs w:val="22"/>
        </w:rPr>
        <w:t xml:space="preserve"> </w:t>
      </w:r>
      <w:r w:rsidR="0048092F" w:rsidRPr="00F34287">
        <w:rPr>
          <w:color w:val="000000" w:themeColor="text1"/>
          <w:sz w:val="22"/>
          <w:szCs w:val="22"/>
        </w:rPr>
        <w:t xml:space="preserve"> and cancer mortality. </w:t>
      </w:r>
      <w:r w:rsidR="00611866" w:rsidRPr="00F34287">
        <w:rPr>
          <w:color w:val="000000" w:themeColor="text1"/>
          <w:sz w:val="22"/>
          <w:szCs w:val="22"/>
        </w:rPr>
        <w:t>We</w:t>
      </w:r>
      <w:r w:rsidR="00690DF2" w:rsidRPr="00F34287">
        <w:rPr>
          <w:color w:val="000000" w:themeColor="text1"/>
          <w:sz w:val="22"/>
          <w:szCs w:val="22"/>
        </w:rPr>
        <w:t xml:space="preserve"> consider</w:t>
      </w:r>
      <w:r w:rsidR="00611866" w:rsidRPr="00F34287">
        <w:rPr>
          <w:color w:val="000000" w:themeColor="text1"/>
          <w:sz w:val="22"/>
          <w:szCs w:val="22"/>
        </w:rPr>
        <w:t>ed</w:t>
      </w:r>
      <w:r w:rsidR="00690DF2" w:rsidRPr="00F34287">
        <w:rPr>
          <w:color w:val="000000" w:themeColor="text1"/>
          <w:sz w:val="22"/>
          <w:szCs w:val="22"/>
        </w:rPr>
        <w:t xml:space="preserve"> </w:t>
      </w:r>
      <w:r w:rsidR="0048092F" w:rsidRPr="00F34287">
        <w:rPr>
          <w:color w:val="000000" w:themeColor="text1"/>
          <w:sz w:val="22"/>
          <w:szCs w:val="22"/>
        </w:rPr>
        <w:t>a wide range of confounders and the effects of competing hazards. Results are reported as hazard ratios (HR)</w:t>
      </w:r>
      <w:r w:rsidR="0055559A" w:rsidRPr="00F34287">
        <w:rPr>
          <w:color w:val="000000" w:themeColor="text1"/>
          <w:sz w:val="22"/>
          <w:szCs w:val="22"/>
        </w:rPr>
        <w:t xml:space="preserve"> </w:t>
      </w:r>
      <w:r w:rsidR="0048092F" w:rsidRPr="00F34287">
        <w:rPr>
          <w:color w:val="000000" w:themeColor="text1"/>
          <w:sz w:val="22"/>
          <w:szCs w:val="22"/>
        </w:rPr>
        <w:t>for all-cause mortality and sub-distribution hazard ratios (SHR) for other outcomes with corresponding 95% confidence intervals (CI) per 10bpm increment of RHR.</w:t>
      </w:r>
      <w:r w:rsidR="00E7666D" w:rsidRPr="00F34287">
        <w:rPr>
          <w:color w:val="000000" w:themeColor="text1"/>
          <w:sz w:val="22"/>
          <w:szCs w:val="22"/>
        </w:rPr>
        <w:t xml:space="preserve"> </w:t>
      </w:r>
    </w:p>
    <w:p w14:paraId="7A2F1942" w14:textId="77777777" w:rsidR="0048092F" w:rsidRPr="00F34287" w:rsidRDefault="0048092F" w:rsidP="00BA3555">
      <w:pPr>
        <w:spacing w:line="480" w:lineRule="auto"/>
        <w:rPr>
          <w:color w:val="000000" w:themeColor="text1"/>
          <w:sz w:val="22"/>
          <w:szCs w:val="22"/>
        </w:rPr>
      </w:pPr>
    </w:p>
    <w:p w14:paraId="63A988A5" w14:textId="2514D49C" w:rsidR="00B06239" w:rsidRPr="00F34287" w:rsidRDefault="00AF29F7" w:rsidP="00BA3555">
      <w:pPr>
        <w:spacing w:line="480" w:lineRule="auto"/>
        <w:rPr>
          <w:color w:val="000000" w:themeColor="text1"/>
          <w:sz w:val="22"/>
          <w:szCs w:val="22"/>
          <w:lang w:val="en"/>
        </w:rPr>
      </w:pPr>
      <w:r w:rsidRPr="00F34287">
        <w:rPr>
          <w:b/>
          <w:bCs/>
          <w:color w:val="000000" w:themeColor="text1"/>
          <w:sz w:val="22"/>
          <w:szCs w:val="22"/>
        </w:rPr>
        <w:t>Results</w:t>
      </w:r>
      <w:r w:rsidR="0048092F" w:rsidRPr="00F34287">
        <w:rPr>
          <w:b/>
          <w:bCs/>
          <w:color w:val="000000" w:themeColor="text1"/>
          <w:sz w:val="22"/>
          <w:szCs w:val="22"/>
        </w:rPr>
        <w:t xml:space="preserve">: </w:t>
      </w:r>
      <w:r w:rsidR="0048092F" w:rsidRPr="00F34287">
        <w:rPr>
          <w:color w:val="000000" w:themeColor="text1"/>
          <w:sz w:val="22"/>
          <w:szCs w:val="22"/>
        </w:rPr>
        <w:t xml:space="preserve">In men, for every 10bpm increase of RHR </w:t>
      </w:r>
      <w:r w:rsidR="0048092F" w:rsidRPr="00F34287">
        <w:rPr>
          <w:iCs/>
          <w:color w:val="000000" w:themeColor="text1"/>
          <w:sz w:val="22"/>
          <w:szCs w:val="22"/>
        </w:rPr>
        <w:t xml:space="preserve">there was 22% (HR </w:t>
      </w:r>
      <w:r w:rsidR="0048092F" w:rsidRPr="00F34287">
        <w:rPr>
          <w:bCs/>
          <w:color w:val="000000" w:themeColor="text1"/>
          <w:sz w:val="22"/>
          <w:szCs w:val="22"/>
        </w:rPr>
        <w:t>1.22, CI 1.20 to 1.24, p=3</w:t>
      </w:r>
      <m:oMath>
        <m:r>
          <w:rPr>
            <w:rFonts w:ascii="Cambria Math" w:hAnsi="Cambria Math"/>
            <w:color w:val="000000" w:themeColor="text1"/>
            <w:sz w:val="22"/>
            <w:szCs w:val="22"/>
            <w:lang w:val="en"/>
          </w:rPr>
          <m:t>×</m:t>
        </m:r>
      </m:oMath>
      <w:r w:rsidR="0048092F" w:rsidRPr="00F34287">
        <w:rPr>
          <w:color w:val="000000" w:themeColor="text1"/>
          <w:sz w:val="22"/>
          <w:szCs w:val="22"/>
          <w:lang w:val="en"/>
        </w:rPr>
        <w:t>10</w:t>
      </w:r>
      <w:r w:rsidR="0048092F" w:rsidRPr="00F34287">
        <w:rPr>
          <w:color w:val="000000" w:themeColor="text1"/>
          <w:sz w:val="22"/>
          <w:szCs w:val="22"/>
          <w:vertAlign w:val="superscript"/>
          <w:lang w:val="en"/>
        </w:rPr>
        <w:t>-123</w:t>
      </w:r>
      <w:r w:rsidR="0048092F" w:rsidRPr="00F34287">
        <w:rPr>
          <w:bCs/>
          <w:color w:val="000000" w:themeColor="text1"/>
          <w:sz w:val="22"/>
          <w:szCs w:val="22"/>
        </w:rPr>
        <w:t xml:space="preserve">) </w:t>
      </w:r>
      <w:r w:rsidR="0048092F" w:rsidRPr="00F34287">
        <w:rPr>
          <w:iCs/>
          <w:color w:val="000000" w:themeColor="text1"/>
          <w:sz w:val="22"/>
          <w:szCs w:val="22"/>
        </w:rPr>
        <w:t xml:space="preserve">greater hazard of all-cause </w:t>
      </w:r>
      <w:r w:rsidR="0048092F" w:rsidRPr="00F34287">
        <w:rPr>
          <w:bCs/>
          <w:color w:val="000000" w:themeColor="text1"/>
          <w:sz w:val="22"/>
          <w:szCs w:val="22"/>
        </w:rPr>
        <w:t xml:space="preserve">and 17% </w:t>
      </w:r>
      <w:r w:rsidR="0048092F" w:rsidRPr="00F34287">
        <w:rPr>
          <w:color w:val="000000" w:themeColor="text1"/>
          <w:sz w:val="22"/>
          <w:szCs w:val="22"/>
          <w:lang w:val="en"/>
        </w:rPr>
        <w:t xml:space="preserve">(SHR </w:t>
      </w:r>
      <w:r w:rsidR="0048092F" w:rsidRPr="00F34287">
        <w:rPr>
          <w:bCs/>
          <w:color w:val="000000" w:themeColor="text1"/>
          <w:sz w:val="22"/>
          <w:szCs w:val="22"/>
        </w:rPr>
        <w:t>1.17, CI 1.13 to 1.21, p=5.6</w:t>
      </w:r>
      <m:oMath>
        <m:r>
          <w:rPr>
            <w:rFonts w:ascii="Cambria Math" w:hAnsi="Cambria Math"/>
            <w:color w:val="000000" w:themeColor="text1"/>
            <w:sz w:val="22"/>
            <w:szCs w:val="22"/>
            <w:lang w:val="en"/>
          </w:rPr>
          <m:t>×</m:t>
        </m:r>
      </m:oMath>
      <w:r w:rsidR="0048092F" w:rsidRPr="00F34287">
        <w:rPr>
          <w:color w:val="000000" w:themeColor="text1"/>
          <w:sz w:val="22"/>
          <w:szCs w:val="22"/>
          <w:lang w:val="en"/>
        </w:rPr>
        <w:t>10</w:t>
      </w:r>
      <w:r w:rsidR="0048092F" w:rsidRPr="00F34287">
        <w:rPr>
          <w:color w:val="000000" w:themeColor="text1"/>
          <w:sz w:val="22"/>
          <w:szCs w:val="22"/>
          <w:vertAlign w:val="superscript"/>
          <w:lang w:val="en"/>
        </w:rPr>
        <w:t>-18</w:t>
      </w:r>
      <w:r w:rsidR="0048092F" w:rsidRPr="00F34287">
        <w:rPr>
          <w:iCs/>
          <w:color w:val="000000" w:themeColor="text1"/>
          <w:sz w:val="22"/>
          <w:szCs w:val="22"/>
        </w:rPr>
        <w:t xml:space="preserve">) </w:t>
      </w:r>
      <w:r w:rsidR="0048092F" w:rsidRPr="00F34287">
        <w:rPr>
          <w:bCs/>
          <w:color w:val="000000" w:themeColor="text1"/>
          <w:sz w:val="22"/>
          <w:szCs w:val="22"/>
        </w:rPr>
        <w:t>greater hazard of cardiovascular mortality</w:t>
      </w:r>
      <w:r w:rsidR="0048092F" w:rsidRPr="00F34287">
        <w:rPr>
          <w:iCs/>
          <w:color w:val="000000" w:themeColor="text1"/>
          <w:sz w:val="22"/>
          <w:szCs w:val="22"/>
        </w:rPr>
        <w:t xml:space="preserve">; for women, corresponding figures were 19% </w:t>
      </w:r>
      <w:r w:rsidR="0048092F" w:rsidRPr="00F34287">
        <w:rPr>
          <w:bCs/>
          <w:color w:val="000000" w:themeColor="text1"/>
          <w:sz w:val="22"/>
          <w:szCs w:val="22"/>
        </w:rPr>
        <w:t>(HR 1.19, CI 1.16 to 1.22, p=8.9</w:t>
      </w:r>
      <m:oMath>
        <m:r>
          <w:rPr>
            <w:rFonts w:ascii="Cambria Math" w:hAnsi="Cambria Math"/>
            <w:color w:val="000000" w:themeColor="text1"/>
            <w:sz w:val="22"/>
            <w:szCs w:val="22"/>
            <w:lang w:val="en"/>
          </w:rPr>
          <m:t>×</m:t>
        </m:r>
      </m:oMath>
      <w:r w:rsidR="0048092F" w:rsidRPr="00F34287">
        <w:rPr>
          <w:color w:val="000000" w:themeColor="text1"/>
          <w:sz w:val="22"/>
          <w:szCs w:val="22"/>
          <w:lang w:val="en"/>
        </w:rPr>
        <w:t>10</w:t>
      </w:r>
      <w:r w:rsidR="0048092F" w:rsidRPr="00F34287">
        <w:rPr>
          <w:color w:val="000000" w:themeColor="text1"/>
          <w:sz w:val="22"/>
          <w:szCs w:val="22"/>
          <w:vertAlign w:val="superscript"/>
          <w:lang w:val="en"/>
        </w:rPr>
        <w:t>-45</w:t>
      </w:r>
      <w:r w:rsidR="0048092F" w:rsidRPr="00F34287">
        <w:rPr>
          <w:bCs/>
          <w:color w:val="000000" w:themeColor="text1"/>
          <w:sz w:val="22"/>
          <w:szCs w:val="22"/>
        </w:rPr>
        <w:t xml:space="preserve">) and </w:t>
      </w:r>
      <w:r w:rsidR="0048092F" w:rsidRPr="00F34287">
        <w:rPr>
          <w:iCs/>
          <w:color w:val="000000" w:themeColor="text1"/>
          <w:sz w:val="22"/>
          <w:szCs w:val="22"/>
        </w:rPr>
        <w:t xml:space="preserve">14% (SHR </w:t>
      </w:r>
      <w:r w:rsidR="0048092F" w:rsidRPr="00F34287">
        <w:rPr>
          <w:bCs/>
          <w:color w:val="000000" w:themeColor="text1"/>
          <w:sz w:val="22"/>
          <w:szCs w:val="22"/>
        </w:rPr>
        <w:t xml:space="preserve">1.14, CI 1.07 to 1.22, p=0.00008). </w:t>
      </w:r>
      <w:r w:rsidR="00611866" w:rsidRPr="00F34287">
        <w:rPr>
          <w:bCs/>
          <w:color w:val="000000" w:themeColor="text1"/>
          <w:sz w:val="22"/>
          <w:szCs w:val="22"/>
        </w:rPr>
        <w:t>Associations between RHR and ischaemic outcomes were of greater magnitude amongst men than women, but with similar magnitude of association for non-cardiovascular cancer mortality [men (SHR 1.18, CI 1.15-1.21, p=5.2</w:t>
      </w:r>
      <m:oMath>
        <m:r>
          <w:rPr>
            <w:rFonts w:ascii="Cambria Math" w:hAnsi="Cambria Math"/>
            <w:color w:val="000000" w:themeColor="text1"/>
            <w:sz w:val="22"/>
            <w:szCs w:val="22"/>
            <w:lang w:val="en"/>
          </w:rPr>
          <m:t>×</m:t>
        </m:r>
      </m:oMath>
      <w:r w:rsidR="00611866" w:rsidRPr="00F34287">
        <w:rPr>
          <w:color w:val="000000" w:themeColor="text1"/>
          <w:sz w:val="22"/>
          <w:szCs w:val="22"/>
          <w:lang w:val="en"/>
        </w:rPr>
        <w:t>10</w:t>
      </w:r>
      <w:r w:rsidR="00611866" w:rsidRPr="00F34287">
        <w:rPr>
          <w:color w:val="000000" w:themeColor="text1"/>
          <w:sz w:val="22"/>
          <w:szCs w:val="22"/>
          <w:vertAlign w:val="superscript"/>
          <w:lang w:val="en"/>
        </w:rPr>
        <w:t>-46</w:t>
      </w:r>
      <w:r w:rsidR="00611866" w:rsidRPr="00F34287">
        <w:rPr>
          <w:color w:val="000000" w:themeColor="text1"/>
          <w:sz w:val="22"/>
          <w:szCs w:val="22"/>
          <w:lang w:val="en"/>
        </w:rPr>
        <w:t xml:space="preserve">); women 15% (SHR </w:t>
      </w:r>
      <w:r w:rsidR="00611866" w:rsidRPr="00F34287">
        <w:rPr>
          <w:bCs/>
          <w:color w:val="000000" w:themeColor="text1"/>
          <w:sz w:val="22"/>
          <w:szCs w:val="22"/>
        </w:rPr>
        <w:t>1.15, CI 1.11-1.18, p=3.1</w:t>
      </w:r>
      <m:oMath>
        <m:r>
          <w:rPr>
            <w:rFonts w:ascii="Cambria Math" w:hAnsi="Cambria Math"/>
            <w:color w:val="000000" w:themeColor="text1"/>
            <w:sz w:val="22"/>
            <w:szCs w:val="22"/>
            <w:lang w:val="en"/>
          </w:rPr>
          <m:t>×</m:t>
        </m:r>
      </m:oMath>
      <w:r w:rsidR="00611866" w:rsidRPr="00F34287">
        <w:rPr>
          <w:color w:val="000000" w:themeColor="text1"/>
          <w:sz w:val="22"/>
          <w:szCs w:val="22"/>
          <w:lang w:val="en"/>
        </w:rPr>
        <w:t>10</w:t>
      </w:r>
      <w:r w:rsidR="00611866" w:rsidRPr="00F34287">
        <w:rPr>
          <w:color w:val="000000" w:themeColor="text1"/>
          <w:sz w:val="22"/>
          <w:szCs w:val="22"/>
          <w:vertAlign w:val="superscript"/>
          <w:lang w:val="en"/>
        </w:rPr>
        <w:t>-18</w:t>
      </w:r>
      <w:r w:rsidR="00611866" w:rsidRPr="00F34287">
        <w:rPr>
          <w:color w:val="000000" w:themeColor="text1"/>
          <w:sz w:val="22"/>
          <w:szCs w:val="22"/>
          <w:lang w:val="en"/>
        </w:rPr>
        <w:t xml:space="preserve">)]. </w:t>
      </w:r>
      <w:r w:rsidR="0048092F" w:rsidRPr="00F34287">
        <w:rPr>
          <w:color w:val="000000" w:themeColor="text1"/>
          <w:sz w:val="22"/>
          <w:szCs w:val="22"/>
          <w:lang w:val="en"/>
        </w:rPr>
        <w:t xml:space="preserve"> Associations with all-cause, incident </w:t>
      </w:r>
      <w:r w:rsidR="00B06239" w:rsidRPr="00F34287">
        <w:rPr>
          <w:color w:val="000000" w:themeColor="text1"/>
          <w:sz w:val="22"/>
          <w:szCs w:val="22"/>
          <w:lang w:val="en"/>
        </w:rPr>
        <w:t>AMI</w:t>
      </w:r>
      <w:r w:rsidR="0048092F" w:rsidRPr="00F34287">
        <w:rPr>
          <w:color w:val="000000" w:themeColor="text1"/>
          <w:sz w:val="22"/>
          <w:szCs w:val="22"/>
          <w:lang w:val="en"/>
        </w:rPr>
        <w:t>, and cancer mortality were of greater magnitude at younger than older ages.</w:t>
      </w:r>
    </w:p>
    <w:p w14:paraId="278A3CBB" w14:textId="77777777" w:rsidR="002639BE" w:rsidRPr="00F34287" w:rsidRDefault="002639BE" w:rsidP="00BA3555">
      <w:pPr>
        <w:spacing w:line="480" w:lineRule="auto"/>
        <w:rPr>
          <w:b/>
          <w:bCs/>
          <w:color w:val="000000" w:themeColor="text1"/>
          <w:sz w:val="22"/>
          <w:szCs w:val="22"/>
        </w:rPr>
      </w:pPr>
    </w:p>
    <w:p w14:paraId="52AA2A0E" w14:textId="268D631E" w:rsidR="00910A60" w:rsidRPr="00F34287" w:rsidRDefault="00AF29F7" w:rsidP="00BA3555">
      <w:pPr>
        <w:spacing w:line="480" w:lineRule="auto"/>
        <w:rPr>
          <w:color w:val="000000" w:themeColor="text1"/>
          <w:sz w:val="22"/>
          <w:szCs w:val="22"/>
        </w:rPr>
      </w:pPr>
      <w:r w:rsidRPr="00F34287">
        <w:rPr>
          <w:b/>
          <w:bCs/>
          <w:color w:val="000000" w:themeColor="text1"/>
          <w:sz w:val="22"/>
          <w:szCs w:val="22"/>
        </w:rPr>
        <w:t>Conclusions</w:t>
      </w:r>
      <w:r w:rsidR="0048092F" w:rsidRPr="00F34287">
        <w:rPr>
          <w:b/>
          <w:bCs/>
          <w:color w:val="000000" w:themeColor="text1"/>
          <w:sz w:val="22"/>
          <w:szCs w:val="22"/>
        </w:rPr>
        <w:t xml:space="preserve">: </w:t>
      </w:r>
      <w:r w:rsidR="0048092F" w:rsidRPr="00F34287">
        <w:rPr>
          <w:color w:val="000000" w:themeColor="text1"/>
          <w:sz w:val="22"/>
          <w:szCs w:val="22"/>
        </w:rPr>
        <w:t xml:space="preserve">RHR </w:t>
      </w:r>
      <w:r w:rsidR="00933B3B" w:rsidRPr="00F34287">
        <w:rPr>
          <w:color w:val="000000" w:themeColor="text1"/>
          <w:sz w:val="22"/>
          <w:szCs w:val="22"/>
        </w:rPr>
        <w:t xml:space="preserve">is </w:t>
      </w:r>
      <w:r w:rsidR="0048092F" w:rsidRPr="00F34287">
        <w:rPr>
          <w:color w:val="000000" w:themeColor="text1"/>
          <w:sz w:val="22"/>
          <w:szCs w:val="22"/>
        </w:rPr>
        <w:t xml:space="preserve">an independent predictor of mortality, with variation by sex, age, and disease. Ischaemic disease appeared a more important </w:t>
      </w:r>
      <w:r w:rsidR="000608B4" w:rsidRPr="00F34287">
        <w:rPr>
          <w:color w:val="000000" w:themeColor="text1"/>
          <w:sz w:val="22"/>
          <w:szCs w:val="22"/>
        </w:rPr>
        <w:t>driver</w:t>
      </w:r>
      <w:r w:rsidR="0048092F" w:rsidRPr="00F34287">
        <w:rPr>
          <w:color w:val="000000" w:themeColor="text1"/>
          <w:sz w:val="22"/>
          <w:szCs w:val="22"/>
        </w:rPr>
        <w:t xml:space="preserve"> </w:t>
      </w:r>
      <w:r w:rsidR="00611866" w:rsidRPr="00F34287">
        <w:rPr>
          <w:color w:val="000000" w:themeColor="text1"/>
          <w:sz w:val="22"/>
          <w:szCs w:val="22"/>
        </w:rPr>
        <w:t xml:space="preserve">of this relationship </w:t>
      </w:r>
      <w:r w:rsidR="0048092F" w:rsidRPr="00F34287">
        <w:rPr>
          <w:color w:val="000000" w:themeColor="text1"/>
          <w:sz w:val="22"/>
          <w:szCs w:val="22"/>
        </w:rPr>
        <w:t xml:space="preserve">in men, and associations were more pronounced at younger ages. </w:t>
      </w:r>
    </w:p>
    <w:p w14:paraId="07778AA4" w14:textId="100E792B" w:rsidR="00910A60" w:rsidRPr="00F34287" w:rsidRDefault="00910A60" w:rsidP="00BA3555">
      <w:pPr>
        <w:spacing w:line="480" w:lineRule="auto"/>
        <w:rPr>
          <w:color w:val="000000" w:themeColor="text1"/>
          <w:sz w:val="22"/>
          <w:szCs w:val="22"/>
        </w:rPr>
      </w:pPr>
    </w:p>
    <w:p w14:paraId="36CAE8BA" w14:textId="58040F79" w:rsidR="006D6C5D" w:rsidRDefault="006D6C5D" w:rsidP="006D6C5D">
      <w:pPr>
        <w:spacing w:line="480" w:lineRule="auto"/>
        <w:rPr>
          <w:color w:val="000000" w:themeColor="text1"/>
          <w:sz w:val="22"/>
          <w:szCs w:val="22"/>
        </w:rPr>
      </w:pPr>
      <w:r w:rsidRPr="00F34287">
        <w:rPr>
          <w:b/>
          <w:bCs/>
          <w:color w:val="000000" w:themeColor="text1"/>
          <w:sz w:val="22"/>
          <w:szCs w:val="22"/>
        </w:rPr>
        <w:t>Keywords</w:t>
      </w:r>
      <w:r w:rsidR="00124366" w:rsidRPr="00F34287">
        <w:rPr>
          <w:b/>
          <w:bCs/>
          <w:color w:val="000000" w:themeColor="text1"/>
          <w:sz w:val="22"/>
          <w:szCs w:val="22"/>
        </w:rPr>
        <w:t xml:space="preserve">: </w:t>
      </w:r>
      <w:r w:rsidR="00A95266" w:rsidRPr="00F34287">
        <w:rPr>
          <w:color w:val="000000" w:themeColor="text1"/>
          <w:sz w:val="22"/>
          <w:szCs w:val="22"/>
        </w:rPr>
        <w:t>Epidemiology, Cardiac risk factors and prevention, Heart disease</w:t>
      </w:r>
    </w:p>
    <w:p w14:paraId="2ED28341" w14:textId="77777777" w:rsidR="00F34287" w:rsidRPr="00F34287" w:rsidRDefault="00F34287" w:rsidP="006D6C5D">
      <w:pPr>
        <w:spacing w:line="480" w:lineRule="auto"/>
        <w:rPr>
          <w:color w:val="000000" w:themeColor="text1"/>
          <w:sz w:val="22"/>
          <w:szCs w:val="22"/>
        </w:rPr>
      </w:pPr>
    </w:p>
    <w:p w14:paraId="45E84BD1" w14:textId="69B021E0" w:rsidR="006C23A3" w:rsidRPr="00F34287" w:rsidRDefault="006D6C5D" w:rsidP="00BA3555">
      <w:pPr>
        <w:spacing w:after="120" w:line="480" w:lineRule="auto"/>
        <w:rPr>
          <w:b/>
          <w:bCs/>
          <w:color w:val="000000" w:themeColor="text1"/>
          <w:sz w:val="36"/>
          <w:szCs w:val="36"/>
        </w:rPr>
      </w:pPr>
      <w:r w:rsidRPr="00F34287">
        <w:rPr>
          <w:b/>
          <w:bCs/>
          <w:color w:val="000000" w:themeColor="text1"/>
          <w:sz w:val="36"/>
          <w:szCs w:val="36"/>
        </w:rPr>
        <w:lastRenderedPageBreak/>
        <w:t xml:space="preserve">Introduction </w:t>
      </w:r>
    </w:p>
    <w:p w14:paraId="36A5508E" w14:textId="77777777" w:rsidR="00467232" w:rsidRDefault="006C23A3" w:rsidP="00BA3555">
      <w:pPr>
        <w:spacing w:after="120" w:line="480" w:lineRule="auto"/>
        <w:rPr>
          <w:color w:val="000000" w:themeColor="text1"/>
          <w:sz w:val="22"/>
          <w:szCs w:val="22"/>
        </w:rPr>
      </w:pPr>
      <w:r w:rsidRPr="00F34287">
        <w:rPr>
          <w:color w:val="000000" w:themeColor="text1"/>
          <w:sz w:val="22"/>
          <w:szCs w:val="22"/>
        </w:rPr>
        <w:t>Cardiovascular disease (CVD) is the most common cause of ill-health and death in the world</w:t>
      </w:r>
      <w:r w:rsidR="000B1267"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{"citationItems":[{"id":"ITEM-1","itemData":{"DOI":"10.1016/S0140-6736(18)32203-7","abstract":"Background Global development goals increasingly rely on country-specific estimates for benchmarking a nation's progress. To meet this need, the Global Burden of Diseases, Injuries, and Risk Factors Study (GBD) 2016 estimated global, regional, national, and, for selected locations, subnational cause-specific mortality beginning in the year 1980. Here we report an update to that study, making use of newly available data and improved methods. GBD 2017 provides a comprehensive assessment of cause-specific mortality for 282 causes in 195 countries and territories from 1980 to 2017.","author":[{"dropping-particle":"","family":"Roth","given":"Gregory A","non-dropping-particle":"","parse-names":false,"suffix":""},{"dropping-particle":"","family":"Abate","given":"Degu","non-dropping-particle":"","parse-names":false,"suffix":""},{"dropping-particle":"","family":"Hassen Abate","given":"Kalkidan","non-dropping-particle":"","parse-names":false,"suffix":""},{"dropping-particle":"","family":"Abay","given":"Solomon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Suliankatchi Abdulkader","given":"Rizwan","non-dropping-particle":"","parse-names":false,"suffix":""},{"dropping-particle":"","family":"Temesgen Abebe","given":"Haftom","non-dropping-particle":"","parse-names":false,"suffix":""},{"dropping-particle":"","family":"Abebe","given":"Molla","non-dropping-particle":"","parse-names":false,"suffix":""},{"dropping-particle":"","family":"Abebe","given":"Zegeye","non-dropping-particle":"","parse-names":false,"suffix":""},{"dropping-particle":"","family":"Negesse Abejie","given":"Ayenew","non-dropping-particle":"","parse-names":false,"suffix":""},{"dropping-particle":"","family":"Abera","given":"Semaw F","non-dropping-particle":"","parse-names":false,"suffix":""},{"dropping-particle":"","family":"Zewdie Abil","given":"Olifan","non-dropping-particle":"","parse-names":false,"suffix":""},{"dropping-particle":"","family":"Niguse Abraha","given":"Haftom","non-dropping-particle":"","parse-names":false,"suffix":""},{"dropping-particle":"","family":"Roba Abrham","given":"Aklilu","non-dropping-particle":"","parse-names":false,"suffix":""},{"dropping-particle":"","family":"Jamal Abu-Raddad","given":"Laith","non-dropping-particle":"","parse-names":false,"suffix":""},{"dropping-particle":"","family":"Mario Kokou Accrombessi","given":"Manfred","non-dropping-particle":"","parse-names":false,"suffix":""},{"dropping-particle":"","family":"Acharya","given":"Dilaram","non-dropping-particle":"","parse-names":false,"suffix":""},{"dropping-particle":"","family":"Adamu","given":"Abdu A","non-dropping-particle":"","parse-names":false,"suffix":""},{"dropping-particle":"","family":"Adebayo","given":"Oladimeji M","non-dropping-particle":"","parse-names":false,"suffix":""},{"dropping-particle":"","family":"Adesoji Adedoyin","given":"Rufus","non-dropping-particle":"","parse-names":false,"suffix":""},{"dropping-particle":"","family":"Adekanmbi","given":"Victor","non-dropping-particle":"","parse-names":false,"suffix":""},{"dropping-particle":"","family":"Adetokunboh","given":"Olatunji O","non-dropping-particle":"","parse-names":false,"suffix":""},{"dropping-particle":"","family":"Meressa Adhena","given":"Beyene","non-dropping-particle":"","parse-names":false,"suffix":""},{"dropping-particle":"","family":"Adib","given":"Mina G","non-dropping-particle":"","parse-names":false,"suffix":""},{"dropping-particle":"","family":"Admasie","given":"Amha","non-dropping-particle":"","parse-names":false,"suffix":""},{"dropping-particle":"","family":"Afshin","given":"Ashkan","non-dropping-particle":"","parse-names":false,"suffix":""},{"dropping-particle":"","family":"Agarwal","given":"Gina","non-dropping-particle":"","parse-names":false,"suffix":""},{"dropping-particle":"","family":"Agesa","given":"Kareha M","non-dropping-particle":"","parse-names":false,"suffix":""},{"dropping-particle":"","family":"Agrawal","given":"Anurag","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Beshir Ahmed","given":"Muktar","non-dropping-particle":"","parse-names":false,"suffix":""},{"dropping-particle":"","family":"Ahmed","given":"Sayem","non-dropping-particle":"","parse-names":false,"suffix":""},{"dropping-particle":"","family":"Nidhal Aichour","given":"Amani","non-dropping-particle":"","parse-names":false,"suffix":""},{"dropping-particle":"","family":"Aichour","given":"Ibtihel","non-dropping-particle":"","parse-names":false,"suffix":""},{"dropping-particle":"","family":"Taki Eddine Aichour","given":"Miloud","non-dropping-particle":"","parse-names":false,"suffix":""},{"dropping-particle":"","family":"Esmaeil Akbari","given":"Mohammad","non-dropping-particle":"","parse-names":false,"suffix":""},{"dropping-particle":"","family":"Olusola Akinyemi","given":"Rufus","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Raddadi","given":"Rajaa M","non-dropping-particle":"","parse-names":false,"suffix":""},{"dropping-particle":"","family":"Alahdab","given":"Fares","non-dropping-particle":"","parse-names":false,"suffix":""},{"dropping-particle":"","family":"Alam","given":"Khurshid","non-dropping-particle":"","parse-names":false,"suffix":""},{"dropping-particle":"","family":"Alam","given":"Tahiya","non-dropping-particle":"","parse-names":false,"suffix":""},{"dropping-particle":"","family":"Alebel","given":"Animut","non-dropping-particle":"","parse-names":false,"suffix":""},{"dropping-particle":"","family":"Addis Alene","given":"Kefyalew","non-dropping-particle":"","parse-names":false,"suffix":""},{"dropping-particle":"","family":"Alijanzadeh","given":"Mehran","non-dropping-particle":"","parse-names":false,"suffix":""},{"dropping-particle":"","family":"Alizadeh-Navaei","given":"Reza","non-dropping-particle":"","parse-names":false,"suffix":""},{"dropping-particle":"","family":"Mohamed Aljunid","given":"Syed","non-dropping-particle":"","parse-names":false,"suffix":""},{"dropping-particle":"","family":"Alla","given":"Ois","non-dropping-particle":"","parse-names":false,"suffix":""},{"dropping-particle":"","family":"Allebeck","given":"Peter","non-dropping-particle":"","parse-names":false,"suffix":""},{"dropping-particle":"","family":"Alonso","given":"Jord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T","non-dropping-particle":"","parse-names":false,"suffix":""},{"dropping-particle":"","family":"Aminde","given":"Leopold N","non-dropping-particle":"","parse-names":false,"suffix":""},{"dropping-particle":"","family":"Amini","given":"Erfan","non-dropping-particle":"","parse-names":false,"suffix":""},{"dropping-particle":"","family":"Ammar","given":"Walid","non-dropping-particle":"","parse-names":false,"suffix":""},{"dropping-particle":"","family":"Ampem Amoako","given":"Yaw","non-dropping-particle":"","parse-names":false,"suffix":""},{"dropping-particle":"","family":"Hamed Anber","given":"Nahla","non-dropping-particle":"","parse-names":false,"suffix":""},{"dropping-particle":"","family":"Liliana Andrei","given":"Catalina","non-dropping-particle":"","parse-names":false,"suffix":""},{"dropping-particle":"","family":"Androudi","given":"Sofia","non-dropping-particle":"","parse-names":false,"suffix":""},{"dropping-particle":"","family":"Debalkie Animut","given":"Megbaru","non-dropping-particle":"","parse-names":false,"suffix":""},{"dropping-particle":"","family":"Anjomshoa","given":"Mina","non-dropping-particle":"","parse-names":false,"suffix":""},{"dropping-particle":"","family":"Ansari","given":"Hossein","non-dropping-particle":"","parse-names":false,"suffix":""},{"dropping-particle":"","family":"Geleto Ansha","given":"Mustafa","non-dropping-particle":"","parse-names":false,"suffix":""},{"dropping-particle":"","family":"Abelardo Antonio","given":"Carl T","non-dropping-particle":"","parse-names":false,"suffix":""},{"dropping-particle":"","family":"Anwari","given":"Palwasha","non-dropping-particle":"","parse-names":false,"suffix":""},{"dropping-particle":"","family":"Aremu","given":"Olatunde","non-dropping-particle":"","parse-names":false,"suffix":""},{"dropping-particle":"","family":"ÃrnlÃ","given":"Johan","non-dropping-particle":"","parse-names":false,"suffix":""},{"dropping-particle":"","family":"Arora","given":"Amit","non-dropping-particle":"","parse-names":false,"suffix":""},{"dropping-particle":"","family":"Arora","given":"Monika","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K","non-dropping-particle":"","parse-names":false,"suffix":""},{"dropping-particle":"","family":"Asayesh","given":"Hamid","non-dropping-particle":"","parse-names":false,"suffix":""},{"dropping-particle":"","family":"Tsegay Asfaw","given":"Ephrem","non-dropping-particle":"","parse-names":false,"suffix":""},{"dropping-particle":"","family":"Ataro","given":"Zerihun","non-dropping-particle":"","parse-names":false,"suffix":""},{"dropping-particle":"","family":"Atique","given":"Suleman","non-dropping-particle":"","parse-names":false,"suffix":""},{"dropping-particle":"","family":"Atre","given":"Sachin R","non-dropping-particle":"","parse-names":false,"suffix":""},{"dropping-particle":"","family":"Ausloos","given":"Marcel","non-dropping-particle":"","parse-names":false,"suffix":""},{"dropping-particle":"","family":"G A Avokpaho","given":"Euripide F","non-dropping-particle":"","parse-names":false,"suffix":""},{"dropping-particle":"","family":"Awasthi","given":"Ashish","non-dropping-particle":"","parse-names":false,"suffix":""},{"dropping-particle":"","family":"Paulina Ayala Quintanilla","given":"Beatriz","non-dropping-particle":"","parse-names":false,"suffix":""},{"dropping-particle":"","family":"Ayele","given":"Yohanes","non-dropping-particle":"","parse-names":false,"suffix":""},{"dropping-particle":"","family":"Ayer","given":"Rakesh","non-dropping-particle":"","parse-names":false,"suffix":""},{"dropping-particle":"","family":"Azzopardi","given":"Peter S","non-dropping-particle":"","parse-names":false,"suffix":""},{"dropping-particle":"","family":"Babazadeh","given":"Arefeh","non-dropping-particle":"","parse-names":false,"suffix":""},{"dropping-particle":"","family":"Bacha","given":"Umar","non-dropping-particle":"","parse-names":false,"suffix":""},{"dropping-particle":"","family":"Badali","given":"Hamid","non-dropping-particle":"","parse-names":false,"suffix":""},{"dropping-particle":"","family":"Badawi","given":"Alaa","non-dropping-particle":"","parse-names":false,"suffix":""},{"dropping-particle":"","family":"Geleto Bali","given":"Ayele","non-dropping-particle":"","parse-names":false,"suffix":""},{"dropping-particle":"","family":"Ballesteros","given":"Katherine E","non-dropping-particle":"","parse-names":false,"suffix":""},{"dropping-particle":"","family":"Banach","given":"Maciej","non-dropping-particle":"","parse-names":false,"suffix":""},{"dropping-particle":"","family":"Banerjee","given":"Kajori","non-dropping-particle":"","parse-names":false,"suffix":""},{"dropping-particle":"","family":"Bannick","given":"Marlena S","non-dropping-particle":"","parse-names":false,"suffix":""},{"dropping-particle":"","family":"Adel Mattar Banoub","given":"Joseph","non-dropping-particle":"","parse-names":false,"suffix":""},{"dropping-particle":"","family":"Barboza","given":"Miguel A","non-dropping-particle":"","parse-names":false,"suffix":""},{"dropping-particle":"","family":"Lyn Barker-Collo","given":"Suzanne","non-dropping-particle":"","parse-names":false,"suffix":""},{"dropping-particle":"","family":"Winfried BÃ","given":"Till","non-dropping-particle":"","parse-names":false,"suffix":""},{"dropping-particle":"","family":"Barquera","given":"Simon","non-dropping-particle":"","parse-names":false,"suffix":""},{"dropping-particle":"","family":"Barrero","given":"Lope H","non-dropping-particle":"","parse-names":false,"suffix":""},{"dropping-particle":"","family":"Bassat","given":"Quique","non-dropping-particle":"","parse-names":false,"suffix":""},{"dropping-particle":"","family":"Basu","given":"Sanjay","non-dropping-particle":"","parse-names":false,"suffix":""},{"dropping-particle":"","family":"Baune","given":"Bernhard T","non-dropping-particle":"","parse-names":false,"suffix":""},{"dropping-particle":"","family":"Wondifraw Baynes","given":"Habtamu","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ã","given":"Yannick","non-dropping-particle":"","parse-names":false,"suffix":""},{"dropping-particle":"","family":"Begashaw Bekele","given":"Bayu","non-dropping-particle":"","parse-names":false,"suffix":""},{"dropping-particle":"","family":"Bekele Belachew","given":"Abate","non-dropping-particle":"","parse-names":false,"suffix":""},{"dropping-particle":"","family":"Belay","given":"Ezra","non-dropping-particle":"","parse-names":false,"suffix":""},{"dropping-particle":"","family":"Abebe Belay","given":"Yihalem","non-dropping-particle":"","parse-names":false,"suffix":""},{"dropping-particle":"","family":"Bell","given":"Michelle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M","non-dropping-particle":"","parse-names":false,"suffix":""},{"dropping-particle":"","family":"Berman","given":"Adam E","non-dropping-particle":"","parse-names":false,"suffix":""},{"dropping-particle":"","family":"Bernabe","given":"Eduardo","non-dropping-particle":"","parse-names":false,"suffix":""},{"dropping-particle":"","family":"Bernstein","given":"Robert S","non-dropping-particle":"","parse-names":false,"suffix":""},{"dropping-particle":"","family":"Bertolacci","given":"Gregory J","non-dropping-particle":"","parse-names":false,"suffix":""},{"dropping-particle":"","family":"Beuran","given":"Mircea","non-dropping-particle":"","parse-names":false,"suffix":""},{"dropping-particle":"","family":"Beyranvand","given":"Tina","non-dropping-particle":"","parse-names":false,"suffix":""},{"dropping-particle":"","family":"Bhalla","given":"Ashish","non-dropping-particle":"","parse-names":false,"suffix":""},{"dropping-particle":"","family":"Bhattarai","given":"Suraj","non-dropping-particle":"","parse-names":false,"suffix":""},{"dropping-particle":"","family":"Bhaumik","given":"Soumyadeeep","non-dropping-particle":"","parse-names":false,"suffix":""},{"dropping-particle":"","family":"Bhutta","given":"Zulfiqar A","non-dropping-particle":"","parse-names":false,"suffix":""},{"dropping-particle":"","family":"Biadgo","given":"Belete","non-dropping-particle":"","parse-names":false,"suffix":""},{"dropping-particle":"","family":"Biehl","given":"Molly H","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family":"Shahdaat Bin Sayeed","given":"Muhammad","non-dropping-particle":"","parse-names":false,"suffix":""},{"dropping-particle":"","family":"Bisanzio","given":"Donal","non-dropping-particle":"","parse-names":false,"suffix":""},{"dropping-particle":"","family":"Biswas","given":"Tuhin","non-dropping-particle":"","parse-names":false,"suffix":""},{"dropping-particle":"","family":"Blacker","given":"Brigette F","non-dropping-particle":"","parse-names":false,"suffix":""},{"dropping-particle":"","family":"Bora Basara","given":"Berrak","non-dropping-particle":"","parse-names":false,"suffix":""},{"dropping-particle":"","family":"Borschmann","given":"Rohan","non-dropping-particle":"","parse-names":false,"suffix":""},{"dropping-particle":"","family":"Bosetti","given":"Cristina","non-dropping-particle":"","parse-names":false,"suffix":""},{"dropping-particle":"","family":"Bozorgmehr","given":"Kayvan","non-dropping-particle":"","parse-names":false,"suffix":""},{"dropping-particle":"","family":"Brady","given":"Oliver J","non-dropping-particle":"","parse-names":false,"suffix":""},{"dropping-particle":"","family":"Brant","given":"Luisa C","non-dropping-particle":"","parse-names":false,"suffix":""},{"dropping-particle":"","family":"Brayne","given":"Carol","non-dropping-particle":"","parse-names":false,"suffix":""},{"dropping-particle":"","family":"Brazinova","given":"Alexandra","non-dropping-particle":"","parse-names":false,"suffix":""},{"dropping-particle":"","family":"K Breitborde","given":"Nicholas J","non-dropping-particle":"","parse-names":false,"suffix":""},{"dropping-particle":"","family":"Brenner","given":"Hermann","non-dropping-particle":"","parse-names":false,"suffix":""},{"dropping-particle":"","family":"Svitil Briant","given":"Paul","non-dropping-particle":"","parse-names":false,"suffix":""},{"dropping-particle":"","family":"Britton","given":"Gabrielle","non-dropping-particle":"","parse-names":false,"suffix":""},{"dropping-particle":"","family":"Brugha","given":"Traolach","non-dropping-particle":"","parse-names":false,"suffix":""},{"dropping-particle":"","family":"Busse","given":"Reinhard","non-dropping-particle":"","parse-names":false,"suffix":""},{"dropping-particle":"","family":"Butt","given":"Zahid A","non-dropping-particle":"","parse-names":false,"suffix":""},{"dropping-particle":"","family":"K H Callender","given":"Charlton S","non-dropping-particle":"","parse-names":false,"suffix":""},{"dropping-particle":"","family":"Campos-Nonato","given":"Ismael R","non-dropping-particle":"","parse-names":false,"suffix":""},{"dropping-particle":"","family":"Cesar Campuzano Rincon","given":"Julio","non-dropping-particle":"","parse-names":false,"suffix":""},{"dropping-particle":"","family":"Cano","given":"Jorge","non-dropping-particle":"","parse-names":false,"suffix":""},{"dropping-particle":"","family":"Car","given":"Mate","non-dropping-particle":"","parse-names":false,"suffix":""},{"dropping-particle":"","family":"Cã","given":"Rosario","non-dropping-particle":"","parse-names":false,"suffix":""},{"dropping-particle":"","family":"Carreras","given":"Giulia","non-dropping-particle":"","parse-names":false,"suffix":""},{"dropping-particle":"","family":"Carrero","given":"Juan J","non-dropping-particle":"","parse-names":false,"suffix":""},{"dropping-particle":"","family":"Carter","given":"Austin","non-dropping-particle":"","parse-names":false,"suffix":""},{"dropping-particle":"","family":"Carvalho","given":"Lix","non-dropping-particle":"","parse-names":false,"suffix":""},{"dropping-particle":"","family":"CastaÃ","given":"Carlos A","non-dropping-particle":"","parse-names":false,"suffix":""},{"dropping-particle":"","family":"Castillo Rivas","given":"Jacqueline","non-dropping-particle":"","parse-names":false,"suffix":""},{"dropping-particle":"","family":"Castle","given":"Chris D","non-dropping-particle":"","parse-names":false,"suffix":""},{"dropping-particle":"","family":"Castro","given":"Clara","non-dropping-particle":"","parse-names":false,"suffix":""},{"dropping-particle":"","family":"Castro","given":"Franz","non-dropping-particle":"","parse-names":false,"suffix":""},{"dropping-particle":"","family":"Cerin","given":"Ester","non-dropping-particle":"","parse-names":false,"suffix":""},{"dropping-particle":"","family":"Chaiah","given":"Yazan","non-dropping-particle":"","parse-names":false,"suffix":""},{"dropping-particle":"","family":"Chang","given":"Jung-Chen","non-dropping-particle":"","parse-names":false,"suffix":""},{"dropping-particle":"","family":"Charlson","given":"Fiona J","non-dropping-particle":"","parse-names":false,"suffix":""},{"dropping-particle":"","family":"Chaturvedi","given":"Pankaj","non-dropping-particle":"","parse-names":false,"suffix":""},{"dropping-particle":"","family":"Pei-Chia Chiang","given":"Peggy","non-dropping-particle":"","parse-names":false,"suffix":""},{"dropping-particle":"","family":"Chimed-Ochir","given":"Odgerel","non-dropping-particle":"","parse-names":false,"suffix":""},{"dropping-particle":"","family":"Hichilombwe Chisumpa","given":"Vesper","non-dropping-particle":"","parse-names":false,"suffix":""},{"dropping-particle":"","family":"Chitheer","given":"Abdulaal","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J","non-dropping-particle":"","parse-names":false,"suffix":""},{"dropping-particle":"","family":"Chung","given":"Sheng-Chia","non-dropping-particle":"","parse-names":false,"suffix":""},{"dropping-particle":"","family":"Cicuttini","given":"Flavia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G","non-dropping-particle":"","parse-names":false,"suffix":""},{"dropping-particle":"","family":"Cirillo","given":"Massimo","non-dropping-particle":"","parse-names":false,"suffix":""},{"dropping-particle":"","family":"Cohen","given":"Aaron J","non-dropping-particle":"","parse-names":false,"suffix":""},{"dropping-particle":"","family":"Trumbull Cooper","given":"Leslie","non-dropping-particle":"","parse-names":false,"suffix":""},{"dropping-particle":"","family":"Angelo Cortesi","given":"Paolo","non-dropping-particle":"","parse-names":false,"suffix":""},{"dropping-particle":"","family":"Cortinovis","given":"Monica","non-dropping-particle":"","parse-names":false,"suffix":""},{"dropping-particle":"","family":"Cousin","given":"Ewerton","non-dropping-particle":"","parse-names":false,"suffix":""},{"dropping-particle":"","family":"Cowie","given":"Benjamin C","non-dropping-particle":"","parse-names":false,"suffix":""},{"dropping-particle":"","family":"Criqui","given":"Michael H","non-dropping-particle":"","parse-names":false,"suffix":""},{"dropping-particle":"","family":"Cromwell","given":"Elizabeth A","non-dropping-particle":"","parse-names":false,"suffix":""},{"dropping-particle":"","family":"Stephen Crowe","given":"Christopher","non-dropping-particle":"","parse-names":false,"suffix":""},{"dropping-particle":"","family":"Crump","given":"John A","non-dropping-particle":"","parse-names":false,"suffix":""},{"dropping-particle":"","family":"Cunningham","given":"Matthew","non-dropping-particle":"","parse-names":false,"suffix":""},{"dropping-particle":"","family":"Kabeta Daba","given":"Alemneh","non-dropping-particle":"","parse-names":false,"suffix":""},{"dropping-particle":"","family":"Fekadu Dadi","given":"Abel","non-dropping-particle":"","parse-names":false,"suffix":""},{"dropping-particle":"","family":"Dandona","given":"Lalit","non-dropping-particle":"","parse-names":false,"suffix":""},{"dropping-particle":"","family":"Dandona","given":"Rakhi","non-dropping-particle":"","parse-names":false,"suffix":""},{"dropping-particle":"","family":"Kim Dang","given":"Anh","non-dropping-particle":"","parse-names":false,"suffix":""},{"dropping-particle":"","family":"Dargan","given":"Paul I","non-dropping-particle":"","parse-names":false,"suffix":""},{"dropping-particle":"","family":"Daryani","given":"Ahmad","non-dropping-particle":"","parse-names":false,"suffix":""},{"dropping-particle":"","family":"Das","given":"Siddharth K","non-dropping-particle":"","parse-names":false,"suffix":""},{"dropping-particle":"","family":"Gupta","given":"Rajat","non-dropping-particle":"Das","parse-names":false,"suffix":""},{"dropping-particle":"","family":"Neves","given":"Das","non-dropping-particle":"","parse-names":false,"suffix":""},{"dropping-particle":"","family":"Tesfaye Dasa","given":"Tamirat","non-dropping-particle":"","parse-names":false,"suffix":""},{"dropping-particle":"","family":"Prasad Dash","given":"Aditya","non-dropping-particle":"","parse-names":false,"suffix":""},{"dropping-particle":"","family":"Davis","given":"Adrian C","non-dropping-particle":"","parse-names":false,"suffix":""},{"dropping-particle":"","family":"Davis Weaver","given":"Nicole","non-dropping-particle":"","parse-names":false,"suffix":""},{"dropping-particle":"","family":"Virgil Davitoiu","given":"Dragos","non-dropping-particle":"","parse-names":false,"suffix":""},{"dropping-particle":"","family":"Davletov","given":"Kairat","non-dropping-particle":"","parse-names":false,"suffix":""},{"dropping-particle":"","family":"Pio De La Hoz","given":"Fernando","non-dropping-particle":"","parse-names":false,"suffix":""},{"dropping-particle":"","family":"Neve","given":"Jan-Walter","non-dropping-particle":"De","parse-names":false,"suffix":""},{"dropping-particle":"","family":"Girma Degefa","given":"Meaza","non-dropping-particle":"","parse-names":false,"suffix":""},{"dropping-particle":"","family":"Degenhardt","given":"Louisa","non-dropping-particle":"","parse-names":false,"suffix":""},{"dropping-particle":"","family":"Degfie","given":"Tizta T","non-dropping-particle":"","parse-names":false,"suffix":""},{"dropping-particle":"","family":"Deiparine","given":"Selina","non-dropping-particle":"","parse-names":false,"suffix":""},{"dropping-particle":"","family":"Teklemariam Demoz","given":"Gebre","non-dropping-particle":"","parse-names":false,"suffix":""},{"dropping-particle":"","family":"Betsu Demtsu","given":"Balem","non-dropping-particle":"","parse-names":false,"suffix":""},{"dropping-particle":"","family":"Denova-GutiÃ","given":"Edgar","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C","non-dropping-particle":"Des","parse-names":false,"suffix":""},{"dropping-particle":"","family":"Ayalew Dessie","given":"Getenet","non-dropping-particle":"","parse-names":false,"suffix":""},{"dropping-particle":"","family":"Dey","given":"Subhojit","non-dropping-particle":"","parse-names":false,"suffix":""},{"dropping-particle":"","family":"Dharmaratne","given":"Samath D","non-dropping-particle":"","parse-names":false,"suffix":""},{"dropping-particle":"","family":"Dicker","given":"Daniel","non-dropping-particle":"","parse-names":false,"suffix":""},{"dropping-particle":"","family":"Tadese Dinberu","given":"Mesfin","non-dropping-particle":"","parse-names":false,"suffix":""},{"dropping-particle":"","family":"Ding","given":"Eric L","non-dropping-particle":"","parse-names":false,"suffix":""},{"dropping-particle":"","family":"Ashworth Dirac","given":"M","non-dropping-particle":"","parse-names":false,"suffix":""},{"dropping-particle":"","family":"Djalalinia","given":"Shirin","non-dropping-particle":"","parse-names":false,"suffix":""},{"dropping-particle":"","family":"Dokova","given":"Klara","non-dropping-particle":"","parse-names":false,"suffix":""},{"dropping-particle":"","family":"Teye Doku","given":"David","non-dropping-particle":"","parse-names":false,"suffix":""},{"dropping-particle":"","family":"Donnelly","given":"Christl A","non-dropping-particle":"","parse-names":false,"suffix":""},{"dropping-particle":"","family":"Ray Dorsey","given":"E","non-dropping-particle":"","parse-names":false,"suffix":""},{"dropping-particle":"","family":"Doshi","given":"Pratik P","non-dropping-particle":"","parse-names":false,"suffix":""},{"dropping-particle":"","family":"Douwes-Schultz","given":"Dirk","non-dropping-particle":"","parse-names":false,"suffix":""},{"dropping-particle":"","family":"Doyle","given":"Kerrie E","non-dropping-particle":"","parse-names":false,"suffix":""},{"dropping-particle":"","family":"Driscoll","given":"Tim R","non-dropping-particle":"","parse-names":false,"suffix":""},{"dropping-particle":"","family":"Dubey","given":"Manisha","non-dropping-particle":"","parse-names":false,"suffix":""},{"dropping-particle":"","family":"Dubljanin","given":"Eleonora","non-dropping-particle":"","parse-names":false,"suffix":""},{"dropping-particle":"","family":"Ejeta Duken","given":"Eyasu","non-dropping-particle":"","parse-names":false,"suffix":""},{"dropping-particle":"","family":"Duncan","given":"Bruce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dessa","given":"Dumessa","non-dropping-particle":"","parse-names":false,"suffix":""},{"dropping-particle":"","family":"Edvardsson","given":"David","non-dropping-particle":"","parse-names":false,"suffix":""},{"dropping-particle":"","family":"Elise Eggen","given":"Anne","non-dropping-particle":"","parse-names":false,"suffix":""},{"dropping-particle":"","family":"Bcheraoui","given":"Charbel","non-dropping-particle":"El","parse-names":false,"suffix":""},{"dropping-particle":"","family":"Sayed Zaki","given":"Maysaa","non-dropping-particle":"El","parse-names":false,"suffix":""},{"dropping-particle":"","family":"El-Khatib","given":"Ziad","non-dropping-particle":"","parse-names":false,"suffix":""},{"dropping-particle":"","family":"Elkout","given":"Hajer","non-dropping-particle":"","parse-names":false,"suffix":""},{"dropping-particle":"","family":"Lycke Ellingsen","given":"Christian","non-dropping-particle":"","parse-names":false,"suffix":""},{"dropping-particle":"","family":"Endres","given":"Matthias","non-dropping-particle":"","parse-names":false,"suffix":""},{"dropping-particle":"","family":"Yesuf Endries","given":"Aman","non-dropping-particle":"","parse-names":false,"suffix":""},{"dropping-particle":"","family":"Er","given":"Benjamin","non-dropping-particle":"","parse-names":false,"suffix":""},{"dropping-particle":"","family":"Erskine","given":"Holly E","non-dropping-particle":"","parse-names":false,"suffix":""},{"dropping-particle":"","family":"Eshrati","given":"Babak","non-dropping-particle":"","parse-names":false,"suffix":""},{"dropping-particle":"","family":"Eskandarieh","given":"Sharareh","non-dropping-particle":"","parse-names":false,"suffix":""},{"dropping-particle":"","family":"Esmaeili","given":"Reza","non-dropping-particle":"","parse-names":false,"suffix":""},{"dropping-particle":"","family":"Esteghamati","given":"Alireza","non-dropping-particle":"","parse-names":false,"suffix":""},{"dropping-particle":"","family":"Fakhar","given":"Mahdi","non-dropping-particle":"","parse-names":false,"suffix":""},{"dropping-particle":"","family":"Fakhim","given":"Hamed","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Sofia sÃ","given":"Carla E","non-dropping-particle":"","parse-names":false,"suffix":""},{"dropping-particle":"","family":"Faro","given":"Andre","non-dropping-particle":"","parse-names":false,"suffix":""},{"dropping-particle":"","family":"Farvid","given":"Maryam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S","non-dropping-particle":"","parse-names":false,"suffix":""},{"dropping-particle":"","family":"Farzadfar","given":"Farshad","non-dropping-particle":"","parse-names":false,"suffix":""},{"dropping-particle":"","family":"Hosein Farzaei","given":"Mohammad","non-dropping-particle":"","parse-names":false,"suffix":""},{"dropping-particle":"","family":"Feigin","given":"Valery L","non-dropping-particle":"","parse-names":false,"suffix":""},{"dropping-particle":"","family":"Feigl","given":"Andrea B","non-dropping-particle":"","parse-names":false,"suffix":""},{"dropping-particle":"","family":"Fentahun","given":"Netsanet","non-dropping-particle":"","parse-names":false,"suffix":""},{"dropping-particle":"","family":"Fereshtehnejad","given":"Seyed-Mohammad","non-dropping-particle":"","parse-names":false,"suffix":""},{"dropping-particle":"","family":"Fernandes","given":"Eduarda","non-dropping-particle":"","parse-names":false,"suffix":""},{"dropping-particle":"","family":"Fernandes","given":"Joao C","non-dropping-particle":"","parse-names":false,"suffix":""},{"dropping-particle":"","family":"Ferrari","given":"Alize J","non-dropping-particle":"","parse-names":false,"suffix":""},{"dropping-particle":"","family":"Tolu Feyissa","given":"Garumma","non-dropping-particle":"","parse-names":false,"suffix":""},{"dropping-particle":"","family":"Filip","given":"Irina","non-dropping-particle":"","parse-names":false,"suffix":""},{"dropping-particle":"","family":"Finegold","given":"Samuel","non-dropping-particle":"","parse-names":false,"suffix":""},{"dropping-particle":"","family":"Fischer","given":"Florian","non-dropping-particle":"","parse-names":false,"suffix":""},{"dropping-particle":"","family":"Fitzmaurice","given":"Christina","non-dropping-particle":"","parse-names":false,"suffix":""},{"dropping-particle":"","family":"Foigt","given":"Nataliya A","non-dropping-particle":"","parse-names":false,"suffix":""},{"dropping-particle":"","family":"Foreman","given":"Kyle J","non-dropping-particle":"","parse-names":false,"suffix":""},{"dropping-particle":"","family":"Fornari","given":"Carla","non-dropping-particle":"","parse-names":false,"suffix":""},{"dropping-particle":"","family":"Frank","given":"Tahvi D","non-dropping-particle":"","parse-names":false,"suffix":""},{"dropping-particle":"","family":"Fukumoto","given":"Takeshi","non-dropping-particle":"","parse-names":false,"suffix":""},{"dropping-particle":"","family":"Fuller","given":"John E","non-dropping-particle":"","parse-names":false,"suffix":""},{"dropping-particle":"","family":"Fullman","given":"Nancy","non-dropping-particle":"","parse-names":false,"suffix":""},{"dropping-particle":"","family":"Fã","given":"Thomas","non-dropping-particle":"","parse-names":false,"suffix":""},{"dropping-particle":"","family":"Furtado","given":"M","non-dropping-particle":"","parse-names":false,"suffix":""},{"dropping-particle":"","family":"Futran","given":"Neal D","non-dropping-particle":"","parse-names":false,"suffix":""},{"dropping-particle":"","family":"Gallus","given":"Silvano","non-dropping-particle":"","parse-names":false,"suffix":""},{"dropping-particle":"","family":"Garcia-Basteiro","given":"Alberto L","non-dropping-particle":"","parse-names":false,"suffix":""},{"dropping-particle":"","family":"Garcia-Gordillo","given":"Miguel A","non-dropping-particle":"","parse-names":false,"suffix":""},{"dropping-particle":"","family":"Gardner","given":"William M","non-dropping-particle":"","parse-names":false,"suffix":""},{"dropping-particle":"","family":"Kahsu Gebre","given":"Abadi","non-dropping-particle":"","parse-names":false,"suffix":""},{"dropping-particle":"","family":"Tewelde Gebrehiwot","given":"Tsegaye","non-dropping-particle":"","parse-names":false,"suffix":""},{"dropping-particle":"","family":"Tesfay Gebremedhin","given":"Amanuel","non-dropping-particle":"","parse-names":false,"suffix":""},{"dropping-particle":"","family":"Gebremichael","given":"Bereket","non-dropping-particle":"","parse-names":false,"suffix":""},{"dropping-particle":"","family":"Gebrehiwo Gebremichael","given":"Teklu","non-dropping-particle":"","parse-names":false,"suffix":""},{"dropping-particle":"","family":"Feto Gelano","given":"Tilayie","non-dropping-particle":"","parse-names":false,"suffix":""},{"dropping-particle":"","family":"Geleijnse","given":"Johanna M","non-dropping-particle":"","parse-names":false,"suffix":""},{"dropping-particle":"","family":"Genova-Maleras","given":"Ricard","non-dropping-particle":"","parse-names":false,"suffix":""},{"dropping-particle":"","family":"Chisha Dea Geramo","given":"Yilma","non-dropping-particle":"","parse-names":false,"suffix":""},{"dropping-particle":"","family":"Gething","given":"Peter W","non-dropping-particle":"","parse-names":false,"suffix":""},{"dropping-particle":"","family":"Embaye Gezae","given":"Kebede","non-dropping-particle":"","parse-names":false,"suffix":""},{"dropping-particle":"","family":"Rasoul Ghadami","given":"Mohammad","non-dropping-particle":"","parse-names":false,"suffix":""},{"dropping-particle":"","family":"Ghadimi","given":"Reza","non-dropping-particle":"","parse-names":false,"suffix":""},{"dropping-particle":"","family":"Ghasemi Falavarjani","given":"Khalil","non-dropping-particle":"","parse-names":false,"suffix":""},{"dropping-particle":"","family":"Ghasemi-Kasman","given":"Maryam","non-dropping-particle":"","parse-names":false,"suffix":""},{"dropping-particle":"","family":"Ghimire","given":"Mamata","non-dropping-particle":"","parse-names":false,"suffix":""},{"dropping-particle":"","family":"Gibney","given":"Katherine B","non-dropping-particle":"","parse-names":false,"suffix":""},{"dropping-particle":"","family":"Singh Gill","given":"Paramjit","non-dropping-particle":"","parse-names":false,"suffix":""},{"dropping-particle":"","family":"Gill","given":"Tiffany K","non-dropping-particle":"","parse-names":false,"suffix":""},{"dropping-particle":"","family":"Gillum","given":"Richard F","non-dropping-particle":"","parse-names":false,"suffix":""},{"dropping-particle":"","family":"Abdelmageed Ginawi","given":"Ibrahim","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ldberg","given":"Ellen M","non-dropping-particle":"","parse-names":false,"suffix":""},{"dropping-particle":"","family":"Goli","given":"Srinivas","non-dropping-particle":"","parse-names":false,"suffix":""},{"dropping-particle":"","family":"Gã","given":"Hector","non-dropping-particle":"","parse-names":false,"suffix":""},{"dropping-particle":"","family":"Gona","given":"Philimon N","non-dropping-particle":"","parse-names":false,"suffix":""},{"dropping-particle":"","family":"Vali Gopalani","given":"Sameer","non-dropping-particle":"","parse-names":false,"suffix":""},{"dropping-particle":"","family":"Gorman","given":"Taren M","non-dropping-particle":"","parse-names":false,"suffix":""},{"dropping-particle":"","family":"Goto","given":"Atsushi","non-dropping-particle":"","parse-names":false,"suffix":""},{"dropping-particle":"","family":"Goulart","given":"Alessandra C","non-dropping-particle":"","parse-names":false,"suffix":""},{"dropping-particle":"V","family":"Gnedovskaya","given":"Elena","non-dropping-particle":"","parse-names":false,"suffix":""},{"dropping-particle":"","family":"Grada","given":"Ayman","non-dropping-particle":"","parse-names":false,"suffix":""},{"dropping-particle":"","family":"Grosso","given":"Giuseppe","non-dropping-particle":"","parse-names":false,"suffix":""},{"dropping-particle":"","family":"Chander Gugnani","given":"Harish","non-dropping-particle":"","parse-names":false,"suffix":""},{"dropping-particle":"","family":"Luiz Sena Guimaraes","given":"Andre","non-dropping-particle":"","parse-names":false,"suffix":""},{"dropping-particle":"","family":"Guo","given":"Yuming","non-dropping-particle":"","parse-names":false,"suffix":""},{"dropping-particle":"","family":"Gupta","given":"Prakash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Alma GutiÃ","given":"Reyna","non-dropping-particle":"","parse-names":false,"suffix":""},{"dropping-particle":"","family":"Gyawali","given":"Bishal","non-dropping-particle":"","parse-names":false,"suffix":""},{"dropping-particle":"","family":"Haagsma","given":"Juanita A","non-dropping-particle":"","parse-names":false,"suffix":""},{"dropping-particle":"","family":"Hafezi-Nejad","given":"Nima","non-dropping-particle":"","parse-names":false,"suffix":""},{"dropping-particle":"","family":"Hagos","given":"Tekleberhan B","non-dropping-particle":"","parse-names":false,"suffix":""},{"dropping-particle":"","family":"Tesfa Hailegiyorgis","given":"Tewodros","non-dropping-particle":"","parse-names":false,"suffix":""},{"dropping-particle":"","family":"Bugssa Hailu","given":"Gessessew","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J","non-dropping-particle":"","parse-names":false,"suffix":""},{"dropping-particle":"","family":"Harb","given":"Hilda L","non-dropping-particle":"","parse-names":false,"suffix":""},{"dropping-particle":"","family":"Harikrishnan","given":"Sivadasanpillai","non-dropping-particle":"","parse-names":false,"suffix":""},{"dropping-particle":"","family":"Maria Haro","given":"Josep","non-dropping-particle":"","parse-names":false,"suffix":""},{"dropping-particle":"","family":"Hasan","given":"Mehedi","non-dropping-particle":"","parse-names":false,"suffix":""},{"dropping-particle":"","family":"Hassankhani","given":"Hadi","non-dropping-particle":"","parse-names":false,"suffix":""},{"dropping-particle":"","family":"Yimam Hassen","given":"Hamid","non-dropping-particle":"","parse-names":false,"suffix":""},{"dropping-particle":"","family":"Havmoeller","given":"Rasmus","non-dropping-particle":"","parse-names":false,"suffix":""},{"dropping-particle":"","family":"Hay","given":"Roderick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given":"Yihua","non-dropping-particle":"","parse-names":false,"suffix":""},{"dropping-particle":"","family":"Hedayatizadeh-Omran","given":"Akbar","non-dropping-particle":"","parse-names":false,"suffix":""},{"dropping-particle":"","family":"Hegazy","given":"Mohamed I","non-dropping-particle":"","parse-names":false,"suffix":""},{"dropping-particle":"","family":"Heibati","given":"Behzad","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eydarpour","given":"Fatemeh","non-dropping-particle":"","parse-names":false,"suffix":""},{"dropping-particle":"","family":"Heydarpour","given":"Pouria","non-dropping-particle":"","parse-names":false,"suffix":""},{"dropping-particle":"","family":"Heydarpour","given":"Sousan","non-dropping-particle":"","parse-names":false,"suffix":""},{"dropping-particle":"","family":"Tsegaw Hibstu","given":"Desalegn","non-dropping-particle":"","parse-names":false,"suffix":""},{"dropping-particle":"","family":"Hoek","given":"Hans W","non-dropping-particle":"","parse-names":false,"suffix":""},{"dropping-particle":"","family":"Hole","given":"Michael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Rad","given":"Enayatollah","non-dropping-particle":"","parse-names":false,"suffix":""},{"dropping-particle":"","family":"Hoogar","given":"Praveen","non-dropping-particle":"","parse-names":false,"suffix":""},{"dropping-particle":"","family":"Dean Hosgood","given":"H","non-dropping-particle":"","parse-names":false,"suffix":""},{"dropping-particle":"","family":"Mostafa Hosseini","given":"Seyed","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tez","given":"Peter J","non-dropping-particle":"","parse-names":false,"suffix":""},{"dropping-particle":"","family":"Hoy","given":"Damian G","non-dropping-particle":"","parse-names":false,"suffix":""},{"dropping-particle":"","family":"Hsiao","given":"Thomas","non-dropping-particle":"","parse-names":false,"suffix":""},{"dropping-particle":"","family":"Hu","given":"Guoqing","non-dropping-particle":"","parse-names":false,"suffix":""},{"dropping-particle":"","family":"Huang","given":"John J","non-dropping-particle":"","parse-names":false,"suffix":""},{"dropping-particle":"","family":"Husseini","given":"Abdullatif","non-dropping-particle":"","parse-names":false,"suffix":""},{"dropping-particle":"","family":"Mama Hussen","given":"Mohammedaman","non-dropping-particle":"","parse-names":false,"suffix":""},{"dropping-particle":"","family":"Hutfless","given":"Susan","non-dropping-particle":"","parse-names":false,"suffix":""},{"dropping-particle":"","family":"Idrisov","given":"Bulat","non-dropping-particle":"","parse-names":false,"suffix":""},{"dropping-particle":"","family":"Stephen Ilesanmi","given":"Olayinka","non-dropping-particle":"","parse-names":false,"suffix":""},{"dropping-particle":"","family":"Iqbal","given":"Usman","non-dropping-particle":"","parse-names":false,"suffix":""},{"dropping-particle":"","family":"Sina Naghibi Irvani","given":"Seyed","non-dropping-particle":"","parse-names":false,"suffix":""},{"dropping-particle":"","family":"Mackay Salpeter Irvine","given":"Caleb","non-dropping-particle":"","parse-names":false,"suffix":""},{"dropping-particle":"","family":"Islam","given":"Nazrul","non-dropping-particle":"","parse-names":false,"suffix":""},{"dropping-particle":"","family":"Mohammed Shariful Islam","given":"Sheikh","non-dropping-particle":"","parse-names":false,"suffix":""},{"dropping-particle":"","family":"Islami","given":"Farhad","non-dropping-particle":"","parse-names":false,"suffix":""},{"dropping-particle":"","family":"Jacobsen","given":"Kathryn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Kumar Jain","given":"Sudhir","non-dropping-particle":"","parse-names":false,"suffix":""},{"dropping-particle":"","family":"Jakovljevic","given":"Mihajlo","non-dropping-particle":"","parse-names":false,"suffix":""},{"dropping-particle":"","family":"Tolera Jalu","given":"Moti","non-dropping-particle":"","parse-names":false,"suffix":""},{"dropping-particle":"","family":"James","given":"Spencer L","non-dropping-particle":"","parse-names":false,"suffix":""},{"dropping-particle":"","family":"Javanbakht","given":"Mehdi","non-dropping-particle":"","parse-names":false,"suffix":""},{"dropping-particle":"","family":"Upendra Jayatilleke","given":"Achala","non-dropping-particle":"","parse-names":false,"suffix":""},{"dropping-particle":"","family":"Jeemon","given":"Panniyammakal","non-dropping-particle":"","parse-names":false,"suffix":""},{"dropping-particle":"","family":"Jenkins","given":"Kathy J","non-dropping-particle":"","parse-names":false,"suffix":""},{"dropping-particle":"","family":"Prakash Jha","given":"Ravi","non-dropping-particle":"","parse-names":false,"suffix":""},{"dropping-particle":"","family":"Jha","given":"Vivekanand","non-dropping-particle":"","parse-names":false,"suffix":""},{"dropping-particle":"","family":"Johnson","given":"Catherine O","non-dropping-particle":"","parse-names":false,"suffix":""},{"dropping-particle":"","family":"Johnson","given":"Sarah C","non-dropping-particle":"","parse-names":false,"suffix":""},{"dropping-particle":"","family":"Jonas","given":"Jost B","non-dropping-particle":"","parse-names":false,"suffix":""},{"dropping-particle":"","family":"Joshi","given":"Ankur","non-dropping-particle":"","parse-names":false,"suffix":""},{"dropping-particle":"","family":"Jerzy Jozwiak","given":"Jacek","non-dropping-particle":"","parse-names":false,"suffix":""},{"dropping-particle":"","family":"Banayya Jungari","given":"Suresh","non-dropping-particle":"","parse-names":false,"suffix":""},{"dropping-particle":"","family":"Jã","given":"Mik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lani","given":"Rizwan","non-dropping-particle":"","parse-names":false,"suffix":""},{"dropping-particle":"","family":"Karami","given":"Manoochehr","non-dropping-particle":"","parse-names":false,"suffix":""},{"dropping-particle":"","family":"Karami Matin","given":"Behzad","non-dropping-particle":"","parse-names":false,"suffix":""},{"dropping-particle":"","family":"Karema","given":"Corine","non-dropping-particle":"","parse-names":false,"suffix":""},{"dropping-particle":"","family":"Karimi-Sari","given":"Hamidreza","non-dropping-particle":"","parse-names":false,"suffix":""},{"dropping-particle":"","family":"Kasaeian","given":"Amir","non-dropping-particle":"","parse-names":false,"suffix":""},{"dropping-particle":"","family":"Kassa","given":"Dessalegn H","non-dropping-particle":"","parse-names":false,"suffix":""},{"dropping-particle":"","family":"Mullu Kassa","given":"Getachew","non-dropping-particle":"","parse-names":false,"suffix":""},{"dropping-particle":"","family":"Dessale Kassa","given":"Tesfaye","non-dropping-particle":"","parse-names":false,"suffix":""},{"dropping-particle":"","family":"Kassebaum","given":"Nicholas J","non-dropping-particle":"","parse-names":false,"suffix":""},{"dropping-particle":"","family":"Vittal Katikireddi","given":"Srinivasa","non-dropping-particle":"","parse-names":false,"suffix":""},{"dropping-particle":"","family":"Kaul","given":"Anil","non-dropping-particle":"","parse-names":false,"suffix":""},{"dropping-particle":"","family":"Kazemi","given":"Zhila","non-dropping-particle":"","parse-names":false,"suffix":""},{"dropping-particle":"","family":"Kazemi Karyani","given":"Ali","non-dropping-particle":"","parse-names":false,"suffix":""},{"dropping-particle":"","family":"Satish Kazi","given":"Dhruv","non-dropping-particle":"","parse-names":false,"suffix":""},{"dropping-particle":"","family":"Teshome Kefale","given":"Adane","non-dropping-particle":"","parse-names":false,"suffix":""},{"dropping-particle":"","family":"Njenga Keiyoro","given":"Peter","non-dropping-particle":"","parse-names":false,"suffix":""},{"dropping-particle":"","family":"Rodgers Kemp","given":"Grant","non-dropping-particle":"","parse-names":false,"suffix":""},{"dropping-particle":"","family":"Pascal Kengne","given":"Andre","non-dropping-particle":"","parse-names":false,"suffix":""},{"dropping-particle":"","family":"Keren","given":"Andre","non-dropping-particle":"","parse-names":false,"suffix":""},{"dropping-particle":"","family":"Nair Kesavachandran","given":"Chandrasekharan","non-dropping-particle":"","parse-names":false,"suffix":""},{"dropping-particle":"","family":"Saleh Khader","given":"Yousef","non-dropping-particle":"","parse-names":false,"suffix":""},{"dropping-particle":"","family":"Khafaei","given":"Behzad","non-dropping-particle":"","parse-names":false,"suffix":""},{"dropping-particle":"","family":"Abdullatif Khafaie","given":"Morteza","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A","non-dropping-particle":"","parse-names":false,"suffix":""},{"dropping-particle":"","family":"Ahmad Khan","given":"Ejaz","non-dropping-particle":"","parse-names":false,"suffix":""},{"dropping-particle":"","family":"Shahzeb Khan","given":"Muhammad","non-dropping-particle":"","parse-names":false,"suffix":""},{"dropping-particle":"","family":"Ali Khan","given":"Muhammad","non-dropping-particle":"","parse-names":false,"suffix":""},{"dropping-particle":"","family":"Khang","given":"Young-Ho","non-dropping-particle":"","parse-names":false,"suffix":""},{"dropping-particle":"","family":"Khater","given":"Mona M","non-dropping-particle":"","parse-names":false,"suffix":""},{"dropping-particle":"","family":"Khoja","given":"Abdullah T","non-dropping-particle":"","parse-names":false,"suffix":""},{"dropping-particle":"","family":"Khosravi","given":"Ardeshir","non-dropping-particle":"","parse-names":false,"suffix":""},{"dropping-particle":"","family":"Hossein Khosravi","given":"Mohammad","non-dropping-particle":"","parse-names":false,"suffix":""},{"dropping-particle":"","family":"Khubchandani","given":"Jagdish","non-dropping-particle":"","parse-names":false,"suffix":""},{"dropping-particle":"","family":"Kiadaliri","given":"Aliasghar A","non-dropping-particle":"","parse-names":false,"suffix":""},{"dropping-particle":"","family":"Kibret","given":"Getiye D","non-dropping-particle":"","parse-names":false,"suffix":""},{"dropping-particle":"","family":"Teklemariam Kidanemariam","given":"Zelalem","non-dropping-particle":"","parse-names":false,"suffix":""},{"dropping-particle":"","family":"Kiirithio","given":"Daniel N","non-dropping-particle":"","parse-names":false,"suffix":""},{"dropping-particle":"","family":"Kim","given":"Daniel","non-dropping-particle":"","parse-names":false,"suffix":""},{"dropping-particle":"","family":"Kim","given":"Young-Eun","non-dropping-particle":"","parse-names":false,"suffix":""},{"dropping-particle":"","family":"Jin Kim","given":"Yun","non-dropping-particle":"","parse-names":false,"suffix":""},{"dropping-particle":"","family":"Kimokoti","given":"Ruth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Ã","given":"Mika","non-dropping-particle":"","parse-names":false,"suffix":""},{"dropping-particle":"","family":"Kristin Skrindo Knudsen","given":"Ann","non-dropping-particle":"","parse-names":false,"suffix":""},{"dropping-particle":"","family":"Kocarnik","given":"Jonathan M","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A","non-dropping-particle":"","parse-names":false,"suffix":""},{"dropping-particle":"","family":"Krishan","given":"Kewal","non-dropping-particle":"","parse-names":false,"suffix":""},{"dropping-particle":"","family":"Kuate Defo","given":"Barthelemy","non-dropping-particle":"","parse-names":false,"suffix":""},{"dropping-particle":"","family":"Kucuk Bicer","given":"Burcu","non-dropping-particle":"","parse-names":false,"suffix":""},{"dropping-particle":"","family":"Anil Kumar","given":"G","non-dropping-particle":"","parse-names":false,"suffix":""},{"dropping-particle":"","family":"Kumar","given":"Manasi","non-dropping-particle":"","parse-names":false,"suffix":""},{"dropping-particle":"","family":"Kumar","given":"Pushpendra","non-dropping-particle":"","parse-names":false,"suffix":""},{"dropping-particle":"","family":"Kutz","given":"Michael J","non-dropping-particle":"","parse-names":false,"suffix":""},{"dropping-particle":"","family":"Kuzin","given":"Igor","non-dropping-particle":"","parse-names":false,"suffix":""},{"dropping-particle":"","family":"Hmwe Kyu","given":"Hmwe","non-dropping-particle":"","parse-names":false,"suffix":""},{"dropping-particle":"","family":"Lad","given":"Deepesh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D","non-dropping-particle":"","parse-names":false,"suffix":""},{"dropping-particle":"","family":"Lafranconi","given":"Alessandra","non-dropping-particle":"","parse-names":false,"suffix":""},{"dropping-particle":"","family":"Kumar Lal","given":"Dharmesh","non-dropping-particle":"","parse-names":false,"suffix":""},{"dropping-particle":"","family":"Lalloo","given":"Ratilal","non-dropping-particle":"","parse-names":false,"suffix":""},{"dropping-particle":"","family":"Lallukka","given":"Tea","non-dropping-particle":"","parse-names":false,"suffix":""},{"dropping-particle":"","family":"Lam","given":"Jennifer O","non-dropping-particle":"","parse-names":false,"suffix":""},{"dropping-particle":"","family":"Hasan Lami","given":"Faris","non-dropping-particle":"","parse-names":false,"suffix":""},{"dropping-particle":"","family":"Lansingh","given":"Van C","non-dropping-particle":"","parse-names":false,"suffix":""},{"dropping-particle":"","family":"Lansky","given":"Sonia","non-dropping-particle":"","parse-names":false,"suffix":""},{"dropping-particle":"","family":"Larson","given":"Heidi J","non-dropping-particle":"","parse-names":false,"suffix":""},{"dropping-particle":"","family":"Latifi","given":"Arman","non-dropping-particle":"","parse-names":false,"suffix":""},{"dropping-particle":"","family":"Mei-Ming Lau","given":"Kathryn","non-dropping-particle":"","parse-names":false,"suffix":""},{"dropping-particle":"V","family":"Lazarus","given":"Jeffrey","non-dropping-particle":"","parse-names":false,"suffix":""},{"dropping-particle":"","family":"Lebedev","given":"Georgy","non-dropping-particle":"","parse-names":false,"suffix":""},{"dropping-particle":"","family":"Lee","given":"Paul H","non-dropping-particle":"","parse-names":false,"suffix":""},{"dropping-particle":"","family":"Leigh","given":"James","non-dropping-particle":"","parse-names":false,"suffix":""},{"dropping-particle":"","family":"Leili","given":"Mostafa","non-dropping-particle":"","parse-names":false,"suffix":""},{"dropping-particle":"","family":"Tesema Leshargie","given":"Cheru","non-dropping-particle":"","parse-names":false,"suffix":""},{"dropping-particle":"","family":"Li","given":"Shanshan","non-dropping-particle":"","parse-names":false,"suffix":""},{"dropping-particle":"","family":"Li","given":"Yichong","non-dropping-particle":"","parse-names":false,"suffix":""},{"dropping-particle":"","family":"Liang","given":"Juan","non-dropping-particle":"","parse-names":false,"suffix":""},{"dropping-particle":"","family":"Lim","given":"Lee-Ling","non-dropping-particle":"","parse-names":false,"suffix":""},{"dropping-particle":"","family":"Lim","given":"Stephen S","non-dropping-particle":"","parse-names":false,"suffix":""},{"dropping-particle":"","family":"Andualem Limenih","given":"Miteku","non-dropping-particle":"","parse-names":false,"suffix":""},{"dropping-particle":"","family":"Linn","given":"Shai","non-dropping-particle":"","parse-names":false,"suffix":""},{"dropping-particle":"","family":"Liu","given":"Shiwei","non-dropping-particle":"","parse-names":false,"suffix":""},{"dropping-particle":"","family":"Liu","given":"Yang","non-dropping-particle":"","parse-names":false,"suffix":""},{"dropping-particle":"","family":"Lodha","given":"Rakesh","non-dropping-particle":"","parse-names":false,"suffix":""},{"dropping-particle":"","family":"Lonsdale","given":"Chris","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Stefan","non-dropping-particle":"","parse-names":false,"suffix":""},{"dropping-particle":"","family":"Rachelle King Macarayan","given":"Erlyn","non-dropping-particle":"","parse-names":false,"suffix":""},{"dropping-particle":"","family":"Mackay","given":"Mark T","non-dropping-particle":"","parse-names":false,"suffix":""},{"dropping-particle":"","family":"MacLachlan","given":"Jennifer H","non-dropping-particle":"","parse-names":false,"suffix":""},{"dropping-particle":"","family":"Maddison","given":"Emilie R","non-dropping-particle":"","parse-names":false,"suffix":""},{"dropping-particle":"","family":"Madotto","given":"Fabiana","non-dropping-particle":"","parse-names":false,"suffix":""},{"dropping-particle":"","family":"Magdy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Carvalho Malta","given":"Deborah","non-dropping-particle":"","parse-names":false,"suffix":""},{"dropping-particle":"","family":"Manda","given":"Ana-Laura","non-dropping-particle":"","parse-names":false,"suffix":""},{"dropping-particle":"","family":"Garcia Mandarano-Filho","given":"Luiz","non-dropping-particle":"","parse-names":false,"suffix":""},{"dropping-particle":"","family":"Manguerra","given":"Helena","non-dropping-particle":"","parse-names":false,"suffix":""},{"dropping-particle":"","family":"Ali Mansournia","given":"Mohammad","non-dropping-particle":"","parse-names":false,"suffix":""},{"dropping-particle":"","family":"Christopher Mapoma","given":"Chabila","non-dropping-particle":"","parse-names":false,"suffix":""},{"dropping-particle":"","family":"Marami","given":"Dadi","non-dropping-particle":"","parse-names":false,"suffix":""},{"dropping-particle":"","family":"Maravilla","given":"Joemer C","non-dropping-particle":"","parse-names":false,"suffix":""},{"dropping-particle":"","family":"Marcenes","given":"Wagner","non-dropping-particle":"","parse-names":false,"suffix":""},{"dropping-particle":"","family":"Marczak","given":"Laurie","non-dropping-particle":"","parse-names":false,"suffix":""},{"dropping-particle":"","family":"Marks","given":"Ashley","non-dropping-particle":"","parse-names":false,"suffix":""},{"dropping-particle":"","family":"Marks","given":"Guy B","non-dropping-particle":"","parse-names":false,"suffix":""},{"dropping-particle":"","family":"Martinez","given":"Gabriel","non-dropping-particle":"","parse-names":false,"suffix":""},{"dropping-particle":"","family":"RogerlÃ","given":"Francisco","non-dropping-particle":"","parse-names":false,"suffix":""},{"dropping-particle":"","family":"Martins-Melo","given":"Ndio","non-dropping-particle":"","parse-names":false,"suffix":""},{"dropping-particle":"","family":"Martopullo","given":"Ira","non-dropping-particle":"","parse-names":false,"suffix":""},{"dropping-particle":"","family":"Mã","given":"Winfried","non-dropping-particle":"","parse-names":false,"suffix":""},{"dropping-particle":"","family":"Marzan","given":"Melvin B","non-dropping-particle":"","parse-names":false,"suffix":""},{"dropping-particle":"","family":"Masci","given":"Joseph R","non-dropping-particle":"","parse-names":false,"suffix":""},{"dropping-particle":"","family":"Ballard Massenburg","given":"Benjamin","non-dropping-particle":"","parse-names":false,"suffix":""},{"dropping-particle":"","family":"Raj Mathur","given":"Manu","non-dropping-particle":"","parse-names":false,"suffix":""},{"dropping-particle":"","family":"Mathur","given":"Prashant","non-dropping-particle":"","parse-names":false,"suffix":""},{"dropping-particle":"","family":"Matzopoulos","given":"Richard","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J","non-dropping-particle":"","parse-names":false,"suffix":""},{"dropping-particle":"","family":"McKee","given":"Martin","non-dropping-particle":"","parse-names":false,"suffix":""},{"dropping-particle":"","family":"McMahon","given":"Brian J","non-dropping-particle":"","parse-names":false,"suffix":""},{"dropping-particle":"","family":"Mehata","given":"Suresh","non-dropping-particle":"","parse-names":false,"suffix":""},{"dropping-particle":"","family":"Mohan Mehndiratta","given":"Man","non-dropping-particle":"","parse-names":false,"suffix":""},{"dropping-particle":"","family":"Mehrotra","given":"Ravi","non-dropping-particle":"","parse-names":false,"suffix":""},{"dropping-particle":"","family":"Mehta","given":"Kala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M","non-dropping-particle":"","parse-names":false,"suffix":""},{"dropping-particle":"","family":"Mehta","given":"Varshil","non-dropping-particle":"","parse-names":false,"suffix":""},{"dropping-particle":"","family":"Mekonnen","given":"Tefera C","non-dropping-particle":"","parse-names":false,"suffix":""},{"dropping-particle":"","family":"Melese","given":"Addisu","non-dropping-particle":"","parse-names":false,"suffix":""},{"dropping-particle":"","family":"Melku","given":"Mulugeta","non-dropping-particle":"","parse-names":false,"suffix":""},{"dropping-particle":"","family":"N Memiah","given":"Peter T","non-dropping-particle":"","parse-names":false,"suffix":""},{"dropping-particle":"","family":"Memish","given":"Ziad A","non-dropping-particle":"","parse-names":false,"suffix":""},{"dropping-particle":"","family":"Mendoza","given":"Walter","non-dropping-particle":"","parse-names":false,"suffix":""},{"dropping-particle":"","family":"Tadese Mengistu","given":"Desalegn","non-dropping-particle":"","parse-names":false,"suffix":""},{"dropping-particle":"","family":"Mengistu","given":"Getnet","non-dropping-particle":"","parse-names":false,"suffix":""},{"dropping-particle":"","family":"Mensah","given":"George A","non-dropping-particle":"","parse-names":false,"suffix":""},{"dropping-particle":"","family":"Tiku Mereta","given":"Seid","non-dropping-particle":"","parse-names":false,"suffix":""},{"dropping-particle":"","family":"Meretoja","given":"Atte","non-dropping-particle":"","parse-names":false,"suffix":""},{"dropping-particle":"","family":"Meretoja","given":"Tuomo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J","non-dropping-particle":"","parse-names":false,"suffix":""},{"dropping-particle":"","family":"Mestrovic","given":"Tomislav","non-dropping-particle":"","parse-names":false,"suffix":""},{"dropping-particle":"","family":"Berhane Mezgebe","given":"Haftay","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R","non-dropping-particle":"","parse-names":false,"suffix":""},{"dropping-particle":"","family":"Katherine Miller-Petrie","given":"Molly","non-dropping-particle":"","parse-names":false,"suffix":""},{"dropping-particle":"","family":"Mini","given":"G K","non-dropping-particle":"","parse-names":false,"suffix":""},{"dropping-particle":"","family":"Mirabi","given":"Parvaneh","non-dropping-particle":"","parse-names":false,"suffix":""},{"dropping-particle":"","family":"Mirarefin","given":"Mojde","non-dropping-particle":"","parse-names":false,"suffix":""},{"dropping-particle":"","family":"Mirica","given":"Andreea","non-dropping-particle":"","parse-names":false,"suffix":""},{"dropping-particle":"","family":"Mirrakhimov","given":"Erkin M","non-dropping-particle":"","parse-names":false,"suffix":""},{"dropping-particle":"","family":"Temesgen Misganaw","given":"Awoke","non-dropping-particle":"","parse-names":false,"suffix":""},{"dropping-particle":"","family":"Mitiku","given":"Habtamu","non-dropping-particle":"","parse-names":false,"suffix":""},{"dropping-particle":"","family":"Moazen","given":"Babak","non-dropping-particle":"","parse-names":false,"suffix":""},{"dropping-particle":"","family":"Abdulmuhsin Mohammad","given":"Karzan","non-dropping-particle":"","parse-names":false,"suffix":""},{"dropping-particle":"","family":"Mohammadi","given":"Moslem","non-dropping-particle":"","parse-names":false,"suffix":""},{"dropping-particle":"","family":"Mohammadifard","given":"Noushin","non-dropping-particle":"","parse-names":false,"suffix":""},{"dropping-particle":"","family":"Mohammed","given":"Mohammed A","non-dropping-particle":"","parse-names":false,"suffix":""},{"dropping-particle":"","family":"Mohammed","given":"Shafiu","non-dropping-particle":"","parse-names":false,"suffix":""},{"dropping-particle":"","family":"Mohan","given":"Viswanathan","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eno VelÃ","given":"Ilais","non-dropping-particle":"","parse-names":false,"suffix":""},{"dropping-particle":"","family":"Morgado-Da-Costa","given":"Joana","non-dropping-particle":"","parse-names":false,"suffix":""},{"dropping-particle":"","family":"Douglas Morrison","given":"Shane","non-dropping-particle":"","parse-names":false,"suffix":""},{"dropping-particle":"","family":"Moschos","given":"Marilita M","non-dropping-particle":"","parse-names":false,"suffix":""},{"dropping-particle":"","family":"Mouodi","given":"Simin","non-dropping-particle":"","parse-names":false,"suffix":""},{"dropping-particle":"","family":"Meysam Mousavi","given":"Seyyed","non-dropping-particle":"","parse-names":false,"suffix":""},{"dropping-particle":"","family":"Fentahun Muchie","given":"Kindie","non-dropping-particle":"","parse-names":false,"suffix":""},{"dropping-particle":"","family":"Otto Mueller","given":"Ulrich","non-dropping-particle":"","parse-names":false,"suffix":""},{"dropping-particle":"","family":"Mukhopadhyay","given":"Satinath","non-dropping-particle":"","parse-names":false,"suffix":""},{"dropping-particle":"","family":"Muller","given":"Kate","non-dropping-particle":"","parse-names":false,"suffix":""},{"dropping-particle":"","family":"Everett Mumford","given":"John","non-dropping-particle":"","parse-names":false,"suffix":""},{"dropping-particle":"","family":"Musa","given":"Jonah","non-dropping-particle":"","parse-names":false,"suffix":""},{"dropping-particle":"","family":"Imran Musa","given":"Kamarul","non-dropping-particle":"","parse-names":false,"suffix":""},{"dropping-particle":"","family":"Mustafa","given":"Ghulam","non-dropping-particle":"","parse-names":false,"suffix":""},{"dropping-particle":"","family":"Muthupandian","given":"Saravanan","non-dropping-particle":"","parse-names":false,"suffix":""},{"dropping-particle":"","family":"Nachega","given":"Jean B","non-dropping-particle":"","parse-names":false,"suffix":""},{"dropping-particle":"","family":"Nagel","given":"Gabriele","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r","given":"Sanjeev","non-dropping-particle":"","parse-names":false,"suffix":""},{"dropping-particle":"","family":"Najafi","given":"Farid","non-dropping-particle":"","parse-names":false,"suffix":""},{"dropping-particle":"","family":"Naldi","given":"Luigi","non-dropping-particle":"","parse-names":false,"suffix":""},{"dropping-particle":"","family":"Sung Nam","given":"Hae","non-dropping-particle":"","parse-names":false,"suffix":""},{"dropping-particle":"","family":"Nangia","given":"Vinay","non-dropping-particle":"","parse-names":false,"suffix":""},{"dropping-particle":"","family":"Richie Nansseu","given":"Jobert","non-dropping-particle":"","parse-names":false,"suffix":""},{"dropping-particle":"","family":"Ramos Nascimento","given":"Bruno","non-dropping-particle":"","parse-names":false,"suffix":""},{"dropping-particle":"","family":"Natarajan","given":"Gopalakrishnan","non-dropping-particle":"","parse-names":false,"suffix":""},{"dropping-particle":"","family":"Neamati","given":"Nahid","non-dropping-particle":"","parse-names":false,"suffix":""},{"dropping-particle":"","family":"Negoi","given":"Ionut","non-dropping-particle":"","parse-names":false,"suffix":""},{"dropping-particle":"","family":"Irina Negoi","given":"Ruxandra","non-dropping-particle":"","parse-names":false,"suffix":""},{"dropping-particle":"","family":"Neupane","given":"Subas","non-dropping-particle":"","parse-names":false,"suffix":""},{"dropping-particle":"","family":"J Newton","given":"Charles R","non-dropping-particle":"","parse-names":false,"suffix":""},{"dropping-particle":"","family":"Ngalesoni","given":"Frida N","non-dropping-particle":"","parse-names":false,"suffix":""},{"dropping-particle":"","family":"Ngunjiri","given":"Josephine W","non-dropping-particle":"","parse-names":false,"suffix":""},{"dropping-particle":"","family":"Quynh Nguyen","given":"Anh","non-dropping-particle":"","parse-names":false,"suffix":""},{"dropping-particle":"","family":"Nguyen","given":"Grant","non-dropping-particle":"","parse-names":false,"suffix":""},{"dropping-particle":"","family":"Thu Nguyen","given":"Ha","non-dropping-particle":"","parse-names":false,"suffix":""},{"dropping-particle":"","family":"Thanh Nguyen","given":"Huong","non-dropping-particle":"","parse-names":false,"suffix":""},{"dropping-particle":"","family":"Hoang Nguyen","given":"Long","non-dropping-particle":"","parse-names":false,"suffix":""},{"dropping-particle":"","family":"Nguyen","given":"Minh","non-dropping-particle":"","parse-names":false,"suffix":""},{"dropping-particle":"","family":"Huyen Nguyen","given":"Trang","non-dropping-particle":"","parse-names":false,"suffix":""},{"dropping-particle":"","family":"Nichols","given":"Emma","non-dropping-particle":"","parse-names":false,"suffix":""},{"dropping-particle":"","family":"Nur Anggraini Ningrum","given":"Dina","non-dropping-particle":"","parse-names":false,"suffix":""},{"dropping-particle":"","family":"Legesse Nirayo","given":"Yirga","non-dropping-particle":"","parse-names":false,"suffix":""},{"dropping-particle":"","family":"Nixon","given":"Molly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Jacques Noubiap","given":"Jean","non-dropping-particle":"","parse-names":false,"suffix":""},{"dropping-particle":"","family":"Reza Nouri","given":"Hamid","non-dropping-particle":"","parse-names":false,"suffix":""},{"dropping-particle":"","family":"Nourollahpour Shiadeh","given":"Malihe","non-dropping-particle":"","parse-names":false,"suffix":""},{"dropping-particle":"","family":"Reza Nowroozi","given":"Mohammad","non-dropping-particle":"","parse-names":false,"suffix":""},{"dropping-particle":"","family":"Nyasulu","given":"Peter S","non-dropping-particle":"","parse-names":false,"suffix":""},{"dropping-particle":"","family":"Odell","given":"Christopher M","non-dropping-particle":"","parse-names":false,"suffix":""},{"dropping-particle":"","family":"Ofori-Asenso","given":"Richard","non-dropping-particle":"","parse-names":false,"suffix":""},{"dropping-particle":"","family":"Akpojene Ogbo","given":"Felix","non-dropping-particle":"","parse-names":false,"suffix":""},{"dropping-particle":"","family":"Oh","given":"In-Hwan","non-dropping-particle":"","parse-names":false,"suffix":""},{"dropping-particle":"","family":"Oladimeji","given":"Olanrewaju","non-dropping-particle":"","parse-names":false,"suffix":""},{"dropping-particle":"","family":"Olagunju","given":"Andrew T","non-dropping-particle":"","parse-names":false,"suffix":""},{"dropping-particle":"","family":"Olivares","given":"Pedro R","non-dropping-particle":"","parse-names":false,"suffix":""},{"dropping-particle":"","family":"Elizabeth Olsen","given":"Helen","non-dropping-particle":"","parse-names":false,"suffix":""},{"dropping-particle":"","family":"Olubukunola Olusanya","given":"Bolajoko","non-dropping-particle":"","parse-names":false,"suffix":""},{"dropping-particle":"","family":"Olusegun Olusanya","given":"Jacob","non-dropping-particle":"","parse-names":false,"suffix":""},{"dropping-particle":"","family":"Ong","given":"Kanyin L","non-dropping-particle":"","parse-names":false,"suffix":""},{"dropping-particle":"","family":"King Sk Ong","given":"Sok","non-dropping-particle":"","parse-names":false,"suffix":""},{"dropping-particle":"","family":"Oren","given":"Eyal","non-dropping-particle":"","parse-names":false,"suffix":""},{"dropping-particle":"","family":"Orpana","given":"Heather M","non-dropping-particle":"","parse-names":false,"suffix":""},{"dropping-particle":"","family":"Ortiz","given":"Alberto","non-dropping-particle":"","parse-names":false,"suffix":""},{"dropping-particle":"","family":"Ortiz","given":"Justin R","non-dropping-particle":"","parse-names":false,"suffix":""},{"dropping-particle":"","family":"Otstavnov","given":"Stanislav S","non-dropping-particle":"","parse-names":false,"suffix":""},{"dropping-particle":"","family":"Ã","given":"Simon","non-dropping-particle":"","parse-names":false,"suffix":""},{"dropping-particle":"","family":"Ojo Owolabi","given":"Mayowa","non-dropping-particle":"","parse-names":false,"suffix":""},{"dropping-particle":"","family":"Ã–zdemir","given":"Raziye","non-dropping-particle":"","parse-names":false,"suffix":""},{"dropping-particle":"","family":"A","given":"Mahesh P","non-dropping-particle":"","parse-names":false,"suffix":""},{"dropping-particle":"","family":"Pacella","given":"Rosana","non-dropping-particle":"","parse-names":false,"suffix":""},{"dropping-particle":"","family":"Pakhale","given":"Smita","non-dropping-particle":"","parse-names":false,"suffix":""},{"dropping-particle":"","family":"Pakhare","given":"Abhijit P","non-dropping-particle":"","parse-names":false,"suffix":""},{"dropping-particle":"","family":"Pakpour","given":"Amir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Durai Pandian","given":"Jeyaraj","non-dropping-particle":"","parse-names":false,"suffix":""},{"dropping-particle":"","family":"Parisi","given":"Andrea","non-dropping-particle":"","parse-names":false,"suffix":""},{"dropping-particle":"","family":"Park","given":"Eun-Kee","non-dropping-particle":"","parse-names":false,"suffix":""},{"dropping-particle":"","family":"H Parry","given":"Charles D","non-dropping-particle":"","parse-names":false,"suffix":""},{"dropping-particle":"","family":"Parsian","given":"Hadi","non-dropping-particle":"","parse-names":false,"suffix":""},{"dropping-particle":"","family":"Patel","given":"Shanti","non-dropping-particle":"","parse-names":false,"suffix":""},{"dropping-particle":"","family":"Pati","given":"Sanghamitra","non-dropping-particle":"","parse-names":false,"suffix":""},{"dropping-particle":"","family":"Patton","given":"George C","non-dropping-particle":"","parse-names":false,"suffix":""},{"dropping-particle":"","family":"Rao Paturi","given":"Vishnupriya","non-dropping-particle":"","parse-names":false,"suffix":""},{"dropping-particle":"","family":"Paulson","given":"Katherine R","non-dropping-particle":"","parse-names":false,"suffix":""},{"dropping-particle":"","family":"Pereira","given":"Alexandre","non-dropping-particle":"","parse-names":false,"suffix":""},{"dropping-particle":"","family":"Pereira","given":"David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etzold","given":"Max","non-dropping-particle":"","parse-names":false,"suffix":""},{"dropping-particle":"","family":"Phillips","given":"Michael R","non-dropping-particle":"","parse-names":false,"suffix":""},{"dropping-particle":"","family":"Piel","given":"ric B","non-dropping-particle":"","parse-names":false,"suffix":""},{"dropping-particle":"","family":"Pigott","given":"David M","non-dropping-particle":"","parse-names":false,"suffix":""},{"dropping-particle":"","family":"David Pillay","given":"Julian","non-dropping-particle":"","parse-names":false,"suffix":""},{"dropping-particle":"","family":"Pirsaheb","given":"Meghdad","non-dropping-particle":"","parse-names":false,"suffix":""},{"dropping-particle":"","family":"Pishgar","given":"Farhad","non-dropping-particle":"","parse-names":false,"suffix":""},{"dropping-particle":"","family":"Polinder","given":"Suzanne","non-dropping-particle":"","parse-names":false,"suffix":""},{"dropping-particle":"","family":"Postma","given":"Maarten J","non-dropping-particle":"","parse-names":false,"suffix":""},{"dropping-particle":"","family":"Pourshams","given":"Akram","non-dropping-particle":"","parse-names":false,"suffix":""},{"dropping-particle":"","family":"Poustchi","given":"Hossein","non-dropping-particle":"","parse-names":false,"suffix":""},{"dropping-particle":"","family":"Pujar","given":"Ashwini","non-dropping-particle":"","parse-names":false,"suffix":""},{"dropping-particle":"","family":"Prakash","given":"Swayam","non-dropping-particle":"","parse-names":false,"suffix":""},{"dropping-particle":"","family":"Prasad","given":"Narayan","non-dropping-particle":"","parse-names":false,"suffix":""},{"dropping-particle":"","family":"Purcell","given":"Caroline A","non-dropping-particle":"","parse-names":false,"suffix":""},{"dropping-particle":"","family":"Qorbani","given":"Mostafa","non-dropping-particle":"","parse-names":false,"suffix":""},{"dropping-particle":"","family":"Quintana","given":"Hedley","non-dropping-particle":"","parse-names":false,"suffix":""},{"dropping-particle":"","family":"Alex Quistberg","given":"D","non-dropping-particle":"","parse-names":false,"suffix":""},{"dropping-particle":"","family":"Waman Rade","given":"Kirankumar","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man","given":"Mahfuzar","non-dropping-particle":"","parse-names":false,"suffix":""},{"dropping-particle":"","family":"Hifz Ur Rahman","given":"Mohammad","non-dropping-particle":"","parse-names":false,"suffix":""},{"dropping-particle":"","family":"Aziz Rahman","given":"Muhammad","non-dropping-particle":"","parse-names":false,"suffix":""},{"dropping-particle":"","family":"Kumar Rai","given":"Rajesh","non-dropping-particle":"","parse-names":false,"suffix":""},{"dropping-particle":"","family":"Rajsic","given":"Sasa","non-dropping-particle":"","parse-names":false,"suffix":""},{"dropping-particle":"","family":"Ram","given":"Usha","non-dropping-particle":"","parse-names":false,"suffix":""},{"dropping-particle":"","family":"Lal Ranabhat","given":"Chhabi","non-dropping-particle":"","parse-names":false,"suffix":""},{"dropping-particle":"","family":"Ranjan","given":"Prabhat","non-dropping-particle":"","parse-names":false,"suffix":""},{"dropping-particle":"","family":"Rao","given":"Puja C","non-dropping-particle":"","parse-names":false,"suffix":""},{"dropping-particle":"","family":"Laith Rawaf","given":"David","non-dropping-particle":"","parse-names":false,"suffix":""},{"dropping-particle":"","family":"Rawaf","given":"Salman","non-dropping-particle":"","parse-names":false,"suffix":""},{"dropping-particle":"","family":"Razo-GarcÃ","given":"Christian","non-dropping-particle":"","parse-names":false,"suffix":""},{"dropping-particle":"","family":"Srinath Reddy","given":"K","non-dropping-particle":"","parse-names":false,"suffix":""},{"dropping-particle":"","family":"Reiner","given":"Robert C","non-dropping-particle":"","parse-names":false,"suffix":""},{"dropping-particle":"","family":"Reitsma","given":"Marissa B","non-dropping-particle":"","parse-names":false,"suffix":""},{"dropping-particle":"","family":"Remuzzi","given":"Giuseppe","non-dropping-particle":"","parse-names":false,"suffix":""},{"dropping-particle":"","family":"N Renzaho","given":"Andre M","non-dropping-particle":"","parse-names":false,"suffix":""},{"dropping-particle":"","family":"Resnikoff","given":"Serge","non-dropping-particle":"","parse-names":false,"suffix":""},{"dropping-particle":"","family":"Rezaei","given":"Satar","non-dropping-particle":"","parse-names":false,"suffix":""},{"dropping-particle":"","family":"Rezaeian","given":"Shahab","non-dropping-particle":"","parse-names":false,"suffix":""},{"dropping-particle":"","family":"Sadegh Rezai","given":"Mohammad","non-dropping-particle":"","parse-names":false,"suffix":""},{"dropping-particle":"","family":"Mohammad Riahi","given":"Seyed","non-dropping-particle":"","parse-names":false,"suffix":""},{"dropping-particle":"","family":"Luiz Ribeiro","given":"Antonio P","non-dropping-particle":"","parse-names":false,"suffix":""},{"dropping-particle":"","family":"Jesus Rios-Blancas","given":"Maria","non-dropping-particle":"","parse-names":false,"suffix":""},{"dropping-particle":"","family":"Teji Roba","given":"Kedir","non-dropping-particle":"","parse-names":false,"suffix":""},{"dropping-particle":"","family":"S Roberts","given":"Nicholas L","non-dropping-particle":"","parse-names":false,"suffix":""},{"dropping-particle":"","family":"Robinson","given":"Stephen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enbacher","given":"Dietrich","non-dropping-particle":"","parse-names":false,"suffix":""},{"dropping-particle":"","family":"Roy","given":"Ambuj","non-dropping-particle":"","parse-names":false,"suffix":""},{"dropping-particle":"","family":"Rubagotti","given":"Enrico","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Safari","given":"Hosein","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Ali Sahraian","given":"Mohammad","non-dropping-particle":"","parse-names":false,"suffix":""},{"dropping-particle":"","family":"Salam","given":"Nasir","non-dropping-particle":"","parse-names":false,"suffix":""},{"dropping-particle":"","family":"Salama","given":"Joseph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S","non-dropping-particle":"","parse-names":false,"suffix":""},{"dropping-particle":"","family":"Salamati","given":"Payman","non-dropping-particle":"","parse-names":false,"suffix":""},{"dropping-particle":"","family":"Freitas Saldanha","given":"Raphael","non-dropping-particle":"De","parse-names":false,"suffix":""},{"dropping-particle":"","family":"Saleem","given":"Zikria","non-dropping-particle":"","parse-names":false,"suffix":""},{"dropping-particle":"","family":"Salimi","given":"Yahya","non-dropping-particle":"","parse-names":false,"suffix":""},{"dropping-particle":"","family":"Santosh Salvi","given":"Sundeep","non-dropping-particle":"","parse-names":false,"suffix":""},{"dropping-particle":"","family":"Salz","given":"Inbal","non-dropping-particle":"","parse-names":false,"suffix":""},{"dropping-particle":"","family":"Zondani Sambala","given":"Evanson","non-dropping-particle":"","parse-names":false,"suffix":""},{"dropping-particle":"","family":"Samy","given":"Abdallah M","non-dropping-particle":"","parse-names":false,"suffix":""},{"dropping-particle":"","family":"Sanabria","given":"Juan","non-dropping-particle":"","parse-names":false,"suffix":""},{"dropping-particle":"","family":"Dolores Sanchez-NiÃ","given":"Maria","non-dropping-particle":"","parse-names":false,"suffix":""},{"dropping-particle":"","family":"Francesco Santomauro","given":"Damian","non-dropping-particle":"","parse-names":false,"suffix":""},{"dropping-particle":"","family":"Santos","given":"Itamar S","non-dropping-particle":"","parse-names":false,"suffix":""},{"dropping-particle":"","family":"Santos","given":"Vasco","non-dropping-particle":"","parse-names":false,"suffix":""},{"dropping-particle":"","family":"Santric Milicevic","given":"Milena M","non-dropping-particle":"","parse-names":false,"suffix":""},{"dropping-particle":"","family":"Piassi Sao Jose","given":"Bruno","non-dropping-particle":"","parse-names":false,"suffix":""},{"dropping-particle":"","family":"Razzaque Sarker","given":"Abdur","non-dropping-particle":"","parse-names":false,"suffix":""},{"dropping-particle":"","family":"Sarmiento-SuÃ","given":"Rodrigo","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yah","given":"Mehdi","non-dropping-particle":"","parse-names":false,"suffix":""},{"dropping-particle":"","family":"Schaeffner","given":"Elke","non-dropping-particle":"","parse-names":false,"suffix":""},{"dropping-particle":"","family":"InÃªs Schmidt","given":"Maria","non-dropping-particle":"","parse-names":false,"suffix":""},{"dropping-particle":"","family":"C Schneider","given":"Ione J","non-dropping-particle":"","parse-names":false,"suffix":""},{"dropping-particle":"","family":"SchÃ","given":"Ben","non-dropping-particle":"","parse-names":false,"suffix":""},{"dropping-particle":"","family":"Elisabeth Schutte","given":"Aletta","non-dropping-particle":"","parse-names":false,"suffix":""},{"dropping-particle":"","family":"Schwebel","given":"David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Ã","given":"Edson","non-dropping-particle":"","parse-names":false,"suffix":""},{"dropping-particle":"","family":"Seyedmousavi","given":"Seyedmojtaba","non-dropping-particle":"","parse-names":false,"suffix":""},{"dropping-particle":"","family":"Shabaninejad","given":"Hosein","non-dropping-particle":"","parse-names":false,"suffix":""},{"dropping-particle":"","family":"Anne Shackelford","given":"Katya","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A","non-dropping-particle":"","parse-names":false,"suffix":""},{"dropping-particle":"","family":"Ali Shaikh","given":"Masood","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isay Shiferaw","given":"Mekonnen","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rime","given":"Mark G","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J","non-dropping-particle":"","parse-names":false,"suffix":""},{"dropping-particle":"","family":"Dora Sigfusdottir","given":"Inga","non-dropping-particle":"","parse-names":false,"suffix":""},{"dropping-particle":"","family":"Sigurvinsdottir","given":"Rannveig","non-dropping-particle":"","parse-names":false,"suffix":""},{"dropping-particle":"","family":"Silberberg","given":"Donald H","non-dropping-particle":"","parse-names":false,"suffix":""},{"dropping-particle":"","family":"Augusto Santos Silva","given":"Diego","non-dropping-particle":"","parse-names":false,"suffix":""},{"dropping-particle":"","family":"Silva","given":"Pedro","non-dropping-particle":"","parse-names":false,"suffix":""},{"dropping-particle":"","family":"Torres Da Silva","given":"Natacha","non-dropping-particle":"","parse-names":false,"suffix":""},{"dropping-particle":"","family":"Gabriele Alves Silveira","given":"Dayane","non-dropping-particle":"","parse-names":false,"suffix":""},{"dropping-particle":"","family":"Singh","given":"Jasvinder A","non-dropping-particle":"","parse-names":false,"suffix":""},{"dropping-particle":"","family":"Pal Singh","given":"Narinder","non-dropping-particle":"","parse-names":false,"suffix":""},{"dropping-particle":"","family":"Kumar Singh","given":"Prashant","non-dropping-particle":"","parse-names":false,"suffix":""},{"dropping-particle":"","family":"Singh","given":"Virendra","non-dropping-particle":"","parse-names":false,"suffix":""},{"dropping-particle":"","family":"Narain Sinha","given":"Dhirendra","non-dropping-particle":"","parse-names":false,"suffix":""},{"dropping-particle":"","family":"Sliwa","given":"Karen","non-dropping-particle":"","parse-names":false,"suffix":""},{"dropping-particle":"","family":"Smith","given":"Mari","non-dropping-particle":"","parse-names":false,"suffix":""},{"dropping-particle":"","family":"Hasan Sobaih","given":"Badr","non-dropping-particle":"","parse-names":false,"suffix":""},{"dropping-particle":"","family":"Sobhani","given":"Soheila","non-dropping-particle":"","parse-names":false,"suffix":""},{"dropping-particle":"","family":"Sobngwi","given":"Ne","non-dropping-particle":"","parse-names":false,"suffix":""},{"dropping-particle":"","family":"Soneji","given":"Samir S","non-dropping-particle":"","parse-names":false,"suffix":""},{"dropping-particle":"","family":"Soofi","given":"Moslem","non-dropping-particle":"","parse-names":false,"suffix":""},{"dropping-particle":"","family":"D Sorensen","given":"Reed J","non-dropping-particle":"","parse-names":false,"suffix":""},{"dropping-particle":"","family":"Soriano","given":"Joan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D","non-dropping-particle":"","parse-names":false,"suffix":""},{"dropping-particle":"","family":"Starodubov","given":"Vladimir I","non-dropping-particle":"","parse-names":false,"suffix":""},{"dropping-particle":"","family":"Stathopoulou","given":"Vasiliki","non-dropping-particle":"","parse-names":false,"suffix":""},{"dropping-particle":"","family":"Stein","given":"Dan J","non-dropping-particle":"","parse-names":false,"suffix":""},{"dropping-particle":"","family":"Steiner","given":"Caitlyn","non-dropping-particle":"","parse-names":false,"suffix":""},{"dropping-particle":"","family":"Stewart","given":"Leo G","non-dropping-particle":"","parse-names":false,"suffix":""},{"dropping-particle":"","family":"Stokes","given":"Mark A","non-dropping-particle":"","parse-names":false,"suffix":""},{"dropping-particle":"","family":"Subart","given":"Michelle L","non-dropping-particle":"","parse-names":false,"suffix":""},{"dropping-particle":"","family":"Sudaryanto","given":"Agus","non-dropping-particle":"","parse-names":false,"suffix":""},{"dropping-particle":"","family":"Babale Sufiyan","given":"Awiyyah","non-dropping-particle":"","parse-names":false,"suffix":""},{"dropping-particle":"","family":"John Sur","given":"Patrick","non-dropping-particle":"","parse-names":false,"suffix":""},{"dropping-particle":"","family":"Sutradhar","given":"Ipsita","non-dropping-particle":"","parse-names":false,"suffix":""},{"dropping-particle":"","family":"Sykes","given":"Bryan L","non-dropping-particle":"","parse-names":false,"suffix":""},{"dropping-particle":"","family":"Sylaja","given":"P N","non-dropping-particle":"","parse-names":false,"suffix":""},{"dropping-particle":"","family":"Sylte","given":"Dillon O","non-dropping-particle":"","parse-names":false,"suffix":""},{"dropping-particle":"","family":"I Szoeke","given":"Cassandra E","non-dropping-particle":"","parse-names":false,"suffix":""},{"dropping-particle":"","family":"TabarÃ","given":"Rafael","non-dropping-particle":"","parse-names":false,"suffix":""},{"dropping-particle":"","family":"Tabuchi","given":"Takahiro","non-dropping-particle":"","parse-names":false,"suffix":""},{"dropping-particle":"","family":"Kumar Tadakamadla","given":"Santosh","non-dropping-particle":"","parse-names":false,"suffix":""},{"dropping-particle":"","family":"Takahashi","given":"Ken","non-dropping-particle":"","parse-names":false,"suffix":""},{"dropping-particle":"","family":"Tandon","given":"Nikhil","non-dropping-particle":"","parse-names":false,"suffix":""},{"dropping-particle":"","family":"Gebremeskel Tassew","given":"Segen","non-dropping-particle":"","parse-names":false,"suffix":""},{"dropping-particle":"","family":"Taveira","given":"Nuno","non-dropping-particle":"","parse-names":false,"suffix":""},{"dropping-particle":"","family":"Tehrani-Banihashemi","given":"Arash","non-dropping-particle":"","parse-names":false,"suffix":""},{"dropping-particle":"","family":"Gashaw Tekalign","given":"Tigist","non-dropping-particle":"","parse-names":false,"suffix":""},{"dropping-particle":"","family":"Gebremedhin Tekle","given":"Merhawi","non-dropping-particle":"","parse-names":false,"suffix":""},{"dropping-particle":"","family":"Temsah","given":"Mohamad-Hani","non-dropping-particle":"","parse-names":false,"suffix":""},{"dropping-particle":"","family":"Temsah","given":"Omar","non-dropping-particle":"","parse-names":false,"suffix":""},{"dropping-particle":"","family":"Sulieman Terkawi","given":"Abdullah","non-dropping-particle":"","parse-names":false,"suffix":""},{"dropping-particle":"","family":"Yihune Teshale","given":"Manaye","non-dropping-particle":"","parse-names":false,"suffix":""},{"dropping-particle":"","family":"Tessema","given":"Belay","non-dropping-particle":"","parse-names":false,"suffix":""},{"dropping-particle":"","family":"Assefa Tessema","given":"Gizachew","non-dropping-particle":"","parse-names":false,"suffix":""},{"dropping-particle":"","family":"Raman Thankappan","given":"Kavumpurathu","non-dropping-particle":"","parse-names":false,"suffix":""},{"dropping-particle":"","family":"Thirunavukkarasu","given":"Sathish","non-dropping-particle":"","parse-names":false,"suffix":""},{"dropping-particle":"","family":"Thomas","given":"Nihal","non-dropping-particle":"","parse-names":false,"suffix":""},{"dropping-particle":"","family":"Thrift","given":"Amanda G","non-dropping-particle":"","parse-names":false,"suffix":""},{"dropping-particle":"","family":"Thurston","given":"George D","non-dropping-particle":"","parse-names":false,"suffix":""},{"dropping-particle":"","family":"Tilahun","given":"Binyam","non-dropping-particle":"","parse-names":false,"suffix":""},{"dropping-particle":"","family":"To","given":"Quyen G","non-dropping-particle":"","parse-names":false,"suffix":""},{"dropping-particle":"","family":"Tobe-Gai","given":"Ruoyan","non-dropping-particle":"","parse-names":false,"suffix":""},{"dropping-particle":"","family":"Tonelli","given":"Marcello","non-dropping-particle":"","parse-names":false,"suffix":""},{"dropping-particle":"","family":"Topor-Madry","given":"Roman","non-dropping-particle":"","parse-names":false,"suffix":""},{"dropping-particle":"","family":"Torre","given":"Anna E","non-dropping-particle":"","parse-names":false,"suffix":""},{"dropping-particle":"","family":"Tortajada-GirbÃ","given":"Miguel","non-dropping-particle":"","parse-names":false,"suffix":""},{"dropping-particle":"","family":"Touvier","given":"Mathilde","non-dropping-particle":"","parse-names":false,"suffix":""},{"dropping-particle":"","family":"Roberto Tovani-Palone","given":"Marcos","non-dropping-particle":"","parse-names":false,"suffix":""},{"dropping-particle":"","family":"Xuan Tran","given":"Bach","non-dropping-particle":"","parse-names":false,"suffix":""},{"dropping-particle":"","family":"Bao Tran","given":"Khanh","non-dropping-particle":"","parse-names":false,"suffix":""},{"dropping-particle":"","family":"Tripathi","given":"Suryakant","non-dropping-particle":"","parse-names":false,"suffix":""},{"dropping-particle":"","family":"Troeger","given":"Christopher E","non-dropping-particle":"","parse-names":false,"suffix":""},{"dropping-particle":"","family":"Clement Truelsen","given":"Thomas","non-dropping-particle":"","parse-names":false,"suffix":""},{"dropping-particle":"","family":"Thi Truong","given":"Nu","non-dropping-particle":"","parse-names":false,"suffix":""},{"dropping-particle":"","family":"Gebremeskel Tsadik","given":"Afewerki","non-dropping-particle":"","parse-names":false,"suffix":""},{"dropping-particle":"","family":"Tsoi","given":"Derrick","non-dropping-particle":"","parse-names":false,"suffix":""},{"dropping-particle":"","family":"Tudor Car","given":"Lorainne","non-dropping-particle":"","parse-names":false,"suffix":""},{"dropping-particle":"","family":"Murat Tuzcu","given":"E","non-dropping-particle":"","parse-names":false,"suffix":""},{"dropping-particle":"","family":"Tyrovolas","given":"Stefanos","non-dropping-particle":"","parse-names":false,"suffix":""},{"dropping-particle":"","family":"Ukwaja","given":"Kingsley N","non-dropping-particle":"","parse-names":false,"suffix":""},{"dropping-particle":"","family":"Ullah","given":"Irfan","non-dropping-particle":"","parse-names":false,"suffix":""},{"dropping-particle":"","family":"Undurraga","given":"Eduardo A","non-dropping-particle":"","parse-names":false,"suffix":""},{"dropping-particle":"","family":"Updike","given":"Rachel L","non-dropping-particle":"","parse-names":false,"suffix":""},{"dropping-particle":"","family":"Shariq Usman","given":"Muhammad","non-dropping-particle":"","parse-names":false,"suffix":""},{"dropping-particle":"","family":"Uthman","given":"Olalekan A","non-dropping-particle":"","parse-names":false,"suffix":""},{"dropping-particle":"","family":"BegÃ","given":"Selen","non-dropping-particle":"","parse-names":false,"suffix":""},{"dropping-particle":"","family":"Vaduganathan","given":"Muthiah","non-dropping-particle":"","parse-names":false,"suffix":""},{"dropping-particle":"","family":"Vaezi","given":"Afsane","non-dropping-particle":"","parse-names":false,"suffix":""},{"dropping-particle":"","family":"Vaidya","given":"Gaurang","non-dropping-particle":"","parse-names":false,"suffix":""},{"dropping-particle":"","family":"Valdez","given":"Pascual R","non-dropping-particle":"","parse-names":false,"suffix":""},{"dropping-particle":"","family":"Varavikova","given":"Elena","non-dropping-particle":"","parse-names":false,"suffix":""},{"dropping-particle":"","family":"Juhani Vasankari","given":"Tommi","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S","non-dropping-particle":"","parse-names":false,"suffix":""},{"dropping-particle":"","family":"Konstantinovitch Vladimirov","given":"Sergey","non-dropping-particle":"","parse-names":false,"suffix":""},{"dropping-particle":"","family":"Vlassov","given":"Vasily","non-dropping-particle":"","parse-names":false,"suffix":""},{"dropping-particle":"","family":"Emil Vollset","given":"Stein","non-dropping-particle":"","parse-names":false,"suffix":""},{"dropping-particle":"","family":"Vos","given":"Theo","non-dropping-particle":"","parse-names":false,"suffix":""},{"dropping-particle":"","family":"Wagner","given":"Gregory R","non-dropping-particle":"","parse-names":false,"suffix":""},{"dropping-particle":"","family":"Shiferaw Wagnew","given":"Fasil","non-dropping-particle":"","parse-names":false,"suffix":""},{"dropping-particle":"","family":"Waheed","given":"Yasir","non-dropping-particle":"","parse-names":false,"suffix":""},{"dropping-particle":"","family":"Taylor Wallin","given":"Mitchell","non-dropping-particle":"","parse-names":false,"suffix":""},{"dropping-particle":"","family":"Walson","given":"Judd L","non-dropping-particle":"","parse-names":false,"suffix":""},{"dropping-particle":"","family":"Wang","given":"Yanping","non-dropping-particle":"","parse-names":false,"suffix":""},{"dropping-particle":"","family":"Wang","given":"Yuan-Pang","non-dropping-particle":"","parse-names":false,"suffix":""},{"dropping-particle":"","family":"Mesele Wassie","given":"Molla","non-dropping-particle":"","parse-names":false,"suffix":""},{"dropping-particle":"","family":"Weiderpass","given":"Elisabete","non-dropping-particle":"","parse-names":false,"suffix":""},{"dropping-particle":"","family":"Weintraub","given":"Robert G","non-dropping-particle":"","parse-names":false,"suffix":""},{"dropping-particle":"","family":"Weldegebreal","given":"Fitsum","non-dropping-particle":"","parse-names":false,"suffix":""},{"dropping-particle":"","family":"Gidey Weldegwergs","given":"Kidu","non-dropping-particle":"","parse-names":false,"suffix":""},{"dropping-particle":"","family":"Werdecker","given":"Andrea","non-dropping-particle":"","parse-names":false,"suffix":""},{"dropping-particle":"","family":"Ayaliew Werkneh","given":"Adhena","non-dropping-particle":"","parse-names":false,"suffix":""},{"dropping-particle":"","family":"Eoin West","given":"T","non-dropping-particle":"","parse-names":false,"suffix":""},{"dropping-particle":"","family":"Westerman","given":"Ronny","non-dropping-particle":"","parse-names":false,"suffix":""},{"dropping-particle":"","family":"Whiteford","given":"Harvey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A","non-dropping-particle":"","parse-names":false,"suffix":""},{"dropping-particle":"","family":"Widecka","given":"Justyna","non-dropping-particle":"","parse-names":false,"suffix":""},{"dropping-particle":"","family":"Wilner","given":"Lauren B","non-dropping-particle":"","parse-names":false,"suffix":""},{"dropping-particle":"","family":"Wilson","given":"Shadrach","non-dropping-particle":"","parse-names":false,"suffix":""},{"dropping-particle":"","family":"Sylvia Winkler","given":"Andrea","non-dropping-particle":"","parse-names":false,"suffix":""},{"dropping-particle":"","family":"Shey Wiysonge","given":"Charles","non-dropping-particle":"","parse-names":false,"suffix":""},{"dropping-particle":"","family":"A Wolfe","given":"Charles D","non-dropping-particle":"","parse-names":false,"suffix":""},{"dropping-particle":"","family":"Wu","given":"Shouling","non-dropping-particle":"","parse-names":false,"suffix":""},{"dropping-particle":"","family":"Wu","given":"Yun-Chun","non-dropping-particle":"","parse-names":false,"suffix":""},{"dropping-particle":"","family":"A Wyper","given":"Grant M","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Hossein Yahyazadeh Jabbari","given":"Seyed","non-dropping-particle":"","parse-names":false,"suffix":""},{"dropping-particle":"","family":"Yakob","given":"Bereket","non-dropping-particle":"","parse-names":false,"suffix":""},{"dropping-particle":"","family":"Yan","given":"Lijing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Jemal Yasin","given":"Yasin","non-dropping-particle":"","parse-names":false,"suffix":""},{"dropping-particle":"","family":"Kadri YentÃ","given":"Kalp","non-dropping-particle":"","parse-names":false,"suffix":""},{"dropping-particle":"","family":"Yeshaneh","given":"Alex","non-dropping-particle":"","parse-names":false,"suffix":""},{"dropping-particle":"","family":"Yimer","given":"Ebrahim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M","non-dropping-particle":"","parse-names":false,"suffix":""},{"dropping-particle":"","family":"Yip","given":"Paul","non-dropping-particle":"","parse-names":false,"suffix":""},{"dropping-particle":"","family":"Desalegn Yirsaw","given":"Biruck","non-dropping-particle":"","parse-names":false,"suffix":""},{"dropping-particle":"","family":"Yisma","given":"Engida","non-dropping-particle":"","parse-names":false,"suffix":""},{"dropping-particle":"","family":"Yonemoto","given":"Naohiro","non-dropping-particle":"","parse-names":false,"suffix":""},{"dropping-particle":"","family":"Yonga","given":"Gerald","non-dropping-particle":"","parse-names":false,"suffix":""},{"dropping-particle":"","family":"Yoon","given":"Seok-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dnik","given":"Vesna","non-dropping-particle":"","parse-names":false,"suffix":""},{"dropping-particle":"","family":"Zaidi","given":"Zoubida","non-dropping-particle":"","parse-names":false,"suffix":""},{"dropping-particle":"","family":"Zaman","given":"Sojib","non-dropping-particle":"Bin","parse-names":false,"suffix":""},{"dropping-particle":"","family":"Zamani","given":"Mohammad","non-dropping-particle":"","parse-names":false,"suffix":""},{"dropping-particle":"","family":"Zare","given":"Zohreh","non-dropping-particle":"","parse-names":false,"suffix":""},{"dropping-particle":"","family":"Jejaw Zeleke","given":"Ayalew","non-dropping-particle":"","parse-names":false,"suffix":""},{"dropping-particle":"","family":"Menlkalew Zenebe","given":"Zerihun","non-dropping-particle":"","parse-names":false,"suffix":""},{"dropping-particle":"","family":"Lin Zhang","given":"Anthony","non-dropping-particle":"","parse-names":false,"suffix":""},{"dropping-particle":"","family":"Zhang","given":"Kai","non-dropping-particle":"","parse-names":false,"suffix":""},{"dropping-particle":"","family":"Zhou","given":"Maigeng","non-dropping-particle":"","parse-names":false,"suffix":""},{"dropping-particle":"","family":"Zodpey","given":"Sanjay","non-dropping-particle":"","parse-names":false,"suffix":""},{"dropping-particle":"","family":"Joanna Zuhlke","given":"Liesl","non-dropping-particle":"","parse-names":false,"suffix":""},{"dropping-particle":"","family":"Naghavi","given":"Mohsen","non-dropping-particle":"","parse-names":false,"suffix":""},{"dropping-particle":"","family":"L Murray","given":"Christopher J","non-dropping-particle":"","parse-names":false,"suffix":""},{"dropping-particle":"","family":"of Death Collaborators","given":"Causes","non-dropping-particle":"","parse-names":false,"suffix":""}],"container-title":"Lancet (London, England)","id":"ITEM-1","issued":{"date-parts":[["2018"]]},"page":"1736-1788","title":"Global, regional, and national age-sex-specific mortality for 282 causes of death in 195 countries and territories, 1980-2017: a systematic analysis for the Global Burden of Disease Study 2017 GBD 2017 Causes of Death Collaborators*","type":"article-journal","volume":"392"},"uris":["http://www.mendeley.com/documents/?uuid=95c200a0-aa46-399c-93c1-aa99f0148a2f"]}],"mendeley":{"formattedCitation":"(1)","plainTextFormattedCitation":"(1)","previouslyFormattedCitation":"(1)"},"properties":{"noteIndex":0},"schema":"https://github.com/citation-style-language/schema/raw/master/csl-citation.json"}</w:instrText>
      </w:r>
      <w:r w:rsidR="000B1267" w:rsidRPr="00F34287">
        <w:rPr>
          <w:color w:val="000000" w:themeColor="text1"/>
          <w:sz w:val="22"/>
          <w:szCs w:val="22"/>
        </w:rPr>
        <w:fldChar w:fldCharType="separate"/>
      </w:r>
      <w:r w:rsidR="003B1439" w:rsidRPr="00F34287">
        <w:rPr>
          <w:noProof/>
          <w:color w:val="000000" w:themeColor="text1"/>
          <w:sz w:val="22"/>
          <w:szCs w:val="22"/>
        </w:rPr>
        <w:t>(1)</w:t>
      </w:r>
      <w:r w:rsidR="000B1267" w:rsidRPr="00F34287">
        <w:rPr>
          <w:color w:val="000000" w:themeColor="text1"/>
          <w:sz w:val="22"/>
          <w:szCs w:val="22"/>
        </w:rPr>
        <w:fldChar w:fldCharType="end"/>
      </w:r>
      <w:r w:rsidRPr="00F34287">
        <w:rPr>
          <w:color w:val="000000" w:themeColor="text1"/>
          <w:sz w:val="22"/>
          <w:szCs w:val="22"/>
        </w:rPr>
        <w:t xml:space="preserve">. </w:t>
      </w:r>
      <w:r w:rsidR="000B1267" w:rsidRPr="00F34287">
        <w:rPr>
          <w:color w:val="000000" w:themeColor="text1"/>
          <w:sz w:val="22"/>
          <w:szCs w:val="22"/>
        </w:rPr>
        <w:t>Understanding novel disease m</w:t>
      </w:r>
      <w:r w:rsidR="000608B4" w:rsidRPr="00F34287">
        <w:rPr>
          <w:color w:val="000000" w:themeColor="text1"/>
          <w:sz w:val="22"/>
          <w:szCs w:val="22"/>
        </w:rPr>
        <w:t>arkers</w:t>
      </w:r>
      <w:r w:rsidR="000B1267" w:rsidRPr="00F34287">
        <w:rPr>
          <w:color w:val="000000" w:themeColor="text1"/>
          <w:sz w:val="22"/>
          <w:szCs w:val="22"/>
        </w:rPr>
        <w:t xml:space="preserve"> is key to improved </w:t>
      </w:r>
      <w:r w:rsidR="0095134D" w:rsidRPr="00F34287">
        <w:rPr>
          <w:color w:val="000000" w:themeColor="text1"/>
          <w:sz w:val="22"/>
          <w:szCs w:val="22"/>
        </w:rPr>
        <w:t>disease prevention, treatment, and prognostication. A</w:t>
      </w:r>
      <w:r w:rsidR="005428FD" w:rsidRPr="00F34287">
        <w:rPr>
          <w:color w:val="000000" w:themeColor="text1"/>
          <w:sz w:val="22"/>
          <w:szCs w:val="22"/>
        </w:rPr>
        <w:t xml:space="preserve"> positive association between </w:t>
      </w:r>
      <w:r w:rsidR="00D61625" w:rsidRPr="00F34287">
        <w:rPr>
          <w:color w:val="000000" w:themeColor="text1"/>
          <w:sz w:val="22"/>
          <w:szCs w:val="22"/>
        </w:rPr>
        <w:t>resting heart rate (</w:t>
      </w:r>
      <w:r w:rsidR="005428FD" w:rsidRPr="00F34287">
        <w:rPr>
          <w:color w:val="000000" w:themeColor="text1"/>
          <w:sz w:val="22"/>
          <w:szCs w:val="22"/>
        </w:rPr>
        <w:t>RHR</w:t>
      </w:r>
      <w:r w:rsidR="00D61625" w:rsidRPr="00F34287">
        <w:rPr>
          <w:color w:val="000000" w:themeColor="text1"/>
          <w:sz w:val="22"/>
          <w:szCs w:val="22"/>
        </w:rPr>
        <w:t>)</w:t>
      </w:r>
      <w:r w:rsidR="005428FD" w:rsidRPr="00F34287">
        <w:rPr>
          <w:color w:val="000000" w:themeColor="text1"/>
          <w:sz w:val="22"/>
          <w:szCs w:val="22"/>
        </w:rPr>
        <w:t xml:space="preserve"> and mortality has been repeatedly demonstrated in the literature</w:t>
      </w:r>
      <w:r w:rsidR="00064D64" w:rsidRPr="00F34287">
        <w:rPr>
          <w:color w:val="000000" w:themeColor="text1"/>
          <w:sz w:val="22"/>
          <w:szCs w:val="22"/>
        </w:rPr>
        <w:t xml:space="preserve">. </w:t>
      </w:r>
      <w:r w:rsidR="00064D64" w:rsidRPr="00F34287">
        <w:rPr>
          <w:bCs/>
          <w:color w:val="000000" w:themeColor="text1"/>
          <w:sz w:val="22"/>
          <w:szCs w:val="22"/>
        </w:rPr>
        <w:t xml:space="preserve">This association has been replicated in diverse study populations, including cohorts with known CVD, and in healthy </w:t>
      </w:r>
      <w:r w:rsidR="005428FD" w:rsidRPr="00F34287">
        <w:rPr>
          <w:bCs/>
          <w:color w:val="000000" w:themeColor="text1"/>
          <w:sz w:val="22"/>
          <w:szCs w:val="22"/>
        </w:rPr>
        <w:t>populations</w:t>
      </w:r>
      <w:r w:rsidR="008B6095"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10.1093/eurheartj/ehi190","ISSN":"1522-9645","author":[{"dropping-particle":"","family":"Diaz","given":"Ariel","non-dropping-particle":"","parse-names":false,"suffix":""},{"dropping-particle":"","family":"Bourassa","given":"Martial G.","non-dropping-particle":"","parse-names":false,"suffix":""},{"dropping-particle":"","family":"Guertin","given":"Marie-Claude","non-dropping-particle":"","parse-names":false,"suffix":""},{"dropping-particle":"","family":"Tardif","given":"Jean-Claude","non-dropping-particle":"","parse-names":false,"suffix":""}],"container-title":"European Heart Journal","id":"ITEM-1","issue":"10","issued":{"date-parts":[["2005","5","1"]]},"page":"967-974","title":"Long-term prognostic value of resting heart rate in patients with suspected or proven coronary artery disease","type":"article-journal","volume":"26"},"uris":["http://www.mendeley.com/documents/?uuid=a5942480-6857-3446-a2ab-40c47c4fc67b"]},{"id":"ITEM-2","itemData":{"DOI":"10.1007/s00392-015-0956-7","abstract":"Background High resting heart rate (RHR) predicts car-diovascular outcomes in patients with vascular disease and heart failure. We evaluated the prognostic value of RHR in a large contemporary population-based, prospective cohort of individuals without known coronary artery disease. Methods and results Resting heart rate (RHR) was determined in 4091 individuals (mean age 59.2 ± 7.7; 53 % women) from the Heinz Nixdorf RECALL study, of whom, 3348 were free of heart rate lowering medication. During 10.5 years of follow-up (median), 159 (3.9 %) individuals developed a coronary event and 398 (9.7 %) died of any cause. Persons without any event (n = 3603) had similar heart rates as persons with coronary events (69.5 ± 11 versus 69.9 ± 11 bpm, p = 0.51) but lower heart rates than persons who died (72.3 ± 13 bpm, p \\ 0.0001). In individuals without heart rate lowering medication, an increase in heart rate by 5 bpm was associated with an increased hazard ratio (HR) for all-cause mortality of 13 % in unadjusted analysis and also upon adjustment for traditional cardiovascular risk factors, including coronary artery calcification [full model: HR (95 % CI) 1.13 (1.07-1.20), p \\ 0.0001], but not for coronary events [HR 1.02 (0.94-1.11), p = 0.60]. In individuals without heart rate lowering medication, the HR (full model) for heart rate C70 versus\\70 bpm with regard to all-cause mortality and coronary events was 1.68 (1.30-2.18), p \\ 0.0001, and 1.20 (0.82-1.77), p = 0.35. Analysis of the entire cohort revealed a continuous relationship of heart rate with all-cause mortality [HR for lowest to highest heart rate quartile 1.64 (1.22-2.22), p = 0.001, full model] but not with coronary events [HR 1.04 (0.65-1.66), p = 0.86]. Conclusions In the general population without known coronary artery disease and heart rate lowering medication, elevated RHR is an independent risk marker for all-cause mortality but not for coronary events.","author":[{"dropping-particle":"","family":"Custodis","given":"Florian","non-dropping-particle":"","parse-names":false,"suffix":""},{"dropping-particle":"","family":"Roggenbuck","given":"Ulla","non-dropping-particle":"","parse-names":false,"suffix":""},{"dropping-particle":"","family":"Lehmann","given":"Nils","non-dropping-particle":"","parse-names":false,"suffix":""},{"dropping-particle":"","family":"Moebus","given":"Susanne","non-dropping-particle":"","parse-names":false,"suffix":""},{"dropping-particle":"","family":"Laufs","given":"Ulrich","non-dropping-particle":"","parse-names":false,"suffix":""},{"dropping-particle":"","family":"Mahabadi","given":"Amir-Abbas","non-dropping-particle":"","parse-names":false,"suffix":""},{"dropping-particle":"","family":"Heusch","given":"Gerd","non-dropping-particle":"","parse-names":false,"suffix":""},{"dropping-particle":"","family":"Mann","given":"Klaus","non-dropping-particle":"","parse-names":false,"suffix":""},{"dropping-particle":"","family":"Jöckel","given":"Karl-Heinz","non-dropping-particle":"","parse-names":false,"suffix":""},{"dropping-particle":"","family":"Erbel","given":"Raimund","non-dropping-particle":"","parse-names":false,"suffix":""},{"dropping-particle":"","family":"Böhm","given":"Michael","non-dropping-particle":"","parse-names":false,"suffix":""},{"dropping-particle":"","family":"Möhlenkamp","given":"Stefan","non-dropping-particle":"","parse-names":false,"suffix":""},{"dropping-particle":"","family":"Möhlenkamp stefanmoehlenkamp","given":"Stefan","non-dropping-particle":"","parse-names":false,"suffix":""}],"container-title":"Clin Res Cardiol","id":"ITEM-2","issued":{"date-parts":[["2016"]]},"note":"understand with greater confindece the nature of the relationship between RHR and cardiovascular mortality","page":"601-612","title":"Resting heart rate is an independent predictor of all-cause mortality in the middle aged general population","type":"article-journal","volume":"105"},"uris":["http://www.mendeley.com/documents/?uuid=0e2e6c57-8a3a-3271-866a-5d701c361e9b"]},{"id":"ITEM-3","itemData":{"DOI":"10.1136/jech-2015-206663","ISSN":"1470-2738","PMID":"26951324","abstract":"BACKGROUND Elevated resting heart rate (RHR) increases risk of death overall, but a comprehensive picture of the associations between RHR, cardiovascular morbidity and mortality events has not yet been presented. We aimed to investigate the effect of RHR on the risk of 5 cardiovascular events: incident myocardial infarction (MI), incident atrial fibrillation (AF), incident ischaemic stroke, total death and cardiovascular death in a general population from Norway. METHODS We followed 24 489 men and women from the Tromsø Study 1994-1995, a population-based cohort study, for 18 years, and analysed the association between RHR and the investigated cardiovascular events. Sex-specific Cox regression with time-dependent covariates was applied with the best-fitting fractional polynomials of RHR. RESULTS Among men, an independent positive relationship was observed for MI and AF (adjusted HR for AF per 20 bpm increase=1.14; 95% CI 1.02 to 1.27). In women, the corresponding HR for MI was 1.23 (1.09 to 1.40). A J-shaped association was observed for ischaemic stroke in women when compared with a RHR of 70 bpm (HR for 50 bpm=1.31; 0.90 to 1.90; HR for 100 bpm=1.32; 1.04 to 1.69). Total and cardiovascular death showed a strong positive association with RHR in men. In women, the pattern for total death was similar. CONCLUSIONS RHR is an independent risk factor for several cardiovascular events. A novel finding is the positive association between RHR and AF in men and the sex difference in association with ischaemic stroke.","author":[{"dropping-particle":"","family":"Sharashova","given":"Ekaterina","non-dropping-particle":"","parse-names":false,"suffix":""},{"dropping-particle":"","family":"Wilsgaard","given":"Tom","non-dropping-particle":"","parse-names":false,"suffix":""},{"dropping-particle":"","family":"Mathiesen","given":"Ellisiv B","non-dropping-particle":"","parse-names":false,"suffix":""},{"dropping-particle":"","family":"Løchen","given":"Maja-Lisa","non-dropping-particle":"","parse-names":false,"suffix":""},{"dropping-particle":"","family":"Njølstad","given":"Inger","non-dropping-particle":"","parse-names":false,"suffix":""},{"dropping-particle":"","family":"Brenn","given":"Tormod","non-dropping-particle":"","parse-names":false,"suffix":""}],"container-title":"Journal of epidemiology and community health","id":"ITEM-3","issue":"9","issued":{"date-parts":[["2016","9","1"]]},"note":"the role of important modifiers such as age and sex are poorly understood with inconsistent reports in the literature.\n\nstudies - narrow age ranges","page":"902-9","publisher":"BMJ Publishing Group Ltd","title":"Resting heart rate predicts incident myocardial infarction, atrial fibrillation, ischaemic stroke and death in the general population: the Tromsø Study.","type":"article-journal","volume":"70"},"uris":["http://www.mendeley.com/documents/?uuid=3729e782-be6a-370e-8aca-d71b30355608"]},{"id":"ITEM-4","itemData":{"DOI":"10.1503/cmaj.150535","ISSN":"1488-2329","PMID":"26598376","abstract":"BACKGROUND Data on resting heart rate and risk of all-cause and cardiovascular mortality are inconsistent; the magnitude of associations between resting heart rate and risk of all-cause and cardiovascular mortality varies across studies. We performed a meta-analysis of prospective cohort studies to quantitatively evaluate the associations in the general population. METHODS We searched PubMed, Embase and MEDLINE from inception to Jan. 1, 2015. We used a random-effects model to combine study-specific relative risks and 95% confidence intervals (CIs). We used restricted cubic spline functions to assess the dose-response relation. RESULTS A total of 46 studies were included in the meta-analysis, involving 1 246 203 patients and 78 349 deaths for all-cause mortality, and 848 320 patients and 25 800 deaths for cardiovascular mortality. The relative risk with 10 beats/min increment of resting heart rate was 1.09 (95% CI 1.07-1.12) for all-cause mortality and 1.08 (95% CI 1.06-1.10) for cardiovascular mortality. Compared with the lowest category, patients with a resting heart rate of 60-80 beats/min had a relative risk of 1.12 (95% CI 1.07-1.17) for all-cause mortality and 1.08 (95% CI 0.99-1.17) for cardiovascular mortality, and those with a resting heart rate of greater than 80 beats/min had a relative risk of 1.45 (95% CI 1.34-1.57) for all-cause mortality and 1.33 (95% CI 1.19-1.47) for cardiovascular mortality. Overall, the results did not differ after adjustment for traditional risk factors for cardiovascular disease. Compared with 45 beats/min, the risk of all-cause mortality increased significantly with increasing resting heart rate in a linear relation, but a significantly increased risk of cardiovascular mortality was observed at 90 beats/min. Substantial heterogeneity and publication bias were detected. INTERPRETATION Higher resting heart rate was independently associated with increased risks of all-cause and cardiovascular mortality. This indicates that resting heart rate is a predictor of all-cause and cardiovascular mortality in the general population.","author":[{"dropping-particle":"","family":"Zhang","given":"Dongfeng","non-dropping-particle":"","parse-names":false,"suffix":""},{"dropping-particle":"","family":"Shen","given":"Xiaoli","non-dropping-particle":"","parse-names":false,"suffix":""},{"dropping-particle":"","family":"Qi","given":"Xin","non-dropping-particle":"","parse-names":false,"suffix":""}],"container-title":"CMAJ : Canadian Medical Association journal = journal de l'Association medicale canadienne","id":"ITEM-4","issue":"3","issued":{"date-parts":[["2016","2","16"]]},"page":"E53-E63","publisher":"CMAJ","title":"Resting heart rate and all-cause and cardiovascular mortality in the general population: a meta-analysis.","type":"article-journal","volume":"188"},"uris":["http://www.mendeley.com/documents/?uuid=d0cdd794-afb0-3e99-9af5-2573b9402b5e"]},{"id":"ITEM-5","itemData":{"DOI":"10.1016/J.NUMECD.2017.04.004","ISSN":"0939-4753","abstract":"BACKGROUND AND AIM\nEpidemiological studies have reported increased risk of cardiovascular disease, cancer and all-cause mortality with greater resting heart rate, however, the evidence is not consistent. Differences by gender, adjustment for confounding factors, as well as the potential impact of subclinical disease are not clear. A previous meta-analysis missed a large number of studies, and data for atrial fibrillation have not been summarized before. We therefore aimed to clarify these associations in a systematic review and meta-analysis of prospective studies. \n\nMETHODS AND RESULTS\nPubMed and Embase were searched up to 29 March 2017. Summary RRs and 95% confidence intervals (CIs) were calculated using random effects models. Eighty seven studies were included. The summary RR per 10 beats per minute increase in resting heart rate was 1.07 (95% CI: 1.05–1.10, I2 = 61.9%, n = 31) for coronary heart disease, 1.09 (95% CI: 1.00–1.18, I2 = 62.3%, n = 5) for sudden cardiac death, 1.18 (95% CI: 1.10–1.27, I2 = 74.5%, n = 8) for heart failure, 0.97 (95% CI: 0.92–1.02, I2 = 91.4%, n = 9) for atrial fibrillation, 1.06 (95% CI: 1.02–1.10, I2 = 59.5%, n = 16) for total stroke, 1.15 (95% CI: 1.11–1.18, I2 = 84.3%, n = 35) for cardiovascular disease, 1.14 (95% CI: 1.06–1.23, I2 = 90.2%, n = 12) for total cancer, and 1.17 (95% CI: 1.14–1.19, I2 = 94.0%, n = 48) for all-cause mortality. There was a positive dose–response relationship for all outcomes except for atrial fibrillation for which there was a J-shaped association. \n\nCONCLUSION\nThis meta-analysis found an increased risk of coronary heart disease, sudden cardiac death, heart failure, atrial fibrillation, stroke, cardiovascular disease, total cancer and all-cause mortality with greater resting heart rate.","author":[{"dropping-particle":"","family":"Aune","given":"D.","non-dropping-particle":"","parse-names":false,"suffix":""},{"dropping-particle":"","family":"Sen","given":"A.","non-dropping-particle":"","parse-names":false,"suffix":""},{"dropping-particle":"","family":"ó'Hartaigh","given":"B.","non-dropping-particle":"","parse-names":false,"suffix":""},{"dropping-particle":"","family":"Janszky","given":"I.","non-dropping-particle":"","parse-names":false,"suffix":""},{"dropping-particle":"","family":"Romundstad","given":"P.R.","non-dropping-particle":"","parse-names":false,"suffix":""},{"dropping-particle":"","family":"Tonstad","given":"S.","non-dropping-particle":"","parse-names":false,"suffix":""},{"dropping-particle":"","family":"Vatten","given":"L.J.","non-dropping-particle":"","parse-names":false,"suffix":""}],"container-title":"Nutrition, Metabolism and Cardiovascular Diseases","id":"ITEM-5","issue":"6","issued":{"date-parts":[["2017","6","1"]]},"note":"quite nice explanation of mechanisms in discussion\n\ncould you have an elevated resting heart rate in the absence of disease? possible to do with autonomic tone. \nother possibility is that the observed relationship is due to reverse causation. \n\nDue to lack of detailed patient characterisation som estudies were unable to fully control for known \nknown determinants of RHR such as bp and exercise have not been adequately accounted - bias leaving thrm oprn to bias from residual confounding\n\ndifferential effect in men and women\\\n\nare the inflammatory processes caused by subclinical disease or de-novo processes leading to genesis of disease?\n\nduration of follow up","page":"504-517","publisher":"Elsevier","title":"Resting heart rate and the risk of cardiovascular disease, total cancer, and all-cause mortality – A systematic review and dose–response meta-analysis of prospective studies","type":"article-journal","volume":"27"},"uris":["http://www.mendeley.com/documents/?uuid=52ec24cf-e344-30be-902c-62f1b18b184f"]}],"mendeley":{"formattedCitation":"(2–6)","plainTextFormattedCitation":"(2–6)","previouslyFormattedCitation":"(2–6)"},"properties":{"noteIndex":0},"schema":"https://github.com/citation-style-language/schema/raw/master/csl-citation.json"}</w:instrText>
      </w:r>
      <w:r w:rsidR="008B6095" w:rsidRPr="00F34287">
        <w:rPr>
          <w:color w:val="000000" w:themeColor="text1"/>
          <w:sz w:val="22"/>
          <w:szCs w:val="22"/>
        </w:rPr>
        <w:fldChar w:fldCharType="separate"/>
      </w:r>
      <w:r w:rsidR="003B1439" w:rsidRPr="00F34287">
        <w:rPr>
          <w:noProof/>
          <w:color w:val="000000" w:themeColor="text1"/>
          <w:sz w:val="22"/>
          <w:szCs w:val="22"/>
        </w:rPr>
        <w:t>(2–6)</w:t>
      </w:r>
      <w:r w:rsidR="008B6095" w:rsidRPr="00F34287">
        <w:rPr>
          <w:color w:val="000000" w:themeColor="text1"/>
          <w:sz w:val="22"/>
          <w:szCs w:val="22"/>
        </w:rPr>
        <w:fldChar w:fldCharType="end"/>
      </w:r>
      <w:r w:rsidR="000B1267" w:rsidRPr="00F34287">
        <w:rPr>
          <w:color w:val="000000" w:themeColor="text1"/>
          <w:sz w:val="22"/>
          <w:szCs w:val="22"/>
        </w:rPr>
        <w:t xml:space="preserve">. </w:t>
      </w:r>
      <w:r w:rsidR="00FE3CEE" w:rsidRPr="00F34287">
        <w:rPr>
          <w:color w:val="000000" w:themeColor="text1"/>
          <w:sz w:val="22"/>
          <w:szCs w:val="22"/>
        </w:rPr>
        <w:t xml:space="preserve">There is general agreement, that in men, </w:t>
      </w:r>
      <w:r w:rsidR="00756F6D" w:rsidRPr="00F34287">
        <w:rPr>
          <w:color w:val="000000" w:themeColor="text1"/>
          <w:sz w:val="22"/>
          <w:szCs w:val="22"/>
        </w:rPr>
        <w:t xml:space="preserve">this relationship is driven by </w:t>
      </w:r>
      <w:r w:rsidR="00FE3CEE" w:rsidRPr="00F34287">
        <w:rPr>
          <w:color w:val="000000" w:themeColor="text1"/>
          <w:sz w:val="22"/>
          <w:szCs w:val="22"/>
        </w:rPr>
        <w:t xml:space="preserve">excess CVD mortality. </w:t>
      </w:r>
      <w:r w:rsidR="00202A09" w:rsidRPr="00F34287">
        <w:rPr>
          <w:color w:val="000000" w:themeColor="text1"/>
          <w:sz w:val="22"/>
          <w:szCs w:val="22"/>
        </w:rPr>
        <w:t xml:space="preserve">However, reports for women are </w:t>
      </w:r>
      <w:r w:rsidR="0032527C" w:rsidRPr="00F34287">
        <w:rPr>
          <w:color w:val="000000" w:themeColor="text1"/>
          <w:sz w:val="22"/>
          <w:szCs w:val="22"/>
        </w:rPr>
        <w:t>conflicting</w:t>
      </w:r>
      <w:r w:rsidR="00202A09" w:rsidRPr="00F34287">
        <w:rPr>
          <w:color w:val="000000" w:themeColor="text1"/>
          <w:sz w:val="22"/>
          <w:szCs w:val="22"/>
        </w:rPr>
        <w:t>, varying from a more pronounced effect</w:t>
      </w:r>
      <w:r w:rsidR="00202A09"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{"citationItems":[{"id":"ITEM-1","itemData":{"DOI":"10.1016/0002-8703(91)90970-s","ISSN":"0002-8703","PMID":"1985358","abstract":"To determine whether associations of elevated resting pulse rate with CHD incidence or death in white men are independent of other risk factors and whether such associations exist for women and blacks, data were examined from the NHANES I Epidemiologic Follow-up Study. Over a follow-up period of 6 to 13 years, elevated RR for CHD incidence were found for older white men with baseline pulse greater than 84 beats/min compared with less than 74 beats/min after controlling multiple risk factors (RR = 1.37, 95% CL 1.02, 1.84). Risks of death from all causes, cardiovascular diseases, and noncardiovascular diseases were also elevated for white men with elevated pulse rate independent of other risk factors. CHD incidence was increased in white women with elevated pulse rate. Risks of death from all causes, cardiovascular diseases, and noncardiovascular diseases, were also elevated for white men with elevated pulse rate independent of other risk factors. CHD incidence was increased in white women with elevated pulse rate. Risk of death from all causes and cardiovascular diseases was elevated in black men and women with elevated pulse rate. Risk of death from noncardiovascular disease was elevated in black men with elevated pulse rate. The association with cardiovascular death was particularly striking in black women, even after adjusting for baseline risk factors (RR 3.03, 95% CL 1.46, 6.28). Further studies are needed to assess associations of pulse rate with CHD in blacks and to elucidate mechanisms in all groups.","author":[{"dropping-particle":"","family":"Gillum","given":"R F","non-dropping-particle":"","parse-names":false,"suffix":""},{"dropping-particle":"","family":"Makuc","given":"D M","non-dropping-particle":"","parse-names":false,"suffix":""},{"dropping-particle":"","family":"Feldman","given":"J J","non-dropping-particle":"","parse-names":false,"suffix":""}],"container-title":"American heart journal","id":"ITEM-1","issue":"1 Pt 1","issued":{"date-parts":[["1991","1"]]},"page":"172-7","title":"Pulse rate, coronary heart disease, and death: the NHANES I Epidemiologic Follow-up Study.","type":"article-journal","volume":"121"},"uris":["http://www.mendeley.com/documents/?uuid=6f54137e-2a82-39e3-9819-d2d756fbe3b6"]}],"mendeley":{"formattedCitation":"(7)","plainTextFormattedCitation":"(7)","previouslyFormattedCitation":"(7)"},"properties":{"noteIndex":0},"schema":"https://github.com/citation-style-language/schema/raw/master/csl-citation.json"}</w:instrText>
      </w:r>
      <w:r w:rsidR="00202A09" w:rsidRPr="00F34287">
        <w:rPr>
          <w:color w:val="000000" w:themeColor="text1"/>
          <w:sz w:val="22"/>
          <w:szCs w:val="22"/>
        </w:rPr>
        <w:fldChar w:fldCharType="separate"/>
      </w:r>
      <w:r w:rsidR="003B1439" w:rsidRPr="00F34287">
        <w:rPr>
          <w:noProof/>
          <w:color w:val="000000" w:themeColor="text1"/>
          <w:sz w:val="22"/>
          <w:szCs w:val="22"/>
        </w:rPr>
        <w:t>(7)</w:t>
      </w:r>
      <w:r w:rsidR="00202A09" w:rsidRPr="00F34287">
        <w:rPr>
          <w:color w:val="000000" w:themeColor="text1"/>
          <w:sz w:val="22"/>
          <w:szCs w:val="22"/>
        </w:rPr>
        <w:fldChar w:fldCharType="end"/>
      </w:r>
      <w:r w:rsidR="00202A09" w:rsidRPr="00F34287">
        <w:rPr>
          <w:color w:val="000000" w:themeColor="text1"/>
          <w:sz w:val="22"/>
          <w:szCs w:val="22"/>
        </w:rPr>
        <w:t>, to a weakened or absent association</w:t>
      </w:r>
      <w:r w:rsidR="00202A09"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{"citationItems":[{"id":"ITEM-1","itemData":{"DOI":"10.1001/archinte.1996.00440050051006","ISSN":"0003-9926","abstract":"&lt;h3&gt;Background:&lt;/h3&gt;&lt;p&gt;Whereas a variety of epidemiological stud-ies ies have examined factors associated with overall and cause-specific morbidity and mortality, limited data exist about factors associated with longevity, particularly in middle-aged men and women. The present study examined factors associated with survival to 75 years of age in middle-aged men and women from the community-based Framingham Study.&lt;/p&gt;&lt;h3&gt;Methods:&lt;/h3&gt;&lt;p&gt;After excluding persons with cancer, cardiovascular disease, or diabetes, 747 men and 973 women from the Framingham Study, who were 50 years of age at the time of a routine clinical examination and who could potentially reach 75 years of age during follow-up, were studied. Logistic regression modeling was used to examine factors associated with survival to 75 years of age.&lt;/p&gt;&lt;h3&gt;Results:&lt;/h3&gt;&lt;p&gt;Fewer cigarettes smoked per day, lower systolic blood pressure, and higher forced vital capacity were associated with longevity in both sexes. Lower heart rate in men and parental survival to 75 years of age in women were additionally associated with survival to 75 years of age.&lt;/p&gt;&lt;h3&gt;Conclusions:&lt;/h3&gt;&lt;p&gt;The results of this long-term, prospective study suggest a number of lifestyle characteristics and one familial factor associated with increased life expectancy. These data lend further support to the positive impact on life expectancy of health promotional efforts directed at smoking cessation and control of hypertension in middle-aged men and women.&lt;/p&gt;&lt;p&gt;(Arch Intern Med. 1996;156:505-509)&lt;/p&gt;","author":[{"dropping-particle":"","family":"Goldberg","given":"Robert J.","non-dropping-particle":"","parse-names":false,"suffix":""},{"dropping-particle":"","family":"Larson","given":"Martin","non-dropping-particle":"","parse-names":false,"suffix":""},{"dropping-particle":"","family":"Levy","given":"Daniel","non-dropping-particle":"","parse-names":false,"suffix":""}],"container-title":"Archives of Internal Medicine","id":"ITEM-1","issue":"5","issued":{"date-parts":[["1996","3","11"]]},"page":"505","publisher":"American Medical Association","title":"Factors Associated With Survival to 75 Years of Age in Middle-aged Men and Women","type":"article-journal","volume":"156"},"uris":["http://www.mendeley.com/documents/?uuid=06713ec4-4ce8-35db-816c-628c50ed6d40"]},{"id":"ITEM-2","itemData":{"DOI":"10.1093/oxfordjournals.aje.a009901","abstract":"In a prospective cohort study, associations of resting heart rate with risk of coronary, cardiovascular disease, cancer, and all-cause mortality in age-specific cohorts of black and white men and women were examined over 22 years of follow-up. Participants were employees from 84 companies and organizations in the Chicago, Illinois, area who volunteered for a screening examination. Participants included 9,706 men aged 18-39 years, 7,760 men aged 40-59 years, 1,321 men aged 60-74 years, 6,928 women aged 18-39 years, 6,915 women aged 40-59 years, and 1,151 women aged 60-74 years at trie baseline examination in 1967-1973. Vital status was ascertained through 1992. For fatal coronary disease, multivariate-adjusted relative risks associated with a 12 beats per minute higher heart rate (one standard deviation) were as follows: for men aged 18-39 years, relative risk (RR) = 1.27 (95% confidence interval (Cl) 1.08-1.48); for men aged 40-59 years, RR = 1.13 (95% Cl 1.05-1.21); for men aged 60-74 years, RR = 1.00 (95% Cl 0.89-1.12); for women aged 40-59 years, RR = 1.21 (95% Cl 1.07-1.36); and for women aged 60-74 years, RR = 1.16 (95% Cl 0.99-1.37). Corresponding risks for all fatal cardiovascular diseases were similar to those for coronary death alone. Deaths from cancer were significantly associated with heart rate in men and women aged 40-59 years. All-cause mortality was associated with higher heart rate in men aged 18-39 years (RR = 1.11, 95% Cl 1.01-1.20), men aged 40-59 years (RR = 1.16, 95% Cl 1.11-1.21), and women aged 40-59 years (RR = 1.20, 95% Cl 1.13-1.27). Heart rate was not associated with mortality in women aged 18-39 years. In summary, heart rate was a risk factor for mortality from coronary disease, all cardiovascular diseases, and all causes in younger men and in middle-aged men and women, and for cancer mortality in middle-aged men and women. Am J Epidemiol 1999;149:853-62.","author":[{"dropping-particle":"","family":"Greenland","given":"Philip","non-dropping-particle":"","parse-names":false,"suffix":""},{"dropping-particle":"","family":"Daviglus","given":"Martha L","non-dropping-particle":"","parse-names":false,"suffix":""},{"dropping-particle":"","family":"Dyer","given":"Alan R","non-dropping-particle":"","parse-names":false,"suffix":""},{"dropping-particle":"","family":"Liu","given":"Kiang","non-dropping-particle":"","parse-names":false,"suffix":""},{"dropping-particle":"","family":"Huang","given":"Cheng-Fang","non-dropping-particle":"","parse-names":false,"suffix":""},{"dropping-particle":"","family":"Goldberger","given":"Jeffrey J","non-dropping-particle":"","parse-names":false,"suffix":""},{"dropping-particle":"","family":"Stamler","given":"Jeremiah","non-dropping-particle":"","parse-names":false,"suffix":""}],"container-title":"American Journal of Epidemiology","id":"ITEM-2","issue":"9","issued":{"date-parts":[["1999"]]},"page":"853-862","title":"Resting Heart Rate is a Risk Factor for Cardiovascular and Noncardiovascular Mortality","type":"article-journal","volume":"149"},"uris":["http://www.mendeley.com/documents/?uuid=8a4c82ff-7342-36c3-8fa8-811a83c47be6"]},{"id":"ITEM-3","itemData":{"DOI":"10.1161/01.hyp.33.1.44","ISSN":"0194-911X","PMID":"9931080","abstract":"-The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1979)","id":"ITEM-3","issue":"1","issued":{"date-parts":[["1999","1"]]},"page":"44-52","title":"Influence of heart rate on mortality in a French population: role of age, gender, and blood pressure.","type":"article-journal","volume":"33"},"uris":["http://www.mendeley.com/documents/?uuid=2a7e8b17-1e03-3540-932e-b13c20ab9b22"]},{"id":"ITEM-4","itemData":{"DOI":"10.1093/eurheartj/ehn435","ISSN":"0195-668X","author":[{"dropping-particle":"","family":"Tverdal","given":"A.","non-dropping-particle":"","parse-names":false,"suffix":""},{"dropping-particle":"","family":"Hjellvik","given":"V.","non-dropping-particle":"","parse-names":false,"suffix":""},{"dropping-particle":"","family":"Selmer","given":"R.","non-dropping-particle":"","parse-names":false,"suffix":""}],"container-title":"European Heart Journal","id":"ITEM-4","issue":"22","issued":{"date-parts":[["2008","5","30"]]},"note":"ref to review\n\n19\n20\n5\n\n\nIt has been shown that the\nhigher the risk in absolute terms the lower the risk in relative\nterms.","page":"2772-2781","publisher":"Narnia","title":"Heart rate and mortality from cardiovascular causes: a 12 year follow-up study of 379 843 men and women aged 40-45 years","type":"article-journal","volume":"29"},"uris":["http://www.mendeley.com/documents/?uuid=33b5a5d0-a9d2-33f2-8c55-4146a807e559"]}],"mendeley":{"formattedCitation":"(8–11)","plainTextFormattedCitation":"(8–11)","previouslyFormattedCitation":"(8–11)"},"properties":{"noteIndex":0},"schema":"https://github.com/citation-style-language/schema/raw/master/csl-citation.json"}</w:instrText>
      </w:r>
      <w:r w:rsidR="00202A09" w:rsidRPr="00F34287">
        <w:rPr>
          <w:color w:val="000000" w:themeColor="text1"/>
          <w:sz w:val="22"/>
          <w:szCs w:val="22"/>
        </w:rPr>
        <w:fldChar w:fldCharType="separate"/>
      </w:r>
      <w:r w:rsidR="003B1439" w:rsidRPr="00F34287">
        <w:rPr>
          <w:noProof/>
          <w:color w:val="000000" w:themeColor="text1"/>
          <w:sz w:val="22"/>
          <w:szCs w:val="22"/>
        </w:rPr>
        <w:t>(8–11)</w:t>
      </w:r>
      <w:r w:rsidR="00202A09" w:rsidRPr="00F34287">
        <w:rPr>
          <w:color w:val="000000" w:themeColor="text1"/>
          <w:sz w:val="22"/>
          <w:szCs w:val="22"/>
        </w:rPr>
        <w:fldChar w:fldCharType="end"/>
      </w:r>
      <w:r w:rsidR="00202A09" w:rsidRPr="00F34287">
        <w:rPr>
          <w:color w:val="000000" w:themeColor="text1"/>
          <w:sz w:val="22"/>
          <w:szCs w:val="22"/>
        </w:rPr>
        <w:t xml:space="preserve">. </w:t>
      </w:r>
      <w:r w:rsidR="0056640F" w:rsidRPr="00F34287">
        <w:rPr>
          <w:color w:val="000000" w:themeColor="text1"/>
          <w:sz w:val="22"/>
          <w:szCs w:val="22"/>
        </w:rPr>
        <w:t>Despite wide recognition of differential patterns of CVD in men and women</w:t>
      </w:r>
      <w:r w:rsidR="0056640F"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{"citationItems":[{"id":"ITEM-1","itemData":{"DOI":"10.1161/CIRCRESAHA.116.307547","ISSN":"15244571","abstract":"Cardiovascular disease continues to be the leading cause of death among women in the United States, accounting for ≈1 of every 3 female deaths. Sex-specific data focused on cardiovascular disease have been increasing steadily, yet is not routinely collected nor translated into practice. This comprehensive review focuses on novel and unique aspects of cardiovascular health in women and sex differences as they relate to clinical practice in the prevention, diagnosis, and treatment of cardiovascular disease. This review also provides current approaches to the evaluation and treatment of acute coronary syndromes that are more prevalent in women, including myocardial infarction associated with nonobstructive coronary arteries, spontaneous coronary artery dissection, and stress-induced cardiomyopathy (Takotsubo Syndrome). Other cardiovascular disease entities with higher prevalence or unique considerations in women, such as heart failure with preserved ejection fraction, peripheral arterial disease, and abdominal aortic aneurysms, are also briefly reviewed. Finally, recommendations for cardiac rehabilitation are addressed.","author":[{"dropping-particle":"","family":"Garcia","given":"Mariana","non-dropping-particle":"","parse-names":false,"suffix":""},{"dropping-particle":"","family":"Mulvagh","given":"Sharon L.","non-dropping-particle":"","parse-names":false,"suffix":""},{"dropping-particle":"","family":"Merz","given":"C. Noel Bairey","non-dropping-particle":"","parse-names":false,"suffix":""},{"dropping-particle":"","family":"Buring","given":"Julie E.","non-dropping-particle":"","parse-names":false,"suffix":""},{"dropping-particle":"","family":"Manson","given":"Jo Ann E.","non-dropping-particle":"","parse-names":false,"suffix":""}],"container-title":"Circulation Research","id":"ITEM-1","issue":"8","issued":{"date-parts":[["2016"]]},"page":"1273-1293","title":"Cardiovascular disease in women: Clinical perspectives","type":"article-journal","volume":"118"},"uris":["http://www.mendeley.com/documents/?uuid=137aeeb2-bfcb-4452-a4d1-801258fc8fd7"]}],"mendeley":{"formattedCitation":"(12)","plainTextFormattedCitation":"(12)","previouslyFormattedCitation":"(12)"},"properties":{"noteIndex":0},"schema":"https://github.com/citation-style-language/schema/raw/master/csl-citation.json"}</w:instrText>
      </w:r>
      <w:r w:rsidR="0056640F" w:rsidRPr="00F34287">
        <w:rPr>
          <w:color w:val="000000" w:themeColor="text1"/>
          <w:sz w:val="22"/>
          <w:szCs w:val="22"/>
        </w:rPr>
        <w:fldChar w:fldCharType="separate"/>
      </w:r>
      <w:r w:rsidR="003B1439" w:rsidRPr="00F34287">
        <w:rPr>
          <w:noProof/>
          <w:color w:val="000000" w:themeColor="text1"/>
          <w:sz w:val="22"/>
          <w:szCs w:val="22"/>
        </w:rPr>
        <w:t>(12)</w:t>
      </w:r>
      <w:r w:rsidR="0056640F" w:rsidRPr="00F34287">
        <w:rPr>
          <w:color w:val="000000" w:themeColor="text1"/>
          <w:sz w:val="22"/>
          <w:szCs w:val="22"/>
        </w:rPr>
        <w:fldChar w:fldCharType="end"/>
      </w:r>
      <w:r w:rsidR="0056640F" w:rsidRPr="00F34287">
        <w:rPr>
          <w:color w:val="000000" w:themeColor="text1"/>
          <w:sz w:val="22"/>
          <w:szCs w:val="22"/>
        </w:rPr>
        <w:t xml:space="preserve">, differential associations of RHR by sex have not been adequately studied. </w:t>
      </w:r>
      <w:r w:rsidR="005216DC" w:rsidRPr="00F34287">
        <w:rPr>
          <w:color w:val="000000" w:themeColor="text1"/>
          <w:sz w:val="22"/>
          <w:szCs w:val="22"/>
        </w:rPr>
        <w:t xml:space="preserve">There is under-representation of women in existing reports, with </w:t>
      </w:r>
      <w:r w:rsidR="00FE3CEE" w:rsidRPr="00F34287">
        <w:rPr>
          <w:color w:val="000000" w:themeColor="text1"/>
          <w:sz w:val="22"/>
          <w:szCs w:val="22"/>
        </w:rPr>
        <w:t xml:space="preserve">several studies </w:t>
      </w:r>
      <w:r w:rsidR="005216DC" w:rsidRPr="00F34287">
        <w:rPr>
          <w:color w:val="000000" w:themeColor="text1"/>
          <w:sz w:val="22"/>
          <w:szCs w:val="22"/>
        </w:rPr>
        <w:t>limited to</w:t>
      </w:r>
      <w:r w:rsidR="00FE3CEE" w:rsidRPr="00F34287">
        <w:rPr>
          <w:color w:val="000000" w:themeColor="text1"/>
          <w:sz w:val="22"/>
          <w:szCs w:val="22"/>
        </w:rPr>
        <w:t xml:space="preserve"> men-only cohorts</w:t>
      </w:r>
      <w:r w:rsidR="00FE3CEE"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{"citationItems":[{"id":"ITEM-1","itemData":{"DOI":"10.1136/openhrt-2018-000856","ISSN":"2053-3624","abstract":"Background Resting heart rate (RHR), a known cardiovascular risk factor, changes with age. However, little is known about the association between changes in RHR and the risk of cardiovascular events. The purpose of this study was therefore to assess the impact of RHR at baseline, and the change in RHR over time, on the risk of all-cause death and cardiovascular events.\n\nDesign A random population sample of men born in 1943 who were living in Gothenburg, Sweden was prospectively followed for a 21-year period.\n\nMethods Participants were examined three times: first in 1993 and then re-examined in 2003 and 2014. At each visit, a clinical examination, an ECG and laboratory analyses were performed. Change in RHR between 1993 and 2003 was defined as a decrease if RHR decreased by 5 beats per minute (bpm), an increase if RHR increased by 5 bpm or stable if the RHR change was &lt;4bpm).\n\nResults Participants with a baseline RHR of &gt;75 bpm in 1993 had about a twofold higher risk of all-cause death (HR 2.3, CI 1.2 to 4.7, p=0.018), cardiovascular disease (CVD) (HR 1.8, CI 1.1 to 3.0, p=0.014) and coronary heart disease (CHD) (HR 2.2, CI 1.1 to 4.5, p=0.025) compared with those with &lt;55 bpm in 1993. Participants with a stable RHR between 1993 and 2003 had a 44% decreased risk of CVD (HR 0.56, CI 0.35 to 0.87, p=0.011) compared with participants with an increasing RHR. Furthermore, every beat increase in heart rate from 1993 was associated with a 3% higher risk for all-cause death, 1% higher risk for CVD and 2% higher risk for CHD.\n\nConclusion High RHR was associated with an increased risk of death and cardiovascular events in men from the general population. Moreover, individuals with an increase in RHR between 50 and 60 years of age had worse outcome.","author":[{"dropping-particle":"","family":"Chen","given":"Xiao-jing","non-dropping-particle":"","parse-names":false,"suffix":""},{"dropping-particle":"","family":"Barywani","given":"Salim Bary","non-dropping-particle":"","parse-names":false,"suffix":""},{"dropping-particle":"","family":"Hansson","given":"Per-Olof","non-dropping-particle":"","parse-names":false,"suffix":""},{"dropping-particle":"","family":"Östgärd Thunström","given":"Erik","non-dropping-particle":"","parse-names":false,"suffix":""},{"dropping-particle":"","family":"Rosengren","given":"Annika","non-dropping-particle":"","parse-names":false,"suffix":""},{"dropping-particle":"","family":"Ergatoudes","given":"Constantinos","non-dropping-particle":"","parse-names":false,"suffix":""},{"dropping-particle":"","family":"Mandalenakis","given":"Zacharias","non-dropping-particle":"","parse-names":false,"suffix":""},{"dropping-particle":"","family":"Caidahl","given":"Kenneth","non-dropping-particle":"","parse-names":false,"suffix":""},{"dropping-particle":"","family":"Fu","given":"Michael Lx","non-dropping-particle":"","parse-names":false,"suffix":""}],"container-title":"Open Heart","id":"ITEM-1","issue":"1","issued":{"date-parts":[["2019","3","15"]]},"page":"e000856","publisher":"Archives of Disease in childhood","title":"Impact of changes in heart rate with age on all-cause death and cardiovascular events in 50-year-old men from the general population","type":"article-journal","volume":"6"},"uris":["http://www.mendeley.com/documents/?uuid=9d19eacd-ba6d-323d-958a-ef792e7d8ed1"]},{"id":"ITEM-2","itemData":{"DOI":"10.1136/HEARTJNL-2012-303375","ISSN":"1355-6037","PMID":"23595657","abstract":"Objective To examine whether elevated resting heart rate (RHR) is an independent risk factor for mortality or a mere marker of physical fitness (VO2Max).\n\nMethods This was a prospective cohort study: the Copenhagen Male Study, a longitudinal study of healthy middle-aged employed men. Subjects with sinus rhythm and without known cardiovascular disease or diabetes were included. RHR was assessed from a resting ECG at study visit in 1985–1986. VO2Max was determined by the Åstrand bicycle ergometer test in 1970–1971. Subjects were classified into categories according to level of RHR. Associations with mortality were studied in multivariate Cox models adjusted for physical fitness, leisure-time physical activity and conventional cardiovascular risk factors.\n\nResults 2798 subjects were followed for 16 years. 1082 deaths occurred. RHR was inversely related to physical fitness (p&lt;0.001). Overall, increasing RHR was highly associated with mortality in a graded manner after adjusting for physical fitness, leisure-time physical activity and other cardiovascular risk factors. Compared to men with RHR ≤50, those with RHR &gt;90 had an HR (95% CI) of 3.06 (1.97 to 4.75). With RHR as a continuous variable, risk of mortality increased with 16% (10–22) per 10 beats per minute (bpm). There was a borderline interaction with smoking (p=0.07); risk per 10 bpm increase in RHR was 20% (12–27) in smokers, and 14% (4–24) in non-smokers.\n\nConclusions Elevated RHR is a risk factor for mortality independent of physical fitness, leisure-time physical activity and other major cardiovascular risk factors.","author":[{"dropping-particle":"","family":"Jensen","given":"Magnus Thorsten","non-dropping-particle":"","parse-names":false,"suffix":""},{"dropping-particle":"","family":"Suadicani","given":"Poul","non-dropping-particle":"","parse-names":false,"suffix":""},{"dropping-particle":"","family":"Hein","given":"Hans Ole","non-dropping-particle":"","parse-names":false,"suffix":""},{"dropping-particle":"","family":"Gyntelberg","given":"Finn","non-dropping-particle":"","parse-names":false,"suffix":""}],"container-title":"Heart","id":"ITEM-2","issue":"12","issued":{"date-parts":[["2013","6","15"]]},"note":"this large cohort with detailed characterisation of participants will allow adequate adjustment for known confounders and enable \n\nEven some of the relatively larger studies have limited power due to the small number of observed end points,","page":"882-887","publisher":"BMJ Publishing Group Ltd and British Cardiovascular Society","title":"Elevated resting heart rate, physical fitness and all-cause mortality: a 16-year follow-up in the Copenhagen Male Study","type":"article-journal","volume":"99"},"uris":["http://www.mendeley.com/documents/?uuid=bc195f92-c29f-3fc3-b163-418972aec12f"]},{"id":"ITEM-3","itemData":{"DOI":"10.1053/euhj.1999.1741","ISSN":"0195668X","abstract":"Background. Resting heart rate has frequently been shown to be a predictor of coronary heart disease mortality. Elevated heart rate could also be a marker for the presence of other risk factors, which have not been taken into consideration in previous studies. Objective. To evaluate the effect of resting heart rate on the risk of all-cause cardiovascular and cancer mortality, taking into consideration haematological variables. Method. The association between resting heart rate and mortality was assessed applying Cox's proportional hazard models to data obtained in an 8 year follow-up of 3527 Israeli male industrial employees. During this period 135 deaths were recorded, 57 from cardiovascular disease and 45 from cancer. Resting heart rate was assessed at entry; potential confounding demographic, anthropometric and socioeconomic variables, haematological data, serum lipid levels and health-related habits were accounted for. Results. We found that the relative risk of all-cause mortality increased with increasing resting heart rate, workers with resting heart rate &gt; 90 beats.min-1 had an adjusted relative risk of 2.23 (95 CI 1.4-3.6) compared with those with a heart rate &lt; 70 beats.min-1. A similar result was achieved for cardiovascular disease mortality (adjusted relative risk 2.02, 95 CI 1.1-4.0). Cancer mortality was not associated with resting heart rate. Conclusion. This study found that resting heart rate is associated with all-cause and cardiovascular disease mortality after controlling (in various statistical models) for platelet counts, haemoglobin concentration, white blood cell counts, total protein, and other recognized risk factors. (C) 2000 The European Society of Cardiology.","author":[{"dropping-particle":"","family":"Kristal-Boneh","given":"E","non-dropping-particle":"","parse-names":false,"suffix":""},{"dropping-particle":"","family":"Silber","given":"H","non-dropping-particle":"","parse-names":false,"suffix":""},{"dropping-particle":"","family":"Harari","given":"G","non-dropping-particle":"","parse-names":false,"suffix":""},{"dropping-particle":"","family":"Froom","given":"P","non-dropping-particle":"","parse-names":false,"suffix":""}],"container-title":"European Heart Journal","id":"ITEM-3","issue":"2","issued":{"date-parts":[["2000"]]},"note":"relevant to biomarker work for later.\n\nfound increased risk of all cause mortality and CVD death \nno relationship with cancer death","page":"116-124","title":"The association of resting heart rate with cardiovascular, cancer and all-cause mortality. Eight year follow-up of 3527 male Israeli employees (the CORDIS Study)","type":"article-journal","volume":"21"},"uris":["http://www.mendeley.com/documents/?uuid=e81820f9-353a-397a-909e-8e1c45e85d5b"]}],"mendeley":{"formattedCitation":"(13–15)","plainTextFormattedCitation":"(13–15)","previouslyFormattedCitation":"(13–15)"},"properties":{"noteIndex":0},"schema":"https://github.com/citation-style-language/schema/raw/master/csl-citation.json"}</w:instrText>
      </w:r>
      <w:r w:rsidR="00FE3CEE" w:rsidRPr="00F34287">
        <w:rPr>
          <w:color w:val="000000" w:themeColor="text1"/>
          <w:sz w:val="22"/>
          <w:szCs w:val="22"/>
        </w:rPr>
        <w:fldChar w:fldCharType="separate"/>
      </w:r>
      <w:r w:rsidR="003B1439" w:rsidRPr="00F34287">
        <w:rPr>
          <w:noProof/>
          <w:color w:val="000000" w:themeColor="text1"/>
          <w:sz w:val="22"/>
          <w:szCs w:val="22"/>
        </w:rPr>
        <w:t>(13–15)</w:t>
      </w:r>
      <w:r w:rsidR="00FE3CEE" w:rsidRPr="00F34287">
        <w:rPr>
          <w:color w:val="000000" w:themeColor="text1"/>
          <w:sz w:val="22"/>
          <w:szCs w:val="22"/>
        </w:rPr>
        <w:fldChar w:fldCharType="end"/>
      </w:r>
      <w:r w:rsidR="00FE3CEE" w:rsidRPr="00F34287">
        <w:rPr>
          <w:color w:val="000000" w:themeColor="text1"/>
          <w:sz w:val="22"/>
          <w:szCs w:val="22"/>
        </w:rPr>
        <w:t xml:space="preserve">. </w:t>
      </w:r>
      <w:r w:rsidR="0032527C" w:rsidRPr="00F34287">
        <w:rPr>
          <w:iCs/>
          <w:color w:val="000000" w:themeColor="text1"/>
          <w:sz w:val="22"/>
          <w:szCs w:val="22"/>
        </w:rPr>
        <w:t xml:space="preserve">Similarly, </w:t>
      </w:r>
      <w:r w:rsidR="00756F6D" w:rsidRPr="00F34287">
        <w:rPr>
          <w:color w:val="000000" w:themeColor="text1"/>
          <w:sz w:val="22"/>
          <w:szCs w:val="22"/>
        </w:rPr>
        <w:t>there are inconsistent reports of the</w:t>
      </w:r>
      <w:r w:rsidR="0032527C" w:rsidRPr="00F34287">
        <w:rPr>
          <w:color w:val="000000" w:themeColor="text1"/>
          <w:sz w:val="22"/>
          <w:szCs w:val="22"/>
        </w:rPr>
        <w:t xml:space="preserve"> </w:t>
      </w:r>
      <w:r w:rsidR="00965A1C" w:rsidRPr="00F34287">
        <w:rPr>
          <w:color w:val="000000" w:themeColor="text1"/>
          <w:sz w:val="22"/>
          <w:szCs w:val="22"/>
        </w:rPr>
        <w:t>modifying effect of age on</w:t>
      </w:r>
      <w:r w:rsidR="007814A4" w:rsidRPr="00F34287">
        <w:rPr>
          <w:color w:val="000000" w:themeColor="text1"/>
          <w:sz w:val="22"/>
          <w:szCs w:val="22"/>
        </w:rPr>
        <w:t xml:space="preserve"> </w:t>
      </w:r>
      <w:r w:rsidR="00C92856" w:rsidRPr="00F34287">
        <w:rPr>
          <w:color w:val="000000" w:themeColor="text1"/>
          <w:sz w:val="22"/>
          <w:szCs w:val="22"/>
        </w:rPr>
        <w:t>RHR</w:t>
      </w:r>
      <w:r w:rsidR="0032527C" w:rsidRPr="00F34287">
        <w:rPr>
          <w:color w:val="000000" w:themeColor="text1"/>
          <w:sz w:val="22"/>
          <w:szCs w:val="22"/>
        </w:rPr>
        <w:t xml:space="preserve">-mortality </w:t>
      </w:r>
      <w:r w:rsidR="00756F6D" w:rsidRPr="00F34287">
        <w:rPr>
          <w:color w:val="000000" w:themeColor="text1"/>
          <w:sz w:val="22"/>
          <w:szCs w:val="22"/>
        </w:rPr>
        <w:t>associations</w:t>
      </w:r>
      <w:r w:rsidR="008B6095"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{"citationItems":[{"id":"ITEM-1","itemData":{"DOI":"10.1136/openhrt-2018-000856","ISSN":"2053-3624","abstract":"Background Resting heart rate (RHR), a known cardiovascular risk factor, changes with age. However, little is known about the association between changes in RHR and the risk of cardiovascular events. The purpose of this study was therefore to assess the impact of RHR at baseline, and the change in RHR over time, on the risk of all-cause death and cardiovascular events.\n\nDesign A random population sample of men born in 1943 who were living in Gothenburg, Sweden was prospectively followed for a 21-year period.\n\nMethods Participants were examined three times: first in 1993 and then re-examined in 2003 and 2014. At each visit, a clinical examination, an ECG and laboratory analyses were performed. Change in RHR between 1993 and 2003 was defined as a decrease if RHR decreased by 5 beats per minute (bpm), an increase if RHR increased by 5 bpm or stable if the RHR change was &lt;4bpm).\n\nResults Participants with a baseline RHR of &gt;75 bpm in 1993 had about a twofold higher risk of all-cause death (HR 2.3, CI 1.2 to 4.7, p=0.018), cardiovascular disease (CVD) (HR 1.8, CI 1.1 to 3.0, p=0.014) and coronary heart disease (CHD) (HR 2.2, CI 1.1 to 4.5, p=0.025) compared with those with &lt;55 bpm in 1993. Participants with a stable RHR between 1993 and 2003 had a 44% decreased risk of CVD (HR 0.56, CI 0.35 to 0.87, p=0.011) compared with participants with an increasing RHR. Furthermore, every beat increase in heart rate from 1993 was associated with a 3% higher risk for all-cause death, 1% higher risk for CVD and 2% higher risk for CHD.\n\nConclusion High RHR was associated with an increased risk of death and cardiovascular events in men from the general population. Moreover, individuals with an increase in RHR between 50 and 60 years of age had worse outcome.","author":[{"dropping-particle":"","family":"Chen","given":"Xiao-jing","non-dropping-particle":"","parse-names":false,"suffix":""},{"dropping-particle":"","family":"Barywani","given":"Salim Bary","non-dropping-particle":"","parse-names":false,"suffix":""},{"dropping-particle":"","family":"Hansson","given":"Per-Olof","non-dropping-particle":"","parse-names":false,"suffix":""},{"dropping-particle":"","family":"Östgärd Thunström","given":"Erik","non-dropping-particle":"","parse-names":false,"suffix":""},{"dropping-particle":"","family":"Rosengren","given":"Annika","non-dropping-particle":"","parse-names":false,"suffix":""},{"dropping-particle":"","family":"Ergatoudes","given":"Constantinos","non-dropping-particle":"","parse-names":false,"suffix":""},{"dropping-particle":"","family":"Mandalenakis","given":"Zacharias","non-dropping-particle":"","parse-names":false,"suffix":""},{"dropping-particle":"","family":"Caidahl","given":"Kenneth","non-dropping-particle":"","parse-names":false,"suffix":""},{"dropping-particle":"","family":"Fu","given":"Michael Lx","non-dropping-particle":"","parse-names":false,"suffix":""}],"container-title":"Open Heart","id":"ITEM-1","issue":"1","issued":{"date-parts":[["2019","3","15"]]},"page":"e000856","publisher":"Archives of Disease in childhood","title":"Impact of changes in heart rate with age on all-cause death and cardiovascular events in 50-year-old men from the general population","type":"article-journal","volume":"6"},"uris":["http://www.mendeley.com/documents/?uuid=9d19eacd-ba6d-323d-958a-ef792e7d8ed1"]},{"id":"ITEM-2","itemData":{"DOI":"10.1111/jgs.14714","ISSN":"15325415","abstract":"© 2016, Copyright the Authors Journal compilation © 2016, The American Geriatrics Society Objectives: To examine whether the association between resting heart rate (RHR) and all-cause mortality and cardiovascular events differs according to age. Design: Prospective cohort. Setting: Community in Beijing, China. Participants: Individuals aged 40 and older without cardiovascular disease at baseline (N = 6,209). Measurements: Trained investigators interviewed participants using a standard questionnaire to obtain information on demographic characteristics, medical history and lifestyle risk factors in 1991. RHR was evaluated according to quartiles ( &lt; 72, 72–76, 76–84, ≥84 beats/min). Cox regression models were used to assess the associations between RHR and all-cause mortality and cardiovascular events. Results: During a mean follow-up of 8.3 years, 840 subjects died, and 676 experienced a cardiovascular event. Higher RHR was significantly associated with all-cause mortality (P trend &lt; .001) and cardiovascular events (P trend =.002) in older (≥60) but not younger ( &lt; 60) participants (both P trend &gt; .05). There were significant modifying effects of age on the association between RHR and all-cause mortality (P interaction &lt; .001) and cardiovascular events (P interaction =.002). Similar results were observed after exclusion of individuals who died (n = 100) or had a cardiovascular event (n = 45) during the first 2 years of follow-up. Conclusion: High RHR appears to be an independent determinant of all-cause mortality and cardiovascular events in older but not younger individuals.","author":[{"dropping-particle":"","family":"Li","given":"Kuibao","non-dropping-particle":"","parse-names":false,"suffix":""},{"dropping-particle":"","family":"Yao","given":"Chonghua","non-dropping-particle":"","parse-names":false,"suffix":""},{"dropping-particle":"","family":"Yang","given":"Xinchun","non-dropping-particle":"","parse-names":false,"suffix":""},{"dropping-particle":"","family":"Dong","given":"Lei","non-dropping-particle":"","parse-names":false,"suffix":""}],"container-title":"Journal of the American Geriatrics Society","id":"ITEM-2","issue":"5","issued":{"date-parts":[["2017"]]},"note":"It has been observed in previous studies, that the association between RHR and all-cause mortality and CVD events differs according to age. The precise relationship with age is incompletely understood with contradictory reports in the literature. \n\nThe small samples sizes and consequent small number of observed hard end points (events) reduces confidence in the accuracy in existing studies. \n\nThere are some pertinent questions that have not been answered by existing studies. In particular the relationship of RHR in different age groups is unclear with inconsistencies in the literature. The idea that age modifies the impact of RHR is recognised, however the nature of the relationship has not been properly characterised. \n\nFurther gender differences have not been adequately explored. Men are over-represented in current studies, with several larger studies comprising male-only cohorts. Differential CVD patterns in men and women arerecognised. It is recognised that there are some risk factors that appear unique to women. It is feasible that there are different driving factors in men and women. There is over-representation of men in existing reports. We include large cohort of women and also gender-stratified analysis will allow comparison between men and women. \n\n\nThere are some inconsistencies in the litareture, for instance, Li et al report that high RHR as predictor of all-cause mortality and cardiovascular events in older, but not younger individuals.","page":"989-994","title":"Effect of Resting Heart Rate on All-Cause Mortality and Cardiovascular Events According to Age","type":"article-journal","volume":"65"},"uris":["http://www.mendeley.com/documents/?uuid=8e6bbb67-2ca7-3b88-8a1f-a43f672e7ad4"]},{"id":"ITEM-3","itemData":{"DOI":"10.1161/01.hyp.33.1.44","ISSN":"0194-911X","PMID":"9931080","abstract":"-The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1979)","id":"ITEM-3","issue":"1","issued":{"date-parts":[["1999","1"]]},"page":"44-52","title":"Influence of heart rate on mortality in a French population: role of age, gender, and blood pressure.","type":"article-journal","volume":"33"},"uris":["http://www.mendeley.com/documents/?uuid=2a7e8b17-1e03-3540-932e-b13c20ab9b22"]},{"id":"ITEM-4","itemData":{"DOI":"10.1177/2047487312452501","ISSN":"20474881","PMID":"22718796","abstract":"Background: Multiple studies have examined the relationship between heart rate and mortality; however, there are discrepancies in results. Our aim was to describe the relationship between resting heart rate (RHR) and both major cardiovascular (CV) outcomes, as well as all-cause mortality in the Asia-Pacific region. Design and methods: Individual data from 112,680 subjects in 12 cohort studies were pooled and analysed using Cox models, stratified by study and sex, and adjusted for age and systolic blood pressure. Results: During a mean 7.4 years follow-up, 6086 deaths and 2726 fatal or nonfatal CVevents were recorded. There was a continuous, increasing association between having a RHR above approximately 65 beats/min and the risk of both CV and all-cause mortality, yet there was no evidence of associations below this threshold. The hazard ratio (95% CI) comparing the extreme quarters of RHR (80 v &lt;65 beats/min) was 1.44 (1.291.60) for CV and 1.54 (1.431.66) for total mortality. These associations were not materially changed by adjustment for other risk factors and exclusion of the first 2 years of follow-up. Hazard ratios of a similar magnitude were found for ischemic and hemorrhagic stroke, but the hazard ratio for heart failure was higher (2.08, 95% CI 1.074.06) and for Coronary Heart Disease (CHD) was lower (1.11, 95% CI 0.931.31) than for stroke. Conclusions: RHR of above 65 beats/min has a strong independent effect on premature mortality and stroke, but a lesser effect on CHD. Lifestyle and pharmaceutical regimens to reduce RHR may be beneficial for people with moderate to high levels of RHR. © The European Society of Cardiology 2012.","author":[{"dropping-particle":"","family":"Woodward","given":"Mark","non-dropping-particle":"","parse-names":false,"suffix":""},{"dropping-particle":"","family":"Webster","given":"Ruth","non-dropping-particle":"","parse-names":false,"suffix":""},{"dropping-particle":"","family":"Murakami","given":"Yoshitaka","non-dropping-particle":"","parse-names":false,"suffix":""},{"dropping-particle":"","family":"Barzi","given":"Federica","non-dropping-particle":"","parse-names":false,"suffix":""},{"dropping-particle":"","family":"Lam","given":"Tai-Hing Hing","non-dropping-particle":"","parse-names":false,"suffix":""},{"dropping-particle":"","family":"Fang","given":"Xianghua","non-dropping-particle":"","parse-names":false,"suffix":""},{"dropping-particle":"","family":"Suh","given":"Il","non-dropping-particle":"","parse-names":false,"suffix":""},{"dropping-particle":"","family":"Batty","given":"G. David","non-dropping-particle":"","parse-names":false,"suffix":""},{"dropping-particle":"","family":"Huxley","given":"Rachel","non-dropping-particle":"","parse-names":false,"suffix":""},{"dropping-particle":"","family":"Rodgers","given":"Anthony","non-dropping-particle":"","parse-names":false,"suffix":""},{"dropping-particle":"","family":"from the Asia Pacific Cohort Studies Collaboration","given":"","non-dropping-particle":"","parse-names":false,"suffix":""}],"container-title":"European Journal of Preventive Cardiology","id":"ITEM-4","issue":"6","issued":{"date-parts":[["2014","6","20"]]},"note":"From Duplicate 2 (The association between resting heart rate, cardiovascular disease and mortality: Evidence from 112,680 men and women in 12 cohorts - Woodward, Mark; Webster, Ruth; Murakami, Yoshitaka; Barzi, Federica; Lam, Tai Hing; Fang, Xianghua; Suh, Il; Batty, G. David; Huxley, Rachel; Rodgers, Anthony)\n\nThe present study has a number of strengths, includ-\ning its prospective design, its re-assessment of RHR in sub-groups, its large size, its capacity to explore the effect modifications by region and sex","page":"719-726","title":"The association between resting heart rate, cardiovascular disease and mortality: Evidence from 112,680 men and women in 12 cohorts","type":"article-journal","volume":"21"},"uris":["http://www.mendeley.com/documents/?uuid=ba2bc6f7-4510-4eb5-8082-a96ac5df8d17"]},{"id":"ITEM-5","itemData":{"DOI":"10.1016/0002-8703(87)90666-1","ISSN":"0002-8703","PMID":"3591616","abstract":"The relation of resting heart rate on biennial ECG examinations to mortality rates over 30 years of follow-up of the Framingham cohort was examined based on 1876 total deaths and 894 cardiovascular deaths, evolving out of 5070 subjects free of cardiovascular disease at entry into the study. In both sexes, at all ages, all-cause, cardiovascular, and coronary mortality rates increased progressively in relation to antecedent heart rates determined biennially. A more impressive association to cardiovascular disease was observed in men than in women, which was independent of associated cardiovascular risk factors. Case fatality rates following coronary events also increased with antecedent heart rate and the fraction of coronary deaths as sudden death increased strikingly with heart rate in men 35 to 64 years of age. There was also a substantial excess of noncardiovascular deaths at high heart rates, and the proportion of all deaths resulting from cardiovascular disease did not increase with heart rate. The excess cardiovascular deaths with more rapid heart rates were also noted, excluding those with interim overt cardiovascular disease, suggesting an effect independent of preexisting cardiac damage.","author":[{"dropping-particle":"","family":"Kannel","given":"W B","non-dropping-particle":"","parse-names":false,"suffix":""},{"dropping-particle":"","family":"Kannel","given":"C","non-dropping-particle":"","parse-names":false,"suffix":""},{"dropping-particle":"","family":"Paffenbarger Jr","given":"R S","non-dropping-particle":"","parse-names":false,"suffix":""}],"container-title":"American heart journal","id":"ITEM-5","issue":"6","issued":{"date-parts":[["1987","6"]]},"page":"1489-94","title":"Heart rate and cardiovascular mortality: The Framingham study","type":"article-journal","volume":"113"},"uris":["http://www.mendeley.com/documents/?uuid=0d0a51c6-6899-3d29-8f2b-e9229fe13903"]}],"mendeley":{"formattedCitation":"(10,13,16–18)","plainTextFormattedCitation":"(10,13,16–18)","previouslyFormattedCitation":"(10,13,16–18)"},"properties":{"noteIndex":0},"schema":"https://github.com/citation-style-language/schema/raw/master/csl-citation.json"}</w:instrText>
      </w:r>
      <w:r w:rsidR="008B6095" w:rsidRPr="00F34287">
        <w:rPr>
          <w:color w:val="000000" w:themeColor="text1"/>
          <w:sz w:val="22"/>
          <w:szCs w:val="22"/>
        </w:rPr>
        <w:fldChar w:fldCharType="separate"/>
      </w:r>
      <w:r w:rsidR="003B1439" w:rsidRPr="00F34287">
        <w:rPr>
          <w:noProof/>
          <w:color w:val="000000" w:themeColor="text1"/>
          <w:sz w:val="22"/>
          <w:szCs w:val="22"/>
        </w:rPr>
        <w:t>(10,13,16–18)</w:t>
      </w:r>
      <w:r w:rsidR="008B6095" w:rsidRPr="00F34287">
        <w:rPr>
          <w:color w:val="000000" w:themeColor="text1"/>
          <w:sz w:val="22"/>
          <w:szCs w:val="22"/>
        </w:rPr>
        <w:fldChar w:fldCharType="end"/>
      </w:r>
      <w:r w:rsidR="007814A4" w:rsidRPr="00F34287">
        <w:rPr>
          <w:color w:val="000000" w:themeColor="text1"/>
          <w:sz w:val="22"/>
          <w:szCs w:val="22"/>
        </w:rPr>
        <w:t xml:space="preserve">. </w:t>
      </w:r>
      <w:r w:rsidR="0032527C" w:rsidRPr="00F34287">
        <w:rPr>
          <w:color w:val="000000" w:themeColor="text1"/>
          <w:sz w:val="22"/>
          <w:szCs w:val="22"/>
        </w:rPr>
        <w:t xml:space="preserve">Previous studies of potential </w:t>
      </w:r>
      <w:r w:rsidR="0056640F" w:rsidRPr="00F34287">
        <w:rPr>
          <w:color w:val="000000" w:themeColor="text1"/>
          <w:sz w:val="22"/>
          <w:szCs w:val="22"/>
        </w:rPr>
        <w:t xml:space="preserve">sex and age </w:t>
      </w:r>
      <w:r w:rsidR="0032527C" w:rsidRPr="00F34287">
        <w:rPr>
          <w:color w:val="000000" w:themeColor="text1"/>
          <w:sz w:val="22"/>
          <w:szCs w:val="22"/>
        </w:rPr>
        <w:t xml:space="preserve">interactions have been limited by participant numbers, </w:t>
      </w:r>
      <w:r w:rsidR="00E26C68" w:rsidRPr="00F34287">
        <w:rPr>
          <w:color w:val="000000" w:themeColor="text1"/>
          <w:sz w:val="22"/>
          <w:szCs w:val="22"/>
        </w:rPr>
        <w:t xml:space="preserve">lack of </w:t>
      </w:r>
      <w:r w:rsidR="0032527C" w:rsidRPr="00F34287">
        <w:rPr>
          <w:color w:val="000000" w:themeColor="text1"/>
          <w:sz w:val="22"/>
          <w:szCs w:val="22"/>
        </w:rPr>
        <w:t>consideration of specific causes of death</w:t>
      </w:r>
      <w:r w:rsidR="004A518D" w:rsidRPr="00F34287">
        <w:rPr>
          <w:color w:val="000000" w:themeColor="text1"/>
          <w:sz w:val="22"/>
          <w:szCs w:val="22"/>
        </w:rPr>
        <w:t>,</w:t>
      </w:r>
      <w:r w:rsidR="0032527C" w:rsidRPr="00F34287">
        <w:rPr>
          <w:color w:val="000000" w:themeColor="text1"/>
          <w:sz w:val="22"/>
          <w:szCs w:val="22"/>
        </w:rPr>
        <w:t xml:space="preserve"> and an inability to adequately control for covariates and competing outcomes.</w:t>
      </w:r>
      <w:r w:rsidR="00467232">
        <w:rPr>
          <w:color w:val="000000" w:themeColor="text1"/>
          <w:sz w:val="22"/>
          <w:szCs w:val="22"/>
        </w:rPr>
        <w:t xml:space="preserve"> </w:t>
      </w:r>
    </w:p>
    <w:p w14:paraId="6B81E864" w14:textId="77777777" w:rsidR="00467232" w:rsidRDefault="00467232" w:rsidP="00BA3555">
      <w:pPr>
        <w:spacing w:after="120" w:line="480" w:lineRule="auto"/>
        <w:rPr>
          <w:color w:val="000000" w:themeColor="text1"/>
          <w:sz w:val="22"/>
          <w:szCs w:val="22"/>
        </w:rPr>
      </w:pPr>
    </w:p>
    <w:p w14:paraId="562F0CD7" w14:textId="7D6488B4" w:rsidR="004B4A00" w:rsidRPr="00F34287" w:rsidRDefault="00695E90" w:rsidP="00BA3555">
      <w:pPr>
        <w:spacing w:after="120" w:line="480" w:lineRule="auto"/>
        <w:rPr>
          <w:color w:val="000000" w:themeColor="text1"/>
          <w:sz w:val="22"/>
          <w:szCs w:val="22"/>
        </w:rPr>
      </w:pPr>
      <w:r w:rsidRPr="00F34287">
        <w:rPr>
          <w:color w:val="000000" w:themeColor="text1"/>
          <w:sz w:val="22"/>
          <w:szCs w:val="22"/>
        </w:rPr>
        <w:t xml:space="preserve">RHR has potential as an inexpensive and reliable risk predictor. </w:t>
      </w:r>
      <w:r w:rsidR="00756F6D" w:rsidRPr="00F34287">
        <w:rPr>
          <w:color w:val="000000" w:themeColor="text1"/>
          <w:sz w:val="22"/>
          <w:szCs w:val="22"/>
        </w:rPr>
        <w:t xml:space="preserve">We </w:t>
      </w:r>
      <w:r w:rsidR="00157CB5" w:rsidRPr="00F34287">
        <w:rPr>
          <w:color w:val="000000" w:themeColor="text1"/>
          <w:sz w:val="22"/>
          <w:szCs w:val="22"/>
        </w:rPr>
        <w:t>th</w:t>
      </w:r>
      <w:r w:rsidR="00467232">
        <w:rPr>
          <w:color w:val="000000" w:themeColor="text1"/>
          <w:sz w:val="22"/>
          <w:szCs w:val="22"/>
        </w:rPr>
        <w:t xml:space="preserve">erefore </w:t>
      </w:r>
      <w:r w:rsidR="00157CB5" w:rsidRPr="00F34287">
        <w:rPr>
          <w:color w:val="000000" w:themeColor="text1"/>
          <w:sz w:val="22"/>
          <w:szCs w:val="22"/>
        </w:rPr>
        <w:t>sought to define the sex, age, and cause-specific associations of RHR with important cardiovascular and mortality outcomes</w:t>
      </w:r>
      <w:r w:rsidR="00756F6D" w:rsidRPr="00F34287">
        <w:rPr>
          <w:color w:val="000000" w:themeColor="text1"/>
          <w:sz w:val="22"/>
          <w:szCs w:val="22"/>
        </w:rPr>
        <w:t xml:space="preserve"> in 502,534 </w:t>
      </w:r>
      <w:r w:rsidR="00DF3791">
        <w:rPr>
          <w:color w:val="000000" w:themeColor="text1"/>
          <w:sz w:val="22"/>
          <w:szCs w:val="22"/>
        </w:rPr>
        <w:t>participants</w:t>
      </w:r>
      <w:r w:rsidR="00756F6D" w:rsidRPr="00F34287">
        <w:rPr>
          <w:color w:val="000000" w:themeColor="text1"/>
          <w:sz w:val="22"/>
          <w:szCs w:val="22"/>
        </w:rPr>
        <w:t xml:space="preserve"> from the UK</w:t>
      </w:r>
      <w:r w:rsidR="00711079" w:rsidRPr="00F34287">
        <w:rPr>
          <w:color w:val="000000" w:themeColor="text1"/>
          <w:sz w:val="22"/>
          <w:szCs w:val="22"/>
        </w:rPr>
        <w:t xml:space="preserve"> </w:t>
      </w:r>
      <w:r w:rsidR="00756F6D" w:rsidRPr="00F34287">
        <w:rPr>
          <w:color w:val="000000" w:themeColor="text1"/>
          <w:sz w:val="22"/>
          <w:szCs w:val="22"/>
        </w:rPr>
        <w:t>Biobank</w:t>
      </w:r>
      <w:r w:rsidR="00711079" w:rsidRPr="00F34287">
        <w:rPr>
          <w:color w:val="000000" w:themeColor="text1"/>
          <w:sz w:val="22"/>
          <w:szCs w:val="22"/>
        </w:rPr>
        <w:t xml:space="preserve"> (UKB)</w:t>
      </w:r>
      <w:r w:rsidR="00756F6D" w:rsidRPr="00F34287">
        <w:rPr>
          <w:color w:val="000000" w:themeColor="text1"/>
          <w:sz w:val="22"/>
          <w:szCs w:val="22"/>
        </w:rPr>
        <w:t xml:space="preserve"> over </w:t>
      </w:r>
      <w:r w:rsidR="009D5D48" w:rsidRPr="00F34287">
        <w:rPr>
          <w:color w:val="000000" w:themeColor="text1"/>
          <w:sz w:val="22"/>
          <w:szCs w:val="22"/>
        </w:rPr>
        <w:t>7</w:t>
      </w:r>
      <w:r w:rsidR="00756F6D" w:rsidRPr="00F34287">
        <w:rPr>
          <w:color w:val="000000" w:themeColor="text1"/>
          <w:sz w:val="22"/>
          <w:szCs w:val="22"/>
        </w:rPr>
        <w:t>–12 years of prospective follow-up</w:t>
      </w:r>
      <w:r w:rsidR="0032527C" w:rsidRPr="00F34287">
        <w:rPr>
          <w:color w:val="000000" w:themeColor="text1"/>
          <w:sz w:val="22"/>
          <w:szCs w:val="22"/>
        </w:rPr>
        <w:t xml:space="preserve">. </w:t>
      </w:r>
      <w:r w:rsidR="00157CB5" w:rsidRPr="00F34287">
        <w:rPr>
          <w:color w:val="000000" w:themeColor="text1"/>
          <w:sz w:val="22"/>
          <w:szCs w:val="22"/>
        </w:rPr>
        <w:t xml:space="preserve">The main outcomes were </w:t>
      </w:r>
      <w:r w:rsidR="00157CB5" w:rsidRPr="00F34287">
        <w:rPr>
          <w:rStyle w:val="Strong"/>
          <w:b w:val="0"/>
          <w:bCs w:val="0"/>
          <w:color w:val="000000" w:themeColor="text1"/>
          <w:sz w:val="22"/>
          <w:szCs w:val="22"/>
        </w:rPr>
        <w:t>all-cause</w:t>
      </w:r>
      <w:r w:rsidR="00157CB5" w:rsidRPr="00F34287">
        <w:rPr>
          <w:color w:val="000000" w:themeColor="text1"/>
          <w:sz w:val="22"/>
          <w:szCs w:val="22"/>
        </w:rPr>
        <w:t xml:space="preserve">, cardiovascular, and ischaemic heart disease </w:t>
      </w:r>
      <w:r w:rsidR="00B71009" w:rsidRPr="00F34287">
        <w:rPr>
          <w:color w:val="000000" w:themeColor="text1"/>
          <w:sz w:val="22"/>
          <w:szCs w:val="22"/>
        </w:rPr>
        <w:t xml:space="preserve">(IHD) </w:t>
      </w:r>
      <w:r w:rsidR="00157CB5" w:rsidRPr="00F34287">
        <w:rPr>
          <w:color w:val="000000" w:themeColor="text1"/>
          <w:sz w:val="22"/>
          <w:szCs w:val="22"/>
        </w:rPr>
        <w:t>mortality.</w:t>
      </w:r>
      <w:r w:rsidR="00467232">
        <w:rPr>
          <w:color w:val="000000" w:themeColor="text1"/>
          <w:sz w:val="22"/>
          <w:szCs w:val="22"/>
        </w:rPr>
        <w:t xml:space="preserve"> </w:t>
      </w:r>
      <w:r w:rsidR="00157CB5" w:rsidRPr="00F34287">
        <w:rPr>
          <w:color w:val="000000" w:themeColor="text1"/>
          <w:sz w:val="22"/>
          <w:szCs w:val="22"/>
        </w:rPr>
        <w:t xml:space="preserve">Additional outcomes included incident </w:t>
      </w:r>
      <w:r w:rsidR="00986153" w:rsidRPr="00F34287">
        <w:rPr>
          <w:color w:val="000000" w:themeColor="text1"/>
          <w:sz w:val="22"/>
          <w:szCs w:val="22"/>
        </w:rPr>
        <w:t xml:space="preserve">acute </w:t>
      </w:r>
      <w:r w:rsidR="00157CB5" w:rsidRPr="00F34287">
        <w:rPr>
          <w:color w:val="000000" w:themeColor="text1"/>
          <w:sz w:val="22"/>
          <w:szCs w:val="22"/>
        </w:rPr>
        <w:t>myocardial infarction</w:t>
      </w:r>
      <w:r w:rsidR="00986153" w:rsidRPr="00F34287">
        <w:rPr>
          <w:color w:val="000000" w:themeColor="text1"/>
          <w:sz w:val="22"/>
          <w:szCs w:val="22"/>
        </w:rPr>
        <w:t xml:space="preserve"> (AMI)</w:t>
      </w:r>
      <w:r w:rsidR="00157CB5" w:rsidRPr="00F34287">
        <w:rPr>
          <w:color w:val="000000" w:themeColor="text1"/>
          <w:sz w:val="22"/>
          <w:szCs w:val="22"/>
        </w:rPr>
        <w:t xml:space="preserve">, </w:t>
      </w:r>
      <w:r w:rsidR="00D639E6" w:rsidRPr="00F34287">
        <w:rPr>
          <w:color w:val="000000" w:themeColor="text1"/>
          <w:sz w:val="22"/>
          <w:szCs w:val="22"/>
        </w:rPr>
        <w:t xml:space="preserve">fatal </w:t>
      </w:r>
      <w:r w:rsidR="00986153" w:rsidRPr="00F34287">
        <w:rPr>
          <w:color w:val="000000" w:themeColor="text1"/>
          <w:sz w:val="22"/>
          <w:szCs w:val="22"/>
        </w:rPr>
        <w:t>AMI</w:t>
      </w:r>
      <w:r w:rsidR="00157CB5" w:rsidRPr="00F34287">
        <w:rPr>
          <w:color w:val="000000" w:themeColor="text1"/>
          <w:sz w:val="22"/>
          <w:szCs w:val="22"/>
        </w:rPr>
        <w:t xml:space="preserve">, and cancer mortality. </w:t>
      </w:r>
      <w:r w:rsidR="0032527C" w:rsidRPr="00F34287">
        <w:rPr>
          <w:color w:val="000000" w:themeColor="text1"/>
          <w:sz w:val="22"/>
          <w:szCs w:val="22"/>
        </w:rPr>
        <w:t>The dataset permitted consideration of a wide range of potential confounders</w:t>
      </w:r>
      <w:r w:rsidR="00157CB5" w:rsidRPr="00F34287">
        <w:rPr>
          <w:color w:val="000000" w:themeColor="text1"/>
          <w:sz w:val="22"/>
          <w:szCs w:val="22"/>
        </w:rPr>
        <w:t xml:space="preserve"> and</w:t>
      </w:r>
      <w:r w:rsidR="0032527C" w:rsidRPr="00F34287">
        <w:rPr>
          <w:color w:val="000000" w:themeColor="text1"/>
          <w:sz w:val="22"/>
          <w:szCs w:val="22"/>
        </w:rPr>
        <w:t xml:space="preserve"> the effects of competing hazards such as death or alternative causes of death.</w:t>
      </w:r>
    </w:p>
    <w:p w14:paraId="3226E95C" w14:textId="77777777" w:rsidR="0062578F" w:rsidRPr="00F34287" w:rsidRDefault="0062578F" w:rsidP="00BA3555">
      <w:pPr>
        <w:spacing w:after="120" w:line="480" w:lineRule="auto"/>
        <w:rPr>
          <w:b/>
          <w:bCs/>
          <w:color w:val="000000" w:themeColor="text1"/>
          <w:sz w:val="22"/>
          <w:szCs w:val="22"/>
        </w:rPr>
      </w:pPr>
    </w:p>
    <w:p w14:paraId="5685A6AC" w14:textId="67649F92" w:rsidR="0062578F" w:rsidRPr="00F34287" w:rsidRDefault="0062578F" w:rsidP="00BA3555">
      <w:pPr>
        <w:spacing w:after="120" w:line="480" w:lineRule="auto"/>
        <w:rPr>
          <w:b/>
          <w:bCs/>
          <w:color w:val="000000" w:themeColor="text1"/>
          <w:sz w:val="22"/>
          <w:szCs w:val="22"/>
        </w:rPr>
      </w:pPr>
    </w:p>
    <w:p w14:paraId="27170692" w14:textId="77777777" w:rsidR="0062578F" w:rsidRPr="00F34287" w:rsidRDefault="0062578F" w:rsidP="00BA3555">
      <w:pPr>
        <w:spacing w:after="120" w:line="480" w:lineRule="auto"/>
        <w:rPr>
          <w:b/>
          <w:bCs/>
          <w:color w:val="000000" w:themeColor="text1"/>
          <w:sz w:val="22"/>
          <w:szCs w:val="22"/>
        </w:rPr>
      </w:pPr>
    </w:p>
    <w:p w14:paraId="1E79814A" w14:textId="01F3923A" w:rsidR="0062131F" w:rsidRPr="00F34287" w:rsidRDefault="006D6C5D" w:rsidP="00BA3555">
      <w:pPr>
        <w:spacing w:after="120" w:line="480" w:lineRule="auto"/>
        <w:rPr>
          <w:b/>
          <w:bCs/>
          <w:color w:val="000000" w:themeColor="text1"/>
          <w:sz w:val="36"/>
          <w:szCs w:val="36"/>
        </w:rPr>
      </w:pPr>
      <w:r w:rsidRPr="00F34287">
        <w:rPr>
          <w:b/>
          <w:bCs/>
          <w:color w:val="000000" w:themeColor="text1"/>
          <w:sz w:val="36"/>
          <w:szCs w:val="36"/>
        </w:rPr>
        <w:lastRenderedPageBreak/>
        <w:t>Methods</w:t>
      </w:r>
    </w:p>
    <w:p w14:paraId="3661BE5D" w14:textId="0E64FBEA" w:rsidR="00534EF1" w:rsidRPr="00F34287" w:rsidRDefault="00711079" w:rsidP="00BA3555">
      <w:pPr>
        <w:spacing w:after="120" w:line="480" w:lineRule="auto"/>
        <w:rPr>
          <w:b/>
          <w:iCs/>
          <w:color w:val="000000" w:themeColor="text1"/>
          <w:sz w:val="32"/>
          <w:szCs w:val="32"/>
        </w:rPr>
      </w:pPr>
      <w:r w:rsidRPr="00F34287">
        <w:rPr>
          <w:b/>
          <w:iCs/>
          <w:color w:val="000000" w:themeColor="text1"/>
          <w:sz w:val="32"/>
          <w:szCs w:val="32"/>
        </w:rPr>
        <w:t>Setting, participants, and recruitment</w:t>
      </w:r>
      <w:r w:rsidR="00D843D8" w:rsidRPr="00F34287">
        <w:rPr>
          <w:b/>
          <w:iCs/>
          <w:color w:val="000000" w:themeColor="text1"/>
          <w:sz w:val="32"/>
          <w:szCs w:val="32"/>
        </w:rPr>
        <w:t xml:space="preserve">: The </w:t>
      </w:r>
      <w:r w:rsidR="00534EF1" w:rsidRPr="00F34287">
        <w:rPr>
          <w:b/>
          <w:iCs/>
          <w:color w:val="000000" w:themeColor="text1"/>
          <w:sz w:val="32"/>
          <w:szCs w:val="32"/>
        </w:rPr>
        <w:t>UK</w:t>
      </w:r>
      <w:r w:rsidR="00C26EAD" w:rsidRPr="00F34287">
        <w:rPr>
          <w:b/>
          <w:iCs/>
          <w:color w:val="000000" w:themeColor="text1"/>
          <w:sz w:val="32"/>
          <w:szCs w:val="32"/>
        </w:rPr>
        <w:t xml:space="preserve"> </w:t>
      </w:r>
      <w:r w:rsidR="00534EF1" w:rsidRPr="00F34287">
        <w:rPr>
          <w:b/>
          <w:iCs/>
          <w:color w:val="000000" w:themeColor="text1"/>
          <w:sz w:val="32"/>
          <w:szCs w:val="32"/>
        </w:rPr>
        <w:t>Biobank</w:t>
      </w:r>
    </w:p>
    <w:p w14:paraId="71650E0A" w14:textId="248CD61F" w:rsidR="001F4684" w:rsidRPr="00F34287" w:rsidRDefault="00711079" w:rsidP="00BA3555">
      <w:pPr>
        <w:spacing w:after="120" w:line="480" w:lineRule="auto"/>
        <w:rPr>
          <w:color w:val="000000" w:themeColor="text1"/>
          <w:sz w:val="22"/>
          <w:szCs w:val="22"/>
        </w:rPr>
      </w:pPr>
      <w:r w:rsidRPr="00F34287">
        <w:rPr>
          <w:color w:val="000000" w:themeColor="text1"/>
          <w:sz w:val="22"/>
          <w:szCs w:val="22"/>
        </w:rPr>
        <w:t xml:space="preserve">UKB is a large population-based research cohort, incorporating data from </w:t>
      </w:r>
      <w:r w:rsidR="00DF3791">
        <w:rPr>
          <w:color w:val="000000" w:themeColor="text1"/>
          <w:sz w:val="22"/>
          <w:szCs w:val="22"/>
        </w:rPr>
        <w:t xml:space="preserve">over </w:t>
      </w:r>
      <w:r w:rsidR="00693505" w:rsidRPr="00F34287">
        <w:rPr>
          <w:color w:val="000000" w:themeColor="text1"/>
          <w:sz w:val="22"/>
          <w:szCs w:val="22"/>
        </w:rPr>
        <w:t>50</w:t>
      </w:r>
      <w:r w:rsidR="00DF3791">
        <w:rPr>
          <w:color w:val="000000" w:themeColor="text1"/>
          <w:sz w:val="22"/>
          <w:szCs w:val="22"/>
        </w:rPr>
        <w:t>0</w:t>
      </w:r>
      <w:r w:rsidR="00554383" w:rsidRPr="00F34287">
        <w:rPr>
          <w:color w:val="000000" w:themeColor="text1"/>
          <w:sz w:val="22"/>
          <w:szCs w:val="22"/>
        </w:rPr>
        <w:t>,</w:t>
      </w:r>
      <w:r w:rsidR="00DF3791">
        <w:rPr>
          <w:color w:val="000000" w:themeColor="text1"/>
          <w:sz w:val="22"/>
          <w:szCs w:val="22"/>
        </w:rPr>
        <w:t>000</w:t>
      </w:r>
      <w:r w:rsidR="00693505" w:rsidRPr="00F34287">
        <w:rPr>
          <w:color w:val="000000" w:themeColor="text1"/>
          <w:sz w:val="22"/>
          <w:szCs w:val="22"/>
        </w:rPr>
        <w:t xml:space="preserve"> </w:t>
      </w:r>
      <w:r w:rsidR="00DF3791">
        <w:rPr>
          <w:color w:val="000000" w:themeColor="text1"/>
          <w:sz w:val="22"/>
          <w:szCs w:val="22"/>
        </w:rPr>
        <w:t xml:space="preserve">participants </w:t>
      </w:r>
      <w:r w:rsidR="00DF3791" w:rsidRPr="00F34287">
        <w:rPr>
          <w:color w:val="000000" w:themeColor="text1"/>
          <w:sz w:val="22"/>
          <w:szCs w:val="22"/>
        </w:rPr>
        <w:t xml:space="preserve">recruited </w:t>
      </w:r>
      <w:r w:rsidR="007A0718" w:rsidRPr="00F34287">
        <w:rPr>
          <w:color w:val="000000" w:themeColor="text1"/>
          <w:sz w:val="22"/>
          <w:szCs w:val="22"/>
        </w:rPr>
        <w:t xml:space="preserve">aged 40-69 years </w:t>
      </w:r>
      <w:r w:rsidR="00DD5D6B" w:rsidRPr="00F34287">
        <w:rPr>
          <w:color w:val="000000" w:themeColor="text1"/>
          <w:sz w:val="22"/>
          <w:szCs w:val="22"/>
        </w:rPr>
        <w:t>between 2006-2010</w:t>
      </w:r>
      <w:r w:rsidR="00C96A95" w:rsidRPr="00F34287">
        <w:rPr>
          <w:color w:val="000000" w:themeColor="text1"/>
          <w:sz w:val="22"/>
          <w:szCs w:val="22"/>
        </w:rPr>
        <w:t xml:space="preserve"> from across the UK</w:t>
      </w:r>
      <w:r w:rsidR="00693505" w:rsidRPr="00F34287">
        <w:rPr>
          <w:color w:val="000000" w:themeColor="text1"/>
          <w:sz w:val="22"/>
          <w:szCs w:val="22"/>
        </w:rPr>
        <w:t xml:space="preserve">. </w:t>
      </w:r>
      <w:r w:rsidR="00DD5D6B" w:rsidRPr="00F34287">
        <w:rPr>
          <w:color w:val="000000" w:themeColor="text1"/>
          <w:sz w:val="22"/>
          <w:szCs w:val="22"/>
        </w:rPr>
        <w:t>Recruitment was through postal invite</w:t>
      </w:r>
      <w:r w:rsidR="00064625" w:rsidRPr="00F34287">
        <w:rPr>
          <w:color w:val="000000" w:themeColor="text1"/>
          <w:sz w:val="22"/>
          <w:szCs w:val="22"/>
        </w:rPr>
        <w:t xml:space="preserve">. </w:t>
      </w:r>
      <w:r w:rsidR="00F028BF" w:rsidRPr="00F34287">
        <w:rPr>
          <w:color w:val="000000" w:themeColor="text1"/>
          <w:sz w:val="22"/>
          <w:szCs w:val="22"/>
        </w:rPr>
        <w:t>P</w:t>
      </w:r>
      <w:r w:rsidR="00A97B5E" w:rsidRPr="00F34287">
        <w:rPr>
          <w:color w:val="000000" w:themeColor="text1"/>
          <w:sz w:val="22"/>
          <w:szCs w:val="22"/>
        </w:rPr>
        <w:t xml:space="preserve">articipants who were unable to provide consent </w:t>
      </w:r>
      <w:r w:rsidR="001D0148" w:rsidRPr="00F34287">
        <w:rPr>
          <w:color w:val="000000" w:themeColor="text1"/>
          <w:sz w:val="22"/>
          <w:szCs w:val="22"/>
        </w:rPr>
        <w:t>or</w:t>
      </w:r>
      <w:r w:rsidR="00A97B5E" w:rsidRPr="00F34287">
        <w:rPr>
          <w:color w:val="000000" w:themeColor="text1"/>
          <w:sz w:val="22"/>
          <w:szCs w:val="22"/>
        </w:rPr>
        <w:t xml:space="preserve"> partake in data collection due to discomfort or illness were not enrolled. </w:t>
      </w:r>
      <w:r w:rsidR="00F028BF" w:rsidRPr="00F34287">
        <w:rPr>
          <w:color w:val="000000" w:themeColor="text1"/>
          <w:sz w:val="22"/>
          <w:szCs w:val="22"/>
        </w:rPr>
        <w:t>The UKB cohort and process</w:t>
      </w:r>
      <w:r w:rsidR="00064625" w:rsidRPr="00F34287">
        <w:rPr>
          <w:color w:val="000000" w:themeColor="text1"/>
          <w:sz w:val="22"/>
          <w:szCs w:val="22"/>
        </w:rPr>
        <w:t xml:space="preserve"> </w:t>
      </w:r>
      <w:r w:rsidR="007A0718" w:rsidRPr="00F34287">
        <w:rPr>
          <w:color w:val="000000" w:themeColor="text1"/>
          <w:sz w:val="22"/>
          <w:szCs w:val="22"/>
        </w:rPr>
        <w:t>are</w:t>
      </w:r>
      <w:r w:rsidR="00F028BF" w:rsidRPr="00F34287">
        <w:rPr>
          <w:color w:val="000000" w:themeColor="text1"/>
          <w:sz w:val="22"/>
          <w:szCs w:val="22"/>
        </w:rPr>
        <w:t xml:space="preserve"> described in dedicated publications</w:t>
      </w:r>
      <w:r w:rsidR="008335CB" w:rsidRPr="00F34287">
        <w:rPr>
          <w:color w:val="000000" w:themeColor="text1"/>
          <w:sz w:val="22"/>
          <w:szCs w:val="22"/>
        </w:rPr>
        <w:fldChar w:fldCharType="begin" w:fldLock="1"/>
      </w:r>
      <w:r w:rsidR="006755C9" w:rsidRPr="00F34287">
        <w:rPr>
          <w:color w:val="000000" w:themeColor="text1"/>
          <w:sz w:val="22"/>
          <w:szCs w:val="22"/>
        </w:rPr>
        <w:instrText>ADDIN CSL_CITATION {"citationItems":[{"id":"ITEM-1","itemData":{"DOI":"10.1093/eurheartj/ehx254","ISSN":"15229645","PMID":"28531320","author":[{"dropping-particle":"","family":"Littlejohns","given":"Thomas J","non-dropping-particle":"","parse-names":false,"suffix":""},{"dropping-particle":"","family":"Sudlow","given":"Cathie","non-dropping-particle":"","parse-names":false,"suffix":""},{"dropping-particle":"","family":"Allen","given":"Naomi E","non-dropping-particle":"","parse-names":false,"suffix":""},{"dropping-particle":"","family":"Collins","given":"Rory","non-dropping-particle":"","parse-names":false,"suffix":""}],"container-title":"European Heart Journal","id":"ITEM-1","issue":"14","issued":{"date-parts":[["2019","4","7"]]},"page":"1158-1166","publisher":"Oxford University Press","title":"UK Biobank: Opportunities for cardiovascular research","type":"article-journal","volume":"40"},"uris":["http://www.mendeley.com/documents/?uuid=257c34a9-00b8-3cdc-b04b-9edd36363ebb"]},{"id":"ITEM-2","itemData":{"DOI":"10.1093/cvr/cvz294","ISSN":"0008-6363","author":[{"dropping-particle":"","family":"Raisi-Estabragh","given":"Zahra","non-dropping-particle":"","parse-names":false,"suffix":""},{"dropping-particle":"","family":"Petersen","given":"Steffen E","non-dropping-particle":"","parse-names":false,"suffix":""}],"container-title":"Cardiovascular Research","id":"ITEM-2","issued":{"date-parts":[["2019","11","28"]]},"title":"Cardiovascular research highlights from the UK Biobank: opportunities and challenges","type":"article-journal"},"uris":["http://www.mendeley.com/documents/?uuid=f29dc070-0ffd-3a8f-b80a-8c36463a8080"]}],"mendeley":{"formattedCitation":"(19,20)","plainTextFormattedCitation":"(19,20)","previouslyFormattedCitation":"(19,20)"},"properties":{"noteIndex":0},"schema":"https://github.com/citation-style-language/schema/raw/master/csl-citation.json"}</w:instrText>
      </w:r>
      <w:r w:rsidR="008335CB" w:rsidRPr="00F34287">
        <w:rPr>
          <w:color w:val="000000" w:themeColor="text1"/>
          <w:sz w:val="22"/>
          <w:szCs w:val="22"/>
        </w:rPr>
        <w:fldChar w:fldCharType="separate"/>
      </w:r>
      <w:r w:rsidR="00D25C92" w:rsidRPr="00F34287">
        <w:rPr>
          <w:noProof/>
          <w:color w:val="000000" w:themeColor="text1"/>
          <w:sz w:val="22"/>
          <w:szCs w:val="22"/>
        </w:rPr>
        <w:t>(19,20)</w:t>
      </w:r>
      <w:r w:rsidR="008335CB" w:rsidRPr="00F34287">
        <w:rPr>
          <w:color w:val="000000" w:themeColor="text1"/>
          <w:sz w:val="22"/>
          <w:szCs w:val="22"/>
        </w:rPr>
        <w:fldChar w:fldCharType="end"/>
      </w:r>
      <w:r w:rsidR="008335CB" w:rsidRPr="00F34287">
        <w:rPr>
          <w:color w:val="000000" w:themeColor="text1"/>
          <w:sz w:val="22"/>
          <w:szCs w:val="22"/>
        </w:rPr>
        <w:t>.</w:t>
      </w:r>
    </w:p>
    <w:p w14:paraId="67814A39" w14:textId="77777777" w:rsidR="0000229F" w:rsidRPr="00F34287" w:rsidRDefault="0000229F" w:rsidP="00BA3555">
      <w:pPr>
        <w:spacing w:after="120" w:line="480" w:lineRule="auto"/>
        <w:rPr>
          <w:b/>
          <w:bCs/>
          <w:color w:val="000000" w:themeColor="text1"/>
          <w:sz w:val="22"/>
          <w:szCs w:val="22"/>
        </w:rPr>
      </w:pPr>
    </w:p>
    <w:p w14:paraId="1D83F5EC" w14:textId="1F035055" w:rsidR="00A97B5E" w:rsidRPr="00F34287" w:rsidRDefault="00A97B5E" w:rsidP="00BA3555">
      <w:pPr>
        <w:spacing w:after="120" w:line="480" w:lineRule="auto"/>
        <w:rPr>
          <w:b/>
          <w:bCs/>
          <w:color w:val="000000" w:themeColor="text1"/>
          <w:sz w:val="32"/>
          <w:szCs w:val="32"/>
        </w:rPr>
      </w:pPr>
      <w:r w:rsidRPr="00F34287">
        <w:rPr>
          <w:b/>
          <w:bCs/>
          <w:color w:val="000000" w:themeColor="text1"/>
          <w:sz w:val="32"/>
          <w:szCs w:val="32"/>
        </w:rPr>
        <w:t>Ethics</w:t>
      </w:r>
    </w:p>
    <w:p w14:paraId="3F3A9135" w14:textId="3520754E" w:rsidR="00AE45BA" w:rsidRPr="00F34287" w:rsidRDefault="00A86B68" w:rsidP="00BA3555">
      <w:pPr>
        <w:spacing w:line="480" w:lineRule="auto"/>
        <w:jc w:val="both"/>
        <w:rPr>
          <w:color w:val="000000" w:themeColor="text1"/>
          <w:sz w:val="22"/>
          <w:szCs w:val="22"/>
          <w:shd w:val="clear" w:color="auto" w:fill="FFFFFF"/>
        </w:rPr>
      </w:pPr>
      <w:r w:rsidRPr="00F34287">
        <w:rPr>
          <w:color w:val="000000" w:themeColor="text1"/>
          <w:sz w:val="22"/>
          <w:szCs w:val="22"/>
          <w:shd w:val="clear" w:color="auto" w:fill="FFFFFF"/>
        </w:rPr>
        <w:t>This study was covered by the ethical approval for UK</w:t>
      </w:r>
      <w:r w:rsidR="007A0718" w:rsidRPr="00F34287">
        <w:rPr>
          <w:color w:val="000000" w:themeColor="text1"/>
          <w:sz w:val="22"/>
          <w:szCs w:val="22"/>
          <w:shd w:val="clear" w:color="auto" w:fill="FFFFFF"/>
        </w:rPr>
        <w:t>B</w:t>
      </w:r>
      <w:r w:rsidRPr="00F34287">
        <w:rPr>
          <w:color w:val="000000" w:themeColor="text1"/>
          <w:sz w:val="22"/>
          <w:szCs w:val="22"/>
          <w:shd w:val="clear" w:color="auto" w:fill="FFFFFF"/>
        </w:rPr>
        <w:t xml:space="preserve"> studies from the National Health Service (NHS) National Research Ethics Service on 17th June 2011 (Ref 11/NW/0382)</w:t>
      </w:r>
      <w:r w:rsidR="00195870" w:rsidRPr="00F34287">
        <w:rPr>
          <w:color w:val="000000" w:themeColor="text1"/>
          <w:sz w:val="22"/>
          <w:szCs w:val="22"/>
          <w:shd w:val="clear" w:color="auto" w:fill="FFFFFF"/>
        </w:rPr>
        <w:t xml:space="preserve"> and extended 10</w:t>
      </w:r>
      <w:r w:rsidR="00195870" w:rsidRPr="00F34287">
        <w:rPr>
          <w:color w:val="000000" w:themeColor="text1"/>
          <w:sz w:val="22"/>
          <w:szCs w:val="22"/>
          <w:shd w:val="clear" w:color="auto" w:fill="FFFFFF"/>
          <w:vertAlign w:val="superscript"/>
        </w:rPr>
        <w:t>th</w:t>
      </w:r>
      <w:r w:rsidR="00195870" w:rsidRPr="00F34287">
        <w:rPr>
          <w:color w:val="000000" w:themeColor="text1"/>
          <w:sz w:val="22"/>
          <w:szCs w:val="22"/>
          <w:shd w:val="clear" w:color="auto" w:fill="FFFFFF"/>
        </w:rPr>
        <w:t xml:space="preserve"> May 2016 (Ref 16/NW/0274)</w:t>
      </w:r>
      <w:r w:rsidRPr="00F34287">
        <w:rPr>
          <w:color w:val="000000" w:themeColor="text1"/>
          <w:sz w:val="22"/>
          <w:szCs w:val="22"/>
          <w:shd w:val="clear" w:color="auto" w:fill="FFFFFF"/>
        </w:rPr>
        <w:t xml:space="preserve">. </w:t>
      </w:r>
    </w:p>
    <w:p w14:paraId="642B0A2D" w14:textId="77777777" w:rsidR="00064625" w:rsidRPr="00F34287" w:rsidRDefault="00064625" w:rsidP="00BA3555">
      <w:pPr>
        <w:spacing w:line="480" w:lineRule="auto"/>
        <w:jc w:val="both"/>
        <w:rPr>
          <w:color w:val="000000" w:themeColor="text1"/>
          <w:sz w:val="22"/>
          <w:szCs w:val="22"/>
          <w:shd w:val="clear" w:color="auto" w:fill="FFFFFF"/>
        </w:rPr>
      </w:pPr>
    </w:p>
    <w:p w14:paraId="662D8EA5" w14:textId="0D3B9812" w:rsidR="00A56542" w:rsidRPr="00F34287" w:rsidRDefault="00F34110" w:rsidP="00BA3555">
      <w:pPr>
        <w:autoSpaceDE w:val="0"/>
        <w:autoSpaceDN w:val="0"/>
        <w:adjustRightInd w:val="0"/>
        <w:spacing w:after="120" w:line="480" w:lineRule="auto"/>
        <w:rPr>
          <w:b/>
          <w:iCs/>
          <w:color w:val="000000" w:themeColor="text1"/>
          <w:sz w:val="32"/>
          <w:szCs w:val="32"/>
        </w:rPr>
      </w:pPr>
      <w:r w:rsidRPr="00F34287">
        <w:rPr>
          <w:b/>
          <w:iCs/>
          <w:color w:val="000000" w:themeColor="text1"/>
          <w:sz w:val="32"/>
          <w:szCs w:val="32"/>
        </w:rPr>
        <w:t>B</w:t>
      </w:r>
      <w:r w:rsidR="00A56542" w:rsidRPr="00F34287">
        <w:rPr>
          <w:b/>
          <w:iCs/>
          <w:color w:val="000000" w:themeColor="text1"/>
          <w:sz w:val="32"/>
          <w:szCs w:val="32"/>
        </w:rPr>
        <w:t xml:space="preserve">aseline </w:t>
      </w:r>
      <w:r w:rsidR="00A50E68" w:rsidRPr="00F34287">
        <w:rPr>
          <w:b/>
          <w:iCs/>
          <w:color w:val="000000" w:themeColor="text1"/>
          <w:sz w:val="32"/>
          <w:szCs w:val="32"/>
        </w:rPr>
        <w:t>assessment</w:t>
      </w:r>
      <w:r w:rsidR="00CF77E1" w:rsidRPr="00F34287">
        <w:rPr>
          <w:b/>
          <w:iCs/>
          <w:color w:val="000000" w:themeColor="text1"/>
          <w:sz w:val="32"/>
          <w:szCs w:val="32"/>
        </w:rPr>
        <w:t xml:space="preserve"> and defining participant characteristics</w:t>
      </w:r>
    </w:p>
    <w:p w14:paraId="6E6D6E00" w14:textId="3CAB8D66" w:rsidR="00256C22" w:rsidRPr="00F34287" w:rsidRDefault="00F34110" w:rsidP="00BA3555">
      <w:pPr>
        <w:autoSpaceDE w:val="0"/>
        <w:autoSpaceDN w:val="0"/>
        <w:adjustRightInd w:val="0"/>
        <w:spacing w:after="120" w:line="480" w:lineRule="auto"/>
        <w:rPr>
          <w:color w:val="000000" w:themeColor="text1"/>
          <w:sz w:val="22"/>
          <w:szCs w:val="22"/>
          <w:lang w:val="en-US"/>
        </w:rPr>
      </w:pPr>
      <w:r w:rsidRPr="00F34287">
        <w:rPr>
          <w:color w:val="000000" w:themeColor="text1"/>
          <w:sz w:val="22"/>
          <w:szCs w:val="22"/>
        </w:rPr>
        <w:t>A</w:t>
      </w:r>
      <w:r w:rsidR="00CF77E1" w:rsidRPr="00F34287">
        <w:rPr>
          <w:color w:val="000000" w:themeColor="text1"/>
          <w:sz w:val="22"/>
          <w:szCs w:val="22"/>
        </w:rPr>
        <w:t xml:space="preserve">ll UKB </w:t>
      </w:r>
      <w:r w:rsidRPr="00F34287">
        <w:rPr>
          <w:color w:val="000000" w:themeColor="text1"/>
          <w:sz w:val="22"/>
          <w:szCs w:val="22"/>
        </w:rPr>
        <w:t xml:space="preserve">participants </w:t>
      </w:r>
      <w:r w:rsidR="00CF77E1" w:rsidRPr="00F34287">
        <w:rPr>
          <w:color w:val="000000" w:themeColor="text1"/>
          <w:sz w:val="22"/>
          <w:szCs w:val="22"/>
        </w:rPr>
        <w:t>completed a</w:t>
      </w:r>
      <w:r w:rsidRPr="00F34287">
        <w:rPr>
          <w:color w:val="000000" w:themeColor="text1"/>
          <w:sz w:val="22"/>
          <w:szCs w:val="22"/>
        </w:rPr>
        <w:t xml:space="preserve"> comprehensive </w:t>
      </w:r>
      <w:r w:rsidR="00AE45BA" w:rsidRPr="00F34287">
        <w:rPr>
          <w:color w:val="000000" w:themeColor="text1"/>
          <w:sz w:val="22"/>
          <w:szCs w:val="22"/>
        </w:rPr>
        <w:t xml:space="preserve">baseline </w:t>
      </w:r>
      <w:r w:rsidRPr="00F34287">
        <w:rPr>
          <w:color w:val="000000" w:themeColor="text1"/>
          <w:sz w:val="22"/>
          <w:szCs w:val="22"/>
        </w:rPr>
        <w:t>assessment of health</w:t>
      </w:r>
      <w:r w:rsidR="00787114" w:rsidRPr="00F34287">
        <w:rPr>
          <w:color w:val="000000" w:themeColor="text1"/>
          <w:sz w:val="22"/>
          <w:szCs w:val="22"/>
        </w:rPr>
        <w:t xml:space="preserve"> and lifestyle </w:t>
      </w:r>
      <w:r w:rsidRPr="00F34287">
        <w:rPr>
          <w:color w:val="000000" w:themeColor="text1"/>
          <w:sz w:val="22"/>
          <w:szCs w:val="22"/>
        </w:rPr>
        <w:t>by self-report questionnaire and nurse</w:t>
      </w:r>
      <w:r w:rsidR="00F65C36" w:rsidRPr="00F34287">
        <w:rPr>
          <w:color w:val="000000" w:themeColor="text1"/>
          <w:sz w:val="22"/>
          <w:szCs w:val="22"/>
        </w:rPr>
        <w:t>-</w:t>
      </w:r>
      <w:r w:rsidRPr="00F34287">
        <w:rPr>
          <w:color w:val="000000" w:themeColor="text1"/>
          <w:sz w:val="22"/>
          <w:szCs w:val="22"/>
        </w:rPr>
        <w:t>led interview</w:t>
      </w:r>
      <w:r w:rsidR="00BB6A88" w:rsidRPr="00F34287">
        <w:rPr>
          <w:color w:val="000000" w:themeColor="text1"/>
          <w:sz w:val="22"/>
          <w:szCs w:val="22"/>
        </w:rPr>
        <w:t xml:space="preserve">. </w:t>
      </w:r>
      <w:r w:rsidR="0032157D" w:rsidRPr="00F34287">
        <w:rPr>
          <w:color w:val="000000" w:themeColor="text1"/>
          <w:sz w:val="22"/>
          <w:szCs w:val="22"/>
        </w:rPr>
        <w:t>B</w:t>
      </w:r>
      <w:r w:rsidR="00FD17CE" w:rsidRPr="00F34287">
        <w:rPr>
          <w:color w:val="000000" w:themeColor="text1"/>
          <w:sz w:val="22"/>
          <w:szCs w:val="22"/>
        </w:rPr>
        <w:t>ody mass index (BMI)</w:t>
      </w:r>
      <w:r w:rsidR="0032157D" w:rsidRPr="00F34287">
        <w:rPr>
          <w:color w:val="000000" w:themeColor="text1"/>
          <w:sz w:val="22"/>
          <w:szCs w:val="22"/>
        </w:rPr>
        <w:t>,</w:t>
      </w:r>
      <w:r w:rsidR="00864BC5" w:rsidRPr="00F34287">
        <w:rPr>
          <w:color w:val="000000" w:themeColor="text1"/>
          <w:sz w:val="22"/>
          <w:szCs w:val="22"/>
        </w:rPr>
        <w:t xml:space="preserve"> smoking status, and level of physical activity were defined for the whole cohort. </w:t>
      </w:r>
      <w:r w:rsidR="00864BC5" w:rsidRPr="00F34287">
        <w:rPr>
          <w:color w:val="000000" w:themeColor="text1"/>
          <w:sz w:val="22"/>
          <w:szCs w:val="22"/>
          <w:lang w:val="en-US"/>
        </w:rPr>
        <w:t>Smoking status was defined as a binary variable: current</w:t>
      </w:r>
      <w:r w:rsidR="006C3C2E" w:rsidRPr="00F34287">
        <w:rPr>
          <w:color w:val="000000" w:themeColor="text1"/>
          <w:sz w:val="22"/>
          <w:szCs w:val="22"/>
          <w:lang w:val="en-US"/>
        </w:rPr>
        <w:t xml:space="preserve"> </w:t>
      </w:r>
      <w:r w:rsidR="00864BC5" w:rsidRPr="00F34287">
        <w:rPr>
          <w:color w:val="000000" w:themeColor="text1"/>
          <w:sz w:val="22"/>
          <w:szCs w:val="22"/>
          <w:lang w:val="en-US"/>
        </w:rPr>
        <w:t xml:space="preserve">vs non-smokers. </w:t>
      </w:r>
      <w:r w:rsidR="00CF77E1" w:rsidRPr="00F34287">
        <w:rPr>
          <w:color w:val="000000" w:themeColor="text1"/>
          <w:sz w:val="22"/>
          <w:szCs w:val="22"/>
          <w:lang w:val="en-US"/>
        </w:rPr>
        <w:t xml:space="preserve">We </w:t>
      </w:r>
      <w:r w:rsidR="006C3C2E" w:rsidRPr="00F34287">
        <w:rPr>
          <w:color w:val="000000" w:themeColor="text1"/>
          <w:sz w:val="22"/>
          <w:szCs w:val="22"/>
          <w:lang w:val="en-US"/>
        </w:rPr>
        <w:t xml:space="preserve">derived </w:t>
      </w:r>
      <w:r w:rsidR="00CF77E1" w:rsidRPr="00F34287">
        <w:rPr>
          <w:color w:val="000000" w:themeColor="text1"/>
          <w:sz w:val="22"/>
          <w:szCs w:val="22"/>
          <w:lang w:val="en-US"/>
        </w:rPr>
        <w:t>a</w:t>
      </w:r>
      <w:r w:rsidR="00864BC5" w:rsidRPr="00F34287">
        <w:rPr>
          <w:color w:val="000000" w:themeColor="text1"/>
          <w:sz w:val="22"/>
          <w:szCs w:val="22"/>
          <w:lang w:val="en-US"/>
        </w:rPr>
        <w:t xml:space="preserve"> continuous value for the amount of physical activity</w:t>
      </w:r>
      <w:r w:rsidR="008668A5" w:rsidRPr="00F34287">
        <w:rPr>
          <w:color w:val="000000" w:themeColor="text1"/>
          <w:sz w:val="22"/>
          <w:szCs w:val="22"/>
          <w:lang w:val="en-US"/>
        </w:rPr>
        <w:t xml:space="preserve"> </w:t>
      </w:r>
      <w:r w:rsidR="00864BC5" w:rsidRPr="00F34287">
        <w:rPr>
          <w:color w:val="000000" w:themeColor="text1"/>
          <w:sz w:val="22"/>
          <w:szCs w:val="22"/>
          <w:lang w:val="en-US"/>
        </w:rPr>
        <w:t>measured in metabolic equivalent (MET) minutes/week</w:t>
      </w:r>
      <w:r w:rsidR="008668A5" w:rsidRPr="00F34287">
        <w:rPr>
          <w:color w:val="000000" w:themeColor="text1"/>
          <w:sz w:val="22"/>
          <w:szCs w:val="22"/>
          <w:lang w:val="en-US"/>
        </w:rPr>
        <w:t xml:space="preserve"> </w:t>
      </w:r>
      <w:r w:rsidR="00864BC5" w:rsidRPr="00F34287">
        <w:rPr>
          <w:color w:val="000000" w:themeColor="text1"/>
          <w:sz w:val="22"/>
          <w:szCs w:val="22"/>
          <w:lang w:val="en-US"/>
        </w:rPr>
        <w:t>calculated by weighting different types of activity by its energy requirements using values derived from the International Physical Activity Questionnaire (IPAQ) study</w:t>
      </w:r>
      <w:r w:rsidR="00CF77E1" w:rsidRPr="00F34287">
        <w:rPr>
          <w:color w:val="000000" w:themeColor="text1"/>
          <w:sz w:val="22"/>
          <w:szCs w:val="22"/>
          <w:lang w:val="en-US"/>
        </w:rPr>
        <w:fldChar w:fldCharType="begin" w:fldLock="1"/>
      </w:r>
      <w:r w:rsidR="006755C9" w:rsidRPr="00F34287">
        <w:rPr>
          <w:color w:val="000000" w:themeColor="text1"/>
          <w:sz w:val="22"/>
          <w:szCs w:val="22"/>
          <w:lang w:val="en-US"/>
        </w:rPr>
        <w:instrText>ADDIN CSL_CITATION {"citationItems":[{"id":"ITEM-1","itemData":{"DOI":"10.1249/01.MSS.0000078924.61453.FB","ISSN":"0195-9131","PMID":"12900694","abstract":"BACKGROUND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\"last 7 d\" or a \"usual week\"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rho clustered around 0.8), with comparable data from short and long forms. Criterion validity had a median rho of about 0.30, which was comparable to most other self-report validation studies. The \"usual week\" and \"last 7 d\"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 to 65-yr-old adults in diverse settings. The short IPAQ form \"last 7 d recall\" is recommended for national monitoring and the long form for research requiring more detailed assessment.","author":[{"dropping-particle":"","family":"Craig","given":"Cora L","non-dropping-particle":"","parse-names":false,"suffix":""},{"dropping-particle":"","family":"Marshall","given":"Alison L","non-dropping-particle":"","parse-names":false,"suffix":""},{"dropping-particle":"","family":"Sjöström","given":"Michael","non-dropping-particle":"","parse-names":false,"suffix":""},{"dropping-particle":"","family":"Bauman","given":"Adrian E","non-dropping-particle":"","parse-names":false,"suffix":""},{"dropping-particle":"","family":"Booth","given":"Michael L","non-dropping-particle":"","parse-names":false,"suffix":""},{"dropping-particle":"","family":"Ainsworth","given":"Barbara E","non-dropping-particle":"","parse-names":false,"suffix":""},{"dropping-particle":"","family":"Pratt","given":"Michael","non-dropping-particle":"","parse-names":false,"suffix":""},{"dropping-particle":"","family":"Ekelund","given":"Ulf","non-dropping-particle":"","parse-names":false,"suffix":""},{"dropping-particle":"","family":"Yngve","given":"Agneta","non-dropping-particle":"","parse-names":false,"suffix":""},{"dropping-particle":"","family":"Sallis","given":"James F","non-dropping-particle":"","parse-names":false,"suffix":""},{"dropping-particle":"","family":"Oja","given":"Pekka","non-dropping-particle":"","parse-names":false,"suffix":""}],"container-title":"Medicine and science in sports and exercise","id":"ITEM-1","issue":"8","issued":{"date-parts":[["2003","8"]]},"page":"1381-95","title":"International physical activity questionnaire: 12-country reliability and validity.","type":"article-journal","volume":"35"},"uris":["http://www.mendeley.com/documents/?uuid=a668e849-410d-38ee-8b0d-c077d81cb6c8"]}],"mendeley":{"formattedCitation":"(21)","plainTextFormattedCitation":"(21)","previouslyFormattedCitation":"(21)"},"properties":{"noteIndex":0},"schema":"https://github.com/citation-style-language/schema/raw/master/csl-citation.json"}</w:instrText>
      </w:r>
      <w:r w:rsidR="00CF77E1" w:rsidRPr="00F34287">
        <w:rPr>
          <w:color w:val="000000" w:themeColor="text1"/>
          <w:sz w:val="22"/>
          <w:szCs w:val="22"/>
          <w:lang w:val="en-US"/>
        </w:rPr>
        <w:fldChar w:fldCharType="separate"/>
      </w:r>
      <w:r w:rsidR="00D25C92" w:rsidRPr="00F34287">
        <w:rPr>
          <w:noProof/>
          <w:color w:val="000000" w:themeColor="text1"/>
          <w:sz w:val="22"/>
          <w:szCs w:val="22"/>
          <w:lang w:val="en-US"/>
        </w:rPr>
        <w:t>(21)</w:t>
      </w:r>
      <w:r w:rsidR="00CF77E1" w:rsidRPr="00F34287">
        <w:rPr>
          <w:color w:val="000000" w:themeColor="text1"/>
          <w:sz w:val="22"/>
          <w:szCs w:val="22"/>
          <w:lang w:val="en-US"/>
        </w:rPr>
        <w:fldChar w:fldCharType="end"/>
      </w:r>
      <w:r w:rsidR="00864BC5" w:rsidRPr="00F34287">
        <w:rPr>
          <w:color w:val="000000" w:themeColor="text1"/>
          <w:sz w:val="22"/>
          <w:szCs w:val="22"/>
          <w:lang w:val="en-US"/>
        </w:rPr>
        <w:t xml:space="preserve">. </w:t>
      </w:r>
      <w:r w:rsidR="006C3C2E" w:rsidRPr="00F34287">
        <w:rPr>
          <w:color w:val="000000" w:themeColor="text1"/>
          <w:sz w:val="22"/>
          <w:szCs w:val="22"/>
          <w:lang w:val="en-US"/>
        </w:rPr>
        <w:t xml:space="preserve">We defined </w:t>
      </w:r>
      <w:r w:rsidR="00CE210D" w:rsidRPr="00F34287">
        <w:rPr>
          <w:color w:val="000000" w:themeColor="text1"/>
          <w:sz w:val="22"/>
          <w:szCs w:val="22"/>
          <w:lang w:val="en-US"/>
        </w:rPr>
        <w:t>hypercholesterol</w:t>
      </w:r>
      <w:r w:rsidR="00AA0436" w:rsidRPr="00F34287">
        <w:rPr>
          <w:color w:val="000000" w:themeColor="text1"/>
          <w:sz w:val="22"/>
          <w:szCs w:val="22"/>
          <w:lang w:val="en-US"/>
        </w:rPr>
        <w:t>a</w:t>
      </w:r>
      <w:r w:rsidR="00CE210D" w:rsidRPr="00F34287">
        <w:rPr>
          <w:color w:val="000000" w:themeColor="text1"/>
          <w:sz w:val="22"/>
          <w:szCs w:val="22"/>
          <w:lang w:val="en-US"/>
        </w:rPr>
        <w:t>emia</w:t>
      </w:r>
      <w:r w:rsidR="006C3C2E" w:rsidRPr="00F34287">
        <w:rPr>
          <w:color w:val="000000" w:themeColor="text1"/>
          <w:sz w:val="22"/>
          <w:szCs w:val="22"/>
          <w:lang w:val="en-US"/>
        </w:rPr>
        <w:t xml:space="preserve"> by self-report of </w:t>
      </w:r>
      <w:r w:rsidR="00864BC5" w:rsidRPr="00F34287">
        <w:rPr>
          <w:color w:val="000000" w:themeColor="text1"/>
          <w:sz w:val="22"/>
          <w:szCs w:val="22"/>
          <w:lang w:val="en-US"/>
        </w:rPr>
        <w:t xml:space="preserve">a diagnosis of </w:t>
      </w:r>
      <w:r w:rsidR="0032157D" w:rsidRPr="00F34287">
        <w:rPr>
          <w:color w:val="000000" w:themeColor="text1"/>
          <w:sz w:val="22"/>
          <w:szCs w:val="22"/>
          <w:lang w:val="en-US"/>
        </w:rPr>
        <w:t>‘</w:t>
      </w:r>
      <w:r w:rsidR="00864BC5" w:rsidRPr="00F34287">
        <w:rPr>
          <w:color w:val="000000" w:themeColor="text1"/>
          <w:sz w:val="22"/>
          <w:szCs w:val="22"/>
          <w:lang w:val="en-US"/>
        </w:rPr>
        <w:t>high cholesterol</w:t>
      </w:r>
      <w:r w:rsidR="0032157D" w:rsidRPr="00F34287">
        <w:rPr>
          <w:color w:val="000000" w:themeColor="text1"/>
          <w:sz w:val="22"/>
          <w:szCs w:val="22"/>
          <w:lang w:val="en-US"/>
        </w:rPr>
        <w:t>’</w:t>
      </w:r>
      <w:r w:rsidR="00864BC5" w:rsidRPr="00F34287">
        <w:rPr>
          <w:color w:val="000000" w:themeColor="text1"/>
          <w:sz w:val="22"/>
          <w:szCs w:val="22"/>
          <w:lang w:val="en-US"/>
        </w:rPr>
        <w:t xml:space="preserve"> or use of </w:t>
      </w:r>
      <w:r w:rsidR="006C3C2E" w:rsidRPr="00F34287">
        <w:rPr>
          <w:color w:val="000000" w:themeColor="text1"/>
          <w:sz w:val="22"/>
          <w:szCs w:val="22"/>
          <w:lang w:val="en-US"/>
        </w:rPr>
        <w:t>‘</w:t>
      </w:r>
      <w:r w:rsidR="00864BC5" w:rsidRPr="00F34287">
        <w:rPr>
          <w:color w:val="000000" w:themeColor="text1"/>
          <w:sz w:val="22"/>
          <w:szCs w:val="22"/>
          <w:lang w:val="en-US"/>
        </w:rPr>
        <w:t>cholesterol</w:t>
      </w:r>
      <w:r w:rsidR="006C3C2E" w:rsidRPr="00F34287">
        <w:rPr>
          <w:color w:val="000000" w:themeColor="text1"/>
          <w:sz w:val="22"/>
          <w:szCs w:val="22"/>
          <w:lang w:val="en-US"/>
        </w:rPr>
        <w:t xml:space="preserve"> lowering medication</w:t>
      </w:r>
      <w:r w:rsidR="0032157D" w:rsidRPr="00F34287">
        <w:rPr>
          <w:color w:val="000000" w:themeColor="text1"/>
          <w:sz w:val="22"/>
          <w:szCs w:val="22"/>
          <w:lang w:val="en-US"/>
        </w:rPr>
        <w:t>’</w:t>
      </w:r>
      <w:r w:rsidR="00864BC5" w:rsidRPr="00F34287">
        <w:rPr>
          <w:color w:val="000000" w:themeColor="text1"/>
          <w:sz w:val="22"/>
          <w:szCs w:val="22"/>
          <w:lang w:val="en-US"/>
        </w:rPr>
        <w:t xml:space="preserve">. Diabetes status was determined by participants' response to the binary questionnaire item </w:t>
      </w:r>
      <w:r w:rsidR="0032157D" w:rsidRPr="00F34287">
        <w:rPr>
          <w:color w:val="000000" w:themeColor="text1"/>
          <w:sz w:val="22"/>
          <w:szCs w:val="22"/>
          <w:lang w:val="en-US"/>
        </w:rPr>
        <w:t>‘</w:t>
      </w:r>
      <w:r w:rsidR="00864BC5" w:rsidRPr="00F34287">
        <w:rPr>
          <w:color w:val="000000" w:themeColor="text1"/>
          <w:sz w:val="22"/>
          <w:szCs w:val="22"/>
          <w:lang w:val="en-US"/>
        </w:rPr>
        <w:t>diabetes diagnosed by a doctor</w:t>
      </w:r>
      <w:r w:rsidR="0032157D" w:rsidRPr="00F34287">
        <w:rPr>
          <w:color w:val="000000" w:themeColor="text1"/>
          <w:sz w:val="22"/>
          <w:szCs w:val="22"/>
          <w:lang w:val="en-US"/>
        </w:rPr>
        <w:t>’</w:t>
      </w:r>
      <w:r w:rsidR="00864BC5" w:rsidRPr="00F34287">
        <w:rPr>
          <w:color w:val="000000" w:themeColor="text1"/>
          <w:sz w:val="22"/>
          <w:szCs w:val="22"/>
          <w:lang w:val="en-US"/>
        </w:rPr>
        <w:t>.</w:t>
      </w:r>
      <w:r w:rsidR="00BD7528" w:rsidRPr="00F34287">
        <w:rPr>
          <w:color w:val="000000" w:themeColor="text1"/>
          <w:sz w:val="22"/>
          <w:szCs w:val="22"/>
          <w:lang w:val="en-US"/>
        </w:rPr>
        <w:t xml:space="preserve"> </w:t>
      </w:r>
      <w:r w:rsidR="000A4FCE" w:rsidRPr="00F34287">
        <w:rPr>
          <w:color w:val="000000" w:themeColor="text1"/>
          <w:sz w:val="22"/>
          <w:szCs w:val="22"/>
          <w:lang w:val="en-US"/>
        </w:rPr>
        <w:t xml:space="preserve">Hypertension was defined as self-reported regular use of ‘blood pressure medication’ or code of ‘essential </w:t>
      </w:r>
      <w:r w:rsidR="000A4FCE" w:rsidRPr="00F34287">
        <w:rPr>
          <w:color w:val="000000" w:themeColor="text1"/>
          <w:sz w:val="22"/>
          <w:szCs w:val="22"/>
          <w:lang w:val="en-US"/>
        </w:rPr>
        <w:lastRenderedPageBreak/>
        <w:t xml:space="preserve">hypertension’ assigned at the verbal interview. </w:t>
      </w:r>
      <w:r w:rsidR="00467232">
        <w:rPr>
          <w:color w:val="000000" w:themeColor="text1"/>
          <w:sz w:val="22"/>
          <w:szCs w:val="22"/>
          <w:lang w:val="en-US"/>
        </w:rPr>
        <w:t xml:space="preserve">Additionally, we separately consider systolic blood pressure measured at baseline. </w:t>
      </w:r>
      <w:r w:rsidR="00A56542" w:rsidRPr="00F34287">
        <w:rPr>
          <w:color w:val="000000" w:themeColor="text1"/>
          <w:sz w:val="22"/>
          <w:szCs w:val="22"/>
          <w:lang w:val="en-US"/>
        </w:rPr>
        <w:t xml:space="preserve">We </w:t>
      </w:r>
      <w:r w:rsidR="001724B6" w:rsidRPr="00F34287">
        <w:rPr>
          <w:color w:val="000000" w:themeColor="text1"/>
          <w:sz w:val="22"/>
          <w:szCs w:val="22"/>
          <w:lang w:val="en-US"/>
        </w:rPr>
        <w:t>als</w:t>
      </w:r>
      <w:r w:rsidR="0029454C" w:rsidRPr="00F34287">
        <w:rPr>
          <w:color w:val="000000" w:themeColor="text1"/>
          <w:sz w:val="22"/>
          <w:szCs w:val="22"/>
          <w:lang w:val="en-US"/>
        </w:rPr>
        <w:t>o</w:t>
      </w:r>
      <w:r w:rsidR="001724B6" w:rsidRPr="00F34287">
        <w:rPr>
          <w:color w:val="000000" w:themeColor="text1"/>
          <w:sz w:val="22"/>
          <w:szCs w:val="22"/>
          <w:lang w:val="en-US"/>
        </w:rPr>
        <w:t xml:space="preserve"> considered</w:t>
      </w:r>
      <w:r w:rsidR="00A56542" w:rsidRPr="00F34287">
        <w:rPr>
          <w:color w:val="000000" w:themeColor="text1"/>
          <w:sz w:val="22"/>
          <w:szCs w:val="22"/>
          <w:lang w:val="en-US"/>
        </w:rPr>
        <w:t xml:space="preserve"> </w:t>
      </w:r>
      <w:r w:rsidR="0018118D" w:rsidRPr="00F34287">
        <w:rPr>
          <w:color w:val="000000" w:themeColor="text1"/>
          <w:sz w:val="22"/>
          <w:szCs w:val="22"/>
          <w:lang w:val="en-US"/>
        </w:rPr>
        <w:t>self-report</w:t>
      </w:r>
      <w:r w:rsidR="006A0B6A" w:rsidRPr="00F34287">
        <w:rPr>
          <w:color w:val="000000" w:themeColor="text1"/>
          <w:sz w:val="22"/>
          <w:szCs w:val="22"/>
          <w:lang w:val="en-US"/>
        </w:rPr>
        <w:t>ed</w:t>
      </w:r>
      <w:r w:rsidR="0018118D" w:rsidRPr="00F34287">
        <w:rPr>
          <w:color w:val="000000" w:themeColor="text1"/>
          <w:sz w:val="22"/>
          <w:szCs w:val="22"/>
          <w:lang w:val="en-US"/>
        </w:rPr>
        <w:t xml:space="preserve"> use of </w:t>
      </w:r>
      <w:r w:rsidR="00A56542" w:rsidRPr="00F34287">
        <w:rPr>
          <w:color w:val="000000" w:themeColor="text1"/>
          <w:sz w:val="22"/>
          <w:szCs w:val="22"/>
          <w:lang w:val="en-US"/>
        </w:rPr>
        <w:t>heart rate</w:t>
      </w:r>
      <w:r w:rsidR="0035151E" w:rsidRPr="00F34287">
        <w:rPr>
          <w:color w:val="000000" w:themeColor="text1"/>
          <w:sz w:val="22"/>
          <w:szCs w:val="22"/>
          <w:lang w:val="en-US"/>
        </w:rPr>
        <w:t xml:space="preserve"> </w:t>
      </w:r>
      <w:r w:rsidR="00A56542" w:rsidRPr="00F34287">
        <w:rPr>
          <w:color w:val="000000" w:themeColor="text1"/>
          <w:sz w:val="22"/>
          <w:szCs w:val="22"/>
          <w:lang w:val="en-US"/>
        </w:rPr>
        <w:t>modifying medications</w:t>
      </w:r>
      <w:r w:rsidR="0018118D" w:rsidRPr="00F34287">
        <w:rPr>
          <w:color w:val="000000" w:themeColor="text1"/>
          <w:sz w:val="22"/>
          <w:szCs w:val="22"/>
          <w:lang w:val="en-US"/>
        </w:rPr>
        <w:t xml:space="preserve">: </w:t>
      </w:r>
      <w:r w:rsidR="00BD7528" w:rsidRPr="00F34287">
        <w:rPr>
          <w:color w:val="000000" w:themeColor="text1"/>
          <w:sz w:val="22"/>
          <w:szCs w:val="22"/>
          <w:lang w:val="en-US"/>
        </w:rPr>
        <w:t xml:space="preserve">beta-blockers, </w:t>
      </w:r>
      <w:r w:rsidR="00DF6A3C" w:rsidRPr="00F34287">
        <w:rPr>
          <w:color w:val="000000" w:themeColor="text1"/>
          <w:sz w:val="22"/>
          <w:szCs w:val="22"/>
          <w:lang w:val="en-US"/>
        </w:rPr>
        <w:t xml:space="preserve">oral </w:t>
      </w:r>
      <w:r w:rsidR="00634CD6" w:rsidRPr="00F34287">
        <w:rPr>
          <w:color w:val="000000" w:themeColor="text1"/>
          <w:sz w:val="22"/>
          <w:szCs w:val="22"/>
          <w:lang w:val="en-US"/>
        </w:rPr>
        <w:t>nitrates, non</w:t>
      </w:r>
      <w:r w:rsidR="00BD7528" w:rsidRPr="00F34287">
        <w:rPr>
          <w:color w:val="000000" w:themeColor="text1"/>
          <w:sz w:val="22"/>
          <w:szCs w:val="22"/>
          <w:lang w:val="en-US"/>
        </w:rPr>
        <w:t>-dihydropyridine calcium channel blockers</w:t>
      </w:r>
      <w:r w:rsidR="00DF6A3C" w:rsidRPr="00F34287">
        <w:rPr>
          <w:color w:val="000000" w:themeColor="text1"/>
          <w:sz w:val="22"/>
          <w:szCs w:val="22"/>
          <w:lang w:val="en-US"/>
        </w:rPr>
        <w:t xml:space="preserve">, amiodarone, digoxin, </w:t>
      </w:r>
      <w:r w:rsidR="00F01AB5" w:rsidRPr="00F34287">
        <w:rPr>
          <w:color w:val="000000" w:themeColor="text1"/>
          <w:sz w:val="22"/>
          <w:szCs w:val="22"/>
          <w:lang w:val="en-US"/>
        </w:rPr>
        <w:t xml:space="preserve">and </w:t>
      </w:r>
      <w:r w:rsidR="00DF6A3C" w:rsidRPr="00F34287">
        <w:rPr>
          <w:color w:val="000000" w:themeColor="text1"/>
          <w:sz w:val="22"/>
          <w:szCs w:val="22"/>
          <w:lang w:val="en-US"/>
        </w:rPr>
        <w:t>flecainid</w:t>
      </w:r>
      <w:r w:rsidR="0018118D" w:rsidRPr="00F34287">
        <w:rPr>
          <w:color w:val="000000" w:themeColor="text1"/>
          <w:sz w:val="22"/>
          <w:szCs w:val="22"/>
          <w:lang w:val="en-US"/>
        </w:rPr>
        <w:t>e (</w:t>
      </w:r>
      <w:r w:rsidR="00DF6A3C" w:rsidRPr="00F34287">
        <w:rPr>
          <w:color w:val="000000" w:themeColor="text1"/>
          <w:sz w:val="22"/>
          <w:szCs w:val="22"/>
          <w:lang w:val="en-US"/>
        </w:rPr>
        <w:t>Supplementary Table 1)</w:t>
      </w:r>
      <w:r w:rsidR="00BD7528" w:rsidRPr="00F34287">
        <w:rPr>
          <w:color w:val="000000" w:themeColor="text1"/>
          <w:sz w:val="22"/>
          <w:szCs w:val="22"/>
          <w:lang w:val="en-US"/>
        </w:rPr>
        <w:t>.</w:t>
      </w:r>
    </w:p>
    <w:p w14:paraId="4CC0492A" w14:textId="77777777" w:rsidR="001D0148" w:rsidRPr="00F34287" w:rsidRDefault="001D0148" w:rsidP="00BA3555">
      <w:pPr>
        <w:autoSpaceDE w:val="0"/>
        <w:autoSpaceDN w:val="0"/>
        <w:adjustRightInd w:val="0"/>
        <w:spacing w:after="120" w:line="480" w:lineRule="auto"/>
        <w:rPr>
          <w:color w:val="000000" w:themeColor="text1"/>
          <w:sz w:val="22"/>
          <w:szCs w:val="22"/>
          <w:lang w:val="en-US"/>
        </w:rPr>
      </w:pPr>
    </w:p>
    <w:p w14:paraId="54E908A4" w14:textId="77777777" w:rsidR="0020497C" w:rsidRPr="00F34287" w:rsidRDefault="00D843D8" w:rsidP="0020497C">
      <w:pPr>
        <w:spacing w:after="120" w:line="480" w:lineRule="auto"/>
        <w:rPr>
          <w:b/>
          <w:iCs/>
          <w:color w:val="000000" w:themeColor="text1"/>
          <w:sz w:val="32"/>
          <w:szCs w:val="32"/>
          <w:lang w:val="en-US"/>
        </w:rPr>
      </w:pPr>
      <w:r w:rsidRPr="00F34287">
        <w:rPr>
          <w:b/>
          <w:iCs/>
          <w:color w:val="000000" w:themeColor="text1"/>
          <w:sz w:val="32"/>
          <w:szCs w:val="32"/>
          <w:lang w:val="en-US"/>
        </w:rPr>
        <w:t>Measurement of</w:t>
      </w:r>
      <w:r w:rsidR="00B71009" w:rsidRPr="00F34287">
        <w:rPr>
          <w:b/>
          <w:iCs/>
          <w:color w:val="000000" w:themeColor="text1"/>
          <w:sz w:val="32"/>
          <w:szCs w:val="32"/>
          <w:lang w:val="en-US"/>
        </w:rPr>
        <w:t xml:space="preserve"> RHR</w:t>
      </w:r>
      <w:r w:rsidR="00534EF1" w:rsidRPr="00F34287">
        <w:rPr>
          <w:b/>
          <w:iCs/>
          <w:color w:val="000000" w:themeColor="text1"/>
          <w:sz w:val="32"/>
          <w:szCs w:val="32"/>
          <w:lang w:val="en-US"/>
        </w:rPr>
        <w:t xml:space="preserve"> </w:t>
      </w:r>
    </w:p>
    <w:p w14:paraId="42C7B891" w14:textId="5139BA2B" w:rsidR="0020497C" w:rsidRPr="00F34287" w:rsidRDefault="00A56542" w:rsidP="0020497C">
      <w:pPr>
        <w:spacing w:after="120" w:line="480" w:lineRule="auto"/>
        <w:rPr>
          <w:b/>
          <w:iCs/>
          <w:color w:val="000000" w:themeColor="text1"/>
          <w:sz w:val="32"/>
          <w:szCs w:val="32"/>
        </w:rPr>
      </w:pPr>
      <w:r w:rsidRPr="00F34287">
        <w:rPr>
          <w:color w:val="000000" w:themeColor="text1"/>
          <w:sz w:val="22"/>
          <w:szCs w:val="22"/>
        </w:rPr>
        <w:t xml:space="preserve">RHR was </w:t>
      </w:r>
      <w:r w:rsidR="00EE219A" w:rsidRPr="00F34287">
        <w:rPr>
          <w:color w:val="000000" w:themeColor="text1"/>
          <w:sz w:val="22"/>
          <w:szCs w:val="22"/>
        </w:rPr>
        <w:t>measured</w:t>
      </w:r>
      <w:r w:rsidRPr="00F34287">
        <w:rPr>
          <w:color w:val="000000" w:themeColor="text1"/>
          <w:sz w:val="22"/>
          <w:szCs w:val="22"/>
        </w:rPr>
        <w:t xml:space="preserve"> </w:t>
      </w:r>
      <w:r w:rsidR="0020497C" w:rsidRPr="00F34287">
        <w:rPr>
          <w:color w:val="000000" w:themeColor="text1"/>
          <w:sz w:val="22"/>
          <w:szCs w:val="22"/>
        </w:rPr>
        <w:t xml:space="preserve">according to a pre-defined standard operating procedure at the baseline UKB assessment visit, detailed in a dedicated document </w:t>
      </w:r>
      <w:r w:rsidR="0020497C" w:rsidRPr="00F34287">
        <w:rPr>
          <w:color w:val="000000" w:themeColor="text1"/>
          <w:sz w:val="22"/>
          <w:szCs w:val="22"/>
        </w:rPr>
        <w:fldChar w:fldCharType="begin" w:fldLock="1"/>
      </w:r>
      <w:r w:rsidR="0020497C" w:rsidRPr="00F34287">
        <w:rPr>
          <w:color w:val="000000" w:themeColor="text1"/>
          <w:sz w:val="22"/>
          <w:szCs w:val="22"/>
        </w:rPr>
        <w:instrText>ADDIN CSL_CITATION {"citationItems":[{"id":"ITEM-1","itemData":{"id":"ITEM-1","issued":{"date-parts":[["2011"]]},"title":"UK Biobank Blood Pressure","type":"report"},"uris":["http://www.mendeley.com/documents/?uuid=d1491d7c-f01c-3784-8d2e-f1c2f4f697e4"]}],"mendeley":{"formattedCitation":"(22)","plainTextFormattedCitation":"(22)","previouslyFormattedCitation":"(22)"},"properties":{"noteIndex":0},"schema":"https://github.com/citation-style-language/schema/raw/master/csl-citation.json"}</w:instrText>
      </w:r>
      <w:r w:rsidR="0020497C" w:rsidRPr="00F34287">
        <w:rPr>
          <w:color w:val="000000" w:themeColor="text1"/>
          <w:sz w:val="22"/>
          <w:szCs w:val="22"/>
        </w:rPr>
        <w:fldChar w:fldCharType="separate"/>
      </w:r>
      <w:r w:rsidR="0020497C" w:rsidRPr="00F34287">
        <w:rPr>
          <w:noProof/>
          <w:color w:val="000000" w:themeColor="text1"/>
          <w:sz w:val="22"/>
          <w:szCs w:val="22"/>
        </w:rPr>
        <w:t>(22)</w:t>
      </w:r>
      <w:r w:rsidR="0020497C" w:rsidRPr="00F34287">
        <w:rPr>
          <w:color w:val="000000" w:themeColor="text1"/>
          <w:sz w:val="22"/>
          <w:szCs w:val="22"/>
        </w:rPr>
        <w:fldChar w:fldCharType="end"/>
      </w:r>
      <w:r w:rsidR="0020497C" w:rsidRPr="00F34287">
        <w:rPr>
          <w:color w:val="000000" w:themeColor="text1"/>
          <w:sz w:val="22"/>
          <w:szCs w:val="22"/>
        </w:rPr>
        <w:t xml:space="preserve">. Measurement was taken in a dedicated room using the Omron 705 IT electronic blood pressure monitor (OMRON Healthcare Europe B.V. </w:t>
      </w:r>
      <w:proofErr w:type="spellStart"/>
      <w:r w:rsidR="0020497C" w:rsidRPr="00F34287">
        <w:rPr>
          <w:color w:val="000000" w:themeColor="text1"/>
          <w:sz w:val="22"/>
          <w:szCs w:val="22"/>
        </w:rPr>
        <w:t>Kruisweg</w:t>
      </w:r>
      <w:proofErr w:type="spellEnd"/>
      <w:r w:rsidR="0020497C" w:rsidRPr="00F34287">
        <w:rPr>
          <w:color w:val="000000" w:themeColor="text1"/>
          <w:sz w:val="22"/>
          <w:szCs w:val="22"/>
        </w:rPr>
        <w:t xml:space="preserve"> 577 2132 NA </w:t>
      </w:r>
      <w:proofErr w:type="spellStart"/>
      <w:r w:rsidR="0020497C" w:rsidRPr="00F34287">
        <w:rPr>
          <w:color w:val="000000" w:themeColor="text1"/>
          <w:sz w:val="22"/>
          <w:szCs w:val="22"/>
        </w:rPr>
        <w:t>Hoofddorp</w:t>
      </w:r>
      <w:proofErr w:type="spellEnd"/>
      <w:r w:rsidR="0020497C" w:rsidRPr="00F34287">
        <w:rPr>
          <w:color w:val="000000" w:themeColor="text1"/>
          <w:sz w:val="22"/>
          <w:szCs w:val="22"/>
        </w:rPr>
        <w:t xml:space="preserve">). The participant was asked to sit with their feet parallel to each other, toes pointing forward and soles of feet </w:t>
      </w:r>
      <w:r w:rsidR="000A4FCE" w:rsidRPr="00F34287">
        <w:rPr>
          <w:color w:val="000000" w:themeColor="text1"/>
          <w:sz w:val="22"/>
          <w:szCs w:val="22"/>
        </w:rPr>
        <w:t xml:space="preserve">resting </w:t>
      </w:r>
      <w:r w:rsidR="0020497C" w:rsidRPr="00F34287">
        <w:rPr>
          <w:color w:val="000000" w:themeColor="text1"/>
          <w:sz w:val="22"/>
          <w:szCs w:val="22"/>
        </w:rPr>
        <w:t xml:space="preserve">flat on the floor. </w:t>
      </w:r>
      <w:r w:rsidR="000A4FCE" w:rsidRPr="00F34287">
        <w:rPr>
          <w:color w:val="000000" w:themeColor="text1"/>
          <w:sz w:val="22"/>
          <w:szCs w:val="22"/>
        </w:rPr>
        <w:t>Measurement was taken from the left arm</w:t>
      </w:r>
      <w:r w:rsidR="00FF22A4">
        <w:rPr>
          <w:color w:val="000000" w:themeColor="text1"/>
          <w:sz w:val="22"/>
          <w:szCs w:val="22"/>
        </w:rPr>
        <w:t xml:space="preserve">; </w:t>
      </w:r>
      <w:r w:rsidR="000A4FCE" w:rsidRPr="00F34287">
        <w:rPr>
          <w:color w:val="000000" w:themeColor="text1"/>
          <w:sz w:val="22"/>
          <w:szCs w:val="22"/>
        </w:rPr>
        <w:t>the right arm was used i</w:t>
      </w:r>
      <w:r w:rsidR="0020497C" w:rsidRPr="00F34287">
        <w:rPr>
          <w:color w:val="000000" w:themeColor="text1"/>
          <w:sz w:val="22"/>
          <w:szCs w:val="22"/>
        </w:rPr>
        <w:t xml:space="preserve">f measurement from the left was not practical (amputee, shunt, mastectomy, </w:t>
      </w:r>
      <w:r w:rsidR="000A4FCE" w:rsidRPr="00F34287">
        <w:rPr>
          <w:color w:val="000000" w:themeColor="text1"/>
          <w:sz w:val="22"/>
          <w:szCs w:val="22"/>
        </w:rPr>
        <w:t>axillary</w:t>
      </w:r>
      <w:r w:rsidR="0020497C" w:rsidRPr="00F34287">
        <w:rPr>
          <w:color w:val="000000" w:themeColor="text1"/>
          <w:sz w:val="22"/>
          <w:szCs w:val="22"/>
        </w:rPr>
        <w:t xml:space="preserve"> clearance). </w:t>
      </w:r>
      <w:r w:rsidR="000A4FCE" w:rsidRPr="00F34287">
        <w:rPr>
          <w:color w:val="000000" w:themeColor="text1"/>
          <w:sz w:val="22"/>
          <w:szCs w:val="22"/>
        </w:rPr>
        <w:t xml:space="preserve">Restrictive clothing was loosened or removed from the upper arm. </w:t>
      </w:r>
      <w:r w:rsidR="0020497C" w:rsidRPr="00F34287">
        <w:rPr>
          <w:color w:val="000000" w:themeColor="text1"/>
          <w:sz w:val="22"/>
          <w:szCs w:val="22"/>
        </w:rPr>
        <w:t xml:space="preserve">Staff members were instructed to </w:t>
      </w:r>
      <w:r w:rsidR="00B52524" w:rsidRPr="00F34287">
        <w:rPr>
          <w:color w:val="000000" w:themeColor="text1"/>
          <w:sz w:val="22"/>
          <w:szCs w:val="22"/>
        </w:rPr>
        <w:t>avoid</w:t>
      </w:r>
      <w:r w:rsidR="0020497C" w:rsidRPr="00F34287">
        <w:rPr>
          <w:color w:val="000000" w:themeColor="text1"/>
          <w:sz w:val="22"/>
          <w:szCs w:val="22"/>
        </w:rPr>
        <w:t xml:space="preserve"> engag</w:t>
      </w:r>
      <w:r w:rsidR="00B52524" w:rsidRPr="00F34287">
        <w:rPr>
          <w:color w:val="000000" w:themeColor="text1"/>
          <w:sz w:val="22"/>
          <w:szCs w:val="22"/>
        </w:rPr>
        <w:t>ing</w:t>
      </w:r>
      <w:r w:rsidR="0020497C" w:rsidRPr="00F34287">
        <w:rPr>
          <w:color w:val="000000" w:themeColor="text1"/>
          <w:sz w:val="22"/>
          <w:szCs w:val="22"/>
        </w:rPr>
        <w:t xml:space="preserve"> participants in conversation. </w:t>
      </w:r>
      <w:r w:rsidR="00B754B1" w:rsidRPr="00F34287">
        <w:rPr>
          <w:color w:val="000000" w:themeColor="text1"/>
          <w:sz w:val="22"/>
          <w:szCs w:val="22"/>
        </w:rPr>
        <w:t xml:space="preserve">The participant was asked to place their arm on the desktop and breathe in and out slowly in a relaxed fashion. The correct cuff size was selected after measurement of the mid-point circumference of the upper arm. </w:t>
      </w:r>
      <w:r w:rsidR="0020497C" w:rsidRPr="00F34287">
        <w:rPr>
          <w:color w:val="000000" w:themeColor="text1"/>
          <w:sz w:val="22"/>
          <w:szCs w:val="22"/>
        </w:rPr>
        <w:t>The operator</w:t>
      </w:r>
      <w:r w:rsidR="00B52524" w:rsidRPr="00F34287">
        <w:rPr>
          <w:color w:val="000000" w:themeColor="text1"/>
          <w:sz w:val="22"/>
          <w:szCs w:val="22"/>
        </w:rPr>
        <w:t xml:space="preserve"> would start the measurement by </w:t>
      </w:r>
      <w:r w:rsidR="0020497C" w:rsidRPr="00F34287">
        <w:rPr>
          <w:color w:val="000000" w:themeColor="text1"/>
          <w:sz w:val="22"/>
          <w:szCs w:val="22"/>
        </w:rPr>
        <w:t>pres</w:t>
      </w:r>
      <w:r w:rsidR="00B52524" w:rsidRPr="00F34287">
        <w:rPr>
          <w:color w:val="000000" w:themeColor="text1"/>
          <w:sz w:val="22"/>
          <w:szCs w:val="22"/>
        </w:rPr>
        <w:t>sing</w:t>
      </w:r>
      <w:r w:rsidR="0020497C" w:rsidRPr="00F34287">
        <w:rPr>
          <w:color w:val="000000" w:themeColor="text1"/>
          <w:sz w:val="22"/>
          <w:szCs w:val="22"/>
        </w:rPr>
        <w:t xml:space="preserve"> start on the monitor. The</w:t>
      </w:r>
      <w:r w:rsidR="00B754B1" w:rsidRPr="00F34287">
        <w:rPr>
          <w:color w:val="000000" w:themeColor="text1"/>
          <w:sz w:val="22"/>
          <w:szCs w:val="22"/>
        </w:rPr>
        <w:t xml:space="preserve"> </w:t>
      </w:r>
      <w:r w:rsidR="0020497C" w:rsidRPr="00F34287">
        <w:rPr>
          <w:color w:val="000000" w:themeColor="text1"/>
          <w:sz w:val="22"/>
          <w:szCs w:val="22"/>
        </w:rPr>
        <w:t xml:space="preserve">blood pressure and pulse rate measures </w:t>
      </w:r>
      <w:r w:rsidR="00B52524" w:rsidRPr="00F34287">
        <w:rPr>
          <w:color w:val="000000" w:themeColor="text1"/>
          <w:sz w:val="22"/>
          <w:szCs w:val="22"/>
        </w:rPr>
        <w:t xml:space="preserve">generated by the machine </w:t>
      </w:r>
      <w:r w:rsidR="00B754B1" w:rsidRPr="00F34287">
        <w:rPr>
          <w:color w:val="000000" w:themeColor="text1"/>
          <w:sz w:val="22"/>
          <w:szCs w:val="22"/>
        </w:rPr>
        <w:t>auto-populated</w:t>
      </w:r>
      <w:r w:rsidR="00B52524" w:rsidRPr="00F34287">
        <w:rPr>
          <w:color w:val="000000" w:themeColor="text1"/>
          <w:sz w:val="22"/>
          <w:szCs w:val="22"/>
        </w:rPr>
        <w:t xml:space="preserve"> to the participants’ electronic record</w:t>
      </w:r>
      <w:r w:rsidR="0020497C" w:rsidRPr="00F34287">
        <w:rPr>
          <w:color w:val="000000" w:themeColor="text1"/>
          <w:sz w:val="22"/>
          <w:szCs w:val="22"/>
        </w:rPr>
        <w:t xml:space="preserve">. After completing the first measurement, the rubber inflation tubing </w:t>
      </w:r>
      <w:r w:rsidR="00372388" w:rsidRPr="00F34287">
        <w:rPr>
          <w:color w:val="000000" w:themeColor="text1"/>
          <w:sz w:val="22"/>
          <w:szCs w:val="22"/>
        </w:rPr>
        <w:t>was</w:t>
      </w:r>
      <w:r w:rsidR="0020497C" w:rsidRPr="00F34287">
        <w:rPr>
          <w:color w:val="000000" w:themeColor="text1"/>
          <w:sz w:val="22"/>
          <w:szCs w:val="22"/>
        </w:rPr>
        <w:t xml:space="preserve"> disconnected from the Omron monitor, the cuff </w:t>
      </w:r>
      <w:r w:rsidR="00372388" w:rsidRPr="00F34287">
        <w:rPr>
          <w:color w:val="000000" w:themeColor="text1"/>
          <w:sz w:val="22"/>
          <w:szCs w:val="22"/>
        </w:rPr>
        <w:t xml:space="preserve">was </w:t>
      </w:r>
      <w:r w:rsidR="0020497C" w:rsidRPr="00F34287">
        <w:rPr>
          <w:color w:val="000000" w:themeColor="text1"/>
          <w:sz w:val="22"/>
          <w:szCs w:val="22"/>
        </w:rPr>
        <w:t>left in place</w:t>
      </w:r>
      <w:r w:rsidR="00372388" w:rsidRPr="00F34287">
        <w:rPr>
          <w:color w:val="000000" w:themeColor="text1"/>
          <w:sz w:val="22"/>
          <w:szCs w:val="22"/>
        </w:rPr>
        <w:t xml:space="preserve"> but allowed to deflate completely</w:t>
      </w:r>
      <w:r w:rsidR="0020497C" w:rsidRPr="00F34287">
        <w:rPr>
          <w:color w:val="000000" w:themeColor="text1"/>
          <w:sz w:val="22"/>
          <w:szCs w:val="22"/>
        </w:rPr>
        <w:t xml:space="preserve">. The participant </w:t>
      </w:r>
      <w:r w:rsidR="00372388" w:rsidRPr="00F34287">
        <w:rPr>
          <w:color w:val="000000" w:themeColor="text1"/>
          <w:sz w:val="22"/>
          <w:szCs w:val="22"/>
        </w:rPr>
        <w:t>was then</w:t>
      </w:r>
      <w:r w:rsidR="0020497C" w:rsidRPr="00F34287">
        <w:rPr>
          <w:color w:val="000000" w:themeColor="text1"/>
          <w:sz w:val="22"/>
          <w:szCs w:val="22"/>
        </w:rPr>
        <w:t xml:space="preserve"> asked to gently shake their arm, and open and close their hand a few times. </w:t>
      </w:r>
      <w:r w:rsidR="00372388" w:rsidRPr="00F34287">
        <w:rPr>
          <w:color w:val="000000" w:themeColor="text1"/>
          <w:sz w:val="22"/>
          <w:szCs w:val="22"/>
        </w:rPr>
        <w:t xml:space="preserve">A second reading was obtained after waiting for at least 1 minute. </w:t>
      </w:r>
      <w:r w:rsidR="0020497C" w:rsidRPr="00F34287">
        <w:rPr>
          <w:color w:val="000000" w:themeColor="text1"/>
          <w:sz w:val="22"/>
          <w:szCs w:val="22"/>
        </w:rPr>
        <w:t>A timer in the computer ensure</w:t>
      </w:r>
      <w:r w:rsidR="00372388" w:rsidRPr="00F34287">
        <w:rPr>
          <w:color w:val="000000" w:themeColor="text1"/>
          <w:sz w:val="22"/>
          <w:szCs w:val="22"/>
        </w:rPr>
        <w:t>d</w:t>
      </w:r>
      <w:r w:rsidR="0020497C" w:rsidRPr="00F34287">
        <w:rPr>
          <w:color w:val="000000" w:themeColor="text1"/>
          <w:sz w:val="22"/>
          <w:szCs w:val="22"/>
        </w:rPr>
        <w:t xml:space="preserve"> that the second pressure reading c</w:t>
      </w:r>
      <w:r w:rsidR="00372388" w:rsidRPr="00F34287">
        <w:rPr>
          <w:color w:val="000000" w:themeColor="text1"/>
          <w:sz w:val="22"/>
          <w:szCs w:val="22"/>
        </w:rPr>
        <w:t>ould not</w:t>
      </w:r>
      <w:r w:rsidR="0020497C" w:rsidRPr="00F34287">
        <w:rPr>
          <w:color w:val="000000" w:themeColor="text1"/>
          <w:sz w:val="22"/>
          <w:szCs w:val="22"/>
        </w:rPr>
        <w:t xml:space="preserve"> be taken </w:t>
      </w:r>
      <w:r w:rsidR="00372388" w:rsidRPr="00F34287">
        <w:rPr>
          <w:color w:val="000000" w:themeColor="text1"/>
          <w:sz w:val="22"/>
          <w:szCs w:val="22"/>
        </w:rPr>
        <w:t>before</w:t>
      </w:r>
      <w:r w:rsidR="0020497C" w:rsidRPr="00F34287">
        <w:rPr>
          <w:color w:val="000000" w:themeColor="text1"/>
          <w:sz w:val="22"/>
          <w:szCs w:val="22"/>
        </w:rPr>
        <w:t xml:space="preserve"> 1 minute ha</w:t>
      </w:r>
      <w:r w:rsidR="00372388" w:rsidRPr="00F34287">
        <w:rPr>
          <w:color w:val="000000" w:themeColor="text1"/>
          <w:sz w:val="22"/>
          <w:szCs w:val="22"/>
        </w:rPr>
        <w:t>d</w:t>
      </w:r>
      <w:r w:rsidR="0020497C" w:rsidRPr="00F34287">
        <w:rPr>
          <w:color w:val="000000" w:themeColor="text1"/>
          <w:sz w:val="22"/>
          <w:szCs w:val="22"/>
        </w:rPr>
        <w:t xml:space="preserve"> elapsed. We used the mean of these two heart rate readings</w:t>
      </w:r>
      <w:r w:rsidR="00372388" w:rsidRPr="00F34287">
        <w:rPr>
          <w:color w:val="000000" w:themeColor="text1"/>
          <w:sz w:val="22"/>
          <w:szCs w:val="22"/>
        </w:rPr>
        <w:t xml:space="preserve"> in the analysis</w:t>
      </w:r>
      <w:r w:rsidR="0020497C" w:rsidRPr="00F34287">
        <w:rPr>
          <w:color w:val="000000" w:themeColor="text1"/>
          <w:sz w:val="22"/>
          <w:szCs w:val="22"/>
        </w:rPr>
        <w:t xml:space="preserve">. </w:t>
      </w:r>
    </w:p>
    <w:p w14:paraId="00652581" w14:textId="13CB6CA6" w:rsidR="008335CB" w:rsidRDefault="008335CB" w:rsidP="00BA3555">
      <w:pPr>
        <w:spacing w:after="120" w:line="480" w:lineRule="auto"/>
        <w:rPr>
          <w:color w:val="000000" w:themeColor="text1"/>
          <w:sz w:val="22"/>
          <w:szCs w:val="22"/>
        </w:rPr>
      </w:pPr>
    </w:p>
    <w:p w14:paraId="7E13C92F" w14:textId="77777777" w:rsidR="00FF22A4" w:rsidRPr="00F34287" w:rsidRDefault="00FF22A4" w:rsidP="00BA3555">
      <w:pPr>
        <w:spacing w:after="120" w:line="480" w:lineRule="auto"/>
        <w:rPr>
          <w:color w:val="000000" w:themeColor="text1"/>
          <w:sz w:val="22"/>
          <w:szCs w:val="22"/>
        </w:rPr>
      </w:pPr>
    </w:p>
    <w:p w14:paraId="0913C1A8" w14:textId="7CA81B5A" w:rsidR="00413BE5" w:rsidRPr="00F34287" w:rsidRDefault="00413BE5" w:rsidP="00BA3555">
      <w:pPr>
        <w:spacing w:after="120" w:line="480" w:lineRule="auto"/>
        <w:rPr>
          <w:b/>
          <w:iCs/>
          <w:color w:val="000000" w:themeColor="text1"/>
          <w:sz w:val="32"/>
          <w:szCs w:val="32"/>
        </w:rPr>
      </w:pPr>
      <w:r w:rsidRPr="00F34287">
        <w:rPr>
          <w:b/>
          <w:iCs/>
          <w:color w:val="000000" w:themeColor="text1"/>
          <w:sz w:val="32"/>
          <w:szCs w:val="32"/>
        </w:rPr>
        <w:lastRenderedPageBreak/>
        <w:t>Ascertainment of outcomes</w:t>
      </w:r>
    </w:p>
    <w:p w14:paraId="78C4C516" w14:textId="7767646C" w:rsidR="00B71009" w:rsidRPr="00F34287" w:rsidRDefault="00986153" w:rsidP="00BA3555">
      <w:pPr>
        <w:spacing w:after="120" w:line="480" w:lineRule="auto"/>
        <w:rPr>
          <w:color w:val="000000" w:themeColor="text1"/>
          <w:sz w:val="22"/>
          <w:szCs w:val="22"/>
        </w:rPr>
      </w:pPr>
      <w:r w:rsidRPr="00F34287">
        <w:rPr>
          <w:color w:val="000000" w:themeColor="text1"/>
          <w:sz w:val="22"/>
          <w:szCs w:val="22"/>
        </w:rPr>
        <w:t xml:space="preserve">Linkages have been established with electronic </w:t>
      </w:r>
      <w:r w:rsidR="00064625" w:rsidRPr="00F34287">
        <w:rPr>
          <w:color w:val="000000" w:themeColor="text1"/>
          <w:sz w:val="22"/>
          <w:szCs w:val="22"/>
        </w:rPr>
        <w:t>H</w:t>
      </w:r>
      <w:r w:rsidRPr="00F34287">
        <w:rPr>
          <w:color w:val="000000" w:themeColor="text1"/>
          <w:sz w:val="22"/>
          <w:szCs w:val="22"/>
        </w:rPr>
        <w:t xml:space="preserve">ospital </w:t>
      </w:r>
      <w:r w:rsidR="00064625" w:rsidRPr="00F34287">
        <w:rPr>
          <w:color w:val="000000" w:themeColor="text1"/>
          <w:sz w:val="22"/>
          <w:szCs w:val="22"/>
        </w:rPr>
        <w:t>Episode Statistics (HES)</w:t>
      </w:r>
      <w:r w:rsidRPr="00F34287">
        <w:rPr>
          <w:color w:val="000000" w:themeColor="text1"/>
          <w:sz w:val="22"/>
          <w:szCs w:val="22"/>
        </w:rPr>
        <w:t xml:space="preserve"> and death registers for </w:t>
      </w:r>
      <w:r w:rsidR="00064625" w:rsidRPr="00F34287">
        <w:rPr>
          <w:color w:val="000000" w:themeColor="text1"/>
          <w:sz w:val="22"/>
          <w:szCs w:val="22"/>
        </w:rPr>
        <w:t xml:space="preserve">the </w:t>
      </w:r>
      <w:r w:rsidR="00B754B1" w:rsidRPr="00F34287">
        <w:rPr>
          <w:color w:val="000000" w:themeColor="text1"/>
          <w:sz w:val="22"/>
          <w:szCs w:val="22"/>
        </w:rPr>
        <w:t xml:space="preserve">whole </w:t>
      </w:r>
      <w:r w:rsidRPr="00F34287">
        <w:rPr>
          <w:color w:val="000000" w:themeColor="text1"/>
          <w:sz w:val="22"/>
          <w:szCs w:val="22"/>
        </w:rPr>
        <w:t xml:space="preserve">UKB cohort allowing prospective tracking of </w:t>
      </w:r>
      <w:r w:rsidR="006C3C2E" w:rsidRPr="00F34287">
        <w:rPr>
          <w:color w:val="000000" w:themeColor="text1"/>
          <w:sz w:val="22"/>
          <w:szCs w:val="22"/>
        </w:rPr>
        <w:t xml:space="preserve">verified </w:t>
      </w:r>
      <w:r w:rsidRPr="00F34287">
        <w:rPr>
          <w:color w:val="000000" w:themeColor="text1"/>
          <w:sz w:val="22"/>
          <w:szCs w:val="22"/>
        </w:rPr>
        <w:t xml:space="preserve">outcomes </w:t>
      </w:r>
      <w:r w:rsidR="00B71009" w:rsidRPr="00F34287">
        <w:rPr>
          <w:color w:val="000000" w:themeColor="text1"/>
          <w:sz w:val="22"/>
          <w:szCs w:val="22"/>
        </w:rPr>
        <w:t xml:space="preserve">from baseline with conditions </w:t>
      </w:r>
      <w:r w:rsidRPr="00F34287">
        <w:rPr>
          <w:color w:val="000000" w:themeColor="text1"/>
          <w:sz w:val="22"/>
          <w:szCs w:val="22"/>
        </w:rPr>
        <w:t>defined in accordance with the International Classification of Diseases (ICD). Further, UKB has produced algorithms to reliably identify</w:t>
      </w:r>
      <w:r w:rsidR="00D639E6" w:rsidRPr="00F34287">
        <w:rPr>
          <w:color w:val="000000" w:themeColor="text1"/>
          <w:sz w:val="22"/>
          <w:szCs w:val="22"/>
        </w:rPr>
        <w:t xml:space="preserve"> incidence of selected illnesses</w:t>
      </w:r>
      <w:r w:rsidR="00787114" w:rsidRPr="00F34287">
        <w:rPr>
          <w:color w:val="000000" w:themeColor="text1"/>
          <w:sz w:val="22"/>
          <w:szCs w:val="22"/>
        </w:rPr>
        <w:t xml:space="preserve"> </w:t>
      </w:r>
      <w:r w:rsidRPr="00F34287">
        <w:rPr>
          <w:color w:val="000000" w:themeColor="text1"/>
          <w:sz w:val="22"/>
          <w:szCs w:val="22"/>
        </w:rPr>
        <w:t xml:space="preserve">through consideration of </w:t>
      </w:r>
      <w:r w:rsidR="00064625" w:rsidRPr="00F34287">
        <w:rPr>
          <w:color w:val="000000" w:themeColor="text1"/>
          <w:sz w:val="22"/>
          <w:szCs w:val="22"/>
        </w:rPr>
        <w:t>HES</w:t>
      </w:r>
      <w:r w:rsidRPr="00F34287">
        <w:rPr>
          <w:color w:val="000000" w:themeColor="text1"/>
          <w:sz w:val="22"/>
          <w:szCs w:val="22"/>
        </w:rPr>
        <w:t xml:space="preserve"> and death register data</w:t>
      </w:r>
      <w:r w:rsidR="00D270AD" w:rsidRPr="00F34287">
        <w:rPr>
          <w:color w:val="000000" w:themeColor="text1"/>
          <w:sz w:val="22"/>
          <w:szCs w:val="22"/>
        </w:rPr>
        <w:t xml:space="preserve">. UKB adjudication of </w:t>
      </w:r>
      <w:r w:rsidR="00064625" w:rsidRPr="00F34287">
        <w:rPr>
          <w:color w:val="000000" w:themeColor="text1"/>
          <w:sz w:val="22"/>
          <w:szCs w:val="22"/>
        </w:rPr>
        <w:t>“</w:t>
      </w:r>
      <w:r w:rsidR="00D270AD" w:rsidRPr="00F34287">
        <w:rPr>
          <w:color w:val="000000" w:themeColor="text1"/>
          <w:sz w:val="22"/>
          <w:szCs w:val="22"/>
        </w:rPr>
        <w:t>algorithmically defined</w:t>
      </w:r>
      <w:r w:rsidR="00064625" w:rsidRPr="00F34287">
        <w:rPr>
          <w:color w:val="000000" w:themeColor="text1"/>
          <w:sz w:val="22"/>
          <w:szCs w:val="22"/>
        </w:rPr>
        <w:t>”</w:t>
      </w:r>
      <w:r w:rsidR="00D270AD" w:rsidRPr="00F34287">
        <w:rPr>
          <w:color w:val="000000" w:themeColor="text1"/>
          <w:sz w:val="22"/>
          <w:szCs w:val="22"/>
        </w:rPr>
        <w:t xml:space="preserve"> outcomes is detailed in a dedicated document</w:t>
      </w:r>
      <w:r w:rsidR="005C6A1A" w:rsidRPr="00F34287">
        <w:rPr>
          <w:color w:val="000000" w:themeColor="text1"/>
          <w:sz w:val="22"/>
          <w:szCs w:val="22"/>
        </w:rPr>
        <w:fldChar w:fldCharType="begin" w:fldLock="1"/>
      </w:r>
      <w:r w:rsidR="006755C9" w:rsidRPr="00F34287">
        <w:rPr>
          <w:color w:val="000000" w:themeColor="text1"/>
          <w:sz w:val="22"/>
          <w:szCs w:val="22"/>
        </w:rPr>
        <w:instrText>ADDIN CSL_CITATION {"citationItems":[{"id":"ITEM-1","itemData":{"author":[{"dropping-particle":"","family":"Schnier","given":"Christian","non-dropping-particle":"","parse-names":false,"suffix":""},{"dropping-particle":"","family":"Bush","given":"Kathryn","non-dropping-particle":"","parse-names":false,"suffix":""},{"dropping-particle":"","family":"Nolan","given":"John","non-dropping-particle":"","parse-names":false,"suffix":""},{"dropping-particle":"","family":"Sudlow","given":"Cathie","non-dropping-particle":"","parse-names":false,"suffix":""}],"id":"ITEM-1","issue":"August","issued":{"date-parts":[["2017"]]},"title":"Definitions of Acute Myocardial Infarction and Main Myocardial Infarction Pathological Types UK Biobank Phase 1 Outcomes Adjudication Documentation prepared by : On behalf of UK Biobank Outcome Adjudication Group Definitions of Acute Myocardial Infarction","type":"article-journal"},"uris":["http://www.mendeley.com/documents/?uuid=bf4c9086-8b69-4ce5-99c4-74f0be5c86af"]}],"mendeley":{"formattedCitation":"(23)","plainTextFormattedCitation":"(23)","previouslyFormattedCitation":"(23)"},"properties":{"noteIndex":0},"schema":"https://github.com/citation-style-language/schema/raw/master/csl-citation.json"}</w:instrText>
      </w:r>
      <w:r w:rsidR="005C6A1A" w:rsidRPr="00F34287">
        <w:rPr>
          <w:color w:val="000000" w:themeColor="text1"/>
          <w:sz w:val="22"/>
          <w:szCs w:val="22"/>
        </w:rPr>
        <w:fldChar w:fldCharType="separate"/>
      </w:r>
      <w:r w:rsidR="00D25C92" w:rsidRPr="00F34287">
        <w:rPr>
          <w:noProof/>
          <w:color w:val="000000" w:themeColor="text1"/>
          <w:sz w:val="22"/>
          <w:szCs w:val="22"/>
        </w:rPr>
        <w:t>(23)</w:t>
      </w:r>
      <w:r w:rsidR="005C6A1A" w:rsidRPr="00F34287">
        <w:rPr>
          <w:color w:val="000000" w:themeColor="text1"/>
          <w:sz w:val="22"/>
          <w:szCs w:val="22"/>
        </w:rPr>
        <w:fldChar w:fldCharType="end"/>
      </w:r>
      <w:r w:rsidRPr="00F34287">
        <w:rPr>
          <w:color w:val="000000" w:themeColor="text1"/>
          <w:sz w:val="22"/>
          <w:szCs w:val="22"/>
        </w:rPr>
        <w:t>.</w:t>
      </w:r>
    </w:p>
    <w:p w14:paraId="4CEE70C3" w14:textId="77777777" w:rsidR="007A0718" w:rsidRPr="00F34287" w:rsidRDefault="007A0718" w:rsidP="00BA3555">
      <w:pPr>
        <w:spacing w:after="120" w:line="480" w:lineRule="auto"/>
        <w:rPr>
          <w:color w:val="000000" w:themeColor="text1"/>
          <w:sz w:val="22"/>
          <w:szCs w:val="22"/>
        </w:rPr>
      </w:pPr>
    </w:p>
    <w:p w14:paraId="4FAF6A8C" w14:textId="04D4AE0E" w:rsidR="00BB56D8" w:rsidRPr="00F34287" w:rsidRDefault="00B63789" w:rsidP="00BA3555">
      <w:pPr>
        <w:spacing w:after="120" w:line="480" w:lineRule="auto"/>
        <w:rPr>
          <w:color w:val="000000" w:themeColor="text1"/>
          <w:sz w:val="22"/>
          <w:szCs w:val="22"/>
        </w:rPr>
      </w:pPr>
      <w:r w:rsidRPr="00F34287">
        <w:rPr>
          <w:color w:val="000000" w:themeColor="text1"/>
          <w:sz w:val="22"/>
          <w:szCs w:val="22"/>
        </w:rPr>
        <w:t xml:space="preserve">We considered outcomes </w:t>
      </w:r>
      <w:r w:rsidR="00AB5BA4" w:rsidRPr="00F34287">
        <w:rPr>
          <w:color w:val="000000" w:themeColor="text1"/>
          <w:sz w:val="22"/>
          <w:szCs w:val="22"/>
        </w:rPr>
        <w:t xml:space="preserve">occurring from </w:t>
      </w:r>
      <w:r w:rsidR="00F034CA" w:rsidRPr="00F34287">
        <w:rPr>
          <w:color w:val="000000" w:themeColor="text1"/>
          <w:sz w:val="22"/>
          <w:szCs w:val="22"/>
        </w:rPr>
        <w:t xml:space="preserve">point of recruitment (2006–2010) </w:t>
      </w:r>
      <w:r w:rsidR="00AB5BA4" w:rsidRPr="00F34287">
        <w:rPr>
          <w:color w:val="000000" w:themeColor="text1"/>
          <w:sz w:val="22"/>
          <w:szCs w:val="22"/>
        </w:rPr>
        <w:t xml:space="preserve">to the latest UKB censor dates </w:t>
      </w:r>
      <w:r w:rsidR="00064625" w:rsidRPr="00F34287">
        <w:rPr>
          <w:color w:val="000000" w:themeColor="text1"/>
          <w:sz w:val="22"/>
          <w:szCs w:val="22"/>
        </w:rPr>
        <w:t>(</w:t>
      </w:r>
      <w:r w:rsidR="00AB5BA4" w:rsidRPr="00F34287">
        <w:rPr>
          <w:color w:val="000000" w:themeColor="text1"/>
          <w:sz w:val="22"/>
          <w:szCs w:val="22"/>
        </w:rPr>
        <w:t>mortality outcomes</w:t>
      </w:r>
      <w:r w:rsidR="00064625" w:rsidRPr="00F34287">
        <w:rPr>
          <w:color w:val="000000" w:themeColor="text1"/>
          <w:sz w:val="22"/>
          <w:szCs w:val="22"/>
        </w:rPr>
        <w:t>: 31/01/2018</w:t>
      </w:r>
      <w:r w:rsidR="00AB5BA4" w:rsidRPr="00F34287">
        <w:rPr>
          <w:color w:val="000000" w:themeColor="text1"/>
          <w:sz w:val="22"/>
          <w:szCs w:val="22"/>
        </w:rPr>
        <w:t>, incident AMI</w:t>
      </w:r>
      <w:r w:rsidR="00064625" w:rsidRPr="00F34287">
        <w:rPr>
          <w:color w:val="000000" w:themeColor="text1"/>
          <w:sz w:val="22"/>
          <w:szCs w:val="22"/>
        </w:rPr>
        <w:t>: 31/03/2017</w:t>
      </w:r>
      <w:r w:rsidR="00AB5BA4" w:rsidRPr="00F34287">
        <w:rPr>
          <w:color w:val="000000" w:themeColor="text1"/>
          <w:sz w:val="22"/>
          <w:szCs w:val="22"/>
        </w:rPr>
        <w:t xml:space="preserve">) </w:t>
      </w:r>
      <w:r w:rsidR="00F034CA" w:rsidRPr="00F34287">
        <w:rPr>
          <w:color w:val="000000" w:themeColor="text1"/>
          <w:sz w:val="22"/>
          <w:szCs w:val="22"/>
        </w:rPr>
        <w:t>giving follow</w:t>
      </w:r>
      <w:r w:rsidR="00EE219A" w:rsidRPr="00F34287">
        <w:rPr>
          <w:color w:val="000000" w:themeColor="text1"/>
          <w:sz w:val="22"/>
          <w:szCs w:val="22"/>
        </w:rPr>
        <w:t>-</w:t>
      </w:r>
      <w:r w:rsidR="00F034CA" w:rsidRPr="00F34287">
        <w:rPr>
          <w:color w:val="000000" w:themeColor="text1"/>
          <w:sz w:val="22"/>
          <w:szCs w:val="22"/>
        </w:rPr>
        <w:t xml:space="preserve">up duration of </w:t>
      </w:r>
      <w:r w:rsidR="009D5D48" w:rsidRPr="00F34287">
        <w:rPr>
          <w:color w:val="000000" w:themeColor="text1"/>
          <w:sz w:val="22"/>
          <w:szCs w:val="22"/>
        </w:rPr>
        <w:t>7</w:t>
      </w:r>
      <w:r w:rsidR="001F2622" w:rsidRPr="00F34287">
        <w:rPr>
          <w:color w:val="000000" w:themeColor="text1"/>
          <w:sz w:val="22"/>
          <w:szCs w:val="22"/>
        </w:rPr>
        <w:t>-</w:t>
      </w:r>
      <w:r w:rsidR="00F034CA" w:rsidRPr="00F34287">
        <w:rPr>
          <w:color w:val="000000" w:themeColor="text1"/>
          <w:sz w:val="22"/>
          <w:szCs w:val="22"/>
        </w:rPr>
        <w:t>12 years. We defined three main outcomes: all-cause</w:t>
      </w:r>
      <w:r w:rsidRPr="00F34287">
        <w:rPr>
          <w:color w:val="000000" w:themeColor="text1"/>
          <w:sz w:val="22"/>
          <w:szCs w:val="22"/>
        </w:rPr>
        <w:t xml:space="preserve"> mortality</w:t>
      </w:r>
      <w:r w:rsidR="00F034CA" w:rsidRPr="00F34287">
        <w:rPr>
          <w:color w:val="000000" w:themeColor="text1"/>
          <w:sz w:val="22"/>
          <w:szCs w:val="22"/>
        </w:rPr>
        <w:t>, CVD</w:t>
      </w:r>
      <w:r w:rsidRPr="00F34287">
        <w:rPr>
          <w:color w:val="000000" w:themeColor="text1"/>
          <w:sz w:val="22"/>
          <w:szCs w:val="22"/>
        </w:rPr>
        <w:t xml:space="preserve"> mortality</w:t>
      </w:r>
      <w:r w:rsidR="00F034CA" w:rsidRPr="00F34287">
        <w:rPr>
          <w:color w:val="000000" w:themeColor="text1"/>
          <w:sz w:val="22"/>
          <w:szCs w:val="22"/>
        </w:rPr>
        <w:t xml:space="preserve">, </w:t>
      </w:r>
      <w:r w:rsidR="0018118D" w:rsidRPr="00F34287">
        <w:rPr>
          <w:color w:val="000000" w:themeColor="text1"/>
          <w:sz w:val="22"/>
          <w:szCs w:val="22"/>
        </w:rPr>
        <w:t xml:space="preserve">and </w:t>
      </w:r>
      <w:r w:rsidR="00B71009" w:rsidRPr="00F34287">
        <w:rPr>
          <w:color w:val="000000" w:themeColor="text1"/>
          <w:sz w:val="22"/>
          <w:szCs w:val="22"/>
        </w:rPr>
        <w:t>IHD</w:t>
      </w:r>
      <w:r w:rsidR="00F034CA" w:rsidRPr="00F34287">
        <w:rPr>
          <w:color w:val="000000" w:themeColor="text1"/>
          <w:sz w:val="22"/>
          <w:szCs w:val="22"/>
        </w:rPr>
        <w:t xml:space="preserve"> </w:t>
      </w:r>
      <w:r w:rsidR="00413BE5" w:rsidRPr="00F34287">
        <w:rPr>
          <w:color w:val="000000" w:themeColor="text1"/>
          <w:sz w:val="22"/>
          <w:szCs w:val="22"/>
        </w:rPr>
        <w:t>mortality</w:t>
      </w:r>
      <w:r w:rsidR="00F034CA" w:rsidRPr="00F34287">
        <w:rPr>
          <w:color w:val="000000" w:themeColor="text1"/>
          <w:sz w:val="22"/>
          <w:szCs w:val="22"/>
        </w:rPr>
        <w:t>.</w:t>
      </w:r>
      <w:r w:rsidR="00BB56D8" w:rsidRPr="00F34287">
        <w:rPr>
          <w:color w:val="000000" w:themeColor="text1"/>
          <w:sz w:val="22"/>
          <w:szCs w:val="22"/>
        </w:rPr>
        <w:t xml:space="preserve"> </w:t>
      </w:r>
      <w:r w:rsidR="00055E07" w:rsidRPr="00F34287">
        <w:rPr>
          <w:color w:val="000000" w:themeColor="text1"/>
          <w:sz w:val="22"/>
          <w:szCs w:val="22"/>
        </w:rPr>
        <w:t>Secondary</w:t>
      </w:r>
      <w:r w:rsidR="00297EE0" w:rsidRPr="00F34287">
        <w:rPr>
          <w:color w:val="000000" w:themeColor="text1"/>
          <w:sz w:val="22"/>
          <w:szCs w:val="22"/>
        </w:rPr>
        <w:t xml:space="preserve"> outcomes </w:t>
      </w:r>
      <w:r w:rsidR="00055E07" w:rsidRPr="00F34287">
        <w:rPr>
          <w:color w:val="000000" w:themeColor="text1"/>
          <w:sz w:val="22"/>
          <w:szCs w:val="22"/>
        </w:rPr>
        <w:t>included</w:t>
      </w:r>
      <w:r w:rsidR="00297EE0" w:rsidRPr="00F34287">
        <w:rPr>
          <w:color w:val="000000" w:themeColor="text1"/>
          <w:sz w:val="22"/>
          <w:szCs w:val="22"/>
        </w:rPr>
        <w:t xml:space="preserve">: </w:t>
      </w:r>
      <w:r w:rsidR="00986153" w:rsidRPr="00F34287">
        <w:rPr>
          <w:color w:val="000000" w:themeColor="text1"/>
          <w:sz w:val="22"/>
          <w:szCs w:val="22"/>
        </w:rPr>
        <w:t>incident A</w:t>
      </w:r>
      <w:r w:rsidR="00297EE0" w:rsidRPr="00F34287">
        <w:rPr>
          <w:color w:val="000000" w:themeColor="text1"/>
          <w:sz w:val="22"/>
          <w:szCs w:val="22"/>
        </w:rPr>
        <w:t>MI,</w:t>
      </w:r>
      <w:r w:rsidR="0018118D" w:rsidRPr="00F34287">
        <w:rPr>
          <w:color w:val="000000" w:themeColor="text1"/>
          <w:sz w:val="22"/>
          <w:szCs w:val="22"/>
        </w:rPr>
        <w:t xml:space="preserve"> </w:t>
      </w:r>
      <w:r w:rsidRPr="00F34287">
        <w:rPr>
          <w:color w:val="000000" w:themeColor="text1"/>
          <w:sz w:val="22"/>
          <w:szCs w:val="22"/>
        </w:rPr>
        <w:t xml:space="preserve">fatal </w:t>
      </w:r>
      <w:r w:rsidR="00297EE0" w:rsidRPr="00F34287">
        <w:rPr>
          <w:color w:val="000000" w:themeColor="text1"/>
          <w:sz w:val="22"/>
          <w:szCs w:val="22"/>
        </w:rPr>
        <w:t>AMI</w:t>
      </w:r>
      <w:r w:rsidR="00F01AB5" w:rsidRPr="00F34287">
        <w:rPr>
          <w:color w:val="000000" w:themeColor="text1"/>
          <w:sz w:val="22"/>
          <w:szCs w:val="22"/>
        </w:rPr>
        <w:t>, and cancer mortality</w:t>
      </w:r>
      <w:r w:rsidR="005A2C9D" w:rsidRPr="00F34287">
        <w:rPr>
          <w:color w:val="000000" w:themeColor="text1"/>
          <w:sz w:val="22"/>
          <w:szCs w:val="22"/>
        </w:rPr>
        <w:t xml:space="preserve">. </w:t>
      </w:r>
      <w:r w:rsidR="00064625" w:rsidRPr="00F34287">
        <w:rPr>
          <w:color w:val="000000" w:themeColor="text1"/>
          <w:sz w:val="22"/>
          <w:szCs w:val="22"/>
        </w:rPr>
        <w:t xml:space="preserve"> </w:t>
      </w:r>
    </w:p>
    <w:p w14:paraId="2F5210DC" w14:textId="506D8CA7" w:rsidR="00BB56D8" w:rsidRPr="00F34287" w:rsidRDefault="00BB56D8" w:rsidP="00BA3555">
      <w:pPr>
        <w:spacing w:after="120" w:line="480" w:lineRule="auto"/>
        <w:rPr>
          <w:color w:val="000000" w:themeColor="text1"/>
          <w:sz w:val="22"/>
          <w:szCs w:val="22"/>
        </w:rPr>
      </w:pPr>
    </w:p>
    <w:p w14:paraId="748C6D96" w14:textId="6CBB389A" w:rsidR="00BB56D8" w:rsidRPr="00F34287" w:rsidRDefault="00B71009" w:rsidP="00BA3555">
      <w:pPr>
        <w:spacing w:after="120" w:line="480" w:lineRule="auto"/>
        <w:rPr>
          <w:color w:val="000000" w:themeColor="text1"/>
          <w:sz w:val="22"/>
          <w:szCs w:val="22"/>
        </w:rPr>
      </w:pPr>
      <w:r w:rsidRPr="00F34287">
        <w:rPr>
          <w:color w:val="000000" w:themeColor="text1"/>
          <w:sz w:val="22"/>
          <w:szCs w:val="22"/>
        </w:rPr>
        <w:t>M</w:t>
      </w:r>
      <w:r w:rsidR="00F37AC8" w:rsidRPr="00F34287">
        <w:rPr>
          <w:color w:val="000000" w:themeColor="text1"/>
          <w:sz w:val="22"/>
          <w:szCs w:val="22"/>
        </w:rPr>
        <w:t xml:space="preserve">ortality outcomes were defined from death register records of primary cause of death. </w:t>
      </w:r>
      <w:r w:rsidR="00BB56D8" w:rsidRPr="00F34287">
        <w:rPr>
          <w:color w:val="000000" w:themeColor="text1"/>
          <w:sz w:val="22"/>
          <w:szCs w:val="22"/>
        </w:rPr>
        <w:t>CVD mortality was defined as primary cause of death attributed to CVD, which</w:t>
      </w:r>
      <w:r w:rsidR="006C3C2E" w:rsidRPr="00F34287">
        <w:rPr>
          <w:color w:val="000000" w:themeColor="text1"/>
          <w:sz w:val="22"/>
          <w:szCs w:val="22"/>
        </w:rPr>
        <w:t xml:space="preserve"> encompasse</w:t>
      </w:r>
      <w:r w:rsidR="00AB5BA4" w:rsidRPr="00F34287">
        <w:rPr>
          <w:color w:val="000000" w:themeColor="text1"/>
          <w:sz w:val="22"/>
          <w:szCs w:val="22"/>
        </w:rPr>
        <w:t>d</w:t>
      </w:r>
      <w:r w:rsidR="00BB56D8" w:rsidRPr="00F34287">
        <w:rPr>
          <w:color w:val="000000" w:themeColor="text1"/>
          <w:sz w:val="22"/>
          <w:szCs w:val="22"/>
        </w:rPr>
        <w:t xml:space="preserve"> </w:t>
      </w:r>
      <w:r w:rsidR="00A966F8" w:rsidRPr="00F34287">
        <w:rPr>
          <w:color w:val="000000" w:themeColor="text1"/>
          <w:sz w:val="22"/>
          <w:szCs w:val="22"/>
        </w:rPr>
        <w:t xml:space="preserve">all </w:t>
      </w:r>
      <w:r w:rsidR="00BB56D8" w:rsidRPr="00F34287">
        <w:rPr>
          <w:color w:val="000000" w:themeColor="text1"/>
          <w:sz w:val="22"/>
          <w:szCs w:val="22"/>
        </w:rPr>
        <w:t xml:space="preserve">ischaemic and non-ischaemic CVD. IHD mortality included </w:t>
      </w:r>
      <w:r w:rsidR="00F37AC8" w:rsidRPr="00F34287">
        <w:rPr>
          <w:color w:val="000000" w:themeColor="text1"/>
          <w:sz w:val="22"/>
          <w:szCs w:val="22"/>
        </w:rPr>
        <w:t xml:space="preserve">all deaths primarily attributed to IHD, </w:t>
      </w:r>
      <w:r w:rsidR="00507BBB" w:rsidRPr="00F34287">
        <w:rPr>
          <w:color w:val="000000" w:themeColor="text1"/>
          <w:sz w:val="22"/>
          <w:szCs w:val="22"/>
        </w:rPr>
        <w:t>which</w:t>
      </w:r>
      <w:r w:rsidR="00F37AC8" w:rsidRPr="00F34287">
        <w:rPr>
          <w:color w:val="000000" w:themeColor="text1"/>
          <w:sz w:val="22"/>
          <w:szCs w:val="22"/>
        </w:rPr>
        <w:t xml:space="preserve"> include</w:t>
      </w:r>
      <w:r w:rsidR="00507BBB" w:rsidRPr="00F34287">
        <w:rPr>
          <w:color w:val="000000" w:themeColor="text1"/>
          <w:sz w:val="22"/>
          <w:szCs w:val="22"/>
        </w:rPr>
        <w:t>s</w:t>
      </w:r>
      <w:r w:rsidR="00F37AC8" w:rsidRPr="00F34287">
        <w:rPr>
          <w:color w:val="000000" w:themeColor="text1"/>
          <w:sz w:val="22"/>
          <w:szCs w:val="22"/>
        </w:rPr>
        <w:t xml:space="preserve"> fatal </w:t>
      </w:r>
      <w:r w:rsidR="00BB56D8" w:rsidRPr="00F34287">
        <w:rPr>
          <w:color w:val="000000" w:themeColor="text1"/>
          <w:sz w:val="22"/>
          <w:szCs w:val="22"/>
        </w:rPr>
        <w:t>AMI</w:t>
      </w:r>
      <w:r w:rsidR="00F37AC8" w:rsidRPr="00F34287">
        <w:rPr>
          <w:color w:val="000000" w:themeColor="text1"/>
          <w:sz w:val="22"/>
          <w:szCs w:val="22"/>
        </w:rPr>
        <w:t xml:space="preserve"> as well as </w:t>
      </w:r>
      <w:r w:rsidR="00A966F8" w:rsidRPr="00F34287">
        <w:rPr>
          <w:color w:val="000000" w:themeColor="text1"/>
          <w:sz w:val="22"/>
          <w:szCs w:val="22"/>
        </w:rPr>
        <w:t xml:space="preserve">other </w:t>
      </w:r>
      <w:r w:rsidR="00F37AC8" w:rsidRPr="00F34287">
        <w:rPr>
          <w:color w:val="000000" w:themeColor="text1"/>
          <w:sz w:val="22"/>
          <w:szCs w:val="22"/>
        </w:rPr>
        <w:t>complications such as</w:t>
      </w:r>
      <w:r w:rsidR="00BB56D8" w:rsidRPr="00F34287">
        <w:rPr>
          <w:color w:val="000000" w:themeColor="text1"/>
          <w:sz w:val="22"/>
          <w:szCs w:val="22"/>
        </w:rPr>
        <w:t xml:space="preserve"> ischaemic cardiomyopathy. </w:t>
      </w:r>
      <w:r w:rsidR="00AC385C" w:rsidRPr="00F34287">
        <w:rPr>
          <w:color w:val="000000" w:themeColor="text1"/>
          <w:sz w:val="22"/>
          <w:szCs w:val="22"/>
        </w:rPr>
        <w:t xml:space="preserve">Fatal </w:t>
      </w:r>
      <w:r w:rsidR="00BB56D8" w:rsidRPr="00F34287">
        <w:rPr>
          <w:color w:val="000000" w:themeColor="text1"/>
          <w:sz w:val="22"/>
          <w:szCs w:val="22"/>
        </w:rPr>
        <w:t xml:space="preserve">AMI </w:t>
      </w:r>
      <w:r w:rsidR="00AC385C" w:rsidRPr="00F34287">
        <w:rPr>
          <w:color w:val="000000" w:themeColor="text1"/>
          <w:sz w:val="22"/>
          <w:szCs w:val="22"/>
        </w:rPr>
        <w:t>includes</w:t>
      </w:r>
      <w:r w:rsidR="00F37AC8" w:rsidRPr="00F34287">
        <w:rPr>
          <w:color w:val="000000" w:themeColor="text1"/>
          <w:sz w:val="22"/>
          <w:szCs w:val="22"/>
        </w:rPr>
        <w:t xml:space="preserve"> cases with AMI</w:t>
      </w:r>
      <w:r w:rsidR="00B7332C" w:rsidRPr="00F34287">
        <w:rPr>
          <w:color w:val="000000" w:themeColor="text1"/>
          <w:sz w:val="22"/>
          <w:szCs w:val="22"/>
        </w:rPr>
        <w:t xml:space="preserve"> </w:t>
      </w:r>
      <w:r w:rsidR="00BB56D8" w:rsidRPr="00F34287">
        <w:rPr>
          <w:color w:val="000000" w:themeColor="text1"/>
          <w:sz w:val="22"/>
          <w:szCs w:val="22"/>
        </w:rPr>
        <w:t>as</w:t>
      </w:r>
      <w:r w:rsidR="00F37AC8" w:rsidRPr="00F34287">
        <w:rPr>
          <w:color w:val="000000" w:themeColor="text1"/>
          <w:sz w:val="22"/>
          <w:szCs w:val="22"/>
        </w:rPr>
        <w:t xml:space="preserve"> the</w:t>
      </w:r>
      <w:r w:rsidR="00BB56D8" w:rsidRPr="00F34287">
        <w:rPr>
          <w:color w:val="000000" w:themeColor="text1"/>
          <w:sz w:val="22"/>
          <w:szCs w:val="22"/>
        </w:rPr>
        <w:t xml:space="preserve"> primary cause of death. Incident AMI was derived from algorithmically defined </w:t>
      </w:r>
      <w:r w:rsidR="00F37AC8" w:rsidRPr="00F34287">
        <w:rPr>
          <w:color w:val="000000" w:themeColor="text1"/>
          <w:sz w:val="22"/>
          <w:szCs w:val="22"/>
        </w:rPr>
        <w:t>outcomes, AMIs occurring after the baseline UKB visit were considered.</w:t>
      </w:r>
      <w:r w:rsidR="00BB56D8" w:rsidRPr="00F34287">
        <w:rPr>
          <w:color w:val="000000" w:themeColor="text1"/>
          <w:sz w:val="22"/>
          <w:szCs w:val="22"/>
        </w:rPr>
        <w:t xml:space="preserve"> </w:t>
      </w:r>
      <w:r w:rsidR="00766C5C" w:rsidRPr="00F34287">
        <w:rPr>
          <w:color w:val="000000" w:themeColor="text1"/>
          <w:sz w:val="22"/>
          <w:szCs w:val="22"/>
        </w:rPr>
        <w:t>We include cancer mortality as a secondary outcome as an important representative of non-cardiac mortality</w:t>
      </w:r>
      <w:r w:rsidR="00064625" w:rsidRPr="00F34287">
        <w:rPr>
          <w:color w:val="000000" w:themeColor="text1"/>
          <w:sz w:val="22"/>
          <w:szCs w:val="22"/>
        </w:rPr>
        <w:t xml:space="preserve">, </w:t>
      </w:r>
      <w:r w:rsidR="00F37AC8" w:rsidRPr="00F34287">
        <w:rPr>
          <w:color w:val="000000" w:themeColor="text1"/>
          <w:sz w:val="22"/>
          <w:szCs w:val="22"/>
        </w:rPr>
        <w:t>defined as primary cause of death attribut</w:t>
      </w:r>
      <w:r w:rsidR="00E31725" w:rsidRPr="00F34287">
        <w:rPr>
          <w:color w:val="000000" w:themeColor="text1"/>
          <w:sz w:val="22"/>
          <w:szCs w:val="22"/>
        </w:rPr>
        <w:t>ed</w:t>
      </w:r>
      <w:r w:rsidR="00F37AC8" w:rsidRPr="00F34287">
        <w:rPr>
          <w:color w:val="000000" w:themeColor="text1"/>
          <w:sz w:val="22"/>
          <w:szCs w:val="22"/>
        </w:rPr>
        <w:t xml:space="preserve"> to any cancer. </w:t>
      </w:r>
    </w:p>
    <w:p w14:paraId="568A9E6E" w14:textId="03BC6DD2" w:rsidR="00FF22A4" w:rsidRDefault="00FF22A4" w:rsidP="00BA3555">
      <w:pPr>
        <w:spacing w:after="120" w:line="480" w:lineRule="auto"/>
        <w:rPr>
          <w:color w:val="000000" w:themeColor="text1"/>
          <w:sz w:val="22"/>
          <w:szCs w:val="22"/>
        </w:rPr>
      </w:pPr>
    </w:p>
    <w:p w14:paraId="6ECDC1EA" w14:textId="06A78A04" w:rsidR="00FF22A4" w:rsidRDefault="00FF22A4" w:rsidP="00BA3555">
      <w:pPr>
        <w:spacing w:after="120" w:line="480" w:lineRule="auto"/>
        <w:rPr>
          <w:color w:val="000000" w:themeColor="text1"/>
          <w:sz w:val="22"/>
          <w:szCs w:val="22"/>
        </w:rPr>
      </w:pPr>
    </w:p>
    <w:p w14:paraId="64666423" w14:textId="1F2363EF" w:rsidR="00FF22A4" w:rsidRDefault="00FF22A4" w:rsidP="00BA3555">
      <w:pPr>
        <w:spacing w:after="120" w:line="480" w:lineRule="auto"/>
        <w:rPr>
          <w:color w:val="000000" w:themeColor="text1"/>
          <w:sz w:val="22"/>
          <w:szCs w:val="22"/>
        </w:rPr>
      </w:pPr>
    </w:p>
    <w:p w14:paraId="2BBD924E" w14:textId="77777777" w:rsidR="00FF22A4" w:rsidRPr="00F34287" w:rsidRDefault="00FF22A4" w:rsidP="00BA3555">
      <w:pPr>
        <w:spacing w:after="120" w:line="480" w:lineRule="auto"/>
        <w:rPr>
          <w:color w:val="000000" w:themeColor="text1"/>
          <w:sz w:val="22"/>
          <w:szCs w:val="22"/>
        </w:rPr>
      </w:pPr>
    </w:p>
    <w:p w14:paraId="1EE37F35" w14:textId="1F45D164" w:rsidR="00C4350A" w:rsidRPr="00F34287" w:rsidRDefault="00C4350A" w:rsidP="00BA3555">
      <w:pPr>
        <w:spacing w:after="120" w:line="480" w:lineRule="auto"/>
        <w:rPr>
          <w:b/>
          <w:iCs/>
          <w:color w:val="000000" w:themeColor="text1"/>
          <w:sz w:val="32"/>
          <w:szCs w:val="32"/>
        </w:rPr>
      </w:pPr>
      <w:r w:rsidRPr="00F34287">
        <w:rPr>
          <w:b/>
          <w:iCs/>
          <w:color w:val="000000" w:themeColor="text1"/>
          <w:sz w:val="32"/>
          <w:szCs w:val="32"/>
        </w:rPr>
        <w:lastRenderedPageBreak/>
        <w:t>Statistical analysis</w:t>
      </w:r>
    </w:p>
    <w:p w14:paraId="7A436483" w14:textId="7CC89298" w:rsidR="00E31725" w:rsidRPr="00FF22A4" w:rsidRDefault="00E34186" w:rsidP="00BA3555">
      <w:pPr>
        <w:pStyle w:val="NormalWeb"/>
        <w:spacing w:before="0" w:beforeAutospacing="0" w:after="0" w:afterAutospacing="0" w:line="480" w:lineRule="auto"/>
        <w:rPr>
          <w:color w:val="000000" w:themeColor="text1"/>
          <w:sz w:val="22"/>
          <w:szCs w:val="22"/>
          <w:bdr w:val="none" w:sz="0" w:space="0" w:color="auto" w:frame="1"/>
          <w:lang w:val="en"/>
        </w:rPr>
      </w:pPr>
      <w:r w:rsidRPr="00F34287">
        <w:rPr>
          <w:color w:val="000000" w:themeColor="text1"/>
          <w:sz w:val="22"/>
          <w:szCs w:val="22"/>
        </w:rPr>
        <w:t>Statistical analysis was performed using R studio version 3.6.0 [</w:t>
      </w:r>
      <w:hyperlink r:id="rId8" w:tgtFrame="_blank" w:history="1">
        <w:r w:rsidRPr="00F34287">
          <w:rPr>
            <w:rStyle w:val="Hyperlink"/>
            <w:color w:val="000000" w:themeColor="text1"/>
            <w:sz w:val="22"/>
            <w:szCs w:val="22"/>
            <w:bdr w:val="none" w:sz="0" w:space="0" w:color="auto" w:frame="1"/>
            <w:lang w:val="en"/>
          </w:rPr>
          <w:t>https://www.R-project.org/</w:t>
        </w:r>
      </w:hyperlink>
      <w:r w:rsidRPr="00F34287">
        <w:rPr>
          <w:color w:val="000000" w:themeColor="text1"/>
          <w:sz w:val="22"/>
          <w:szCs w:val="22"/>
          <w:bdr w:val="none" w:sz="0" w:space="0" w:color="auto" w:frame="1"/>
          <w:lang w:val="en"/>
        </w:rPr>
        <w:t xml:space="preserve">] and </w:t>
      </w:r>
      <w:r w:rsidRPr="00F34287">
        <w:rPr>
          <w:color w:val="000000" w:themeColor="text1"/>
          <w:sz w:val="22"/>
          <w:szCs w:val="22"/>
          <w:bdr w:val="none" w:sz="0" w:space="0" w:color="auto" w:frame="1"/>
          <w:lang w:val="en" w:eastAsia="en-GB"/>
        </w:rPr>
        <w:t>Stata version 14 [</w:t>
      </w:r>
      <w:proofErr w:type="spellStart"/>
      <w:r w:rsidRPr="00F34287">
        <w:rPr>
          <w:color w:val="000000" w:themeColor="text1"/>
          <w:sz w:val="22"/>
          <w:szCs w:val="22"/>
          <w:bdr w:val="none" w:sz="0" w:space="0" w:color="auto" w:frame="1"/>
        </w:rPr>
        <w:t>StataCorp</w:t>
      </w:r>
      <w:proofErr w:type="spellEnd"/>
      <w:r w:rsidRPr="00F34287">
        <w:rPr>
          <w:color w:val="000000" w:themeColor="text1"/>
          <w:sz w:val="22"/>
          <w:szCs w:val="22"/>
          <w:bdr w:val="none" w:sz="0" w:space="0" w:color="auto" w:frame="1"/>
        </w:rPr>
        <w:t>. 2015. </w:t>
      </w:r>
      <w:r w:rsidRPr="00F34287">
        <w:rPr>
          <w:i/>
          <w:iCs/>
          <w:color w:val="000000" w:themeColor="text1"/>
          <w:sz w:val="22"/>
          <w:szCs w:val="22"/>
          <w:bdr w:val="none" w:sz="0" w:space="0" w:color="auto" w:frame="1"/>
        </w:rPr>
        <w:t>Stata Statistical Software: Release 14</w:t>
      </w:r>
      <w:r w:rsidRPr="00F34287">
        <w:rPr>
          <w:color w:val="000000" w:themeColor="text1"/>
          <w:sz w:val="22"/>
          <w:szCs w:val="22"/>
          <w:bdr w:val="none" w:sz="0" w:space="0" w:color="auto" w:frame="1"/>
        </w:rPr>
        <w:t xml:space="preserve">. College Station, TX: </w:t>
      </w:r>
      <w:proofErr w:type="spellStart"/>
      <w:r w:rsidRPr="00F34287">
        <w:rPr>
          <w:color w:val="000000" w:themeColor="text1"/>
          <w:sz w:val="22"/>
          <w:szCs w:val="22"/>
          <w:bdr w:val="none" w:sz="0" w:space="0" w:color="auto" w:frame="1"/>
        </w:rPr>
        <w:t>StataCorp</w:t>
      </w:r>
      <w:proofErr w:type="spellEnd"/>
      <w:r w:rsidRPr="00F34287">
        <w:rPr>
          <w:color w:val="000000" w:themeColor="text1"/>
          <w:sz w:val="22"/>
          <w:szCs w:val="22"/>
          <w:bdr w:val="none" w:sz="0" w:space="0" w:color="auto" w:frame="1"/>
        </w:rPr>
        <w:t xml:space="preserve"> LP].</w:t>
      </w:r>
      <w:r w:rsidR="00FF22A4">
        <w:rPr>
          <w:color w:val="000000" w:themeColor="text1"/>
          <w:sz w:val="22"/>
          <w:szCs w:val="22"/>
          <w:bdr w:val="none" w:sz="0" w:space="0" w:color="auto" w:frame="1"/>
          <w:lang w:val="en"/>
        </w:rPr>
        <w:t xml:space="preserve"> </w:t>
      </w:r>
      <w:r w:rsidR="005D1021" w:rsidRPr="00F34287">
        <w:rPr>
          <w:color w:val="000000" w:themeColor="text1"/>
          <w:sz w:val="22"/>
          <w:szCs w:val="22"/>
        </w:rPr>
        <w:t xml:space="preserve">Models for all-cause mortality were fitted using Cox proportional hazards models. Other end-points (CVD mortality, IHD mortality, Cancer mortality, </w:t>
      </w:r>
      <w:r w:rsidR="00E31725" w:rsidRPr="00F34287">
        <w:rPr>
          <w:color w:val="000000" w:themeColor="text1"/>
          <w:sz w:val="22"/>
          <w:szCs w:val="22"/>
        </w:rPr>
        <w:t>incident AMI</w:t>
      </w:r>
      <w:r w:rsidR="005D1021" w:rsidRPr="00F34287">
        <w:rPr>
          <w:color w:val="000000" w:themeColor="text1"/>
          <w:sz w:val="22"/>
          <w:szCs w:val="22"/>
        </w:rPr>
        <w:t xml:space="preserve">, </w:t>
      </w:r>
      <w:r w:rsidR="00E31725" w:rsidRPr="00F34287">
        <w:rPr>
          <w:color w:val="000000" w:themeColor="text1"/>
          <w:sz w:val="22"/>
          <w:szCs w:val="22"/>
        </w:rPr>
        <w:t>fatal AMI</w:t>
      </w:r>
      <w:r w:rsidR="005D1021" w:rsidRPr="00F34287">
        <w:rPr>
          <w:color w:val="000000" w:themeColor="text1"/>
          <w:sz w:val="22"/>
          <w:szCs w:val="22"/>
        </w:rPr>
        <w:t xml:space="preserve">) were analysed using competing risks regression </w:t>
      </w:r>
      <w:r w:rsidR="00B436C4" w:rsidRPr="00F34287">
        <w:rPr>
          <w:color w:val="000000" w:themeColor="text1"/>
          <w:sz w:val="22"/>
          <w:szCs w:val="22"/>
        </w:rPr>
        <w:t>with</w:t>
      </w:r>
      <w:r w:rsidR="005D1021" w:rsidRPr="00F34287">
        <w:rPr>
          <w:color w:val="000000" w:themeColor="text1"/>
          <w:sz w:val="22"/>
          <w:szCs w:val="22"/>
        </w:rPr>
        <w:t xml:space="preserve"> proportional </w:t>
      </w:r>
      <w:r w:rsidR="005B6EB6" w:rsidRPr="00F34287">
        <w:rPr>
          <w:color w:val="000000" w:themeColor="text1"/>
          <w:sz w:val="22"/>
          <w:szCs w:val="22"/>
        </w:rPr>
        <w:t>sub-distribution</w:t>
      </w:r>
      <w:r w:rsidR="005D1021" w:rsidRPr="00F34287">
        <w:rPr>
          <w:color w:val="000000" w:themeColor="text1"/>
          <w:sz w:val="22"/>
          <w:szCs w:val="22"/>
        </w:rPr>
        <w:t xml:space="preserve"> hazards </w:t>
      </w:r>
      <w:r w:rsidR="00B436C4" w:rsidRPr="00F34287">
        <w:rPr>
          <w:color w:val="000000" w:themeColor="text1"/>
          <w:sz w:val="22"/>
          <w:szCs w:val="22"/>
        </w:rPr>
        <w:t xml:space="preserve">fitted </w:t>
      </w:r>
      <w:r w:rsidR="001037FA" w:rsidRPr="00F34287">
        <w:rPr>
          <w:color w:val="000000" w:themeColor="text1"/>
          <w:sz w:val="22"/>
          <w:szCs w:val="22"/>
        </w:rPr>
        <w:t>as per</w:t>
      </w:r>
      <w:r w:rsidR="005B6EB6" w:rsidRPr="00F34287">
        <w:rPr>
          <w:color w:val="000000" w:themeColor="text1"/>
          <w:sz w:val="22"/>
          <w:szCs w:val="22"/>
        </w:rPr>
        <w:t xml:space="preserve"> </w:t>
      </w:r>
      <w:r w:rsidR="005D1021" w:rsidRPr="00F34287">
        <w:rPr>
          <w:color w:val="000000" w:themeColor="text1"/>
          <w:sz w:val="22"/>
          <w:szCs w:val="22"/>
        </w:rPr>
        <w:t>Fine and Gray competing risk</w:t>
      </w:r>
      <w:r w:rsidR="00F01AB5" w:rsidRPr="00F34287">
        <w:rPr>
          <w:color w:val="000000" w:themeColor="text1"/>
          <w:sz w:val="22"/>
          <w:szCs w:val="22"/>
        </w:rPr>
        <w:t>s</w:t>
      </w:r>
      <w:r w:rsidR="005D1021" w:rsidRPr="00F34287">
        <w:rPr>
          <w:color w:val="000000" w:themeColor="text1"/>
          <w:sz w:val="22"/>
          <w:szCs w:val="22"/>
        </w:rPr>
        <w:t xml:space="preserve"> regression model</w:t>
      </w:r>
      <w:r w:rsidR="005D1021" w:rsidRPr="00F34287">
        <w:rPr>
          <w:color w:val="000000" w:themeColor="text1"/>
          <w:sz w:val="22"/>
          <w:szCs w:val="22"/>
        </w:rPr>
        <w:fldChar w:fldCharType="begin" w:fldLock="1"/>
      </w:r>
      <w:r w:rsidR="006755C9" w:rsidRPr="00F34287">
        <w:rPr>
          <w:color w:val="000000" w:themeColor="text1"/>
          <w:sz w:val="22"/>
          <w:szCs w:val="22"/>
        </w:rPr>
        <w:instrText>ADDIN CSL_CITATION {"citationItems":[{"id":"ITEM-1","itemData":{"DOI":"10.1080/01621459.1999.10474144","ISSN":"0162-1459","author":[{"dropping-particle":"","family":"Fine","given":"Jason P.","non-dropping-particle":"","parse-names":false,"suffix":""},{"dropping-particle":"","family":"Gray","given":"Robert J.","non-dropping-particle":"","parse-names":false,"suffix":""}],"container-title":"Journal of the American Statistical Association","id":"ITEM-1","issue":"446","issued":{"date-parts":[["1999","6"]]},"page":"496-509","title":"A Proportional Hazards Model for the Subdistribution of a Competing Risk","type":"article-journal","volume":"94"},"uris":["http://www.mendeley.com/documents/?uuid=4499a22a-3509-3c86-8794-d271711df74d"]}],"mendeley":{"formattedCitation":"(24)","plainTextFormattedCitation":"(24)","previouslyFormattedCitation":"(24)"},"properties":{"noteIndex":0},"schema":"https://github.com/citation-style-language/schema/raw/master/csl-citation.json"}</w:instrText>
      </w:r>
      <w:r w:rsidR="005D1021" w:rsidRPr="00F34287">
        <w:rPr>
          <w:color w:val="000000" w:themeColor="text1"/>
          <w:sz w:val="22"/>
          <w:szCs w:val="22"/>
        </w:rPr>
        <w:fldChar w:fldCharType="separate"/>
      </w:r>
      <w:r w:rsidR="00D25C92" w:rsidRPr="00F34287">
        <w:rPr>
          <w:noProof/>
          <w:color w:val="000000" w:themeColor="text1"/>
          <w:sz w:val="22"/>
          <w:szCs w:val="22"/>
        </w:rPr>
        <w:t>(24)</w:t>
      </w:r>
      <w:r w:rsidR="005D1021" w:rsidRPr="00F34287">
        <w:rPr>
          <w:color w:val="000000" w:themeColor="text1"/>
          <w:sz w:val="22"/>
          <w:szCs w:val="22"/>
        </w:rPr>
        <w:fldChar w:fldCharType="end"/>
      </w:r>
      <w:r w:rsidR="001037FA" w:rsidRPr="00F34287">
        <w:rPr>
          <w:color w:val="000000" w:themeColor="text1"/>
          <w:sz w:val="22"/>
          <w:szCs w:val="22"/>
        </w:rPr>
        <w:t xml:space="preserve">. </w:t>
      </w:r>
      <w:r w:rsidR="00C54BB5" w:rsidRPr="00F34287">
        <w:rPr>
          <w:color w:val="000000" w:themeColor="text1"/>
          <w:sz w:val="22"/>
          <w:szCs w:val="22"/>
        </w:rPr>
        <w:t>RHR was analysed as a continuous variable</w:t>
      </w:r>
      <w:r w:rsidR="006E2EAA" w:rsidRPr="00F34287">
        <w:rPr>
          <w:color w:val="000000" w:themeColor="text1"/>
          <w:sz w:val="22"/>
          <w:szCs w:val="22"/>
        </w:rPr>
        <w:t xml:space="preserve"> with mean RHR calculated in those with and without the event. </w:t>
      </w:r>
      <w:r w:rsidR="00C54BB5" w:rsidRPr="00F34287">
        <w:rPr>
          <w:color w:val="000000" w:themeColor="text1"/>
          <w:sz w:val="22"/>
          <w:szCs w:val="22"/>
        </w:rPr>
        <w:t xml:space="preserve">Results for incident data are </w:t>
      </w:r>
      <w:r w:rsidR="005B6EB6" w:rsidRPr="00F34287">
        <w:rPr>
          <w:color w:val="000000" w:themeColor="text1"/>
          <w:sz w:val="22"/>
          <w:szCs w:val="22"/>
        </w:rPr>
        <w:t xml:space="preserve">reported as </w:t>
      </w:r>
      <w:r w:rsidR="00C54BB5" w:rsidRPr="00F34287">
        <w:rPr>
          <w:color w:val="000000" w:themeColor="text1"/>
          <w:sz w:val="22"/>
          <w:szCs w:val="22"/>
        </w:rPr>
        <w:t xml:space="preserve">hazard ratios </w:t>
      </w:r>
      <w:r w:rsidR="00AC37EC" w:rsidRPr="00F34287">
        <w:rPr>
          <w:color w:val="000000" w:themeColor="text1"/>
          <w:sz w:val="22"/>
          <w:szCs w:val="22"/>
        </w:rPr>
        <w:t xml:space="preserve">(HR) </w:t>
      </w:r>
      <w:r w:rsidR="002437B6" w:rsidRPr="00F34287">
        <w:rPr>
          <w:color w:val="000000" w:themeColor="text1"/>
          <w:sz w:val="22"/>
          <w:szCs w:val="22"/>
        </w:rPr>
        <w:t xml:space="preserve">for </w:t>
      </w:r>
      <w:r w:rsidR="005B6EB6" w:rsidRPr="00F34287">
        <w:rPr>
          <w:color w:val="000000" w:themeColor="text1"/>
          <w:sz w:val="22"/>
          <w:szCs w:val="22"/>
        </w:rPr>
        <w:t>all-cause mortality</w:t>
      </w:r>
      <w:r w:rsidR="002437B6" w:rsidRPr="00F34287">
        <w:rPr>
          <w:color w:val="000000" w:themeColor="text1"/>
          <w:sz w:val="22"/>
          <w:szCs w:val="22"/>
        </w:rPr>
        <w:t>,</w:t>
      </w:r>
      <w:r w:rsidR="005B6EB6" w:rsidRPr="00F34287">
        <w:rPr>
          <w:color w:val="000000" w:themeColor="text1"/>
          <w:sz w:val="22"/>
          <w:szCs w:val="22"/>
        </w:rPr>
        <w:t xml:space="preserve"> </w:t>
      </w:r>
      <w:r w:rsidR="001037FA" w:rsidRPr="00F34287">
        <w:rPr>
          <w:color w:val="000000" w:themeColor="text1"/>
          <w:sz w:val="22"/>
          <w:szCs w:val="22"/>
        </w:rPr>
        <w:t>and sub</w:t>
      </w:r>
      <w:r w:rsidR="005B6EB6" w:rsidRPr="00F34287">
        <w:rPr>
          <w:color w:val="000000" w:themeColor="text1"/>
          <w:sz w:val="22"/>
          <w:szCs w:val="22"/>
        </w:rPr>
        <w:t>-</w:t>
      </w:r>
      <w:r w:rsidR="001037FA" w:rsidRPr="00F34287">
        <w:rPr>
          <w:color w:val="000000" w:themeColor="text1"/>
          <w:sz w:val="22"/>
          <w:szCs w:val="22"/>
        </w:rPr>
        <w:t xml:space="preserve">distribution hazard ratios </w:t>
      </w:r>
      <w:r w:rsidR="00AC37EC" w:rsidRPr="00F34287">
        <w:rPr>
          <w:color w:val="000000" w:themeColor="text1"/>
          <w:sz w:val="22"/>
          <w:szCs w:val="22"/>
        </w:rPr>
        <w:t xml:space="preserve">(SHR) </w:t>
      </w:r>
      <w:r w:rsidR="002437B6" w:rsidRPr="00F34287">
        <w:rPr>
          <w:color w:val="000000" w:themeColor="text1"/>
          <w:sz w:val="22"/>
          <w:szCs w:val="22"/>
        </w:rPr>
        <w:t xml:space="preserve">for </w:t>
      </w:r>
      <w:r w:rsidR="005B6EB6" w:rsidRPr="00F34287">
        <w:rPr>
          <w:color w:val="000000" w:themeColor="text1"/>
          <w:sz w:val="22"/>
          <w:szCs w:val="22"/>
        </w:rPr>
        <w:t xml:space="preserve">all other </w:t>
      </w:r>
      <w:r w:rsidR="00E31725" w:rsidRPr="00F34287">
        <w:rPr>
          <w:color w:val="000000" w:themeColor="text1"/>
          <w:sz w:val="22"/>
          <w:szCs w:val="22"/>
        </w:rPr>
        <w:t>endpoints</w:t>
      </w:r>
      <w:r w:rsidR="002437B6" w:rsidRPr="00F34287">
        <w:rPr>
          <w:color w:val="000000" w:themeColor="text1"/>
          <w:sz w:val="22"/>
          <w:szCs w:val="22"/>
        </w:rPr>
        <w:t xml:space="preserve">, </w:t>
      </w:r>
      <w:r w:rsidR="001037FA" w:rsidRPr="00F34287">
        <w:rPr>
          <w:color w:val="000000" w:themeColor="text1"/>
          <w:sz w:val="22"/>
          <w:szCs w:val="22"/>
        </w:rPr>
        <w:t xml:space="preserve">with corresponding </w:t>
      </w:r>
      <w:r w:rsidR="00C54BB5" w:rsidRPr="00F34287">
        <w:rPr>
          <w:color w:val="000000" w:themeColor="text1"/>
          <w:sz w:val="22"/>
          <w:szCs w:val="22"/>
        </w:rPr>
        <w:t>95% confidence intervals</w:t>
      </w:r>
      <w:r w:rsidR="002437B6" w:rsidRPr="00F34287">
        <w:rPr>
          <w:color w:val="000000" w:themeColor="text1"/>
          <w:sz w:val="22"/>
          <w:szCs w:val="22"/>
        </w:rPr>
        <w:t xml:space="preserve"> (CI) </w:t>
      </w:r>
      <w:r w:rsidR="002738B4" w:rsidRPr="00F34287">
        <w:rPr>
          <w:color w:val="000000" w:themeColor="text1"/>
          <w:sz w:val="22"/>
          <w:szCs w:val="22"/>
        </w:rPr>
        <w:t>per</w:t>
      </w:r>
      <w:r w:rsidR="00C54BB5" w:rsidRPr="00F34287">
        <w:rPr>
          <w:color w:val="000000" w:themeColor="text1"/>
          <w:sz w:val="22"/>
          <w:szCs w:val="22"/>
        </w:rPr>
        <w:t xml:space="preserve"> 10</w:t>
      </w:r>
      <w:r w:rsidR="00802BBE" w:rsidRPr="00F34287">
        <w:rPr>
          <w:color w:val="000000" w:themeColor="text1"/>
          <w:sz w:val="22"/>
          <w:szCs w:val="22"/>
        </w:rPr>
        <w:t>bpm</w:t>
      </w:r>
      <w:r w:rsidR="00C54BB5" w:rsidRPr="00F34287">
        <w:rPr>
          <w:color w:val="000000" w:themeColor="text1"/>
          <w:sz w:val="22"/>
          <w:szCs w:val="22"/>
        </w:rPr>
        <w:t xml:space="preserve"> </w:t>
      </w:r>
      <w:r w:rsidR="002064A9" w:rsidRPr="00F34287">
        <w:rPr>
          <w:color w:val="000000" w:themeColor="text1"/>
          <w:sz w:val="22"/>
          <w:szCs w:val="22"/>
        </w:rPr>
        <w:t xml:space="preserve">(beats per minute) </w:t>
      </w:r>
      <w:r w:rsidR="005B6EB6" w:rsidRPr="00F34287">
        <w:rPr>
          <w:color w:val="000000" w:themeColor="text1"/>
          <w:sz w:val="22"/>
          <w:szCs w:val="22"/>
        </w:rPr>
        <w:t>increase in RHR</w:t>
      </w:r>
      <w:r w:rsidR="00802BBE" w:rsidRPr="00F34287">
        <w:rPr>
          <w:color w:val="000000" w:themeColor="text1"/>
          <w:sz w:val="22"/>
          <w:szCs w:val="22"/>
        </w:rPr>
        <w:t xml:space="preserve">. </w:t>
      </w:r>
      <w:r w:rsidR="0097072E" w:rsidRPr="00F34287">
        <w:rPr>
          <w:color w:val="000000" w:themeColor="text1"/>
          <w:sz w:val="22"/>
          <w:szCs w:val="22"/>
        </w:rPr>
        <w:t xml:space="preserve">We tested for non-linearity of RHR effect by comparison of linear and non-linear </w:t>
      </w:r>
      <w:r w:rsidR="005F3D35" w:rsidRPr="00F34287">
        <w:rPr>
          <w:color w:val="000000" w:themeColor="text1"/>
          <w:sz w:val="22"/>
          <w:szCs w:val="22"/>
        </w:rPr>
        <w:t xml:space="preserve">(restricted cubic spline model with five knots at each quintile) </w:t>
      </w:r>
      <w:r w:rsidR="0097072E" w:rsidRPr="00F34287">
        <w:rPr>
          <w:color w:val="000000" w:themeColor="text1"/>
          <w:sz w:val="22"/>
          <w:szCs w:val="22"/>
        </w:rPr>
        <w:t>models for all outcomes. When non-linearity was detected, we further characterised the relationship using restricted cubic spline models</w:t>
      </w:r>
      <w:r w:rsidR="00740B74" w:rsidRPr="00F34287">
        <w:rPr>
          <w:color w:val="000000" w:themeColor="text1"/>
          <w:sz w:val="22"/>
          <w:szCs w:val="22"/>
        </w:rPr>
        <w:t>.</w:t>
      </w:r>
    </w:p>
    <w:p w14:paraId="79988882" w14:textId="77777777" w:rsidR="00E31725" w:rsidRPr="00F34287" w:rsidRDefault="00E31725" w:rsidP="00BA3555">
      <w:pPr>
        <w:spacing w:line="480" w:lineRule="auto"/>
        <w:rPr>
          <w:color w:val="000000" w:themeColor="text1"/>
          <w:sz w:val="22"/>
          <w:szCs w:val="22"/>
        </w:rPr>
      </w:pPr>
    </w:p>
    <w:p w14:paraId="6274C850" w14:textId="76CA1E08" w:rsidR="00491A3A" w:rsidRDefault="00E31725" w:rsidP="00BA3555">
      <w:pPr>
        <w:spacing w:line="480" w:lineRule="auto"/>
        <w:rPr>
          <w:color w:val="000000" w:themeColor="text1"/>
          <w:sz w:val="22"/>
          <w:szCs w:val="22"/>
        </w:rPr>
      </w:pPr>
      <w:r w:rsidRPr="00F34287">
        <w:rPr>
          <w:color w:val="000000" w:themeColor="text1"/>
          <w:sz w:val="22"/>
          <w:szCs w:val="22"/>
        </w:rPr>
        <w:t xml:space="preserve">Covariates were selected based on </w:t>
      </w:r>
      <w:r w:rsidR="00740B74" w:rsidRPr="00F34287">
        <w:rPr>
          <w:color w:val="000000" w:themeColor="text1"/>
          <w:sz w:val="22"/>
          <w:szCs w:val="22"/>
        </w:rPr>
        <w:t>existing</w:t>
      </w:r>
      <w:r w:rsidRPr="00F34287">
        <w:rPr>
          <w:color w:val="000000" w:themeColor="text1"/>
          <w:sz w:val="22"/>
          <w:szCs w:val="22"/>
        </w:rPr>
        <w:t xml:space="preserve"> literature</w:t>
      </w:r>
      <w:r w:rsidR="00491A3A" w:rsidRPr="00F34287">
        <w:rPr>
          <w:color w:val="000000" w:themeColor="text1"/>
          <w:sz w:val="22"/>
          <w:szCs w:val="22"/>
        </w:rPr>
        <w:t xml:space="preserve">, which we </w:t>
      </w:r>
      <w:r w:rsidRPr="00F34287">
        <w:rPr>
          <w:color w:val="000000" w:themeColor="text1"/>
          <w:sz w:val="22"/>
          <w:szCs w:val="22"/>
        </w:rPr>
        <w:t xml:space="preserve">confirmed through preliminary analyses. We </w:t>
      </w:r>
      <w:r w:rsidR="00491A3A" w:rsidRPr="00F34287">
        <w:rPr>
          <w:color w:val="000000" w:themeColor="text1"/>
          <w:sz w:val="22"/>
          <w:szCs w:val="22"/>
        </w:rPr>
        <w:t xml:space="preserve">systematically </w:t>
      </w:r>
      <w:r w:rsidRPr="00F34287">
        <w:rPr>
          <w:color w:val="000000" w:themeColor="text1"/>
          <w:sz w:val="22"/>
          <w:szCs w:val="22"/>
        </w:rPr>
        <w:t>consider</w:t>
      </w:r>
      <w:r w:rsidR="00FF22A4">
        <w:rPr>
          <w:color w:val="000000" w:themeColor="text1"/>
          <w:sz w:val="22"/>
          <w:szCs w:val="22"/>
        </w:rPr>
        <w:t>ed</w:t>
      </w:r>
      <w:r w:rsidRPr="00F34287">
        <w:rPr>
          <w:color w:val="000000" w:themeColor="text1"/>
          <w:sz w:val="22"/>
          <w:szCs w:val="22"/>
        </w:rPr>
        <w:t xml:space="preserve"> potential causal pathways</w:t>
      </w:r>
      <w:r w:rsidR="00491A3A" w:rsidRPr="00F34287">
        <w:rPr>
          <w:color w:val="000000" w:themeColor="text1"/>
          <w:sz w:val="22"/>
          <w:szCs w:val="22"/>
        </w:rPr>
        <w:t xml:space="preserve"> guided by existing knowledge of disease mechanisms (Fig</w:t>
      </w:r>
      <w:r w:rsidR="006D6C5D" w:rsidRPr="00F34287">
        <w:rPr>
          <w:color w:val="000000" w:themeColor="text1"/>
          <w:sz w:val="22"/>
          <w:szCs w:val="22"/>
        </w:rPr>
        <w:t>.</w:t>
      </w:r>
      <w:r w:rsidR="00491A3A" w:rsidRPr="00F34287">
        <w:rPr>
          <w:color w:val="000000" w:themeColor="text1"/>
          <w:sz w:val="22"/>
          <w:szCs w:val="22"/>
        </w:rPr>
        <w:t xml:space="preserve"> 1). </w:t>
      </w:r>
      <w:r w:rsidR="00781830" w:rsidRPr="00F34287">
        <w:rPr>
          <w:color w:val="000000" w:themeColor="text1"/>
          <w:sz w:val="22"/>
          <w:szCs w:val="22"/>
        </w:rPr>
        <w:t>T</w:t>
      </w:r>
      <w:r w:rsidR="00413BE5" w:rsidRPr="00F34287">
        <w:rPr>
          <w:color w:val="000000" w:themeColor="text1"/>
          <w:sz w:val="22"/>
          <w:szCs w:val="22"/>
        </w:rPr>
        <w:t xml:space="preserve">he following </w:t>
      </w:r>
      <w:r w:rsidR="00E34186" w:rsidRPr="00F34287">
        <w:rPr>
          <w:color w:val="000000" w:themeColor="text1"/>
          <w:sz w:val="22"/>
          <w:szCs w:val="22"/>
        </w:rPr>
        <w:t>covariates</w:t>
      </w:r>
      <w:r w:rsidR="00413BE5" w:rsidRPr="00F34287">
        <w:rPr>
          <w:color w:val="000000" w:themeColor="text1"/>
          <w:sz w:val="22"/>
          <w:szCs w:val="22"/>
        </w:rPr>
        <w:t xml:space="preserve"> </w:t>
      </w:r>
      <w:r w:rsidR="00491A3A" w:rsidRPr="00F34287">
        <w:rPr>
          <w:color w:val="000000" w:themeColor="text1"/>
          <w:sz w:val="22"/>
          <w:szCs w:val="22"/>
        </w:rPr>
        <w:t xml:space="preserve">are included in the fully adjusted models: </w:t>
      </w:r>
      <w:r w:rsidR="00566799" w:rsidRPr="00F34287">
        <w:rPr>
          <w:color w:val="000000" w:themeColor="text1"/>
          <w:sz w:val="22"/>
          <w:szCs w:val="22"/>
        </w:rPr>
        <w:t xml:space="preserve">age, </w:t>
      </w:r>
      <w:r w:rsidR="005B6EB6" w:rsidRPr="00F34287">
        <w:rPr>
          <w:color w:val="000000" w:themeColor="text1"/>
          <w:sz w:val="22"/>
          <w:szCs w:val="22"/>
        </w:rPr>
        <w:t xml:space="preserve">sex, </w:t>
      </w:r>
      <w:r w:rsidR="00764CAA" w:rsidRPr="00F34287">
        <w:rPr>
          <w:color w:val="000000" w:themeColor="text1"/>
          <w:sz w:val="22"/>
          <w:szCs w:val="22"/>
        </w:rPr>
        <w:t xml:space="preserve">BMI, </w:t>
      </w:r>
      <w:r w:rsidR="00566799" w:rsidRPr="00F34287">
        <w:rPr>
          <w:color w:val="000000" w:themeColor="text1"/>
          <w:sz w:val="22"/>
          <w:szCs w:val="22"/>
        </w:rPr>
        <w:t xml:space="preserve">exercise, smoking, </w:t>
      </w:r>
      <w:r w:rsidR="00802BBE" w:rsidRPr="00F34287">
        <w:rPr>
          <w:color w:val="000000" w:themeColor="text1"/>
          <w:sz w:val="22"/>
          <w:szCs w:val="22"/>
        </w:rPr>
        <w:t>diabetes, hypertension,</w:t>
      </w:r>
      <w:r w:rsidR="00D12AF4" w:rsidRPr="00F34287">
        <w:rPr>
          <w:color w:val="000000" w:themeColor="text1"/>
          <w:sz w:val="22"/>
          <w:szCs w:val="22"/>
        </w:rPr>
        <w:t xml:space="preserve"> </w:t>
      </w:r>
      <w:r w:rsidR="00802BBE" w:rsidRPr="00F34287">
        <w:rPr>
          <w:color w:val="000000" w:themeColor="text1"/>
          <w:sz w:val="22"/>
          <w:szCs w:val="22"/>
        </w:rPr>
        <w:t>hypercholesterolaemia</w:t>
      </w:r>
      <w:r w:rsidR="00566799" w:rsidRPr="00F34287">
        <w:rPr>
          <w:color w:val="000000" w:themeColor="text1"/>
          <w:sz w:val="22"/>
          <w:szCs w:val="22"/>
        </w:rPr>
        <w:t xml:space="preserve">, </w:t>
      </w:r>
      <w:r w:rsidR="005B6EB6" w:rsidRPr="00F34287">
        <w:rPr>
          <w:color w:val="000000" w:themeColor="text1"/>
          <w:sz w:val="22"/>
          <w:szCs w:val="22"/>
        </w:rPr>
        <w:t xml:space="preserve">social deprivation, </w:t>
      </w:r>
      <w:r w:rsidR="00566799" w:rsidRPr="00F34287">
        <w:rPr>
          <w:color w:val="000000" w:themeColor="text1"/>
          <w:sz w:val="22"/>
          <w:szCs w:val="22"/>
        </w:rPr>
        <w:t>and heart rate</w:t>
      </w:r>
      <w:r w:rsidR="0035151E" w:rsidRPr="00F34287">
        <w:rPr>
          <w:color w:val="000000" w:themeColor="text1"/>
          <w:sz w:val="22"/>
          <w:szCs w:val="22"/>
        </w:rPr>
        <w:t xml:space="preserve"> </w:t>
      </w:r>
      <w:r w:rsidR="00566799" w:rsidRPr="00F34287">
        <w:rPr>
          <w:color w:val="000000" w:themeColor="text1"/>
          <w:sz w:val="22"/>
          <w:szCs w:val="22"/>
        </w:rPr>
        <w:t>modifying medications</w:t>
      </w:r>
      <w:r w:rsidR="00802BBE" w:rsidRPr="00F34287">
        <w:rPr>
          <w:color w:val="000000" w:themeColor="text1"/>
          <w:sz w:val="22"/>
          <w:szCs w:val="22"/>
        </w:rPr>
        <w:t>.</w:t>
      </w:r>
      <w:r w:rsidR="009637D4" w:rsidRPr="00F34287">
        <w:rPr>
          <w:color w:val="000000" w:themeColor="text1"/>
          <w:sz w:val="22"/>
          <w:szCs w:val="22"/>
        </w:rPr>
        <w:t xml:space="preserve"> In a separate analysis, we present the models with systolic blood pressure reading in place of clinically diagnosed hypertension. </w:t>
      </w:r>
      <w:r w:rsidR="00B754B1" w:rsidRPr="00F34287">
        <w:rPr>
          <w:color w:val="000000" w:themeColor="text1"/>
          <w:sz w:val="22"/>
          <w:szCs w:val="22"/>
        </w:rPr>
        <w:t xml:space="preserve"> There was no evidence of </w:t>
      </w:r>
      <w:proofErr w:type="spellStart"/>
      <w:r w:rsidR="00B754B1" w:rsidRPr="00F34287">
        <w:rPr>
          <w:color w:val="000000" w:themeColor="text1"/>
          <w:sz w:val="22"/>
          <w:szCs w:val="22"/>
        </w:rPr>
        <w:t>multicolinearity</w:t>
      </w:r>
      <w:proofErr w:type="spellEnd"/>
      <w:r w:rsidR="00B754B1" w:rsidRPr="00F34287">
        <w:rPr>
          <w:color w:val="000000" w:themeColor="text1"/>
          <w:sz w:val="22"/>
          <w:szCs w:val="22"/>
        </w:rPr>
        <w:t xml:space="preserve"> for any of the covariates (Variance Inflation Factor &lt;2 for all variables).</w:t>
      </w:r>
    </w:p>
    <w:p w14:paraId="42EF1C8E" w14:textId="7844CFC5" w:rsidR="00CA416D" w:rsidRDefault="00CA416D" w:rsidP="00BA3555">
      <w:pPr>
        <w:spacing w:line="480" w:lineRule="auto"/>
        <w:rPr>
          <w:color w:val="000000" w:themeColor="text1"/>
          <w:sz w:val="22"/>
          <w:szCs w:val="22"/>
        </w:rPr>
      </w:pPr>
    </w:p>
    <w:p w14:paraId="647405FF" w14:textId="7E3E432D" w:rsidR="00491A3A" w:rsidRPr="00CA416D" w:rsidRDefault="00CA416D" w:rsidP="00BA3555">
      <w:pPr>
        <w:spacing w:line="480" w:lineRule="auto"/>
        <w:rPr>
          <w:sz w:val="22"/>
          <w:szCs w:val="22"/>
        </w:rPr>
      </w:pPr>
      <w:r w:rsidRPr="00F868FD">
        <w:rPr>
          <w:b/>
          <w:sz w:val="22"/>
          <w:szCs w:val="22"/>
        </w:rPr>
        <w:t xml:space="preserve">Figure 1. </w:t>
      </w:r>
      <w:r w:rsidRPr="000C6D18">
        <w:rPr>
          <w:b/>
          <w:bCs/>
          <w:sz w:val="22"/>
          <w:szCs w:val="22"/>
        </w:rPr>
        <w:t>Directed acyclic graph of the potential relationships between cardiovascular disease and resting heart rate</w:t>
      </w:r>
      <w:r>
        <w:rPr>
          <w:b/>
          <w:bCs/>
          <w:sz w:val="22"/>
          <w:szCs w:val="22"/>
        </w:rPr>
        <w:t xml:space="preserve">; </w:t>
      </w:r>
      <w:r w:rsidRPr="00B3568C">
        <w:rPr>
          <w:sz w:val="22"/>
          <w:szCs w:val="22"/>
        </w:rPr>
        <w:t>Caption: BMI</w:t>
      </w:r>
      <w:r w:rsidRPr="00223CAE">
        <w:rPr>
          <w:sz w:val="22"/>
          <w:szCs w:val="22"/>
        </w:rPr>
        <w:t>: body mass index; CVD: cardiovascular disease; IHD: ischaemic heart disease; RHR: resting heart rate. In this model: RHR=exposure and CVD mortality=outcome</w:t>
      </w:r>
      <w:r>
        <w:rPr>
          <w:sz w:val="22"/>
          <w:szCs w:val="22"/>
        </w:rPr>
        <w:t xml:space="preserve">; </w:t>
      </w:r>
      <w:r w:rsidRPr="00223CAE">
        <w:rPr>
          <w:sz w:val="22"/>
          <w:szCs w:val="22"/>
        </w:rPr>
        <w:t xml:space="preserve">Unshaded circles represent true confounders, all controlled for in fully adjusted model. </w:t>
      </w:r>
    </w:p>
    <w:p w14:paraId="2EC23829" w14:textId="16DC12C5" w:rsidR="006018B9" w:rsidRPr="00F34287" w:rsidRDefault="00802BBE" w:rsidP="00BA3555">
      <w:pPr>
        <w:spacing w:line="480" w:lineRule="auto"/>
        <w:rPr>
          <w:color w:val="000000" w:themeColor="text1"/>
          <w:sz w:val="22"/>
          <w:szCs w:val="22"/>
        </w:rPr>
      </w:pPr>
      <w:r w:rsidRPr="00F34287">
        <w:rPr>
          <w:color w:val="000000" w:themeColor="text1"/>
          <w:sz w:val="22"/>
          <w:szCs w:val="22"/>
        </w:rPr>
        <w:lastRenderedPageBreak/>
        <w:t xml:space="preserve">The proportional hazards assumption was tested using the Schoenfeld residuals. </w:t>
      </w:r>
      <w:r w:rsidR="002738B4" w:rsidRPr="00F34287">
        <w:rPr>
          <w:color w:val="000000" w:themeColor="text1"/>
          <w:sz w:val="22"/>
          <w:szCs w:val="22"/>
        </w:rPr>
        <w:t>I</w:t>
      </w:r>
      <w:r w:rsidRPr="00F34287">
        <w:rPr>
          <w:color w:val="000000" w:themeColor="text1"/>
          <w:sz w:val="22"/>
          <w:szCs w:val="22"/>
        </w:rPr>
        <w:t xml:space="preserve">nteractions with </w:t>
      </w:r>
      <w:r w:rsidR="002738B4" w:rsidRPr="00F34287">
        <w:rPr>
          <w:color w:val="000000" w:themeColor="text1"/>
          <w:sz w:val="22"/>
          <w:szCs w:val="22"/>
        </w:rPr>
        <w:t>sex</w:t>
      </w:r>
      <w:r w:rsidRPr="00F34287">
        <w:rPr>
          <w:color w:val="000000" w:themeColor="text1"/>
          <w:sz w:val="22"/>
          <w:szCs w:val="22"/>
        </w:rPr>
        <w:t xml:space="preserve"> and age were investigated</w:t>
      </w:r>
      <w:r w:rsidR="002738B4" w:rsidRPr="00F34287">
        <w:rPr>
          <w:color w:val="000000" w:themeColor="text1"/>
          <w:sz w:val="22"/>
          <w:szCs w:val="22"/>
        </w:rPr>
        <w:t xml:space="preserve"> </w:t>
      </w:r>
      <w:r w:rsidRPr="00F34287">
        <w:rPr>
          <w:color w:val="000000" w:themeColor="text1"/>
          <w:sz w:val="22"/>
          <w:szCs w:val="22"/>
        </w:rPr>
        <w:t xml:space="preserve">by adding interaction terms to the main model. </w:t>
      </w:r>
      <w:r w:rsidR="00B436C4" w:rsidRPr="00F34287">
        <w:rPr>
          <w:color w:val="000000" w:themeColor="text1"/>
          <w:sz w:val="22"/>
          <w:szCs w:val="22"/>
        </w:rPr>
        <w:t xml:space="preserve">Age stratified analysis </w:t>
      </w:r>
      <w:r w:rsidR="00256C22" w:rsidRPr="00F34287">
        <w:rPr>
          <w:color w:val="000000" w:themeColor="text1"/>
          <w:sz w:val="22"/>
          <w:szCs w:val="22"/>
        </w:rPr>
        <w:t>is presented for all outcomes</w:t>
      </w:r>
      <w:r w:rsidR="00B436C4" w:rsidRPr="00F34287">
        <w:rPr>
          <w:color w:val="000000" w:themeColor="text1"/>
          <w:sz w:val="22"/>
          <w:szCs w:val="22"/>
        </w:rPr>
        <w:t xml:space="preserve">. </w:t>
      </w:r>
      <w:r w:rsidRPr="00F34287">
        <w:rPr>
          <w:color w:val="000000" w:themeColor="text1"/>
          <w:sz w:val="22"/>
          <w:szCs w:val="22"/>
        </w:rPr>
        <w:t xml:space="preserve">The </w:t>
      </w:r>
      <w:r w:rsidR="008304C8" w:rsidRPr="00F34287">
        <w:rPr>
          <w:color w:val="000000" w:themeColor="text1"/>
          <w:sz w:val="22"/>
          <w:szCs w:val="22"/>
        </w:rPr>
        <w:t xml:space="preserve">accepted level of statistical </w:t>
      </w:r>
      <w:r w:rsidRPr="00F34287">
        <w:rPr>
          <w:color w:val="000000" w:themeColor="text1"/>
          <w:sz w:val="22"/>
          <w:szCs w:val="22"/>
        </w:rPr>
        <w:t xml:space="preserve">significance </w:t>
      </w:r>
      <w:r w:rsidR="008304C8" w:rsidRPr="00F34287">
        <w:rPr>
          <w:color w:val="000000" w:themeColor="text1"/>
          <w:sz w:val="22"/>
          <w:szCs w:val="22"/>
        </w:rPr>
        <w:t xml:space="preserve">for non-interaction regressions, after correction </w:t>
      </w:r>
      <w:r w:rsidRPr="00F34287">
        <w:rPr>
          <w:color w:val="000000" w:themeColor="text1"/>
          <w:sz w:val="22"/>
          <w:szCs w:val="22"/>
        </w:rPr>
        <w:t>for multiple comparisons using the Bonferroni correction</w:t>
      </w:r>
      <w:r w:rsidR="008304C8" w:rsidRPr="00F34287">
        <w:rPr>
          <w:color w:val="000000" w:themeColor="text1"/>
          <w:sz w:val="22"/>
          <w:szCs w:val="22"/>
        </w:rPr>
        <w:t>, was s</w:t>
      </w:r>
      <w:r w:rsidR="0057325A" w:rsidRPr="00F34287">
        <w:rPr>
          <w:color w:val="000000" w:themeColor="text1"/>
          <w:sz w:val="22"/>
          <w:szCs w:val="22"/>
        </w:rPr>
        <w:t>et at p</w:t>
      </w:r>
      <w:r w:rsidR="008304C8" w:rsidRPr="00F34287">
        <w:rPr>
          <w:color w:val="000000" w:themeColor="text1"/>
          <w:sz w:val="22"/>
          <w:szCs w:val="22"/>
        </w:rPr>
        <w:t>=</w:t>
      </w:r>
      <w:r w:rsidR="0057325A" w:rsidRPr="00F34287">
        <w:rPr>
          <w:color w:val="000000" w:themeColor="text1"/>
          <w:sz w:val="22"/>
          <w:szCs w:val="22"/>
        </w:rPr>
        <w:t>0.00</w:t>
      </w:r>
      <w:r w:rsidR="002738B4" w:rsidRPr="00F34287">
        <w:rPr>
          <w:color w:val="000000" w:themeColor="text1"/>
          <w:sz w:val="22"/>
          <w:szCs w:val="22"/>
        </w:rPr>
        <w:t>08</w:t>
      </w:r>
      <w:r w:rsidRPr="00F34287">
        <w:rPr>
          <w:color w:val="000000" w:themeColor="text1"/>
          <w:sz w:val="22"/>
          <w:szCs w:val="22"/>
        </w:rPr>
        <w:t>.</w:t>
      </w:r>
      <w:r w:rsidR="00FF4491" w:rsidRPr="00F34287">
        <w:rPr>
          <w:color w:val="000000" w:themeColor="text1"/>
          <w:sz w:val="22"/>
          <w:szCs w:val="22"/>
        </w:rPr>
        <w:t xml:space="preserve"> </w:t>
      </w:r>
    </w:p>
    <w:p w14:paraId="13236464" w14:textId="64C46531" w:rsidR="00C4350A" w:rsidRPr="00F34287" w:rsidRDefault="006D6C5D" w:rsidP="00BA3555">
      <w:pPr>
        <w:spacing w:after="120" w:line="480" w:lineRule="auto"/>
        <w:rPr>
          <w:b/>
          <w:bCs/>
          <w:color w:val="000000" w:themeColor="text1"/>
          <w:sz w:val="36"/>
          <w:szCs w:val="36"/>
        </w:rPr>
      </w:pPr>
      <w:r w:rsidRPr="00F34287">
        <w:rPr>
          <w:b/>
          <w:bCs/>
          <w:color w:val="000000" w:themeColor="text1"/>
          <w:sz w:val="36"/>
          <w:szCs w:val="36"/>
        </w:rPr>
        <w:t>Results</w:t>
      </w:r>
    </w:p>
    <w:p w14:paraId="3571A258" w14:textId="0AD57110" w:rsidR="00413BE5" w:rsidRPr="00F34287" w:rsidRDefault="00413BE5" w:rsidP="00BA3555">
      <w:pPr>
        <w:spacing w:after="120" w:line="480" w:lineRule="auto"/>
        <w:rPr>
          <w:b/>
          <w:bCs/>
          <w:iCs/>
          <w:color w:val="000000" w:themeColor="text1"/>
          <w:sz w:val="32"/>
          <w:szCs w:val="32"/>
        </w:rPr>
      </w:pPr>
      <w:r w:rsidRPr="00F34287">
        <w:rPr>
          <w:b/>
          <w:bCs/>
          <w:iCs/>
          <w:color w:val="000000" w:themeColor="text1"/>
          <w:sz w:val="32"/>
          <w:szCs w:val="32"/>
        </w:rPr>
        <w:t>Baseline characteristics of the population</w:t>
      </w:r>
    </w:p>
    <w:p w14:paraId="2392170F" w14:textId="68FC3057" w:rsidR="006D0933" w:rsidRPr="00F34287" w:rsidRDefault="00055E07" w:rsidP="00BA3555">
      <w:pPr>
        <w:spacing w:after="120" w:line="480" w:lineRule="auto"/>
        <w:rPr>
          <w:color w:val="000000" w:themeColor="text1"/>
          <w:sz w:val="22"/>
          <w:szCs w:val="22"/>
        </w:rPr>
      </w:pPr>
      <w:r w:rsidRPr="00F34287">
        <w:rPr>
          <w:color w:val="000000" w:themeColor="text1"/>
          <w:sz w:val="22"/>
          <w:szCs w:val="22"/>
        </w:rPr>
        <w:t xml:space="preserve">RHR data was missing for 1,203 (0.2%) individuals, </w:t>
      </w:r>
      <w:r w:rsidR="00F27557" w:rsidRPr="00F34287">
        <w:rPr>
          <w:color w:val="000000" w:themeColor="text1"/>
          <w:sz w:val="22"/>
          <w:szCs w:val="22"/>
        </w:rPr>
        <w:t>result</w:t>
      </w:r>
      <w:r w:rsidR="00B10CC9" w:rsidRPr="00F34287">
        <w:rPr>
          <w:color w:val="000000" w:themeColor="text1"/>
          <w:sz w:val="22"/>
          <w:szCs w:val="22"/>
        </w:rPr>
        <w:t>ing</w:t>
      </w:r>
      <w:r w:rsidR="00F27557" w:rsidRPr="00F34287">
        <w:rPr>
          <w:color w:val="000000" w:themeColor="text1"/>
          <w:sz w:val="22"/>
          <w:szCs w:val="22"/>
        </w:rPr>
        <w:t xml:space="preserve"> in an analysis dataset </w:t>
      </w:r>
      <w:r w:rsidR="008401D1" w:rsidRPr="00F34287">
        <w:rPr>
          <w:color w:val="000000" w:themeColor="text1"/>
          <w:sz w:val="22"/>
          <w:szCs w:val="22"/>
        </w:rPr>
        <w:t>comprising</w:t>
      </w:r>
      <w:r w:rsidR="00F27557" w:rsidRPr="00F34287">
        <w:rPr>
          <w:color w:val="000000" w:themeColor="text1"/>
          <w:sz w:val="22"/>
          <w:szCs w:val="22"/>
        </w:rPr>
        <w:t xml:space="preserve"> 228,594 men and 272,737 women. The women </w:t>
      </w:r>
      <w:r w:rsidR="00B10CC9" w:rsidRPr="00F34287">
        <w:rPr>
          <w:color w:val="000000" w:themeColor="text1"/>
          <w:sz w:val="22"/>
          <w:szCs w:val="22"/>
        </w:rPr>
        <w:t xml:space="preserve">had </w:t>
      </w:r>
      <w:r w:rsidR="00653027" w:rsidRPr="00F34287">
        <w:rPr>
          <w:color w:val="000000" w:themeColor="text1"/>
          <w:sz w:val="22"/>
          <w:szCs w:val="22"/>
        </w:rPr>
        <w:t>median</w:t>
      </w:r>
      <w:r w:rsidR="00B10CC9" w:rsidRPr="00F34287">
        <w:rPr>
          <w:color w:val="000000" w:themeColor="text1"/>
          <w:sz w:val="22"/>
          <w:szCs w:val="22"/>
        </w:rPr>
        <w:t xml:space="preserve"> </w:t>
      </w:r>
      <w:r w:rsidR="00653027" w:rsidRPr="00F34287">
        <w:rPr>
          <w:color w:val="000000" w:themeColor="text1"/>
          <w:sz w:val="22"/>
          <w:szCs w:val="22"/>
        </w:rPr>
        <w:t xml:space="preserve">age </w:t>
      </w:r>
      <w:r w:rsidR="00B10CC9" w:rsidRPr="00F34287">
        <w:rPr>
          <w:color w:val="000000" w:themeColor="text1"/>
          <w:sz w:val="22"/>
          <w:szCs w:val="22"/>
        </w:rPr>
        <w:t>of</w:t>
      </w:r>
      <w:r w:rsidR="00653027" w:rsidRPr="00F34287">
        <w:rPr>
          <w:color w:val="000000" w:themeColor="text1"/>
          <w:sz w:val="22"/>
          <w:szCs w:val="22"/>
        </w:rPr>
        <w:t xml:space="preserve"> 57 [50-63]</w:t>
      </w:r>
      <w:r w:rsidR="00F27557" w:rsidRPr="00F34287">
        <w:rPr>
          <w:color w:val="000000" w:themeColor="text1"/>
          <w:sz w:val="22"/>
          <w:szCs w:val="22"/>
        </w:rPr>
        <w:t xml:space="preserve"> years </w:t>
      </w:r>
      <w:r w:rsidR="00B10CC9" w:rsidRPr="00F34287">
        <w:rPr>
          <w:color w:val="000000" w:themeColor="text1"/>
          <w:sz w:val="22"/>
          <w:szCs w:val="22"/>
        </w:rPr>
        <w:t>and</w:t>
      </w:r>
      <w:r w:rsidR="00F27557" w:rsidRPr="00F34287">
        <w:rPr>
          <w:color w:val="000000" w:themeColor="text1"/>
          <w:sz w:val="22"/>
          <w:szCs w:val="22"/>
        </w:rPr>
        <w:t xml:space="preserve"> mean baseline RHR of</w:t>
      </w:r>
      <w:r w:rsidR="001F2622" w:rsidRPr="00F34287">
        <w:rPr>
          <w:color w:val="000000" w:themeColor="text1"/>
          <w:sz w:val="22"/>
          <w:szCs w:val="22"/>
        </w:rPr>
        <w:t xml:space="preserve"> 70.3</w:t>
      </w:r>
      <w:r w:rsidR="00660CC5" w:rsidRPr="00F34287">
        <w:rPr>
          <w:color w:val="000000" w:themeColor="text1"/>
          <w:sz w:val="22"/>
          <w:szCs w:val="22"/>
        </w:rPr>
        <w:t xml:space="preserve"> </w:t>
      </w:r>
      <w:r w:rsidR="001F2622" w:rsidRPr="00F34287">
        <w:rPr>
          <w:color w:val="000000" w:themeColor="text1"/>
          <w:sz w:val="22"/>
          <w:szCs w:val="22"/>
        </w:rPr>
        <w:t>(10.6)</w:t>
      </w:r>
      <w:r w:rsidR="00660CC5" w:rsidRPr="00F34287">
        <w:rPr>
          <w:color w:val="000000" w:themeColor="text1"/>
          <w:sz w:val="22"/>
          <w:szCs w:val="22"/>
        </w:rPr>
        <w:t xml:space="preserve"> </w:t>
      </w:r>
      <w:r w:rsidR="001F2622" w:rsidRPr="00F34287">
        <w:rPr>
          <w:color w:val="000000" w:themeColor="text1"/>
          <w:sz w:val="22"/>
          <w:szCs w:val="22"/>
        </w:rPr>
        <w:t>b</w:t>
      </w:r>
      <w:r w:rsidR="002064A9" w:rsidRPr="00F34287">
        <w:rPr>
          <w:color w:val="000000" w:themeColor="text1"/>
          <w:sz w:val="22"/>
          <w:szCs w:val="22"/>
        </w:rPr>
        <w:t>pm</w:t>
      </w:r>
      <w:r w:rsidR="001F2622" w:rsidRPr="00F34287">
        <w:rPr>
          <w:color w:val="000000" w:themeColor="text1"/>
          <w:sz w:val="22"/>
          <w:szCs w:val="22"/>
        </w:rPr>
        <w:t xml:space="preserve">. </w:t>
      </w:r>
      <w:r w:rsidR="00F27557" w:rsidRPr="00F34287">
        <w:rPr>
          <w:color w:val="000000" w:themeColor="text1"/>
          <w:sz w:val="22"/>
          <w:szCs w:val="22"/>
        </w:rPr>
        <w:t>The me</w:t>
      </w:r>
      <w:r w:rsidR="00653027" w:rsidRPr="00F34287">
        <w:rPr>
          <w:color w:val="000000" w:themeColor="text1"/>
          <w:sz w:val="22"/>
          <w:szCs w:val="22"/>
        </w:rPr>
        <w:t>dian</w:t>
      </w:r>
      <w:r w:rsidR="00F27557" w:rsidRPr="00F34287">
        <w:rPr>
          <w:color w:val="000000" w:themeColor="text1"/>
          <w:sz w:val="22"/>
          <w:szCs w:val="22"/>
        </w:rPr>
        <w:t xml:space="preserve"> age of the men was </w:t>
      </w:r>
      <w:r w:rsidR="00653027" w:rsidRPr="00F34287">
        <w:rPr>
          <w:color w:val="000000" w:themeColor="text1"/>
          <w:sz w:val="22"/>
          <w:szCs w:val="22"/>
        </w:rPr>
        <w:t>58 [50-64]</w:t>
      </w:r>
      <w:r w:rsidR="00F27557" w:rsidRPr="00F34287">
        <w:rPr>
          <w:color w:val="000000" w:themeColor="text1"/>
          <w:sz w:val="22"/>
          <w:szCs w:val="22"/>
        </w:rPr>
        <w:t xml:space="preserve"> with a mean baseline RHR of</w:t>
      </w:r>
      <w:r w:rsidR="001F2622" w:rsidRPr="00F34287">
        <w:rPr>
          <w:color w:val="000000" w:themeColor="text1"/>
          <w:sz w:val="22"/>
          <w:szCs w:val="22"/>
        </w:rPr>
        <w:t xml:space="preserve"> 68.4 (11.9)</w:t>
      </w:r>
      <w:r w:rsidR="00660CC5" w:rsidRPr="00F34287">
        <w:rPr>
          <w:color w:val="000000" w:themeColor="text1"/>
          <w:sz w:val="22"/>
          <w:szCs w:val="22"/>
        </w:rPr>
        <w:t xml:space="preserve"> </w:t>
      </w:r>
      <w:r w:rsidR="001F2622" w:rsidRPr="00F34287">
        <w:rPr>
          <w:color w:val="000000" w:themeColor="text1"/>
          <w:sz w:val="22"/>
          <w:szCs w:val="22"/>
        </w:rPr>
        <w:t>bpm.</w:t>
      </w:r>
      <w:r w:rsidR="009C5A5A" w:rsidRPr="00F34287">
        <w:rPr>
          <w:color w:val="000000" w:themeColor="text1"/>
          <w:sz w:val="22"/>
          <w:szCs w:val="22"/>
        </w:rPr>
        <w:t xml:space="preserve"> </w:t>
      </w:r>
      <w:r w:rsidR="002549BC" w:rsidRPr="00F34287">
        <w:rPr>
          <w:color w:val="000000" w:themeColor="text1"/>
          <w:sz w:val="22"/>
          <w:szCs w:val="22"/>
        </w:rPr>
        <w:t>As expected, t</w:t>
      </w:r>
      <w:r w:rsidR="009C5A5A" w:rsidRPr="00F34287">
        <w:rPr>
          <w:color w:val="000000" w:themeColor="text1"/>
          <w:sz w:val="22"/>
          <w:szCs w:val="22"/>
        </w:rPr>
        <w:t xml:space="preserve">here was a higher prevalence of cardiovascular risk factors in men compared to women with higher levels of smoking (13% vs 9%), diabetes (7% vs 4%), hypertension (33% vs 24%), and </w:t>
      </w:r>
      <w:r w:rsidR="009733B2" w:rsidRPr="00F34287">
        <w:rPr>
          <w:color w:val="000000" w:themeColor="text1"/>
          <w:sz w:val="22"/>
          <w:szCs w:val="22"/>
        </w:rPr>
        <w:t>elevated</w:t>
      </w:r>
      <w:r w:rsidR="009C5A5A" w:rsidRPr="00F34287">
        <w:rPr>
          <w:color w:val="000000" w:themeColor="text1"/>
          <w:sz w:val="22"/>
          <w:szCs w:val="22"/>
        </w:rPr>
        <w:t xml:space="preserve"> cholesterol (24% vs 14%). </w:t>
      </w:r>
      <w:r w:rsidR="00A26985" w:rsidRPr="00F34287">
        <w:rPr>
          <w:color w:val="000000" w:themeColor="text1"/>
          <w:sz w:val="22"/>
          <w:szCs w:val="22"/>
        </w:rPr>
        <w:t>Detailed baseline characteristics are presented in Table 1.</w:t>
      </w:r>
      <w:r w:rsidR="009637D4" w:rsidRPr="00F34287">
        <w:rPr>
          <w:color w:val="000000" w:themeColor="text1"/>
          <w:sz w:val="22"/>
          <w:szCs w:val="22"/>
        </w:rPr>
        <w:t xml:space="preserve"> We also present these baseline characteristics in quartiles of RHR for men and women (Supplementary Table 2). </w:t>
      </w:r>
    </w:p>
    <w:p w14:paraId="29EBB381" w14:textId="525235C7" w:rsidR="00C70691" w:rsidRPr="00F34287" w:rsidRDefault="00C70691" w:rsidP="00BA3555">
      <w:pPr>
        <w:spacing w:after="120" w:line="480" w:lineRule="auto"/>
        <w:rPr>
          <w:color w:val="000000" w:themeColor="text1"/>
          <w:sz w:val="22"/>
          <w:szCs w:val="22"/>
        </w:rPr>
      </w:pPr>
    </w:p>
    <w:p w14:paraId="2D990518" w14:textId="77777777" w:rsidR="00C70691" w:rsidRPr="00F34287" w:rsidRDefault="00C70691" w:rsidP="00C70691">
      <w:pPr>
        <w:spacing w:line="480" w:lineRule="auto"/>
        <w:jc w:val="center"/>
        <w:rPr>
          <w:b/>
          <w:bCs/>
          <w:color w:val="000000" w:themeColor="text1"/>
          <w:sz w:val="22"/>
          <w:szCs w:val="22"/>
        </w:rPr>
      </w:pPr>
      <w:r w:rsidRPr="00F34287">
        <w:rPr>
          <w:b/>
          <w:bCs/>
          <w:color w:val="000000" w:themeColor="text1"/>
          <w:sz w:val="22"/>
          <w:szCs w:val="22"/>
        </w:rPr>
        <w:t>Table 1. Baseline participant characteristics</w:t>
      </w:r>
    </w:p>
    <w:tbl>
      <w:tblPr>
        <w:tblStyle w:val="TableGrid"/>
        <w:tblpPr w:leftFromText="180" w:rightFromText="180" w:vertAnchor="text" w:horzAnchor="margin" w:tblpXSpec="center" w:tblpY="37"/>
        <w:tblW w:w="1031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02"/>
        <w:gridCol w:w="2284"/>
        <w:gridCol w:w="2284"/>
        <w:gridCol w:w="2241"/>
      </w:tblGrid>
      <w:tr w:rsidR="00FF22A4" w:rsidRPr="00F34287" w14:paraId="6606E6D1" w14:textId="77777777" w:rsidTr="007B2C91">
        <w:tc>
          <w:tcPr>
            <w:tcW w:w="3502" w:type="dxa"/>
            <w:shd w:val="clear" w:color="auto" w:fill="DEEAF6" w:themeFill="accent5" w:themeFillTint="33"/>
          </w:tcPr>
          <w:p w14:paraId="62653851" w14:textId="77777777" w:rsidR="00C70691" w:rsidRPr="00F34287" w:rsidRDefault="00C70691" w:rsidP="00C70691">
            <w:pPr>
              <w:spacing w:line="360" w:lineRule="auto"/>
              <w:jc w:val="both"/>
              <w:rPr>
                <w:color w:val="000000" w:themeColor="text1"/>
                <w:sz w:val="20"/>
                <w:szCs w:val="20"/>
              </w:rPr>
            </w:pPr>
          </w:p>
        </w:tc>
        <w:tc>
          <w:tcPr>
            <w:tcW w:w="2284" w:type="dxa"/>
            <w:shd w:val="clear" w:color="auto" w:fill="DEEAF6" w:themeFill="accent5" w:themeFillTint="33"/>
          </w:tcPr>
          <w:p w14:paraId="602E6A05"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 xml:space="preserve">Whole cohort </w:t>
            </w:r>
          </w:p>
          <w:p w14:paraId="6FA61F8D" w14:textId="77777777" w:rsidR="00C70691" w:rsidRPr="00F34287" w:rsidRDefault="00C70691" w:rsidP="00C70691">
            <w:pPr>
              <w:spacing w:line="360" w:lineRule="auto"/>
              <w:jc w:val="both"/>
              <w:rPr>
                <w:color w:val="000000" w:themeColor="text1"/>
                <w:sz w:val="20"/>
                <w:szCs w:val="20"/>
              </w:rPr>
            </w:pPr>
            <w:r w:rsidRPr="00F34287">
              <w:rPr>
                <w:i/>
                <w:color w:val="000000" w:themeColor="text1"/>
                <w:sz w:val="20"/>
                <w:szCs w:val="20"/>
              </w:rPr>
              <w:t>n</w:t>
            </w:r>
            <w:r w:rsidRPr="00F34287">
              <w:rPr>
                <w:color w:val="000000" w:themeColor="text1"/>
                <w:sz w:val="20"/>
                <w:szCs w:val="20"/>
              </w:rPr>
              <w:t>= 502,534</w:t>
            </w:r>
          </w:p>
        </w:tc>
        <w:tc>
          <w:tcPr>
            <w:tcW w:w="2284" w:type="dxa"/>
            <w:shd w:val="clear" w:color="auto" w:fill="DEEAF6" w:themeFill="accent5" w:themeFillTint="33"/>
          </w:tcPr>
          <w:p w14:paraId="531546FA"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Men</w:t>
            </w:r>
          </w:p>
          <w:p w14:paraId="7250CE3E" w14:textId="77777777" w:rsidR="00C70691" w:rsidRPr="00F34287" w:rsidRDefault="00C70691" w:rsidP="00C70691">
            <w:pPr>
              <w:spacing w:line="360" w:lineRule="auto"/>
              <w:jc w:val="both"/>
              <w:rPr>
                <w:color w:val="000000" w:themeColor="text1"/>
                <w:sz w:val="20"/>
                <w:szCs w:val="20"/>
              </w:rPr>
            </w:pPr>
            <w:r w:rsidRPr="00F34287">
              <w:rPr>
                <w:i/>
                <w:color w:val="000000" w:themeColor="text1"/>
                <w:sz w:val="20"/>
                <w:szCs w:val="20"/>
              </w:rPr>
              <w:t>n</w:t>
            </w:r>
            <w:r w:rsidRPr="00F34287">
              <w:rPr>
                <w:color w:val="000000" w:themeColor="text1"/>
                <w:sz w:val="20"/>
                <w:szCs w:val="20"/>
              </w:rPr>
              <w:t>=228,594</w:t>
            </w:r>
          </w:p>
        </w:tc>
        <w:tc>
          <w:tcPr>
            <w:tcW w:w="2241" w:type="dxa"/>
            <w:shd w:val="clear" w:color="auto" w:fill="DEEAF6" w:themeFill="accent5" w:themeFillTint="33"/>
          </w:tcPr>
          <w:p w14:paraId="2105102B"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Women</w:t>
            </w:r>
          </w:p>
          <w:p w14:paraId="5A4A0DF9" w14:textId="77777777" w:rsidR="00C70691" w:rsidRPr="00F34287" w:rsidRDefault="00C70691" w:rsidP="00C70691">
            <w:pPr>
              <w:spacing w:line="360" w:lineRule="auto"/>
              <w:jc w:val="both"/>
              <w:rPr>
                <w:color w:val="000000" w:themeColor="text1"/>
                <w:sz w:val="20"/>
                <w:szCs w:val="20"/>
              </w:rPr>
            </w:pPr>
            <w:r w:rsidRPr="00F34287">
              <w:rPr>
                <w:i/>
                <w:color w:val="000000" w:themeColor="text1"/>
                <w:sz w:val="20"/>
                <w:szCs w:val="20"/>
              </w:rPr>
              <w:t>n</w:t>
            </w:r>
            <w:r w:rsidRPr="00F34287">
              <w:rPr>
                <w:color w:val="000000" w:themeColor="text1"/>
                <w:sz w:val="20"/>
                <w:szCs w:val="20"/>
              </w:rPr>
              <w:t>=272,737</w:t>
            </w:r>
          </w:p>
        </w:tc>
      </w:tr>
      <w:tr w:rsidR="00FF22A4" w:rsidRPr="00F34287" w14:paraId="75167AF7" w14:textId="77777777" w:rsidTr="007B2C91">
        <w:tc>
          <w:tcPr>
            <w:tcW w:w="3502" w:type="dxa"/>
          </w:tcPr>
          <w:p w14:paraId="31D1C63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Age (years)</w:t>
            </w:r>
          </w:p>
        </w:tc>
        <w:tc>
          <w:tcPr>
            <w:tcW w:w="2284" w:type="dxa"/>
          </w:tcPr>
          <w:p w14:paraId="57AD9068" w14:textId="2A2B387F" w:rsidR="00C70691" w:rsidRPr="00F34287" w:rsidRDefault="00C70691" w:rsidP="00571C21">
            <w:pPr>
              <w:spacing w:line="360" w:lineRule="auto"/>
              <w:jc w:val="both"/>
              <w:rPr>
                <w:color w:val="000000" w:themeColor="text1"/>
                <w:sz w:val="20"/>
                <w:szCs w:val="20"/>
              </w:rPr>
            </w:pPr>
            <w:r w:rsidRPr="00F34287">
              <w:rPr>
                <w:color w:val="000000" w:themeColor="text1"/>
                <w:sz w:val="20"/>
                <w:szCs w:val="20"/>
              </w:rPr>
              <w:t>56.5(</w:t>
            </w:r>
            <w:r w:rsidR="00571C21" w:rsidRPr="00F34287">
              <w:rPr>
                <w:color w:val="000000" w:themeColor="text1"/>
                <w:sz w:val="20"/>
                <w:szCs w:val="20"/>
              </w:rPr>
              <w:t>8.1</w:t>
            </w:r>
            <w:r w:rsidRPr="00F34287">
              <w:rPr>
                <w:color w:val="000000" w:themeColor="text1"/>
                <w:sz w:val="20"/>
                <w:szCs w:val="20"/>
              </w:rPr>
              <w:t>)</w:t>
            </w:r>
          </w:p>
        </w:tc>
        <w:tc>
          <w:tcPr>
            <w:tcW w:w="2284" w:type="dxa"/>
          </w:tcPr>
          <w:p w14:paraId="3889C59E"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56.7 (8.2)</w:t>
            </w:r>
          </w:p>
        </w:tc>
        <w:tc>
          <w:tcPr>
            <w:tcW w:w="2241" w:type="dxa"/>
          </w:tcPr>
          <w:p w14:paraId="186EFE17"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56.3 (8.0)</w:t>
            </w:r>
          </w:p>
        </w:tc>
      </w:tr>
      <w:tr w:rsidR="00FF22A4" w:rsidRPr="00F34287" w14:paraId="290E4A0F" w14:textId="77777777" w:rsidTr="007B2C91">
        <w:tc>
          <w:tcPr>
            <w:tcW w:w="3502" w:type="dxa"/>
          </w:tcPr>
          <w:p w14:paraId="7A7841EC"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Townsend deprivation index</w:t>
            </w:r>
          </w:p>
        </w:tc>
        <w:tc>
          <w:tcPr>
            <w:tcW w:w="2284" w:type="dxa"/>
          </w:tcPr>
          <w:p w14:paraId="72860606"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-1.29 (3.10)</w:t>
            </w:r>
          </w:p>
        </w:tc>
        <w:tc>
          <w:tcPr>
            <w:tcW w:w="2284" w:type="dxa"/>
          </w:tcPr>
          <w:p w14:paraId="1AA207CC"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-1.25 (3.16)</w:t>
            </w:r>
          </w:p>
        </w:tc>
        <w:tc>
          <w:tcPr>
            <w:tcW w:w="2241" w:type="dxa"/>
          </w:tcPr>
          <w:p w14:paraId="5511DB13"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-1.33 (3.04)</w:t>
            </w:r>
          </w:p>
        </w:tc>
      </w:tr>
      <w:tr w:rsidR="00FF22A4" w:rsidRPr="00F34287" w14:paraId="29515C85" w14:textId="77777777" w:rsidTr="007B2C91">
        <w:tc>
          <w:tcPr>
            <w:tcW w:w="3502" w:type="dxa"/>
          </w:tcPr>
          <w:p w14:paraId="243BF958"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 xml:space="preserve">Current smoker </w:t>
            </w:r>
          </w:p>
        </w:tc>
        <w:tc>
          <w:tcPr>
            <w:tcW w:w="2284" w:type="dxa"/>
          </w:tcPr>
          <w:p w14:paraId="2BD95AEB"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52979 (10.6%)</w:t>
            </w:r>
          </w:p>
        </w:tc>
        <w:tc>
          <w:tcPr>
            <w:tcW w:w="2284" w:type="dxa"/>
          </w:tcPr>
          <w:p w14:paraId="4C81BAD1"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28612 (12.5%)</w:t>
            </w:r>
          </w:p>
        </w:tc>
        <w:tc>
          <w:tcPr>
            <w:tcW w:w="2241" w:type="dxa"/>
          </w:tcPr>
          <w:p w14:paraId="27E8CEC6"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24367 (8.9%)</w:t>
            </w:r>
          </w:p>
        </w:tc>
      </w:tr>
      <w:tr w:rsidR="00FF22A4" w:rsidRPr="00F34287" w14:paraId="15FCF331" w14:textId="77777777" w:rsidTr="007B2C91">
        <w:tc>
          <w:tcPr>
            <w:tcW w:w="3502" w:type="dxa"/>
          </w:tcPr>
          <w:p w14:paraId="315724F2"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 xml:space="preserve">Body mass index </w:t>
            </w:r>
            <w:proofErr w:type="gramStart"/>
            <w:r w:rsidRPr="00F34287">
              <w:rPr>
                <w:color w:val="000000" w:themeColor="text1"/>
                <w:sz w:val="20"/>
                <w:szCs w:val="20"/>
              </w:rPr>
              <w:t>(</w:t>
            </w:r>
            <w:r w:rsidRPr="00F34287">
              <w:rPr>
                <w:color w:val="000000" w:themeColor="text1"/>
                <w:sz w:val="20"/>
                <w:szCs w:val="20"/>
                <w:shd w:val="clear" w:color="auto" w:fill="FFFFFF"/>
              </w:rPr>
              <w:t xml:space="preserve"> kg</w:t>
            </w:r>
            <w:proofErr w:type="gramEnd"/>
            <w:r w:rsidRPr="00F34287">
              <w:rPr>
                <w:color w:val="000000" w:themeColor="text1"/>
                <w:sz w:val="20"/>
                <w:szCs w:val="20"/>
                <w:shd w:val="clear" w:color="auto" w:fill="FFFFFF"/>
              </w:rPr>
              <w:t>/m</w:t>
            </w:r>
            <w:r w:rsidRPr="00F34287">
              <w:rPr>
                <w:color w:val="000000" w:themeColor="text1"/>
                <w:sz w:val="20"/>
                <w:szCs w:val="20"/>
                <w:vertAlign w:val="superscript"/>
              </w:rPr>
              <w:t>2</w:t>
            </w:r>
            <w:r w:rsidRPr="00F34287">
              <w:rPr>
                <w:color w:val="000000" w:themeColor="text1"/>
                <w:sz w:val="20"/>
                <w:szCs w:val="20"/>
              </w:rPr>
              <w:t>)</w:t>
            </w:r>
          </w:p>
        </w:tc>
        <w:tc>
          <w:tcPr>
            <w:tcW w:w="2284" w:type="dxa"/>
          </w:tcPr>
          <w:p w14:paraId="77312E74"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27.4 (4.8)</w:t>
            </w:r>
          </w:p>
        </w:tc>
        <w:tc>
          <w:tcPr>
            <w:tcW w:w="2284" w:type="dxa"/>
          </w:tcPr>
          <w:p w14:paraId="34D0107A"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27.8 (4.3)</w:t>
            </w:r>
          </w:p>
        </w:tc>
        <w:tc>
          <w:tcPr>
            <w:tcW w:w="2241" w:type="dxa"/>
          </w:tcPr>
          <w:p w14:paraId="2D14E75F"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27.1 (5.2)</w:t>
            </w:r>
          </w:p>
        </w:tc>
      </w:tr>
      <w:tr w:rsidR="00FF22A4" w:rsidRPr="00F34287" w14:paraId="5740E802" w14:textId="77777777" w:rsidTr="007B2C91">
        <w:tc>
          <w:tcPr>
            <w:tcW w:w="3502" w:type="dxa"/>
          </w:tcPr>
          <w:p w14:paraId="240A63D0"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Systolic blood pressure (mmHg)</w:t>
            </w:r>
          </w:p>
        </w:tc>
        <w:tc>
          <w:tcPr>
            <w:tcW w:w="2284" w:type="dxa"/>
          </w:tcPr>
          <w:p w14:paraId="3DA3E13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137.9 (18.7)</w:t>
            </w:r>
          </w:p>
        </w:tc>
        <w:tc>
          <w:tcPr>
            <w:tcW w:w="2284" w:type="dxa"/>
          </w:tcPr>
          <w:p w14:paraId="53035C09"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140.9 (17.5)</w:t>
            </w:r>
          </w:p>
        </w:tc>
        <w:tc>
          <w:tcPr>
            <w:tcW w:w="2241" w:type="dxa"/>
          </w:tcPr>
          <w:p w14:paraId="42EE9E6F"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135.3 (19.2)</w:t>
            </w:r>
          </w:p>
        </w:tc>
      </w:tr>
      <w:tr w:rsidR="00FF22A4" w:rsidRPr="00F34287" w14:paraId="2A7EFA7B" w14:textId="77777777" w:rsidTr="007B2C91">
        <w:tc>
          <w:tcPr>
            <w:tcW w:w="3502" w:type="dxa"/>
          </w:tcPr>
          <w:p w14:paraId="70116CD7"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Diastolic blood pressure (mmHg)</w:t>
            </w:r>
          </w:p>
        </w:tc>
        <w:tc>
          <w:tcPr>
            <w:tcW w:w="2284" w:type="dxa"/>
          </w:tcPr>
          <w:p w14:paraId="67896552"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82.3 (10.1)</w:t>
            </w:r>
          </w:p>
        </w:tc>
        <w:tc>
          <w:tcPr>
            <w:tcW w:w="2284" w:type="dxa"/>
          </w:tcPr>
          <w:p w14:paraId="1D00E650"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84.1 (10.0)</w:t>
            </w:r>
          </w:p>
        </w:tc>
        <w:tc>
          <w:tcPr>
            <w:tcW w:w="2241" w:type="dxa"/>
          </w:tcPr>
          <w:p w14:paraId="469057A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80.7 (10.0)</w:t>
            </w:r>
          </w:p>
        </w:tc>
      </w:tr>
      <w:tr w:rsidR="00FF22A4" w:rsidRPr="00F34287" w14:paraId="4892B78A" w14:textId="77777777" w:rsidTr="007B2C91">
        <w:tc>
          <w:tcPr>
            <w:tcW w:w="3502" w:type="dxa"/>
          </w:tcPr>
          <w:p w14:paraId="645C1A98"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Diabetes</w:t>
            </w:r>
          </w:p>
        </w:tc>
        <w:tc>
          <w:tcPr>
            <w:tcW w:w="2284" w:type="dxa"/>
          </w:tcPr>
          <w:p w14:paraId="3C753839"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26,833 (5.3%)</w:t>
            </w:r>
          </w:p>
        </w:tc>
        <w:tc>
          <w:tcPr>
            <w:tcW w:w="2284" w:type="dxa"/>
          </w:tcPr>
          <w:p w14:paraId="77FAB7F9"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16,271 (7.1%)</w:t>
            </w:r>
          </w:p>
        </w:tc>
        <w:tc>
          <w:tcPr>
            <w:tcW w:w="2241" w:type="dxa"/>
          </w:tcPr>
          <w:p w14:paraId="6870C06B"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10,562 (3.9%)</w:t>
            </w:r>
          </w:p>
        </w:tc>
      </w:tr>
      <w:tr w:rsidR="00FF22A4" w:rsidRPr="00F34287" w14:paraId="295AE77D" w14:textId="77777777" w:rsidTr="007B2C91">
        <w:tc>
          <w:tcPr>
            <w:tcW w:w="3502" w:type="dxa"/>
          </w:tcPr>
          <w:p w14:paraId="3F980DD6"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Hypertension</w:t>
            </w:r>
          </w:p>
        </w:tc>
        <w:tc>
          <w:tcPr>
            <w:tcW w:w="2284" w:type="dxa"/>
          </w:tcPr>
          <w:p w14:paraId="4757A960"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141,019 (28.1%)</w:t>
            </w:r>
          </w:p>
        </w:tc>
        <w:tc>
          <w:tcPr>
            <w:tcW w:w="2284" w:type="dxa"/>
          </w:tcPr>
          <w:p w14:paraId="0909B187"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74,803 (32.6%)</w:t>
            </w:r>
          </w:p>
        </w:tc>
        <w:tc>
          <w:tcPr>
            <w:tcW w:w="2241" w:type="dxa"/>
          </w:tcPr>
          <w:p w14:paraId="53EC3FDD"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66,216 (24.2%)</w:t>
            </w:r>
          </w:p>
        </w:tc>
      </w:tr>
      <w:tr w:rsidR="00FF22A4" w:rsidRPr="00F34287" w14:paraId="190D7132" w14:textId="77777777" w:rsidTr="007B2C91">
        <w:tc>
          <w:tcPr>
            <w:tcW w:w="3502" w:type="dxa"/>
          </w:tcPr>
          <w:p w14:paraId="1F6F76F6"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Hypercholesterolaemia</w:t>
            </w:r>
          </w:p>
        </w:tc>
        <w:tc>
          <w:tcPr>
            <w:tcW w:w="2284" w:type="dxa"/>
          </w:tcPr>
          <w:p w14:paraId="123378F6"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93,822 (18.7%)</w:t>
            </w:r>
          </w:p>
        </w:tc>
        <w:tc>
          <w:tcPr>
            <w:tcW w:w="2284" w:type="dxa"/>
          </w:tcPr>
          <w:p w14:paraId="5BB434AE"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55,722 (24.3%)</w:t>
            </w:r>
          </w:p>
        </w:tc>
        <w:tc>
          <w:tcPr>
            <w:tcW w:w="2241" w:type="dxa"/>
          </w:tcPr>
          <w:p w14:paraId="2B55E3B5"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38,100 (13.9%)</w:t>
            </w:r>
          </w:p>
        </w:tc>
      </w:tr>
      <w:tr w:rsidR="00FF22A4" w:rsidRPr="00F34287" w14:paraId="4FFEE8F9" w14:textId="77777777" w:rsidTr="007B2C91">
        <w:tc>
          <w:tcPr>
            <w:tcW w:w="3502" w:type="dxa"/>
          </w:tcPr>
          <w:p w14:paraId="33BC47DB"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Resting heart rate (bpm)</w:t>
            </w:r>
          </w:p>
        </w:tc>
        <w:tc>
          <w:tcPr>
            <w:tcW w:w="2284" w:type="dxa"/>
          </w:tcPr>
          <w:p w14:paraId="591D7B57"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69.4 (11.3)</w:t>
            </w:r>
          </w:p>
        </w:tc>
        <w:tc>
          <w:tcPr>
            <w:tcW w:w="2284" w:type="dxa"/>
          </w:tcPr>
          <w:p w14:paraId="5B11B031"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68.4 (11.9)</w:t>
            </w:r>
          </w:p>
        </w:tc>
        <w:tc>
          <w:tcPr>
            <w:tcW w:w="2241" w:type="dxa"/>
          </w:tcPr>
          <w:p w14:paraId="50A11DBE"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70.3 (10.6)</w:t>
            </w:r>
          </w:p>
        </w:tc>
      </w:tr>
      <w:tr w:rsidR="00FF22A4" w:rsidRPr="00F34287" w14:paraId="069B613E" w14:textId="77777777" w:rsidTr="007B2C91">
        <w:tc>
          <w:tcPr>
            <w:tcW w:w="3502" w:type="dxa"/>
          </w:tcPr>
          <w:p w14:paraId="013C885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lastRenderedPageBreak/>
              <w:t xml:space="preserve">Physical Activity (metabolic equivalent minutes/week) </w:t>
            </w:r>
          </w:p>
          <w:p w14:paraId="0A46B943" w14:textId="77777777" w:rsidR="00C70691" w:rsidRPr="00F34287" w:rsidRDefault="00C70691" w:rsidP="00C70691">
            <w:pPr>
              <w:spacing w:line="360" w:lineRule="auto"/>
              <w:jc w:val="both"/>
              <w:rPr>
                <w:color w:val="000000" w:themeColor="text1"/>
                <w:sz w:val="20"/>
                <w:szCs w:val="20"/>
              </w:rPr>
            </w:pPr>
          </w:p>
        </w:tc>
        <w:tc>
          <w:tcPr>
            <w:tcW w:w="2284" w:type="dxa"/>
          </w:tcPr>
          <w:p w14:paraId="563E0267"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2043.5 (2239.5)</w:t>
            </w:r>
          </w:p>
          <w:p w14:paraId="23EEFE3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1370 [648 to 2586]</w:t>
            </w:r>
          </w:p>
        </w:tc>
        <w:tc>
          <w:tcPr>
            <w:tcW w:w="2284" w:type="dxa"/>
          </w:tcPr>
          <w:p w14:paraId="229AC558"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2191.6 (2490.4)</w:t>
            </w:r>
          </w:p>
          <w:p w14:paraId="26917A24"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1413 [658 to 2772]</w:t>
            </w:r>
          </w:p>
        </w:tc>
        <w:tc>
          <w:tcPr>
            <w:tcW w:w="2241" w:type="dxa"/>
          </w:tcPr>
          <w:p w14:paraId="36078142"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1907.0 (1970.5)</w:t>
            </w:r>
          </w:p>
          <w:p w14:paraId="58F69412"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1308 [636 to 2445]</w:t>
            </w:r>
          </w:p>
        </w:tc>
      </w:tr>
      <w:tr w:rsidR="00FF22A4" w:rsidRPr="00F34287" w14:paraId="18B95F5E" w14:textId="77777777" w:rsidTr="007B2C91">
        <w:tc>
          <w:tcPr>
            <w:tcW w:w="3502" w:type="dxa"/>
          </w:tcPr>
          <w:p w14:paraId="11EE2DD1"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 xml:space="preserve">Follow-up (days): </w:t>
            </w:r>
          </w:p>
          <w:p w14:paraId="7960576E"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Mortality</w:t>
            </w:r>
          </w:p>
          <w:p w14:paraId="0007131F" w14:textId="77777777" w:rsidR="00C70691" w:rsidRPr="00F34287" w:rsidRDefault="00C70691" w:rsidP="00C70691">
            <w:pPr>
              <w:spacing w:line="360" w:lineRule="auto"/>
              <w:jc w:val="both"/>
              <w:rPr>
                <w:color w:val="000000" w:themeColor="text1"/>
                <w:sz w:val="20"/>
                <w:szCs w:val="20"/>
              </w:rPr>
            </w:pPr>
            <w:r w:rsidRPr="00F34287">
              <w:rPr>
                <w:color w:val="000000" w:themeColor="text1"/>
                <w:sz w:val="20"/>
                <w:szCs w:val="20"/>
              </w:rPr>
              <w:t>Incident AMI</w:t>
            </w:r>
          </w:p>
        </w:tc>
        <w:tc>
          <w:tcPr>
            <w:tcW w:w="2284" w:type="dxa"/>
          </w:tcPr>
          <w:p w14:paraId="2A753EFD" w14:textId="77777777" w:rsidR="00C70691" w:rsidRPr="00F34287" w:rsidRDefault="00C70691" w:rsidP="00C70691">
            <w:pPr>
              <w:spacing w:line="360" w:lineRule="auto"/>
              <w:jc w:val="both"/>
              <w:rPr>
                <w:color w:val="000000" w:themeColor="text1"/>
                <w:sz w:val="20"/>
                <w:szCs w:val="20"/>
              </w:rPr>
            </w:pPr>
          </w:p>
          <w:p w14:paraId="6EFE48A0" w14:textId="5933B667" w:rsidR="00C70691" w:rsidRPr="00F34287" w:rsidRDefault="00571C21" w:rsidP="00C70691">
            <w:pPr>
              <w:spacing w:line="360" w:lineRule="auto"/>
              <w:jc w:val="both"/>
              <w:rPr>
                <w:color w:val="000000" w:themeColor="text1"/>
                <w:sz w:val="20"/>
                <w:szCs w:val="20"/>
              </w:rPr>
            </w:pPr>
            <w:r w:rsidRPr="00F34287">
              <w:rPr>
                <w:color w:val="000000" w:themeColor="text1"/>
                <w:sz w:val="20"/>
                <w:szCs w:val="20"/>
              </w:rPr>
              <w:t>9.0 [8.2-9.7]</w:t>
            </w:r>
          </w:p>
          <w:p w14:paraId="2C350C00" w14:textId="232BBAE2" w:rsidR="00C70691" w:rsidRPr="00F34287" w:rsidRDefault="00571C21" w:rsidP="00C70691">
            <w:pPr>
              <w:spacing w:line="360" w:lineRule="auto"/>
              <w:jc w:val="both"/>
              <w:rPr>
                <w:color w:val="000000" w:themeColor="text1"/>
                <w:sz w:val="20"/>
                <w:szCs w:val="20"/>
              </w:rPr>
            </w:pPr>
            <w:r w:rsidRPr="00F34287">
              <w:rPr>
                <w:color w:val="000000" w:themeColor="text1"/>
                <w:sz w:val="20"/>
                <w:szCs w:val="20"/>
              </w:rPr>
              <w:t>8.1 [7.5-8.8]</w:t>
            </w:r>
          </w:p>
        </w:tc>
        <w:tc>
          <w:tcPr>
            <w:tcW w:w="2284" w:type="dxa"/>
          </w:tcPr>
          <w:p w14:paraId="0A1A28CE" w14:textId="77777777" w:rsidR="00C70691" w:rsidRPr="00F34287" w:rsidRDefault="00C70691" w:rsidP="00C70691">
            <w:pPr>
              <w:spacing w:line="360" w:lineRule="auto"/>
              <w:jc w:val="both"/>
              <w:rPr>
                <w:color w:val="000000" w:themeColor="text1"/>
                <w:sz w:val="20"/>
                <w:szCs w:val="20"/>
              </w:rPr>
            </w:pPr>
          </w:p>
          <w:p w14:paraId="289C2148" w14:textId="06BFFB20" w:rsidR="00C70691" w:rsidRPr="00F34287" w:rsidRDefault="00571C21" w:rsidP="00C70691">
            <w:pPr>
              <w:spacing w:line="360" w:lineRule="auto"/>
              <w:rPr>
                <w:color w:val="000000" w:themeColor="text1"/>
                <w:sz w:val="20"/>
                <w:szCs w:val="20"/>
              </w:rPr>
            </w:pPr>
            <w:r w:rsidRPr="00F34287">
              <w:rPr>
                <w:color w:val="000000" w:themeColor="text1"/>
                <w:sz w:val="20"/>
                <w:szCs w:val="20"/>
              </w:rPr>
              <w:t>8.9 [8.2-9.7]</w:t>
            </w:r>
          </w:p>
          <w:p w14:paraId="08B594B6" w14:textId="47427BF6" w:rsidR="00C70691" w:rsidRPr="00F34287" w:rsidRDefault="00571C21" w:rsidP="00C70691">
            <w:pPr>
              <w:spacing w:line="360" w:lineRule="auto"/>
              <w:jc w:val="both"/>
              <w:rPr>
                <w:color w:val="000000" w:themeColor="text1"/>
                <w:sz w:val="20"/>
                <w:szCs w:val="20"/>
              </w:rPr>
            </w:pPr>
            <w:r w:rsidRPr="00F34287">
              <w:rPr>
                <w:color w:val="000000" w:themeColor="text1"/>
                <w:sz w:val="20"/>
                <w:szCs w:val="20"/>
              </w:rPr>
              <w:t>8.1 [7.4-8.8</w:t>
            </w:r>
            <w:r w:rsidR="00C70691" w:rsidRPr="00F34287">
              <w:rPr>
                <w:color w:val="000000" w:themeColor="text1"/>
                <w:sz w:val="20"/>
                <w:szCs w:val="20"/>
              </w:rPr>
              <w:t>]</w:t>
            </w:r>
          </w:p>
        </w:tc>
        <w:tc>
          <w:tcPr>
            <w:tcW w:w="2241" w:type="dxa"/>
          </w:tcPr>
          <w:p w14:paraId="3916BD85" w14:textId="77777777" w:rsidR="00C70691" w:rsidRPr="00F34287" w:rsidRDefault="00C70691" w:rsidP="00C70691">
            <w:pPr>
              <w:spacing w:line="360" w:lineRule="auto"/>
              <w:jc w:val="both"/>
              <w:rPr>
                <w:color w:val="000000" w:themeColor="text1"/>
                <w:sz w:val="20"/>
                <w:szCs w:val="20"/>
              </w:rPr>
            </w:pPr>
          </w:p>
          <w:p w14:paraId="38716205" w14:textId="2A0D2579" w:rsidR="00C70691" w:rsidRPr="00F34287" w:rsidRDefault="00571C21" w:rsidP="00C70691">
            <w:pPr>
              <w:spacing w:line="360" w:lineRule="auto"/>
              <w:jc w:val="both"/>
              <w:rPr>
                <w:color w:val="000000" w:themeColor="text1"/>
                <w:sz w:val="20"/>
                <w:szCs w:val="20"/>
              </w:rPr>
            </w:pPr>
            <w:r w:rsidRPr="00F34287">
              <w:rPr>
                <w:color w:val="000000" w:themeColor="text1"/>
                <w:sz w:val="20"/>
                <w:szCs w:val="20"/>
              </w:rPr>
              <w:t>9.0 [8.3-9.7]</w:t>
            </w:r>
          </w:p>
          <w:p w14:paraId="70CA3753" w14:textId="58B64E5F" w:rsidR="00C70691" w:rsidRPr="00F34287" w:rsidRDefault="00571C21" w:rsidP="00C70691">
            <w:pPr>
              <w:spacing w:line="360" w:lineRule="auto"/>
              <w:jc w:val="both"/>
              <w:rPr>
                <w:color w:val="000000" w:themeColor="text1"/>
                <w:sz w:val="20"/>
                <w:szCs w:val="20"/>
              </w:rPr>
            </w:pPr>
            <w:r w:rsidRPr="00F34287">
              <w:rPr>
                <w:color w:val="000000" w:themeColor="text1"/>
                <w:sz w:val="20"/>
                <w:szCs w:val="20"/>
              </w:rPr>
              <w:t>8.2 [7.5-8.8]</w:t>
            </w:r>
          </w:p>
        </w:tc>
      </w:tr>
    </w:tbl>
    <w:p w14:paraId="7D6C2CEB" w14:textId="5C370101" w:rsidR="00767EB3" w:rsidRPr="0071478B" w:rsidRDefault="00C70691" w:rsidP="0071478B">
      <w:pPr>
        <w:rPr>
          <w:color w:val="000000" w:themeColor="text1"/>
          <w:sz w:val="20"/>
          <w:szCs w:val="20"/>
        </w:rPr>
      </w:pPr>
      <w:r w:rsidRPr="00F34287">
        <w:rPr>
          <w:color w:val="000000" w:themeColor="text1"/>
          <w:sz w:val="20"/>
          <w:szCs w:val="20"/>
          <w:vertAlign w:val="superscript"/>
        </w:rPr>
        <w:t>*</w:t>
      </w:r>
      <w:r w:rsidRPr="00F34287">
        <w:rPr>
          <w:color w:val="000000" w:themeColor="text1"/>
          <w:sz w:val="20"/>
          <w:szCs w:val="20"/>
        </w:rPr>
        <w:t>Results are mean (standard deviation), number (percentage), or median [interquartile range]. AMI: acute myocardial infarction; bpm: beats per minute</w:t>
      </w:r>
    </w:p>
    <w:p w14:paraId="1A8F5F62" w14:textId="1BCDF87A" w:rsidR="006D0933" w:rsidRPr="00F34287" w:rsidRDefault="006D0933" w:rsidP="00BA3555">
      <w:pPr>
        <w:spacing w:after="120" w:line="480" w:lineRule="auto"/>
        <w:rPr>
          <w:b/>
          <w:bCs/>
          <w:color w:val="000000" w:themeColor="text1"/>
          <w:sz w:val="32"/>
          <w:szCs w:val="32"/>
        </w:rPr>
      </w:pPr>
      <w:r w:rsidRPr="00F34287">
        <w:rPr>
          <w:b/>
          <w:bCs/>
          <w:color w:val="000000" w:themeColor="text1"/>
          <w:sz w:val="32"/>
          <w:szCs w:val="32"/>
        </w:rPr>
        <w:t>Follow-up duration and number of outcomes</w:t>
      </w:r>
    </w:p>
    <w:p w14:paraId="3394A8E1" w14:textId="7551CE97" w:rsidR="00256C22" w:rsidRPr="00F34287" w:rsidRDefault="006D0933" w:rsidP="00571C21">
      <w:pPr>
        <w:spacing w:line="360" w:lineRule="auto"/>
        <w:jc w:val="both"/>
        <w:rPr>
          <w:color w:val="000000" w:themeColor="text1"/>
          <w:sz w:val="20"/>
          <w:szCs w:val="20"/>
        </w:rPr>
      </w:pPr>
      <w:r w:rsidRPr="00F34287">
        <w:rPr>
          <w:color w:val="000000" w:themeColor="text1"/>
          <w:sz w:val="22"/>
          <w:szCs w:val="22"/>
        </w:rPr>
        <w:t xml:space="preserve">Median duration of follow-up </w:t>
      </w:r>
      <w:r w:rsidR="00F1693C" w:rsidRPr="00F34287">
        <w:rPr>
          <w:color w:val="000000" w:themeColor="text1"/>
          <w:sz w:val="22"/>
          <w:szCs w:val="22"/>
        </w:rPr>
        <w:t xml:space="preserve">for mortality </w:t>
      </w:r>
      <w:r w:rsidRPr="00F34287">
        <w:rPr>
          <w:color w:val="000000" w:themeColor="text1"/>
          <w:sz w:val="22"/>
          <w:szCs w:val="22"/>
        </w:rPr>
        <w:t>from baseline</w:t>
      </w:r>
      <w:r w:rsidR="00767EB3" w:rsidRPr="00F34287">
        <w:rPr>
          <w:color w:val="000000" w:themeColor="text1"/>
          <w:sz w:val="22"/>
          <w:szCs w:val="22"/>
        </w:rPr>
        <w:t xml:space="preserve"> </w:t>
      </w:r>
      <w:r w:rsidRPr="00F34287">
        <w:rPr>
          <w:color w:val="000000" w:themeColor="text1"/>
          <w:sz w:val="22"/>
          <w:szCs w:val="22"/>
        </w:rPr>
        <w:t xml:space="preserve">was </w:t>
      </w:r>
      <w:r w:rsidR="00571C21" w:rsidRPr="00F34287">
        <w:rPr>
          <w:color w:val="000000" w:themeColor="text1"/>
          <w:sz w:val="20"/>
          <w:szCs w:val="20"/>
        </w:rPr>
        <w:t xml:space="preserve">9.0 [8.2-9.7] </w:t>
      </w:r>
      <w:r w:rsidR="00571C21" w:rsidRPr="00F34287">
        <w:rPr>
          <w:color w:val="000000" w:themeColor="text1"/>
          <w:sz w:val="22"/>
          <w:szCs w:val="22"/>
        </w:rPr>
        <w:t>years</w:t>
      </w:r>
      <w:r w:rsidR="002064A9" w:rsidRPr="00F34287">
        <w:rPr>
          <w:color w:val="000000" w:themeColor="text1"/>
          <w:sz w:val="22"/>
          <w:szCs w:val="22"/>
        </w:rPr>
        <w:t xml:space="preserve"> for mortality outcomes and </w:t>
      </w:r>
      <w:r w:rsidR="00571C21" w:rsidRPr="00F34287">
        <w:rPr>
          <w:color w:val="000000" w:themeColor="text1"/>
          <w:sz w:val="20"/>
          <w:szCs w:val="20"/>
        </w:rPr>
        <w:t>8.1 [7.5-8.8]</w:t>
      </w:r>
      <w:r w:rsidR="002064A9" w:rsidRPr="00F34287">
        <w:rPr>
          <w:color w:val="000000" w:themeColor="text1"/>
          <w:sz w:val="22"/>
          <w:szCs w:val="22"/>
        </w:rPr>
        <w:t xml:space="preserve"> </w:t>
      </w:r>
      <w:r w:rsidR="00571C21" w:rsidRPr="00F34287">
        <w:rPr>
          <w:color w:val="000000" w:themeColor="text1"/>
          <w:sz w:val="22"/>
          <w:szCs w:val="22"/>
        </w:rPr>
        <w:t>years</w:t>
      </w:r>
      <w:r w:rsidR="002064A9" w:rsidRPr="00F34287">
        <w:rPr>
          <w:color w:val="000000" w:themeColor="text1"/>
          <w:sz w:val="22"/>
          <w:szCs w:val="22"/>
        </w:rPr>
        <w:t xml:space="preserve"> for incident AMI. Over this time period we observed </w:t>
      </w:r>
      <w:r w:rsidR="00F1693C" w:rsidRPr="00F34287">
        <w:rPr>
          <w:color w:val="000000" w:themeColor="text1"/>
          <w:sz w:val="22"/>
          <w:szCs w:val="22"/>
        </w:rPr>
        <w:t>20,126 deaths</w:t>
      </w:r>
      <w:r w:rsidR="00BF7186" w:rsidRPr="00F34287">
        <w:rPr>
          <w:color w:val="000000" w:themeColor="text1"/>
          <w:sz w:val="22"/>
          <w:szCs w:val="22"/>
        </w:rPr>
        <w:t xml:space="preserve"> </w:t>
      </w:r>
      <w:r w:rsidR="002064A9" w:rsidRPr="00F34287">
        <w:rPr>
          <w:color w:val="000000" w:themeColor="text1"/>
          <w:sz w:val="22"/>
          <w:szCs w:val="22"/>
        </w:rPr>
        <w:t>and</w:t>
      </w:r>
      <w:r w:rsidR="00F1693C" w:rsidRPr="00F34287">
        <w:rPr>
          <w:color w:val="000000" w:themeColor="text1"/>
          <w:sz w:val="22"/>
          <w:szCs w:val="22"/>
        </w:rPr>
        <w:t xml:space="preserve"> </w:t>
      </w:r>
      <w:r w:rsidR="00BF7186" w:rsidRPr="00F34287">
        <w:rPr>
          <w:color w:val="000000" w:themeColor="text1"/>
          <w:sz w:val="22"/>
          <w:szCs w:val="22"/>
        </w:rPr>
        <w:t>8,605 cases of incident AMI</w:t>
      </w:r>
      <w:r w:rsidR="002064A9" w:rsidRPr="00F34287">
        <w:rPr>
          <w:color w:val="000000" w:themeColor="text1"/>
          <w:sz w:val="22"/>
          <w:szCs w:val="22"/>
        </w:rPr>
        <w:t xml:space="preserve">. </w:t>
      </w:r>
      <w:r w:rsidR="00BF7186" w:rsidRPr="00F34287">
        <w:rPr>
          <w:color w:val="000000" w:themeColor="text1"/>
          <w:sz w:val="22"/>
          <w:szCs w:val="22"/>
        </w:rPr>
        <w:t xml:space="preserve">Full breakdown of </w:t>
      </w:r>
      <w:r w:rsidR="0097072E" w:rsidRPr="00F34287">
        <w:rPr>
          <w:color w:val="000000" w:themeColor="text1"/>
          <w:sz w:val="22"/>
          <w:szCs w:val="22"/>
        </w:rPr>
        <w:t xml:space="preserve">the </w:t>
      </w:r>
      <w:r w:rsidR="004823C5" w:rsidRPr="00F34287">
        <w:rPr>
          <w:color w:val="000000" w:themeColor="text1"/>
          <w:sz w:val="22"/>
          <w:szCs w:val="22"/>
        </w:rPr>
        <w:t xml:space="preserve">number of </w:t>
      </w:r>
      <w:r w:rsidR="00BF7186" w:rsidRPr="00F34287">
        <w:rPr>
          <w:color w:val="000000" w:themeColor="text1"/>
          <w:sz w:val="22"/>
          <w:szCs w:val="22"/>
        </w:rPr>
        <w:t xml:space="preserve">observed outcomes </w:t>
      </w:r>
      <w:r w:rsidR="00910EAA" w:rsidRPr="00F34287">
        <w:rPr>
          <w:color w:val="000000" w:themeColor="text1"/>
          <w:sz w:val="22"/>
          <w:szCs w:val="22"/>
        </w:rPr>
        <w:t xml:space="preserve">in men and women </w:t>
      </w:r>
      <w:r w:rsidR="00BF7186" w:rsidRPr="00F34287">
        <w:rPr>
          <w:color w:val="000000" w:themeColor="text1"/>
          <w:sz w:val="22"/>
          <w:szCs w:val="22"/>
        </w:rPr>
        <w:t xml:space="preserve">is presented in Table </w:t>
      </w:r>
      <w:r w:rsidR="00910EAA" w:rsidRPr="00F34287">
        <w:rPr>
          <w:color w:val="000000" w:themeColor="text1"/>
          <w:sz w:val="22"/>
          <w:szCs w:val="22"/>
        </w:rPr>
        <w:t>2</w:t>
      </w:r>
      <w:r w:rsidR="00BF7186" w:rsidRPr="00F34287">
        <w:rPr>
          <w:color w:val="000000" w:themeColor="text1"/>
          <w:sz w:val="22"/>
          <w:szCs w:val="22"/>
        </w:rPr>
        <w:t xml:space="preserve">. </w:t>
      </w:r>
      <w:r w:rsidR="004823C5" w:rsidRPr="00F34287">
        <w:rPr>
          <w:color w:val="000000" w:themeColor="text1"/>
          <w:sz w:val="22"/>
          <w:szCs w:val="22"/>
        </w:rPr>
        <w:t xml:space="preserve">Results of </w:t>
      </w:r>
      <w:r w:rsidR="000E1800" w:rsidRPr="00F34287">
        <w:rPr>
          <w:color w:val="000000" w:themeColor="text1"/>
          <w:sz w:val="22"/>
          <w:szCs w:val="22"/>
        </w:rPr>
        <w:t xml:space="preserve">RHR-outcome </w:t>
      </w:r>
      <w:r w:rsidR="004823C5" w:rsidRPr="00F34287">
        <w:rPr>
          <w:color w:val="000000" w:themeColor="text1"/>
          <w:sz w:val="22"/>
          <w:szCs w:val="22"/>
        </w:rPr>
        <w:t xml:space="preserve">association </w:t>
      </w:r>
      <w:r w:rsidR="000E1800" w:rsidRPr="00F34287">
        <w:rPr>
          <w:color w:val="000000" w:themeColor="text1"/>
          <w:sz w:val="22"/>
          <w:szCs w:val="22"/>
        </w:rPr>
        <w:t xml:space="preserve">models are presented in Table 3. </w:t>
      </w:r>
      <w:r w:rsidR="00A01ED3" w:rsidRPr="00F34287">
        <w:rPr>
          <w:color w:val="000000" w:themeColor="text1"/>
          <w:sz w:val="22"/>
          <w:szCs w:val="22"/>
        </w:rPr>
        <w:t xml:space="preserve">Models with systolic blood pressure as covariate in place of hypertension </w:t>
      </w:r>
      <w:r w:rsidR="00E0400A" w:rsidRPr="00F34287">
        <w:rPr>
          <w:color w:val="000000" w:themeColor="text1"/>
          <w:sz w:val="22"/>
          <w:szCs w:val="22"/>
        </w:rPr>
        <w:t>show almost identical results</w:t>
      </w:r>
      <w:r w:rsidR="00A01ED3" w:rsidRPr="00F34287">
        <w:rPr>
          <w:color w:val="000000" w:themeColor="text1"/>
          <w:sz w:val="22"/>
          <w:szCs w:val="22"/>
        </w:rPr>
        <w:t xml:space="preserve"> </w:t>
      </w:r>
      <w:r w:rsidR="00E0400A" w:rsidRPr="00F34287">
        <w:rPr>
          <w:color w:val="000000" w:themeColor="text1"/>
          <w:sz w:val="22"/>
          <w:szCs w:val="22"/>
        </w:rPr>
        <w:t>(</w:t>
      </w:r>
      <w:r w:rsidR="00A01ED3" w:rsidRPr="00F34287">
        <w:rPr>
          <w:color w:val="000000" w:themeColor="text1"/>
          <w:sz w:val="22"/>
          <w:szCs w:val="22"/>
        </w:rPr>
        <w:t>Supplementary Table 3</w:t>
      </w:r>
      <w:r w:rsidR="00E0400A" w:rsidRPr="00F34287">
        <w:rPr>
          <w:color w:val="000000" w:themeColor="text1"/>
          <w:sz w:val="22"/>
          <w:szCs w:val="22"/>
        </w:rPr>
        <w:t>)</w:t>
      </w:r>
      <w:r w:rsidR="00A01ED3" w:rsidRPr="00F34287">
        <w:rPr>
          <w:color w:val="000000" w:themeColor="text1"/>
          <w:sz w:val="22"/>
          <w:szCs w:val="22"/>
        </w:rPr>
        <w:t xml:space="preserve">. </w:t>
      </w:r>
    </w:p>
    <w:p w14:paraId="561B8E44" w14:textId="7A2DA602" w:rsidR="00C70691" w:rsidRPr="00F34287" w:rsidRDefault="00C70691" w:rsidP="00BA3555">
      <w:pPr>
        <w:spacing w:line="480" w:lineRule="auto"/>
        <w:jc w:val="both"/>
        <w:rPr>
          <w:color w:val="000000" w:themeColor="text1"/>
          <w:sz w:val="22"/>
          <w:szCs w:val="22"/>
        </w:rPr>
      </w:pPr>
    </w:p>
    <w:p w14:paraId="63F76B1A" w14:textId="77777777" w:rsidR="00C70691" w:rsidRPr="00F34287" w:rsidRDefault="00C70691" w:rsidP="0071478B">
      <w:pPr>
        <w:spacing w:line="480" w:lineRule="auto"/>
        <w:jc w:val="center"/>
        <w:rPr>
          <w:b/>
          <w:bCs/>
          <w:color w:val="000000" w:themeColor="text1"/>
          <w:sz w:val="22"/>
          <w:szCs w:val="22"/>
        </w:rPr>
      </w:pPr>
      <w:r w:rsidRPr="00F34287">
        <w:rPr>
          <w:b/>
          <w:bCs/>
          <w:color w:val="000000" w:themeColor="text1"/>
          <w:sz w:val="22"/>
          <w:szCs w:val="22"/>
        </w:rPr>
        <w:t>Table 2.  Observed outcomes for the whole cohort, and for men and women separately</w:t>
      </w:r>
    </w:p>
    <w:tbl>
      <w:tblPr>
        <w:tblStyle w:val="TableGridLight1"/>
        <w:tblW w:w="10201" w:type="dxa"/>
        <w:jc w:val="center"/>
        <w:tblLook w:val="04A0" w:firstRow="1" w:lastRow="0" w:firstColumn="1" w:lastColumn="0" w:noHBand="0" w:noVBand="1"/>
      </w:tblPr>
      <w:tblGrid>
        <w:gridCol w:w="3256"/>
        <w:gridCol w:w="2294"/>
        <w:gridCol w:w="2294"/>
        <w:gridCol w:w="2357"/>
      </w:tblGrid>
      <w:tr w:rsidR="00FF22A4" w:rsidRPr="00F34287" w14:paraId="1AD42FE1" w14:textId="77777777" w:rsidTr="0071478B">
        <w:trPr>
          <w:jc w:val="center"/>
        </w:trPr>
        <w:tc>
          <w:tcPr>
            <w:tcW w:w="3256" w:type="dxa"/>
            <w:shd w:val="clear" w:color="auto" w:fill="DEEAF6" w:themeFill="accent5" w:themeFillTint="33"/>
            <w:hideMark/>
          </w:tcPr>
          <w:p w14:paraId="25D4B4FD" w14:textId="77777777" w:rsidR="00C70691" w:rsidRPr="00F34287" w:rsidRDefault="00C70691" w:rsidP="00C70691">
            <w:pPr>
              <w:spacing w:line="360" w:lineRule="auto"/>
              <w:rPr>
                <w:color w:val="000000" w:themeColor="text1"/>
                <w:sz w:val="20"/>
                <w:szCs w:val="20"/>
              </w:rPr>
            </w:pPr>
          </w:p>
        </w:tc>
        <w:tc>
          <w:tcPr>
            <w:tcW w:w="2294" w:type="dxa"/>
            <w:shd w:val="clear" w:color="auto" w:fill="DEEAF6" w:themeFill="accent5" w:themeFillTint="33"/>
          </w:tcPr>
          <w:p w14:paraId="6C302101"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Whole cohort</w:t>
            </w:r>
          </w:p>
          <w:p w14:paraId="0D6F0E11"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iCs/>
                <w:color w:val="000000" w:themeColor="text1"/>
                <w:sz w:val="20"/>
                <w:szCs w:val="20"/>
              </w:rPr>
              <w:t>(</w:t>
            </w:r>
            <w:r w:rsidRPr="00F34287">
              <w:rPr>
                <w:i/>
                <w:color w:val="000000" w:themeColor="text1"/>
                <w:sz w:val="20"/>
                <w:szCs w:val="20"/>
              </w:rPr>
              <w:t>n</w:t>
            </w:r>
            <w:r w:rsidRPr="00F34287">
              <w:rPr>
                <w:color w:val="000000" w:themeColor="text1"/>
                <w:sz w:val="20"/>
                <w:szCs w:val="20"/>
              </w:rPr>
              <w:t>= 501,331)</w:t>
            </w:r>
          </w:p>
        </w:tc>
        <w:tc>
          <w:tcPr>
            <w:tcW w:w="2294" w:type="dxa"/>
            <w:shd w:val="clear" w:color="auto" w:fill="DEEAF6" w:themeFill="accent5" w:themeFillTint="33"/>
          </w:tcPr>
          <w:p w14:paraId="787B4876"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Men</w:t>
            </w:r>
          </w:p>
          <w:p w14:paraId="2C97D01A"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iCs/>
                <w:color w:val="000000" w:themeColor="text1"/>
                <w:sz w:val="20"/>
                <w:szCs w:val="20"/>
              </w:rPr>
              <w:t>(</w:t>
            </w:r>
            <w:r w:rsidRPr="00F34287">
              <w:rPr>
                <w:i/>
                <w:color w:val="000000" w:themeColor="text1"/>
                <w:sz w:val="20"/>
                <w:szCs w:val="20"/>
              </w:rPr>
              <w:t>n</w:t>
            </w:r>
            <w:r w:rsidRPr="00F34287">
              <w:rPr>
                <w:color w:val="000000" w:themeColor="text1"/>
                <w:sz w:val="20"/>
                <w:szCs w:val="20"/>
              </w:rPr>
              <w:t>=228,594)</w:t>
            </w:r>
          </w:p>
        </w:tc>
        <w:tc>
          <w:tcPr>
            <w:tcW w:w="2357" w:type="dxa"/>
            <w:shd w:val="clear" w:color="auto" w:fill="DEEAF6" w:themeFill="accent5" w:themeFillTint="33"/>
          </w:tcPr>
          <w:p w14:paraId="57174B63"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Women</w:t>
            </w:r>
          </w:p>
          <w:p w14:paraId="33B3FBEB"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iCs/>
                <w:color w:val="000000" w:themeColor="text1"/>
                <w:sz w:val="20"/>
                <w:szCs w:val="20"/>
              </w:rPr>
              <w:t>(</w:t>
            </w:r>
            <w:r w:rsidRPr="00F34287">
              <w:rPr>
                <w:i/>
                <w:color w:val="000000" w:themeColor="text1"/>
                <w:sz w:val="20"/>
                <w:szCs w:val="20"/>
              </w:rPr>
              <w:t>n</w:t>
            </w:r>
            <w:r w:rsidRPr="00F34287">
              <w:rPr>
                <w:color w:val="000000" w:themeColor="text1"/>
                <w:sz w:val="20"/>
                <w:szCs w:val="20"/>
              </w:rPr>
              <w:t>=272,737)</w:t>
            </w:r>
          </w:p>
        </w:tc>
      </w:tr>
      <w:tr w:rsidR="00FF22A4" w:rsidRPr="00F34287" w14:paraId="46A21565" w14:textId="77777777" w:rsidTr="0071478B">
        <w:trPr>
          <w:jc w:val="center"/>
        </w:trPr>
        <w:tc>
          <w:tcPr>
            <w:tcW w:w="3256" w:type="dxa"/>
            <w:hideMark/>
          </w:tcPr>
          <w:p w14:paraId="593D857B"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All-cause mortality</w:t>
            </w:r>
          </w:p>
        </w:tc>
        <w:tc>
          <w:tcPr>
            <w:tcW w:w="2294" w:type="dxa"/>
          </w:tcPr>
          <w:p w14:paraId="2836A91C"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20,126 (4.0%)</w:t>
            </w:r>
          </w:p>
        </w:tc>
        <w:tc>
          <w:tcPr>
            <w:tcW w:w="2294" w:type="dxa"/>
          </w:tcPr>
          <w:p w14:paraId="54026073"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12,137 (5.3%)</w:t>
            </w:r>
          </w:p>
        </w:tc>
        <w:tc>
          <w:tcPr>
            <w:tcW w:w="2357" w:type="dxa"/>
          </w:tcPr>
          <w:p w14:paraId="7A3B0E57"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7,989 (2.9%)</w:t>
            </w:r>
          </w:p>
        </w:tc>
      </w:tr>
      <w:tr w:rsidR="00FF22A4" w:rsidRPr="00F34287" w14:paraId="2EFB17A6" w14:textId="77777777" w:rsidTr="0071478B">
        <w:trPr>
          <w:jc w:val="center"/>
        </w:trPr>
        <w:tc>
          <w:tcPr>
            <w:tcW w:w="3256" w:type="dxa"/>
            <w:hideMark/>
          </w:tcPr>
          <w:p w14:paraId="531B8BD9"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CVD mortality</w:t>
            </w:r>
          </w:p>
        </w:tc>
        <w:tc>
          <w:tcPr>
            <w:tcW w:w="2294" w:type="dxa"/>
          </w:tcPr>
          <w:p w14:paraId="62D0DA99"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4,197 (0.8%)</w:t>
            </w:r>
          </w:p>
        </w:tc>
        <w:tc>
          <w:tcPr>
            <w:tcW w:w="2294" w:type="dxa"/>
          </w:tcPr>
          <w:p w14:paraId="015F0676"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3,069 (1.3%)</w:t>
            </w:r>
          </w:p>
        </w:tc>
        <w:tc>
          <w:tcPr>
            <w:tcW w:w="2357" w:type="dxa"/>
          </w:tcPr>
          <w:p w14:paraId="35879F68"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1,128 (0.4%)</w:t>
            </w:r>
          </w:p>
        </w:tc>
      </w:tr>
      <w:tr w:rsidR="00FF22A4" w:rsidRPr="00F34287" w14:paraId="1F0AEB12" w14:textId="77777777" w:rsidTr="0071478B">
        <w:trPr>
          <w:jc w:val="center"/>
        </w:trPr>
        <w:tc>
          <w:tcPr>
            <w:tcW w:w="3256" w:type="dxa"/>
            <w:hideMark/>
          </w:tcPr>
          <w:p w14:paraId="71C70974"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IHD mortality</w:t>
            </w:r>
          </w:p>
        </w:tc>
        <w:tc>
          <w:tcPr>
            <w:tcW w:w="2294" w:type="dxa"/>
          </w:tcPr>
          <w:p w14:paraId="7BC29249"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2,285 (0.5%)</w:t>
            </w:r>
          </w:p>
        </w:tc>
        <w:tc>
          <w:tcPr>
            <w:tcW w:w="2294" w:type="dxa"/>
          </w:tcPr>
          <w:p w14:paraId="7272F121"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1,877 (0.8%)</w:t>
            </w:r>
          </w:p>
        </w:tc>
        <w:tc>
          <w:tcPr>
            <w:tcW w:w="2357" w:type="dxa"/>
          </w:tcPr>
          <w:p w14:paraId="3E996D82"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408 (0.1%)</w:t>
            </w:r>
          </w:p>
        </w:tc>
      </w:tr>
      <w:tr w:rsidR="00FF22A4" w:rsidRPr="00F34287" w14:paraId="739D0EA4" w14:textId="77777777" w:rsidTr="0071478B">
        <w:trPr>
          <w:jc w:val="center"/>
        </w:trPr>
        <w:tc>
          <w:tcPr>
            <w:tcW w:w="3256" w:type="dxa"/>
            <w:hideMark/>
          </w:tcPr>
          <w:p w14:paraId="00E8D906"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 xml:space="preserve">Fatal AMI </w:t>
            </w:r>
          </w:p>
        </w:tc>
        <w:tc>
          <w:tcPr>
            <w:tcW w:w="2294" w:type="dxa"/>
          </w:tcPr>
          <w:p w14:paraId="7FDA7997"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920 (0.2%)</w:t>
            </w:r>
          </w:p>
        </w:tc>
        <w:tc>
          <w:tcPr>
            <w:tcW w:w="2294" w:type="dxa"/>
          </w:tcPr>
          <w:p w14:paraId="7B77A1D2"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741 (0.3%)</w:t>
            </w:r>
          </w:p>
        </w:tc>
        <w:tc>
          <w:tcPr>
            <w:tcW w:w="2357" w:type="dxa"/>
          </w:tcPr>
          <w:p w14:paraId="3787E65B"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179 (0.1%)</w:t>
            </w:r>
          </w:p>
        </w:tc>
      </w:tr>
      <w:tr w:rsidR="00FF22A4" w:rsidRPr="00F34287" w14:paraId="1A536F26" w14:textId="77777777" w:rsidTr="0071478B">
        <w:trPr>
          <w:jc w:val="center"/>
        </w:trPr>
        <w:tc>
          <w:tcPr>
            <w:tcW w:w="3256" w:type="dxa"/>
            <w:hideMark/>
          </w:tcPr>
          <w:p w14:paraId="6B47A4C2"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Incident AMI</w:t>
            </w:r>
          </w:p>
        </w:tc>
        <w:tc>
          <w:tcPr>
            <w:tcW w:w="2294" w:type="dxa"/>
          </w:tcPr>
          <w:p w14:paraId="368897FE"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8,605 (1.7%)</w:t>
            </w:r>
          </w:p>
        </w:tc>
        <w:tc>
          <w:tcPr>
            <w:tcW w:w="2294" w:type="dxa"/>
          </w:tcPr>
          <w:p w14:paraId="313BCC4F"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6,069 (2.7%)</w:t>
            </w:r>
          </w:p>
        </w:tc>
        <w:tc>
          <w:tcPr>
            <w:tcW w:w="2357" w:type="dxa"/>
          </w:tcPr>
          <w:p w14:paraId="5E19AECA"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2,536 (0.9%)</w:t>
            </w:r>
          </w:p>
        </w:tc>
      </w:tr>
      <w:tr w:rsidR="00FF22A4" w:rsidRPr="00F34287" w14:paraId="2F0C2467" w14:textId="77777777" w:rsidTr="0071478B">
        <w:trPr>
          <w:jc w:val="center"/>
        </w:trPr>
        <w:tc>
          <w:tcPr>
            <w:tcW w:w="3256" w:type="dxa"/>
            <w:hideMark/>
          </w:tcPr>
          <w:p w14:paraId="0DDBD0A3"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bdr w:val="none" w:sz="0" w:space="0" w:color="auto" w:frame="1"/>
              </w:rPr>
              <w:t>Cancer mortality</w:t>
            </w:r>
          </w:p>
        </w:tc>
        <w:tc>
          <w:tcPr>
            <w:tcW w:w="2294" w:type="dxa"/>
          </w:tcPr>
          <w:p w14:paraId="44DFA9CC"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11,167 (2.2%)</w:t>
            </w:r>
          </w:p>
        </w:tc>
        <w:tc>
          <w:tcPr>
            <w:tcW w:w="2294" w:type="dxa"/>
          </w:tcPr>
          <w:p w14:paraId="5381D3DF"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6,041 (2.6%)</w:t>
            </w:r>
          </w:p>
        </w:tc>
        <w:tc>
          <w:tcPr>
            <w:tcW w:w="2357" w:type="dxa"/>
          </w:tcPr>
          <w:p w14:paraId="36A9E6E8" w14:textId="77777777" w:rsidR="00C70691" w:rsidRPr="00F34287" w:rsidRDefault="00C70691" w:rsidP="00C70691">
            <w:pPr>
              <w:spacing w:line="360" w:lineRule="auto"/>
              <w:jc w:val="center"/>
              <w:rPr>
                <w:color w:val="000000" w:themeColor="text1"/>
                <w:sz w:val="20"/>
                <w:szCs w:val="20"/>
                <w:bdr w:val="none" w:sz="0" w:space="0" w:color="auto" w:frame="1"/>
              </w:rPr>
            </w:pPr>
            <w:r w:rsidRPr="00F34287">
              <w:rPr>
                <w:color w:val="000000" w:themeColor="text1"/>
                <w:sz w:val="20"/>
                <w:szCs w:val="20"/>
                <w:bdr w:val="none" w:sz="0" w:space="0" w:color="auto" w:frame="1"/>
              </w:rPr>
              <w:t>5,126 (1.9%)</w:t>
            </w:r>
          </w:p>
        </w:tc>
      </w:tr>
      <w:tr w:rsidR="00FF22A4" w:rsidRPr="00F34287" w14:paraId="156978B3" w14:textId="77777777" w:rsidTr="0071478B">
        <w:trPr>
          <w:jc w:val="center"/>
        </w:trPr>
        <w:tc>
          <w:tcPr>
            <w:tcW w:w="3256" w:type="dxa"/>
          </w:tcPr>
          <w:p w14:paraId="7FDD6040" w14:textId="7FCAE7B2" w:rsidR="005C62C6" w:rsidRDefault="005C62C6" w:rsidP="005C62C6">
            <w:pPr>
              <w:spacing w:line="360" w:lineRule="auto"/>
              <w:jc w:val="both"/>
              <w:rPr>
                <w:color w:val="000000" w:themeColor="text1"/>
                <w:sz w:val="20"/>
                <w:szCs w:val="20"/>
              </w:rPr>
            </w:pPr>
            <w:r w:rsidRPr="00F34287">
              <w:rPr>
                <w:color w:val="000000" w:themeColor="text1"/>
                <w:sz w:val="20"/>
                <w:szCs w:val="20"/>
              </w:rPr>
              <w:t>Follow-up (days): median [IQR]</w:t>
            </w:r>
          </w:p>
          <w:p w14:paraId="2627946C" w14:textId="77777777" w:rsidR="00123231" w:rsidRPr="00F34287" w:rsidRDefault="00123231" w:rsidP="005C62C6">
            <w:pPr>
              <w:spacing w:line="360" w:lineRule="auto"/>
              <w:jc w:val="both"/>
              <w:rPr>
                <w:color w:val="000000" w:themeColor="text1"/>
                <w:sz w:val="20"/>
                <w:szCs w:val="20"/>
              </w:rPr>
            </w:pPr>
          </w:p>
          <w:p w14:paraId="6AC27979" w14:textId="77777777" w:rsidR="005C62C6" w:rsidRPr="00F34287" w:rsidRDefault="005C62C6" w:rsidP="00123231">
            <w:pPr>
              <w:spacing w:line="360" w:lineRule="auto"/>
              <w:rPr>
                <w:color w:val="000000" w:themeColor="text1"/>
                <w:sz w:val="20"/>
                <w:szCs w:val="20"/>
              </w:rPr>
            </w:pPr>
            <w:r w:rsidRPr="00F34287">
              <w:rPr>
                <w:color w:val="000000" w:themeColor="text1"/>
                <w:sz w:val="20"/>
                <w:szCs w:val="20"/>
              </w:rPr>
              <w:t>Death</w:t>
            </w:r>
          </w:p>
          <w:p w14:paraId="41BB0B79" w14:textId="77777777" w:rsidR="005C62C6" w:rsidRPr="00F34287" w:rsidRDefault="005C62C6" w:rsidP="00123231">
            <w:pPr>
              <w:spacing w:line="360" w:lineRule="auto"/>
              <w:rPr>
                <w:color w:val="000000" w:themeColor="text1"/>
                <w:sz w:val="20"/>
                <w:szCs w:val="20"/>
                <w:bdr w:val="none" w:sz="0" w:space="0" w:color="auto" w:frame="1"/>
              </w:rPr>
            </w:pPr>
            <w:r w:rsidRPr="00F34287">
              <w:rPr>
                <w:color w:val="000000" w:themeColor="text1"/>
                <w:sz w:val="20"/>
                <w:szCs w:val="20"/>
              </w:rPr>
              <w:t>AMI</w:t>
            </w:r>
          </w:p>
        </w:tc>
        <w:tc>
          <w:tcPr>
            <w:tcW w:w="2294" w:type="dxa"/>
          </w:tcPr>
          <w:p w14:paraId="0B3B2563" w14:textId="5EAF6759" w:rsidR="005C62C6" w:rsidRDefault="005C62C6" w:rsidP="005C62C6">
            <w:pPr>
              <w:spacing w:line="360" w:lineRule="auto"/>
              <w:jc w:val="both"/>
              <w:rPr>
                <w:color w:val="000000" w:themeColor="text1"/>
                <w:sz w:val="20"/>
                <w:szCs w:val="20"/>
              </w:rPr>
            </w:pPr>
          </w:p>
          <w:p w14:paraId="0A1CB879" w14:textId="77777777" w:rsidR="00123231" w:rsidRPr="00F34287" w:rsidRDefault="00123231" w:rsidP="005C62C6">
            <w:pPr>
              <w:spacing w:line="360" w:lineRule="auto"/>
              <w:jc w:val="both"/>
              <w:rPr>
                <w:color w:val="000000" w:themeColor="text1"/>
                <w:sz w:val="20"/>
                <w:szCs w:val="20"/>
              </w:rPr>
            </w:pPr>
          </w:p>
          <w:p w14:paraId="7715ECA7" w14:textId="77777777" w:rsidR="005C62C6" w:rsidRPr="00F34287" w:rsidRDefault="005C62C6" w:rsidP="00123231">
            <w:pPr>
              <w:spacing w:line="360" w:lineRule="auto"/>
              <w:jc w:val="center"/>
              <w:rPr>
                <w:color w:val="000000" w:themeColor="text1"/>
                <w:sz w:val="20"/>
                <w:szCs w:val="20"/>
              </w:rPr>
            </w:pPr>
            <w:r w:rsidRPr="00F34287">
              <w:rPr>
                <w:color w:val="000000" w:themeColor="text1"/>
                <w:sz w:val="20"/>
                <w:szCs w:val="20"/>
              </w:rPr>
              <w:t>9.0 [8.2-9.7]</w:t>
            </w:r>
          </w:p>
          <w:p w14:paraId="4936D7C5" w14:textId="1F24AA85" w:rsidR="005C62C6" w:rsidRPr="00F34287" w:rsidRDefault="005C62C6" w:rsidP="00123231">
            <w:pPr>
              <w:spacing w:line="360" w:lineRule="auto"/>
              <w:jc w:val="center"/>
              <w:rPr>
                <w:color w:val="000000" w:themeColor="text1"/>
                <w:sz w:val="20"/>
                <w:szCs w:val="20"/>
                <w:bdr w:val="none" w:sz="0" w:space="0" w:color="auto" w:frame="1"/>
              </w:rPr>
            </w:pPr>
            <w:r w:rsidRPr="00F34287">
              <w:rPr>
                <w:color w:val="000000" w:themeColor="text1"/>
                <w:sz w:val="20"/>
                <w:szCs w:val="20"/>
              </w:rPr>
              <w:t>8.1 [7.5-8.8]</w:t>
            </w:r>
          </w:p>
        </w:tc>
        <w:tc>
          <w:tcPr>
            <w:tcW w:w="2294" w:type="dxa"/>
          </w:tcPr>
          <w:p w14:paraId="2D8CC280" w14:textId="60C922BD" w:rsidR="005C62C6" w:rsidRDefault="005C62C6" w:rsidP="00123231">
            <w:pPr>
              <w:spacing w:line="360" w:lineRule="auto"/>
              <w:jc w:val="center"/>
              <w:rPr>
                <w:color w:val="000000" w:themeColor="text1"/>
                <w:sz w:val="20"/>
                <w:szCs w:val="20"/>
              </w:rPr>
            </w:pPr>
          </w:p>
          <w:p w14:paraId="1F46A2F9" w14:textId="77777777" w:rsidR="00123231" w:rsidRPr="00F34287" w:rsidRDefault="00123231" w:rsidP="00123231">
            <w:pPr>
              <w:spacing w:line="360" w:lineRule="auto"/>
              <w:jc w:val="center"/>
              <w:rPr>
                <w:color w:val="000000" w:themeColor="text1"/>
                <w:sz w:val="20"/>
                <w:szCs w:val="20"/>
              </w:rPr>
            </w:pPr>
          </w:p>
          <w:p w14:paraId="0C0E700F" w14:textId="77777777" w:rsidR="005C62C6" w:rsidRPr="00F34287" w:rsidRDefault="005C62C6" w:rsidP="00123231">
            <w:pPr>
              <w:spacing w:line="360" w:lineRule="auto"/>
              <w:jc w:val="center"/>
              <w:rPr>
                <w:color w:val="000000" w:themeColor="text1"/>
                <w:sz w:val="20"/>
                <w:szCs w:val="20"/>
              </w:rPr>
            </w:pPr>
            <w:r w:rsidRPr="00F34287">
              <w:rPr>
                <w:color w:val="000000" w:themeColor="text1"/>
                <w:sz w:val="20"/>
                <w:szCs w:val="20"/>
              </w:rPr>
              <w:t>8.9 [8.2-9.7]</w:t>
            </w:r>
          </w:p>
          <w:p w14:paraId="4D918327" w14:textId="20EDB4D6" w:rsidR="005C62C6" w:rsidRPr="00F34287" w:rsidRDefault="005C62C6" w:rsidP="00123231">
            <w:pPr>
              <w:spacing w:line="360" w:lineRule="auto"/>
              <w:jc w:val="center"/>
              <w:rPr>
                <w:color w:val="000000" w:themeColor="text1"/>
                <w:sz w:val="20"/>
                <w:szCs w:val="20"/>
                <w:bdr w:val="none" w:sz="0" w:space="0" w:color="auto" w:frame="1"/>
              </w:rPr>
            </w:pPr>
            <w:r w:rsidRPr="00F34287">
              <w:rPr>
                <w:color w:val="000000" w:themeColor="text1"/>
                <w:sz w:val="20"/>
                <w:szCs w:val="20"/>
              </w:rPr>
              <w:t>8.1 [7.4-8.8]</w:t>
            </w:r>
          </w:p>
        </w:tc>
        <w:tc>
          <w:tcPr>
            <w:tcW w:w="2357" w:type="dxa"/>
          </w:tcPr>
          <w:p w14:paraId="45424DD3" w14:textId="4C68E93A" w:rsidR="005C62C6" w:rsidRDefault="005C62C6" w:rsidP="00123231">
            <w:pPr>
              <w:spacing w:line="360" w:lineRule="auto"/>
              <w:jc w:val="center"/>
              <w:rPr>
                <w:color w:val="000000" w:themeColor="text1"/>
                <w:sz w:val="20"/>
                <w:szCs w:val="20"/>
              </w:rPr>
            </w:pPr>
          </w:p>
          <w:p w14:paraId="6FC82D5C" w14:textId="77777777" w:rsidR="00123231" w:rsidRPr="00F34287" w:rsidRDefault="00123231" w:rsidP="00123231">
            <w:pPr>
              <w:spacing w:line="360" w:lineRule="auto"/>
              <w:jc w:val="center"/>
              <w:rPr>
                <w:color w:val="000000" w:themeColor="text1"/>
                <w:sz w:val="20"/>
                <w:szCs w:val="20"/>
              </w:rPr>
            </w:pPr>
          </w:p>
          <w:p w14:paraId="1BB072B1" w14:textId="77777777" w:rsidR="005C62C6" w:rsidRPr="00F34287" w:rsidRDefault="005C62C6" w:rsidP="00123231">
            <w:pPr>
              <w:spacing w:line="360" w:lineRule="auto"/>
              <w:jc w:val="center"/>
              <w:rPr>
                <w:color w:val="000000" w:themeColor="text1"/>
                <w:sz w:val="20"/>
                <w:szCs w:val="20"/>
              </w:rPr>
            </w:pPr>
            <w:r w:rsidRPr="00F34287">
              <w:rPr>
                <w:color w:val="000000" w:themeColor="text1"/>
                <w:sz w:val="20"/>
                <w:szCs w:val="20"/>
              </w:rPr>
              <w:t>9.0 [8.3-9.7]</w:t>
            </w:r>
          </w:p>
          <w:p w14:paraId="00CB6189" w14:textId="5B2CBE60" w:rsidR="005C62C6" w:rsidRPr="00F34287" w:rsidRDefault="005C62C6" w:rsidP="00123231">
            <w:pPr>
              <w:spacing w:line="360" w:lineRule="auto"/>
              <w:jc w:val="center"/>
              <w:rPr>
                <w:color w:val="000000" w:themeColor="text1"/>
                <w:sz w:val="20"/>
                <w:szCs w:val="20"/>
                <w:bdr w:val="none" w:sz="0" w:space="0" w:color="auto" w:frame="1"/>
              </w:rPr>
            </w:pPr>
            <w:r w:rsidRPr="00F34287">
              <w:rPr>
                <w:color w:val="000000" w:themeColor="text1"/>
                <w:sz w:val="20"/>
                <w:szCs w:val="20"/>
              </w:rPr>
              <w:t>8.2 [7.5-8.8]</w:t>
            </w:r>
          </w:p>
        </w:tc>
      </w:tr>
    </w:tbl>
    <w:p w14:paraId="0A4819CA" w14:textId="77777777" w:rsidR="00C70691" w:rsidRPr="00F34287" w:rsidRDefault="00C70691" w:rsidP="00C70691">
      <w:pPr>
        <w:rPr>
          <w:color w:val="000000" w:themeColor="text1"/>
          <w:sz w:val="20"/>
          <w:szCs w:val="20"/>
        </w:rPr>
      </w:pPr>
      <w:r w:rsidRPr="00F34287">
        <w:rPr>
          <w:color w:val="000000" w:themeColor="text1"/>
          <w:sz w:val="20"/>
          <w:szCs w:val="20"/>
          <w:vertAlign w:val="superscript"/>
        </w:rPr>
        <w:t>*</w:t>
      </w:r>
      <w:r w:rsidRPr="00F34287">
        <w:rPr>
          <w:color w:val="000000" w:themeColor="text1"/>
          <w:sz w:val="20"/>
          <w:szCs w:val="20"/>
        </w:rPr>
        <w:t xml:space="preserve">Results are presented as number of outcomes (percentage). AMI: acute myocardial infarction; CVD: cardiovascular disease; IHD: ischaemic heart disease; IQR: interquartile range. </w:t>
      </w:r>
    </w:p>
    <w:p w14:paraId="44469CBA" w14:textId="77777777" w:rsidR="00C70691" w:rsidRPr="00F34287" w:rsidRDefault="00C70691" w:rsidP="00BA3555">
      <w:pPr>
        <w:spacing w:line="480" w:lineRule="auto"/>
        <w:jc w:val="both"/>
        <w:rPr>
          <w:color w:val="000000" w:themeColor="text1"/>
          <w:sz w:val="22"/>
          <w:szCs w:val="22"/>
        </w:rPr>
      </w:pPr>
    </w:p>
    <w:p w14:paraId="5826E1D4" w14:textId="5AF5C9C2" w:rsidR="00BB2A10" w:rsidRPr="00F34287" w:rsidRDefault="00BB2A10" w:rsidP="00BA3555">
      <w:pPr>
        <w:spacing w:line="480" w:lineRule="auto"/>
        <w:jc w:val="both"/>
        <w:rPr>
          <w:color w:val="000000" w:themeColor="text1"/>
          <w:sz w:val="22"/>
          <w:szCs w:val="22"/>
        </w:rPr>
      </w:pPr>
    </w:p>
    <w:p w14:paraId="2249EDF2" w14:textId="093A27EC" w:rsidR="00C70691" w:rsidRPr="00F34287" w:rsidRDefault="00C70691" w:rsidP="00BA3555">
      <w:pPr>
        <w:spacing w:line="480" w:lineRule="auto"/>
        <w:jc w:val="both"/>
        <w:rPr>
          <w:color w:val="000000" w:themeColor="text1"/>
          <w:sz w:val="22"/>
          <w:szCs w:val="22"/>
        </w:rPr>
      </w:pPr>
    </w:p>
    <w:p w14:paraId="171A3565" w14:textId="77777777" w:rsidR="00C70691" w:rsidRPr="00F34287" w:rsidRDefault="00C70691" w:rsidP="00BA3555">
      <w:pPr>
        <w:spacing w:line="480" w:lineRule="auto"/>
        <w:jc w:val="both"/>
        <w:rPr>
          <w:color w:val="000000" w:themeColor="text1"/>
          <w:sz w:val="22"/>
          <w:szCs w:val="22"/>
        </w:rPr>
      </w:pPr>
    </w:p>
    <w:p w14:paraId="74C4F03E" w14:textId="77777777" w:rsidR="00C70691" w:rsidRPr="00F34287" w:rsidRDefault="00C70691" w:rsidP="00BA3555">
      <w:pPr>
        <w:spacing w:line="480" w:lineRule="auto"/>
        <w:jc w:val="both"/>
        <w:rPr>
          <w:b/>
          <w:bCs/>
          <w:color w:val="000000" w:themeColor="text1"/>
          <w:sz w:val="32"/>
          <w:szCs w:val="32"/>
        </w:rPr>
        <w:sectPr w:rsidR="00C70691" w:rsidRPr="00F34287" w:rsidSect="001F1180">
          <w:footerReference w:type="even" r:id="rId9"/>
          <w:footerReference w:type="default" r:id="rId10"/>
          <w:pgSz w:w="11900" w:h="16840"/>
          <w:pgMar w:top="1440" w:right="1440" w:bottom="1440" w:left="1440" w:header="720" w:footer="720" w:gutter="0"/>
          <w:lnNumType w:countBy="1" w:restart="continuous"/>
          <w:cols w:space="720"/>
          <w:docGrid w:linePitch="360"/>
        </w:sectPr>
      </w:pPr>
    </w:p>
    <w:p w14:paraId="42417721" w14:textId="77777777" w:rsidR="00C70691" w:rsidRPr="00F34287" w:rsidRDefault="00C70691" w:rsidP="00C70691">
      <w:pPr>
        <w:spacing w:line="480" w:lineRule="auto"/>
        <w:jc w:val="center"/>
        <w:rPr>
          <w:b/>
          <w:bCs/>
          <w:color w:val="000000" w:themeColor="text1"/>
          <w:sz w:val="22"/>
          <w:szCs w:val="22"/>
        </w:rPr>
      </w:pPr>
      <w:r w:rsidRPr="00F34287">
        <w:rPr>
          <w:b/>
          <w:bCs/>
          <w:color w:val="000000" w:themeColor="text1"/>
          <w:sz w:val="22"/>
          <w:szCs w:val="22"/>
        </w:rPr>
        <w:lastRenderedPageBreak/>
        <w:t>Table 3. Cox proportional hazard models and sub-distribution hazard models for all RHR-outcome relationships</w:t>
      </w:r>
      <w:r w:rsidRPr="00F34287">
        <w:rPr>
          <w:b/>
          <w:bCs/>
          <w:color w:val="000000" w:themeColor="text1"/>
          <w:sz w:val="22"/>
          <w:szCs w:val="22"/>
          <w:vertAlign w:val="superscript"/>
        </w:rPr>
        <w:t>†</w:t>
      </w:r>
      <w:r w:rsidRPr="00F34287">
        <w:rPr>
          <w:b/>
          <w:bCs/>
          <w:color w:val="000000" w:themeColor="text1"/>
          <w:sz w:val="22"/>
          <w:szCs w:val="22"/>
        </w:rPr>
        <w:t xml:space="preserve"> </w:t>
      </w:r>
    </w:p>
    <w:tbl>
      <w:tblPr>
        <w:tblStyle w:val="GridTable1Light-Accent51"/>
        <w:tblW w:w="11902" w:type="dxa"/>
        <w:jc w:val="center"/>
        <w:tblLayout w:type="fixed"/>
        <w:tblLook w:val="04A0" w:firstRow="1" w:lastRow="0" w:firstColumn="1" w:lastColumn="0" w:noHBand="0" w:noVBand="1"/>
      </w:tblPr>
      <w:tblGrid>
        <w:gridCol w:w="1980"/>
        <w:gridCol w:w="1988"/>
        <w:gridCol w:w="2019"/>
        <w:gridCol w:w="1805"/>
        <w:gridCol w:w="1842"/>
        <w:gridCol w:w="2268"/>
      </w:tblGrid>
      <w:tr w:rsidR="00FF22A4" w:rsidRPr="00A209A6" w14:paraId="315AE3EC" w14:textId="77777777" w:rsidTr="0057217D">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980" w:type="dxa"/>
          </w:tcPr>
          <w:p w14:paraId="64840986" w14:textId="77777777" w:rsidR="00C70691" w:rsidRPr="00A209A6" w:rsidRDefault="00C70691" w:rsidP="00A209A6">
            <w:pPr>
              <w:rPr>
                <w:b w:val="0"/>
                <w:bCs w:val="0"/>
                <w:color w:val="000000" w:themeColor="text1"/>
                <w:sz w:val="20"/>
                <w:szCs w:val="20"/>
              </w:rPr>
            </w:pPr>
          </w:p>
        </w:tc>
        <w:tc>
          <w:tcPr>
            <w:tcW w:w="1988" w:type="dxa"/>
          </w:tcPr>
          <w:p w14:paraId="386E4008"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209A6">
              <w:rPr>
                <w:b w:val="0"/>
                <w:bCs w:val="0"/>
                <w:color w:val="000000" w:themeColor="text1"/>
                <w:sz w:val="20"/>
                <w:szCs w:val="20"/>
              </w:rPr>
              <w:t xml:space="preserve">Model 1: Univariate </w:t>
            </w:r>
          </w:p>
        </w:tc>
        <w:tc>
          <w:tcPr>
            <w:tcW w:w="2019" w:type="dxa"/>
          </w:tcPr>
          <w:p w14:paraId="789B5163"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209A6">
              <w:rPr>
                <w:b w:val="0"/>
                <w:bCs w:val="0"/>
                <w:color w:val="000000" w:themeColor="text1"/>
                <w:sz w:val="20"/>
                <w:szCs w:val="20"/>
              </w:rPr>
              <w:t xml:space="preserve">Model 2: Age </w:t>
            </w:r>
          </w:p>
          <w:p w14:paraId="798E450A"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1805" w:type="dxa"/>
          </w:tcPr>
          <w:p w14:paraId="61FB770F"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209A6">
              <w:rPr>
                <w:b w:val="0"/>
                <w:bCs w:val="0"/>
                <w:color w:val="000000" w:themeColor="text1"/>
                <w:sz w:val="20"/>
                <w:szCs w:val="20"/>
              </w:rPr>
              <w:t xml:space="preserve">Model 3: Age, smoking, exercise, BMI </w:t>
            </w:r>
          </w:p>
        </w:tc>
        <w:tc>
          <w:tcPr>
            <w:tcW w:w="1842" w:type="dxa"/>
          </w:tcPr>
          <w:p w14:paraId="07135FFB"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209A6">
              <w:rPr>
                <w:b w:val="0"/>
                <w:bCs w:val="0"/>
                <w:color w:val="000000" w:themeColor="text1"/>
                <w:sz w:val="20"/>
                <w:szCs w:val="20"/>
              </w:rPr>
              <w:t>Model 4: Model 3 + CVD risk factors</w:t>
            </w:r>
            <w:r w:rsidRPr="00A209A6">
              <w:rPr>
                <w:b w:val="0"/>
                <w:bCs w:val="0"/>
                <w:color w:val="000000" w:themeColor="text1"/>
                <w:sz w:val="20"/>
                <w:szCs w:val="20"/>
                <w:vertAlign w:val="superscript"/>
              </w:rPr>
              <w:t>*</w:t>
            </w:r>
            <w:r w:rsidRPr="00A209A6">
              <w:rPr>
                <w:b w:val="0"/>
                <w:bCs w:val="0"/>
                <w:color w:val="000000" w:themeColor="text1"/>
                <w:sz w:val="20"/>
                <w:szCs w:val="20"/>
              </w:rPr>
              <w:t xml:space="preserve"> </w:t>
            </w:r>
          </w:p>
        </w:tc>
        <w:tc>
          <w:tcPr>
            <w:tcW w:w="2268" w:type="dxa"/>
            <w:shd w:val="clear" w:color="auto" w:fill="auto"/>
          </w:tcPr>
          <w:p w14:paraId="0D55D862" w14:textId="77777777" w:rsidR="00C70691" w:rsidRPr="00A209A6" w:rsidRDefault="00C70691" w:rsidP="00A209A6">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209A6">
              <w:rPr>
                <w:b w:val="0"/>
                <w:bCs w:val="0"/>
                <w:color w:val="000000" w:themeColor="text1"/>
                <w:sz w:val="20"/>
                <w:szCs w:val="20"/>
              </w:rPr>
              <w:t>Model 5: Model 4 + rate modifying medications</w:t>
            </w:r>
            <w:r w:rsidRPr="00A209A6">
              <w:rPr>
                <w:b w:val="0"/>
                <w:bCs w:val="0"/>
                <w:color w:val="000000" w:themeColor="text1"/>
                <w:sz w:val="20"/>
                <w:szCs w:val="20"/>
                <w:vertAlign w:val="superscript"/>
              </w:rPr>
              <w:t>**</w:t>
            </w:r>
          </w:p>
        </w:tc>
      </w:tr>
      <w:tr w:rsidR="00FF22A4" w:rsidRPr="00A209A6" w14:paraId="473906F9"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9CC2E5" w:themeColor="accent5" w:themeTint="99"/>
              <w:bottom w:val="single" w:sz="8" w:space="0" w:color="9CC2E5" w:themeColor="accent5" w:themeTint="99"/>
            </w:tcBorders>
            <w:shd w:val="clear" w:color="auto" w:fill="DEEAF6" w:themeFill="accent5" w:themeFillTint="33"/>
          </w:tcPr>
          <w:p w14:paraId="06E690AE"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 xml:space="preserve">All-cause mortality </w:t>
            </w:r>
          </w:p>
        </w:tc>
        <w:tc>
          <w:tcPr>
            <w:tcW w:w="1988" w:type="dxa"/>
            <w:tcBorders>
              <w:top w:val="single" w:sz="12" w:space="0" w:color="9CC2E5" w:themeColor="accent5" w:themeTint="99"/>
              <w:bottom w:val="single" w:sz="8" w:space="0" w:color="9CC2E5" w:themeColor="accent5" w:themeTint="99"/>
            </w:tcBorders>
            <w:shd w:val="clear" w:color="auto" w:fill="DEEAF6" w:themeFill="accent5" w:themeFillTint="33"/>
          </w:tcPr>
          <w:p w14:paraId="564922A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019" w:type="dxa"/>
            <w:tcBorders>
              <w:top w:val="single" w:sz="12" w:space="0" w:color="9CC2E5" w:themeColor="accent5" w:themeTint="99"/>
              <w:bottom w:val="single" w:sz="8" w:space="0" w:color="9CC2E5" w:themeColor="accent5" w:themeTint="99"/>
            </w:tcBorders>
            <w:shd w:val="clear" w:color="auto" w:fill="DEEAF6" w:themeFill="accent5" w:themeFillTint="33"/>
          </w:tcPr>
          <w:p w14:paraId="4EC41AE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5" w:type="dxa"/>
            <w:tcBorders>
              <w:top w:val="single" w:sz="12" w:space="0" w:color="9CC2E5" w:themeColor="accent5" w:themeTint="99"/>
              <w:bottom w:val="single" w:sz="8" w:space="0" w:color="9CC2E5" w:themeColor="accent5" w:themeTint="99"/>
            </w:tcBorders>
            <w:shd w:val="clear" w:color="auto" w:fill="DEEAF6" w:themeFill="accent5" w:themeFillTint="33"/>
          </w:tcPr>
          <w:p w14:paraId="54497B9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2" w:type="dxa"/>
            <w:tcBorders>
              <w:top w:val="single" w:sz="12" w:space="0" w:color="9CC2E5" w:themeColor="accent5" w:themeTint="99"/>
              <w:bottom w:val="single" w:sz="8" w:space="0" w:color="9CC2E5" w:themeColor="accent5" w:themeTint="99"/>
            </w:tcBorders>
            <w:shd w:val="clear" w:color="auto" w:fill="DEEAF6" w:themeFill="accent5" w:themeFillTint="33"/>
          </w:tcPr>
          <w:p w14:paraId="22164D7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Borders>
              <w:top w:val="single" w:sz="12" w:space="0" w:color="9CC2E5" w:themeColor="accent5" w:themeTint="99"/>
              <w:bottom w:val="single" w:sz="8" w:space="0" w:color="9CC2E5" w:themeColor="accent5" w:themeTint="99"/>
            </w:tcBorders>
            <w:shd w:val="clear" w:color="auto" w:fill="DEEAF6" w:themeFill="accent5" w:themeFillTint="33"/>
          </w:tcPr>
          <w:p w14:paraId="4CA73F6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F22A4" w:rsidRPr="00A209A6" w14:paraId="1D3D3790"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71CD5825"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6DBB6D8A"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1.25 (1.24 to 1.27)</w:t>
            </w:r>
          </w:p>
        </w:tc>
        <w:tc>
          <w:tcPr>
            <w:tcW w:w="2019" w:type="dxa"/>
            <w:tcBorders>
              <w:top w:val="single" w:sz="8" w:space="0" w:color="9CC2E5" w:themeColor="accent5" w:themeTint="99"/>
            </w:tcBorders>
          </w:tcPr>
          <w:p w14:paraId="4A6628C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1.26 (1.24 to 1.28)</w:t>
            </w:r>
          </w:p>
        </w:tc>
        <w:tc>
          <w:tcPr>
            <w:tcW w:w="1805" w:type="dxa"/>
            <w:tcBorders>
              <w:top w:val="single" w:sz="8" w:space="0" w:color="9CC2E5" w:themeColor="accent5" w:themeTint="99"/>
            </w:tcBorders>
          </w:tcPr>
          <w:p w14:paraId="4C36B4C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1.21 (1.19 to 1.23)</w:t>
            </w:r>
          </w:p>
        </w:tc>
        <w:tc>
          <w:tcPr>
            <w:tcW w:w="1842" w:type="dxa"/>
            <w:tcBorders>
              <w:top w:val="single" w:sz="8" w:space="0" w:color="9CC2E5" w:themeColor="accent5" w:themeTint="99"/>
            </w:tcBorders>
          </w:tcPr>
          <w:p w14:paraId="69C129E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1.19 (1.17 to 1.21)</w:t>
            </w:r>
          </w:p>
        </w:tc>
        <w:tc>
          <w:tcPr>
            <w:tcW w:w="2268" w:type="dxa"/>
            <w:tcBorders>
              <w:top w:val="single" w:sz="8" w:space="0" w:color="9CC2E5" w:themeColor="accent5" w:themeTint="99"/>
            </w:tcBorders>
            <w:shd w:val="clear" w:color="auto" w:fill="auto"/>
          </w:tcPr>
          <w:p w14:paraId="3270677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1.22 (1.20 to 1.24)</w:t>
            </w:r>
          </w:p>
        </w:tc>
      </w:tr>
      <w:tr w:rsidR="00FF22A4" w:rsidRPr="00A209A6" w14:paraId="76F8E457"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50895D2A"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4472C4" w:themeColor="accent1"/>
            </w:tcBorders>
          </w:tcPr>
          <w:p w14:paraId="40C7E388"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2.5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-228</w:t>
            </w:r>
          </w:p>
        </w:tc>
        <w:tc>
          <w:tcPr>
            <w:tcW w:w="2019" w:type="dxa"/>
            <w:tcBorders>
              <w:bottom w:val="single" w:sz="8" w:space="0" w:color="4472C4" w:themeColor="accent1"/>
            </w:tcBorders>
          </w:tcPr>
          <w:p w14:paraId="4F70B8F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6.7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-246</w:t>
            </w:r>
          </w:p>
        </w:tc>
        <w:tc>
          <w:tcPr>
            <w:tcW w:w="1805" w:type="dxa"/>
            <w:tcBorders>
              <w:bottom w:val="single" w:sz="8" w:space="0" w:color="4472C4" w:themeColor="accent1"/>
            </w:tcBorders>
          </w:tcPr>
          <w:p w14:paraId="3275A0E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5.2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-122</w:t>
            </w:r>
          </w:p>
        </w:tc>
        <w:tc>
          <w:tcPr>
            <w:tcW w:w="1842" w:type="dxa"/>
            <w:tcBorders>
              <w:bottom w:val="single" w:sz="8" w:space="0" w:color="4472C4" w:themeColor="accent1"/>
            </w:tcBorders>
          </w:tcPr>
          <w:p w14:paraId="65AB3D7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7.9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-95</w:t>
            </w:r>
          </w:p>
        </w:tc>
        <w:tc>
          <w:tcPr>
            <w:tcW w:w="2268" w:type="dxa"/>
            <w:tcBorders>
              <w:bottom w:val="single" w:sz="8" w:space="0" w:color="4472C4" w:themeColor="accent1"/>
            </w:tcBorders>
            <w:shd w:val="clear" w:color="auto" w:fill="auto"/>
          </w:tcPr>
          <w:p w14:paraId="75632114" w14:textId="6582891B"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3</w:t>
            </w:r>
            <w:r w:rsidR="00A73BA4">
              <w:rPr>
                <w:color w:val="000000" w:themeColor="text1"/>
                <w:sz w:val="20"/>
                <w:szCs w:val="20"/>
              </w:rPr>
              <w:t>.0</w:t>
            </w:r>
            <w:r w:rsidRPr="00A209A6">
              <w:rPr>
                <w:color w:val="000000" w:themeColor="text1"/>
                <w:sz w:val="20"/>
                <w:szCs w:val="20"/>
              </w:rPr>
              <w:t xml:space="preserve">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-123</w:t>
            </w:r>
          </w:p>
        </w:tc>
      </w:tr>
      <w:tr w:rsidR="00FF22A4" w:rsidRPr="00A209A6" w14:paraId="40096D12"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bottom w:val="single" w:sz="4" w:space="0" w:color="BDD6EE" w:themeColor="accent5" w:themeTint="66"/>
            </w:tcBorders>
          </w:tcPr>
          <w:p w14:paraId="455CC2FC"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bottom w:val="single" w:sz="4" w:space="0" w:color="BDD6EE" w:themeColor="accent5" w:themeTint="66"/>
            </w:tcBorders>
          </w:tcPr>
          <w:p w14:paraId="12B10E3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1.25 (1.23 to 1.28)</w:t>
            </w:r>
          </w:p>
        </w:tc>
        <w:tc>
          <w:tcPr>
            <w:tcW w:w="2019" w:type="dxa"/>
            <w:tcBorders>
              <w:top w:val="single" w:sz="8" w:space="0" w:color="4472C4" w:themeColor="accent1"/>
              <w:bottom w:val="single" w:sz="4" w:space="0" w:color="BDD6EE" w:themeColor="accent5" w:themeTint="66"/>
            </w:tcBorders>
          </w:tcPr>
          <w:p w14:paraId="2D7C526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1.22 (1.20 to 1.25)</w:t>
            </w:r>
          </w:p>
        </w:tc>
        <w:tc>
          <w:tcPr>
            <w:tcW w:w="1805" w:type="dxa"/>
            <w:tcBorders>
              <w:top w:val="single" w:sz="8" w:space="0" w:color="4472C4" w:themeColor="accent1"/>
              <w:bottom w:val="single" w:sz="4" w:space="0" w:color="BDD6EE" w:themeColor="accent5" w:themeTint="66"/>
            </w:tcBorders>
          </w:tcPr>
          <w:p w14:paraId="157289F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1.16 (1.14 to 1.19)</w:t>
            </w:r>
          </w:p>
        </w:tc>
        <w:tc>
          <w:tcPr>
            <w:tcW w:w="1842" w:type="dxa"/>
            <w:tcBorders>
              <w:top w:val="single" w:sz="8" w:space="0" w:color="4472C4" w:themeColor="accent1"/>
              <w:bottom w:val="single" w:sz="4" w:space="0" w:color="BDD6EE" w:themeColor="accent5" w:themeTint="66"/>
            </w:tcBorders>
          </w:tcPr>
          <w:p w14:paraId="6622CFC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1.15 (1.13 to 1.18)</w:t>
            </w:r>
          </w:p>
        </w:tc>
        <w:tc>
          <w:tcPr>
            <w:tcW w:w="2268" w:type="dxa"/>
            <w:tcBorders>
              <w:top w:val="single" w:sz="8" w:space="0" w:color="4472C4" w:themeColor="accent1"/>
              <w:bottom w:val="single" w:sz="4" w:space="0" w:color="BDD6EE" w:themeColor="accent5" w:themeTint="66"/>
            </w:tcBorders>
            <w:shd w:val="clear" w:color="auto" w:fill="auto"/>
          </w:tcPr>
          <w:p w14:paraId="608A988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1.19 (1.16 to 1.22)</w:t>
            </w:r>
          </w:p>
        </w:tc>
      </w:tr>
      <w:tr w:rsidR="00FF22A4" w:rsidRPr="00A209A6" w14:paraId="1B9E7082"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9CC2E5" w:themeColor="accent5" w:themeTint="99"/>
            </w:tcBorders>
          </w:tcPr>
          <w:p w14:paraId="44AA2E12"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9CC2E5" w:themeColor="accent5" w:themeTint="99"/>
            </w:tcBorders>
          </w:tcPr>
          <w:p w14:paraId="4FB63CE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7.2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-119</w:t>
            </w:r>
          </w:p>
        </w:tc>
        <w:tc>
          <w:tcPr>
            <w:tcW w:w="2019" w:type="dxa"/>
            <w:tcBorders>
              <w:bottom w:val="single" w:sz="8" w:space="0" w:color="9CC2E5" w:themeColor="accent5" w:themeTint="99"/>
            </w:tcBorders>
          </w:tcPr>
          <w:p w14:paraId="1D4B7E5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1.2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-98</w:t>
            </w:r>
          </w:p>
        </w:tc>
        <w:tc>
          <w:tcPr>
            <w:tcW w:w="1805" w:type="dxa"/>
            <w:tcBorders>
              <w:bottom w:val="single" w:sz="8" w:space="0" w:color="9CC2E5" w:themeColor="accent5" w:themeTint="99"/>
            </w:tcBorders>
          </w:tcPr>
          <w:p w14:paraId="743B160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2.6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-35</w:t>
            </w:r>
          </w:p>
        </w:tc>
        <w:tc>
          <w:tcPr>
            <w:tcW w:w="1842" w:type="dxa"/>
            <w:tcBorders>
              <w:bottom w:val="single" w:sz="8" w:space="0" w:color="9CC2E5" w:themeColor="accent5" w:themeTint="99"/>
            </w:tcBorders>
          </w:tcPr>
          <w:p w14:paraId="19C870B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4.4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-32</w:t>
            </w:r>
          </w:p>
        </w:tc>
        <w:tc>
          <w:tcPr>
            <w:tcW w:w="2268" w:type="dxa"/>
            <w:tcBorders>
              <w:bottom w:val="single" w:sz="8" w:space="0" w:color="9CC2E5" w:themeColor="accent5" w:themeTint="99"/>
            </w:tcBorders>
            <w:shd w:val="clear" w:color="auto" w:fill="auto"/>
          </w:tcPr>
          <w:p w14:paraId="39981D0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8.9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-45</w:t>
            </w:r>
          </w:p>
        </w:tc>
      </w:tr>
      <w:tr w:rsidR="00FF22A4" w:rsidRPr="00A209A6" w14:paraId="4E86007E"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bottom w:val="single" w:sz="8" w:space="0" w:color="9CC2E5" w:themeColor="accent5" w:themeTint="99"/>
            </w:tcBorders>
            <w:shd w:val="clear" w:color="auto" w:fill="DEEAF6" w:themeFill="accent5" w:themeFillTint="33"/>
          </w:tcPr>
          <w:p w14:paraId="284EF256"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CVD mortality</w:t>
            </w:r>
          </w:p>
        </w:tc>
        <w:tc>
          <w:tcPr>
            <w:tcW w:w="1988" w:type="dxa"/>
            <w:tcBorders>
              <w:top w:val="single" w:sz="8" w:space="0" w:color="9CC2E5" w:themeColor="accent5" w:themeTint="99"/>
              <w:bottom w:val="single" w:sz="8" w:space="0" w:color="9CC2E5" w:themeColor="accent5" w:themeTint="99"/>
            </w:tcBorders>
            <w:shd w:val="clear" w:color="auto" w:fill="DEEAF6" w:themeFill="accent5" w:themeFillTint="33"/>
          </w:tcPr>
          <w:p w14:paraId="77B38F2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019" w:type="dxa"/>
            <w:tcBorders>
              <w:top w:val="single" w:sz="8" w:space="0" w:color="9CC2E5" w:themeColor="accent5" w:themeTint="99"/>
              <w:bottom w:val="single" w:sz="8" w:space="0" w:color="9CC2E5" w:themeColor="accent5" w:themeTint="99"/>
            </w:tcBorders>
            <w:shd w:val="clear" w:color="auto" w:fill="DEEAF6" w:themeFill="accent5" w:themeFillTint="33"/>
          </w:tcPr>
          <w:p w14:paraId="3E88AB8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5" w:type="dxa"/>
            <w:tcBorders>
              <w:top w:val="single" w:sz="8" w:space="0" w:color="9CC2E5" w:themeColor="accent5" w:themeTint="99"/>
              <w:bottom w:val="single" w:sz="8" w:space="0" w:color="9CC2E5" w:themeColor="accent5" w:themeTint="99"/>
            </w:tcBorders>
            <w:shd w:val="clear" w:color="auto" w:fill="DEEAF6" w:themeFill="accent5" w:themeFillTint="33"/>
          </w:tcPr>
          <w:p w14:paraId="1C2A4A5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2" w:type="dxa"/>
            <w:tcBorders>
              <w:top w:val="single" w:sz="8" w:space="0" w:color="9CC2E5" w:themeColor="accent5" w:themeTint="99"/>
              <w:bottom w:val="single" w:sz="8" w:space="0" w:color="9CC2E5" w:themeColor="accent5" w:themeTint="99"/>
            </w:tcBorders>
            <w:shd w:val="clear" w:color="auto" w:fill="DEEAF6" w:themeFill="accent5" w:themeFillTint="33"/>
          </w:tcPr>
          <w:p w14:paraId="1D71D63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Borders>
              <w:top w:val="single" w:sz="8" w:space="0" w:color="9CC2E5" w:themeColor="accent5" w:themeTint="99"/>
              <w:bottom w:val="single" w:sz="8" w:space="0" w:color="9CC2E5" w:themeColor="accent5" w:themeTint="99"/>
            </w:tcBorders>
            <w:shd w:val="clear" w:color="auto" w:fill="DEEAF6" w:themeFill="accent5" w:themeFillTint="33"/>
          </w:tcPr>
          <w:p w14:paraId="33333506"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F22A4" w:rsidRPr="00A209A6" w14:paraId="67511381"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05CDCF66"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439A259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1.21 (1.18 to 1.25)</w:t>
            </w:r>
          </w:p>
        </w:tc>
        <w:tc>
          <w:tcPr>
            <w:tcW w:w="2019" w:type="dxa"/>
            <w:tcBorders>
              <w:top w:val="single" w:sz="8" w:space="0" w:color="9CC2E5" w:themeColor="accent5" w:themeTint="99"/>
            </w:tcBorders>
          </w:tcPr>
          <w:p w14:paraId="0B9FF74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1.22 (1.18 to 1.25)</w:t>
            </w:r>
          </w:p>
        </w:tc>
        <w:tc>
          <w:tcPr>
            <w:tcW w:w="1805" w:type="dxa"/>
            <w:tcBorders>
              <w:top w:val="single" w:sz="8" w:space="0" w:color="9CC2E5" w:themeColor="accent5" w:themeTint="99"/>
            </w:tcBorders>
          </w:tcPr>
          <w:p w14:paraId="12DE433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1.14 (1.10 to 1.18)</w:t>
            </w:r>
          </w:p>
        </w:tc>
        <w:tc>
          <w:tcPr>
            <w:tcW w:w="1842" w:type="dxa"/>
            <w:tcBorders>
              <w:top w:val="single" w:sz="8" w:space="0" w:color="9CC2E5" w:themeColor="accent5" w:themeTint="99"/>
            </w:tcBorders>
          </w:tcPr>
          <w:p w14:paraId="73C4BE4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1.10 (1.06 to 1.14)</w:t>
            </w:r>
          </w:p>
        </w:tc>
        <w:tc>
          <w:tcPr>
            <w:tcW w:w="2268" w:type="dxa"/>
            <w:tcBorders>
              <w:top w:val="single" w:sz="8" w:space="0" w:color="9CC2E5" w:themeColor="accent5" w:themeTint="99"/>
            </w:tcBorders>
            <w:shd w:val="clear" w:color="auto" w:fill="auto"/>
          </w:tcPr>
          <w:p w14:paraId="5DC4F0A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1.17 (1.13 to 1.21)</w:t>
            </w:r>
          </w:p>
        </w:tc>
      </w:tr>
      <w:tr w:rsidR="00FF22A4" w:rsidRPr="00A209A6" w14:paraId="2521AAFF"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2C6617BA"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4472C4" w:themeColor="accent1"/>
            </w:tcBorders>
          </w:tcPr>
          <w:p w14:paraId="63A9089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4.6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-37</w:t>
            </w:r>
          </w:p>
        </w:tc>
        <w:tc>
          <w:tcPr>
            <w:tcW w:w="2019" w:type="dxa"/>
            <w:tcBorders>
              <w:bottom w:val="single" w:sz="8" w:space="0" w:color="4472C4" w:themeColor="accent1"/>
            </w:tcBorders>
          </w:tcPr>
          <w:p w14:paraId="66BAA63F" w14:textId="4E2223DF"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4</w:t>
            </w:r>
            <w:r w:rsidR="008B1958">
              <w:rPr>
                <w:color w:val="000000" w:themeColor="text1"/>
                <w:sz w:val="20"/>
                <w:szCs w:val="20"/>
              </w:rPr>
              <w:t>.0</w:t>
            </w:r>
            <w:r w:rsidRPr="00A209A6">
              <w:rPr>
                <w:color w:val="000000" w:themeColor="text1"/>
                <w:sz w:val="20"/>
                <w:szCs w:val="20"/>
              </w:rPr>
              <w:t xml:space="preserve">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-41</w:t>
            </w:r>
          </w:p>
        </w:tc>
        <w:tc>
          <w:tcPr>
            <w:tcW w:w="1805" w:type="dxa"/>
            <w:tcBorders>
              <w:bottom w:val="single" w:sz="8" w:space="0" w:color="4472C4" w:themeColor="accent1"/>
            </w:tcBorders>
          </w:tcPr>
          <w:p w14:paraId="2188BD9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1.9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-12</w:t>
            </w:r>
          </w:p>
        </w:tc>
        <w:tc>
          <w:tcPr>
            <w:tcW w:w="1842" w:type="dxa"/>
            <w:tcBorders>
              <w:bottom w:val="single" w:sz="8" w:space="0" w:color="4472C4" w:themeColor="accent1"/>
            </w:tcBorders>
          </w:tcPr>
          <w:p w14:paraId="15DE299E" w14:textId="3C8EFFCE"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6</w:t>
            </w:r>
            <w:r w:rsidR="008B1958">
              <w:rPr>
                <w:color w:val="000000" w:themeColor="text1"/>
                <w:sz w:val="20"/>
                <w:szCs w:val="20"/>
              </w:rPr>
              <w:t>.0</w:t>
            </w:r>
            <w:r w:rsidRPr="00A209A6">
              <w:rPr>
                <w:color w:val="000000" w:themeColor="text1"/>
                <w:sz w:val="20"/>
                <w:szCs w:val="20"/>
              </w:rPr>
              <w:t xml:space="preserve">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-8</w:t>
            </w:r>
          </w:p>
        </w:tc>
        <w:tc>
          <w:tcPr>
            <w:tcW w:w="2268" w:type="dxa"/>
            <w:tcBorders>
              <w:bottom w:val="single" w:sz="8" w:space="0" w:color="4472C4" w:themeColor="accent1"/>
            </w:tcBorders>
            <w:shd w:val="clear" w:color="auto" w:fill="auto"/>
          </w:tcPr>
          <w:p w14:paraId="06EF4B1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5.6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-18</w:t>
            </w:r>
          </w:p>
        </w:tc>
      </w:tr>
      <w:tr w:rsidR="00FF22A4" w:rsidRPr="00A209A6" w14:paraId="41C18C26"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tcBorders>
          </w:tcPr>
          <w:p w14:paraId="17A9BE19"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tcBorders>
          </w:tcPr>
          <w:p w14:paraId="65EE872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1.22 (1.16 to 1.29)</w:t>
            </w:r>
          </w:p>
        </w:tc>
        <w:tc>
          <w:tcPr>
            <w:tcW w:w="2019" w:type="dxa"/>
            <w:tcBorders>
              <w:top w:val="single" w:sz="8" w:space="0" w:color="4472C4" w:themeColor="accent1"/>
            </w:tcBorders>
          </w:tcPr>
          <w:p w14:paraId="0AC45E6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1.19 (1.13 to 1.26)</w:t>
            </w:r>
          </w:p>
        </w:tc>
        <w:tc>
          <w:tcPr>
            <w:tcW w:w="1805" w:type="dxa"/>
            <w:tcBorders>
              <w:top w:val="single" w:sz="8" w:space="0" w:color="4472C4" w:themeColor="accent1"/>
            </w:tcBorders>
          </w:tcPr>
          <w:p w14:paraId="2A6670D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1.08 (1.01 to 1.17) </w:t>
            </w:r>
          </w:p>
        </w:tc>
        <w:tc>
          <w:tcPr>
            <w:tcW w:w="1842" w:type="dxa"/>
            <w:tcBorders>
              <w:top w:val="single" w:sz="8" w:space="0" w:color="4472C4" w:themeColor="accent1"/>
            </w:tcBorders>
          </w:tcPr>
          <w:p w14:paraId="370365E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1.07 (1.00 to 1.15)</w:t>
            </w:r>
          </w:p>
        </w:tc>
        <w:tc>
          <w:tcPr>
            <w:tcW w:w="2268" w:type="dxa"/>
            <w:tcBorders>
              <w:top w:val="single" w:sz="8" w:space="0" w:color="4472C4" w:themeColor="accent1"/>
            </w:tcBorders>
            <w:shd w:val="clear" w:color="auto" w:fill="auto"/>
          </w:tcPr>
          <w:p w14:paraId="186A516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1.14 (1.07 to 1.22)</w:t>
            </w:r>
          </w:p>
        </w:tc>
      </w:tr>
      <w:tr w:rsidR="00FF22A4" w:rsidRPr="00A209A6" w14:paraId="70A8E008"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9CC2E5" w:themeColor="accent5" w:themeTint="99"/>
            </w:tcBorders>
          </w:tcPr>
          <w:p w14:paraId="392A5C55"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9CC2E5" w:themeColor="accent5" w:themeTint="99"/>
            </w:tcBorders>
          </w:tcPr>
          <w:p w14:paraId="2924EA2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5.6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-13</w:t>
            </w:r>
          </w:p>
        </w:tc>
        <w:tc>
          <w:tcPr>
            <w:tcW w:w="2019" w:type="dxa"/>
            <w:tcBorders>
              <w:bottom w:val="single" w:sz="8" w:space="0" w:color="9CC2E5" w:themeColor="accent5" w:themeTint="99"/>
            </w:tcBorders>
          </w:tcPr>
          <w:p w14:paraId="083748F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9.2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-11</w:t>
            </w:r>
          </w:p>
        </w:tc>
        <w:tc>
          <w:tcPr>
            <w:tcW w:w="1805" w:type="dxa"/>
            <w:tcBorders>
              <w:bottom w:val="single" w:sz="8" w:space="0" w:color="9CC2E5" w:themeColor="accent5" w:themeTint="99"/>
            </w:tcBorders>
          </w:tcPr>
          <w:p w14:paraId="4BF5DB3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0.028</w:t>
            </w:r>
          </w:p>
        </w:tc>
        <w:tc>
          <w:tcPr>
            <w:tcW w:w="1842" w:type="dxa"/>
            <w:tcBorders>
              <w:bottom w:val="single" w:sz="8" w:space="0" w:color="9CC2E5" w:themeColor="accent5" w:themeTint="99"/>
            </w:tcBorders>
          </w:tcPr>
          <w:p w14:paraId="31E746B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0.042</w:t>
            </w:r>
          </w:p>
        </w:tc>
        <w:tc>
          <w:tcPr>
            <w:tcW w:w="2268" w:type="dxa"/>
            <w:tcBorders>
              <w:bottom w:val="single" w:sz="8" w:space="0" w:color="9CC2E5" w:themeColor="accent5" w:themeTint="99"/>
            </w:tcBorders>
            <w:shd w:val="clear" w:color="auto" w:fill="auto"/>
          </w:tcPr>
          <w:p w14:paraId="108F9DE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0.00008</w:t>
            </w:r>
          </w:p>
        </w:tc>
      </w:tr>
      <w:tr w:rsidR="00FF22A4" w:rsidRPr="00A209A6" w14:paraId="33A1F62C"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bottom w:val="single" w:sz="8" w:space="0" w:color="9CC2E5" w:themeColor="accent5" w:themeTint="99"/>
            </w:tcBorders>
            <w:shd w:val="clear" w:color="auto" w:fill="DEEAF6" w:themeFill="accent5" w:themeFillTint="33"/>
          </w:tcPr>
          <w:p w14:paraId="19A7998E"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IHD mortality</w:t>
            </w:r>
          </w:p>
        </w:tc>
        <w:tc>
          <w:tcPr>
            <w:tcW w:w="1988" w:type="dxa"/>
            <w:tcBorders>
              <w:top w:val="single" w:sz="8" w:space="0" w:color="9CC2E5" w:themeColor="accent5" w:themeTint="99"/>
              <w:bottom w:val="single" w:sz="8" w:space="0" w:color="9CC2E5" w:themeColor="accent5" w:themeTint="99"/>
            </w:tcBorders>
            <w:shd w:val="clear" w:color="auto" w:fill="DEEAF6" w:themeFill="accent5" w:themeFillTint="33"/>
          </w:tcPr>
          <w:p w14:paraId="4DBA9FC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019" w:type="dxa"/>
            <w:tcBorders>
              <w:top w:val="single" w:sz="8" w:space="0" w:color="9CC2E5" w:themeColor="accent5" w:themeTint="99"/>
              <w:bottom w:val="single" w:sz="8" w:space="0" w:color="9CC2E5" w:themeColor="accent5" w:themeTint="99"/>
            </w:tcBorders>
            <w:shd w:val="clear" w:color="auto" w:fill="DEEAF6" w:themeFill="accent5" w:themeFillTint="33"/>
          </w:tcPr>
          <w:p w14:paraId="0B912C5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5" w:type="dxa"/>
            <w:tcBorders>
              <w:top w:val="single" w:sz="8" w:space="0" w:color="9CC2E5" w:themeColor="accent5" w:themeTint="99"/>
              <w:bottom w:val="single" w:sz="8" w:space="0" w:color="9CC2E5" w:themeColor="accent5" w:themeTint="99"/>
            </w:tcBorders>
            <w:shd w:val="clear" w:color="auto" w:fill="DEEAF6" w:themeFill="accent5" w:themeFillTint="33"/>
          </w:tcPr>
          <w:p w14:paraId="5B5E567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2" w:type="dxa"/>
            <w:tcBorders>
              <w:top w:val="single" w:sz="8" w:space="0" w:color="9CC2E5" w:themeColor="accent5" w:themeTint="99"/>
              <w:bottom w:val="single" w:sz="8" w:space="0" w:color="9CC2E5" w:themeColor="accent5" w:themeTint="99"/>
            </w:tcBorders>
            <w:shd w:val="clear" w:color="auto" w:fill="DEEAF6" w:themeFill="accent5" w:themeFillTint="33"/>
          </w:tcPr>
          <w:p w14:paraId="4D28567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Borders>
              <w:top w:val="single" w:sz="8" w:space="0" w:color="9CC2E5" w:themeColor="accent5" w:themeTint="99"/>
              <w:bottom w:val="single" w:sz="8" w:space="0" w:color="9CC2E5" w:themeColor="accent5" w:themeTint="99"/>
            </w:tcBorders>
            <w:shd w:val="clear" w:color="auto" w:fill="DEEAF6" w:themeFill="accent5" w:themeFillTint="33"/>
          </w:tcPr>
          <w:p w14:paraId="1F8B074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F22A4" w:rsidRPr="00A209A6" w14:paraId="26FAE7A6"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676DBA3E"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778EC89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1.18 (1.14 to 1.23)</w:t>
            </w:r>
          </w:p>
        </w:tc>
        <w:tc>
          <w:tcPr>
            <w:tcW w:w="2019" w:type="dxa"/>
            <w:tcBorders>
              <w:top w:val="single" w:sz="8" w:space="0" w:color="9CC2E5" w:themeColor="accent5" w:themeTint="99"/>
            </w:tcBorders>
          </w:tcPr>
          <w:p w14:paraId="3BB1600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1.19 (1.14 to 1.23)</w:t>
            </w:r>
          </w:p>
        </w:tc>
        <w:tc>
          <w:tcPr>
            <w:tcW w:w="1805" w:type="dxa"/>
            <w:tcBorders>
              <w:top w:val="single" w:sz="8" w:space="0" w:color="9CC2E5" w:themeColor="accent5" w:themeTint="99"/>
            </w:tcBorders>
          </w:tcPr>
          <w:p w14:paraId="1EBDE86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1.10 (1.05 to 1.15)</w:t>
            </w:r>
          </w:p>
        </w:tc>
        <w:tc>
          <w:tcPr>
            <w:tcW w:w="1842" w:type="dxa"/>
            <w:tcBorders>
              <w:top w:val="single" w:sz="8" w:space="0" w:color="9CC2E5" w:themeColor="accent5" w:themeTint="99"/>
            </w:tcBorders>
          </w:tcPr>
          <w:p w14:paraId="7689748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1.06 (1.01 to 1.11)</w:t>
            </w:r>
          </w:p>
        </w:tc>
        <w:tc>
          <w:tcPr>
            <w:tcW w:w="2268" w:type="dxa"/>
            <w:tcBorders>
              <w:top w:val="single" w:sz="8" w:space="0" w:color="9CC2E5" w:themeColor="accent5" w:themeTint="99"/>
            </w:tcBorders>
            <w:shd w:val="clear" w:color="auto" w:fill="auto"/>
          </w:tcPr>
          <w:p w14:paraId="1249742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1.14 (1.09 to 1.19)</w:t>
            </w:r>
          </w:p>
        </w:tc>
      </w:tr>
      <w:tr w:rsidR="00FF22A4" w:rsidRPr="00A209A6" w14:paraId="389F42DD"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0295841B"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4472C4" w:themeColor="accent1"/>
            </w:tcBorders>
          </w:tcPr>
          <w:p w14:paraId="3CF9A725" w14:textId="5677101A"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4</w:t>
            </w:r>
            <w:r w:rsidR="008B1958">
              <w:rPr>
                <w:color w:val="000000" w:themeColor="text1"/>
                <w:sz w:val="20"/>
                <w:szCs w:val="20"/>
              </w:rPr>
              <w:t>.0</w:t>
            </w:r>
            <w:r w:rsidRPr="00A209A6">
              <w:rPr>
                <w:color w:val="000000" w:themeColor="text1"/>
                <w:sz w:val="20"/>
                <w:szCs w:val="20"/>
              </w:rPr>
              <w:t xml:space="preserve">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-17</w:t>
            </w:r>
          </w:p>
        </w:tc>
        <w:tc>
          <w:tcPr>
            <w:tcW w:w="2019" w:type="dxa"/>
            <w:tcBorders>
              <w:bottom w:val="single" w:sz="8" w:space="0" w:color="4472C4" w:themeColor="accent1"/>
            </w:tcBorders>
          </w:tcPr>
          <w:p w14:paraId="508E1E2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5.1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-19</w:t>
            </w:r>
          </w:p>
        </w:tc>
        <w:tc>
          <w:tcPr>
            <w:tcW w:w="1805" w:type="dxa"/>
            <w:tcBorders>
              <w:bottom w:val="single" w:sz="8" w:space="0" w:color="4472C4" w:themeColor="accent1"/>
            </w:tcBorders>
          </w:tcPr>
          <w:p w14:paraId="77274AE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0.0001</w:t>
            </w:r>
          </w:p>
        </w:tc>
        <w:tc>
          <w:tcPr>
            <w:tcW w:w="1842" w:type="dxa"/>
            <w:tcBorders>
              <w:bottom w:val="single" w:sz="8" w:space="0" w:color="4472C4" w:themeColor="accent1"/>
            </w:tcBorders>
          </w:tcPr>
          <w:p w14:paraId="39717B7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0.015</w:t>
            </w:r>
          </w:p>
        </w:tc>
        <w:tc>
          <w:tcPr>
            <w:tcW w:w="2268" w:type="dxa"/>
            <w:tcBorders>
              <w:bottom w:val="single" w:sz="8" w:space="0" w:color="4472C4" w:themeColor="accent1"/>
            </w:tcBorders>
            <w:shd w:val="clear" w:color="auto" w:fill="auto"/>
          </w:tcPr>
          <w:p w14:paraId="519ABF0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1.2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-8</w:t>
            </w:r>
          </w:p>
        </w:tc>
      </w:tr>
      <w:tr w:rsidR="00FF22A4" w:rsidRPr="00A209A6" w14:paraId="0752AC24"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tcBorders>
          </w:tcPr>
          <w:p w14:paraId="50D4F186"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tcBorders>
          </w:tcPr>
          <w:p w14:paraId="14428856"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1.19 (1.08 to 1.30)</w:t>
            </w:r>
          </w:p>
        </w:tc>
        <w:tc>
          <w:tcPr>
            <w:tcW w:w="2019" w:type="dxa"/>
            <w:tcBorders>
              <w:top w:val="single" w:sz="8" w:space="0" w:color="4472C4" w:themeColor="accent1"/>
            </w:tcBorders>
          </w:tcPr>
          <w:p w14:paraId="5774F8D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1.16 (1.06 to 1.27)</w:t>
            </w:r>
          </w:p>
        </w:tc>
        <w:tc>
          <w:tcPr>
            <w:tcW w:w="1805" w:type="dxa"/>
            <w:tcBorders>
              <w:top w:val="single" w:sz="8" w:space="0" w:color="4472C4" w:themeColor="accent1"/>
            </w:tcBorders>
          </w:tcPr>
          <w:p w14:paraId="3D7C749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1.02 (0.87 to 1.12)</w:t>
            </w:r>
          </w:p>
        </w:tc>
        <w:tc>
          <w:tcPr>
            <w:tcW w:w="1842" w:type="dxa"/>
            <w:tcBorders>
              <w:top w:val="single" w:sz="8" w:space="0" w:color="4472C4" w:themeColor="accent1"/>
            </w:tcBorders>
          </w:tcPr>
          <w:p w14:paraId="6A921FD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0.98 (0.87 to 1.10)</w:t>
            </w:r>
          </w:p>
        </w:tc>
        <w:tc>
          <w:tcPr>
            <w:tcW w:w="2268" w:type="dxa"/>
            <w:tcBorders>
              <w:top w:val="single" w:sz="8" w:space="0" w:color="4472C4" w:themeColor="accent1"/>
            </w:tcBorders>
            <w:shd w:val="clear" w:color="auto" w:fill="auto"/>
          </w:tcPr>
          <w:p w14:paraId="02DD856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1.06 (0.94 to 1.18)</w:t>
            </w:r>
          </w:p>
        </w:tc>
      </w:tr>
      <w:tr w:rsidR="00FF22A4" w:rsidRPr="00A209A6" w14:paraId="1CCC8324"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9CC2E5" w:themeColor="accent5" w:themeTint="99"/>
            </w:tcBorders>
          </w:tcPr>
          <w:p w14:paraId="09A282A7"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 xml:space="preserve">p-value </w:t>
            </w:r>
          </w:p>
        </w:tc>
        <w:tc>
          <w:tcPr>
            <w:tcW w:w="1988" w:type="dxa"/>
            <w:tcBorders>
              <w:bottom w:val="single" w:sz="8" w:space="0" w:color="9CC2E5" w:themeColor="accent5" w:themeTint="99"/>
            </w:tcBorders>
          </w:tcPr>
          <w:p w14:paraId="3A7AF32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0.0004</w:t>
            </w:r>
          </w:p>
        </w:tc>
        <w:tc>
          <w:tcPr>
            <w:tcW w:w="2019" w:type="dxa"/>
            <w:tcBorders>
              <w:bottom w:val="single" w:sz="8" w:space="0" w:color="9CC2E5" w:themeColor="accent5" w:themeTint="99"/>
            </w:tcBorders>
          </w:tcPr>
          <w:p w14:paraId="19CF46D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0.002</w:t>
            </w:r>
          </w:p>
        </w:tc>
        <w:tc>
          <w:tcPr>
            <w:tcW w:w="1805" w:type="dxa"/>
            <w:tcBorders>
              <w:bottom w:val="single" w:sz="8" w:space="0" w:color="9CC2E5" w:themeColor="accent5" w:themeTint="99"/>
            </w:tcBorders>
          </w:tcPr>
          <w:p w14:paraId="3FDC611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0.82</w:t>
            </w:r>
          </w:p>
        </w:tc>
        <w:tc>
          <w:tcPr>
            <w:tcW w:w="1842" w:type="dxa"/>
            <w:tcBorders>
              <w:bottom w:val="single" w:sz="8" w:space="0" w:color="9CC2E5" w:themeColor="accent5" w:themeTint="99"/>
            </w:tcBorders>
          </w:tcPr>
          <w:p w14:paraId="0486A7A6"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0.67</w:t>
            </w:r>
          </w:p>
        </w:tc>
        <w:tc>
          <w:tcPr>
            <w:tcW w:w="2268" w:type="dxa"/>
            <w:tcBorders>
              <w:bottom w:val="single" w:sz="8" w:space="0" w:color="9CC2E5" w:themeColor="accent5" w:themeTint="99"/>
            </w:tcBorders>
            <w:shd w:val="clear" w:color="auto" w:fill="auto"/>
          </w:tcPr>
          <w:p w14:paraId="3CDA466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0.36</w:t>
            </w:r>
          </w:p>
        </w:tc>
      </w:tr>
      <w:tr w:rsidR="00FF22A4" w:rsidRPr="00A209A6" w14:paraId="295E8E87"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bottom w:val="single" w:sz="8" w:space="0" w:color="9CC2E5" w:themeColor="accent5" w:themeTint="99"/>
            </w:tcBorders>
            <w:shd w:val="clear" w:color="auto" w:fill="DEEAF6" w:themeFill="accent5" w:themeFillTint="33"/>
          </w:tcPr>
          <w:p w14:paraId="6CCFB0C0"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 xml:space="preserve">Fatal AMI </w:t>
            </w:r>
          </w:p>
        </w:tc>
        <w:tc>
          <w:tcPr>
            <w:tcW w:w="1988" w:type="dxa"/>
            <w:tcBorders>
              <w:top w:val="single" w:sz="8" w:space="0" w:color="9CC2E5" w:themeColor="accent5" w:themeTint="99"/>
              <w:bottom w:val="single" w:sz="8" w:space="0" w:color="9CC2E5" w:themeColor="accent5" w:themeTint="99"/>
            </w:tcBorders>
            <w:shd w:val="clear" w:color="auto" w:fill="DEEAF6" w:themeFill="accent5" w:themeFillTint="33"/>
          </w:tcPr>
          <w:p w14:paraId="76BCAA30" w14:textId="77777777" w:rsidR="00C70691" w:rsidRPr="008B1958"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c>
          <w:tcPr>
            <w:tcW w:w="2019" w:type="dxa"/>
            <w:tcBorders>
              <w:top w:val="single" w:sz="8" w:space="0" w:color="9CC2E5" w:themeColor="accent5" w:themeTint="99"/>
              <w:bottom w:val="single" w:sz="8" w:space="0" w:color="9CC2E5" w:themeColor="accent5" w:themeTint="99"/>
            </w:tcBorders>
            <w:shd w:val="clear" w:color="auto" w:fill="DEEAF6" w:themeFill="accent5" w:themeFillTint="33"/>
          </w:tcPr>
          <w:p w14:paraId="3ED9D7C4" w14:textId="77777777" w:rsidR="00C70691" w:rsidRPr="008B1958"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c>
          <w:tcPr>
            <w:tcW w:w="1805" w:type="dxa"/>
            <w:tcBorders>
              <w:top w:val="single" w:sz="8" w:space="0" w:color="9CC2E5" w:themeColor="accent5" w:themeTint="99"/>
              <w:bottom w:val="single" w:sz="8" w:space="0" w:color="9CC2E5" w:themeColor="accent5" w:themeTint="99"/>
            </w:tcBorders>
            <w:shd w:val="clear" w:color="auto" w:fill="DEEAF6" w:themeFill="accent5" w:themeFillTint="33"/>
          </w:tcPr>
          <w:p w14:paraId="46375C6F" w14:textId="77777777" w:rsidR="00C70691" w:rsidRPr="008B1958"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c>
          <w:tcPr>
            <w:tcW w:w="1842" w:type="dxa"/>
            <w:tcBorders>
              <w:top w:val="single" w:sz="8" w:space="0" w:color="9CC2E5" w:themeColor="accent5" w:themeTint="99"/>
              <w:bottom w:val="single" w:sz="8" w:space="0" w:color="9CC2E5" w:themeColor="accent5" w:themeTint="99"/>
            </w:tcBorders>
            <w:shd w:val="clear" w:color="auto" w:fill="DEEAF6" w:themeFill="accent5" w:themeFillTint="33"/>
          </w:tcPr>
          <w:p w14:paraId="54E1ED2F" w14:textId="77777777" w:rsidR="00C70691" w:rsidRPr="008B1958"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c>
          <w:tcPr>
            <w:tcW w:w="2268" w:type="dxa"/>
            <w:tcBorders>
              <w:top w:val="single" w:sz="8" w:space="0" w:color="9CC2E5" w:themeColor="accent5" w:themeTint="99"/>
              <w:bottom w:val="single" w:sz="8" w:space="0" w:color="9CC2E5" w:themeColor="accent5" w:themeTint="99"/>
            </w:tcBorders>
            <w:shd w:val="clear" w:color="auto" w:fill="DEEAF6" w:themeFill="accent5" w:themeFillTint="33"/>
          </w:tcPr>
          <w:p w14:paraId="7A54FC43" w14:textId="77777777" w:rsidR="00C70691" w:rsidRPr="008B1958"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r>
      <w:tr w:rsidR="00FF22A4" w:rsidRPr="00A209A6" w14:paraId="181A2530"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2B8E9202"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17841CB6"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1.16 (1.09 to 1.23)</w:t>
            </w:r>
          </w:p>
        </w:tc>
        <w:tc>
          <w:tcPr>
            <w:tcW w:w="2019" w:type="dxa"/>
            <w:tcBorders>
              <w:top w:val="single" w:sz="8" w:space="0" w:color="9CC2E5" w:themeColor="accent5" w:themeTint="99"/>
            </w:tcBorders>
          </w:tcPr>
          <w:p w14:paraId="424E3E9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1.17 (1.10 to 1.24)</w:t>
            </w:r>
          </w:p>
        </w:tc>
        <w:tc>
          <w:tcPr>
            <w:tcW w:w="1805" w:type="dxa"/>
            <w:tcBorders>
              <w:top w:val="single" w:sz="8" w:space="0" w:color="9CC2E5" w:themeColor="accent5" w:themeTint="99"/>
            </w:tcBorders>
          </w:tcPr>
          <w:p w14:paraId="4EC51EB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1.08(1.00 to 1.16)</w:t>
            </w:r>
          </w:p>
        </w:tc>
        <w:tc>
          <w:tcPr>
            <w:tcW w:w="1842" w:type="dxa"/>
            <w:tcBorders>
              <w:top w:val="single" w:sz="8" w:space="0" w:color="9CC2E5" w:themeColor="accent5" w:themeTint="99"/>
            </w:tcBorders>
          </w:tcPr>
          <w:p w14:paraId="7B3770B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1.05 (0.98 to 1.12)</w:t>
            </w:r>
          </w:p>
        </w:tc>
        <w:tc>
          <w:tcPr>
            <w:tcW w:w="2268" w:type="dxa"/>
            <w:tcBorders>
              <w:top w:val="single" w:sz="8" w:space="0" w:color="9CC2E5" w:themeColor="accent5" w:themeTint="99"/>
            </w:tcBorders>
            <w:shd w:val="clear" w:color="auto" w:fill="auto"/>
          </w:tcPr>
          <w:p w14:paraId="18EB5B4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1.12 (1.05 to 1.21)</w:t>
            </w:r>
          </w:p>
        </w:tc>
      </w:tr>
      <w:tr w:rsidR="00FF22A4" w:rsidRPr="00A209A6" w14:paraId="73D1C87E"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3E116D37"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4472C4" w:themeColor="accent1"/>
            </w:tcBorders>
          </w:tcPr>
          <w:p w14:paraId="3D97BB76"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1.4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-6</w:t>
            </w:r>
          </w:p>
        </w:tc>
        <w:tc>
          <w:tcPr>
            <w:tcW w:w="2019" w:type="dxa"/>
            <w:tcBorders>
              <w:bottom w:val="single" w:sz="8" w:space="0" w:color="4472C4" w:themeColor="accent1"/>
            </w:tcBorders>
          </w:tcPr>
          <w:p w14:paraId="00FF679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2.7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-7</w:t>
            </w:r>
          </w:p>
        </w:tc>
        <w:tc>
          <w:tcPr>
            <w:tcW w:w="1805" w:type="dxa"/>
            <w:tcBorders>
              <w:bottom w:val="single" w:sz="8" w:space="0" w:color="4472C4" w:themeColor="accent1"/>
            </w:tcBorders>
          </w:tcPr>
          <w:p w14:paraId="6136283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0.044</w:t>
            </w:r>
          </w:p>
        </w:tc>
        <w:tc>
          <w:tcPr>
            <w:tcW w:w="1842" w:type="dxa"/>
            <w:tcBorders>
              <w:bottom w:val="single" w:sz="8" w:space="0" w:color="4472C4" w:themeColor="accent1"/>
            </w:tcBorders>
          </w:tcPr>
          <w:p w14:paraId="75B23C7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0.21</w:t>
            </w:r>
          </w:p>
        </w:tc>
        <w:tc>
          <w:tcPr>
            <w:tcW w:w="2268" w:type="dxa"/>
            <w:tcBorders>
              <w:bottom w:val="single" w:sz="8" w:space="0" w:color="4472C4" w:themeColor="accent1"/>
            </w:tcBorders>
            <w:shd w:val="clear" w:color="auto" w:fill="auto"/>
          </w:tcPr>
          <w:p w14:paraId="51C7AA01"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0.002</w:t>
            </w:r>
          </w:p>
        </w:tc>
      </w:tr>
      <w:tr w:rsidR="00FF22A4" w:rsidRPr="00A209A6" w14:paraId="35046B07"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tcBorders>
          </w:tcPr>
          <w:p w14:paraId="52058BB3"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tcBorders>
          </w:tcPr>
          <w:p w14:paraId="39CD2AA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1.05 (0.90 to 1.22)</w:t>
            </w:r>
          </w:p>
        </w:tc>
        <w:tc>
          <w:tcPr>
            <w:tcW w:w="2019" w:type="dxa"/>
            <w:tcBorders>
              <w:top w:val="single" w:sz="8" w:space="0" w:color="4472C4" w:themeColor="accent1"/>
            </w:tcBorders>
          </w:tcPr>
          <w:p w14:paraId="0EEAB76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1.03 (0.97 to 1.33)</w:t>
            </w:r>
          </w:p>
        </w:tc>
        <w:tc>
          <w:tcPr>
            <w:tcW w:w="1805" w:type="dxa"/>
            <w:tcBorders>
              <w:top w:val="single" w:sz="8" w:space="0" w:color="4472C4" w:themeColor="accent1"/>
            </w:tcBorders>
          </w:tcPr>
          <w:p w14:paraId="5D8A45E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0.85 (0.70 to 1.04)</w:t>
            </w:r>
          </w:p>
        </w:tc>
        <w:tc>
          <w:tcPr>
            <w:tcW w:w="1842" w:type="dxa"/>
            <w:tcBorders>
              <w:top w:val="single" w:sz="8" w:space="0" w:color="4472C4" w:themeColor="accent1"/>
            </w:tcBorders>
          </w:tcPr>
          <w:p w14:paraId="1CA983B2"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0.85 (0.70 to 1.03)</w:t>
            </w:r>
          </w:p>
        </w:tc>
        <w:tc>
          <w:tcPr>
            <w:tcW w:w="2268" w:type="dxa"/>
            <w:tcBorders>
              <w:top w:val="single" w:sz="8" w:space="0" w:color="4472C4" w:themeColor="accent1"/>
            </w:tcBorders>
            <w:shd w:val="clear" w:color="auto" w:fill="auto"/>
          </w:tcPr>
          <w:p w14:paraId="2E2DFB0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0.92 (0.77 to 1.10)</w:t>
            </w:r>
          </w:p>
        </w:tc>
      </w:tr>
      <w:tr w:rsidR="00FF22A4" w:rsidRPr="00A209A6" w14:paraId="7D957BB2"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9CC2E5" w:themeColor="accent5" w:themeTint="99"/>
            </w:tcBorders>
          </w:tcPr>
          <w:p w14:paraId="058AAE75"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9CC2E5" w:themeColor="accent5" w:themeTint="99"/>
            </w:tcBorders>
          </w:tcPr>
          <w:p w14:paraId="345379D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0.52</w:t>
            </w:r>
          </w:p>
        </w:tc>
        <w:tc>
          <w:tcPr>
            <w:tcW w:w="2019" w:type="dxa"/>
            <w:tcBorders>
              <w:bottom w:val="single" w:sz="8" w:space="0" w:color="9CC2E5" w:themeColor="accent5" w:themeTint="99"/>
            </w:tcBorders>
          </w:tcPr>
          <w:p w14:paraId="01764E4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0.70</w:t>
            </w:r>
          </w:p>
        </w:tc>
        <w:tc>
          <w:tcPr>
            <w:tcW w:w="1805" w:type="dxa"/>
            <w:tcBorders>
              <w:bottom w:val="single" w:sz="8" w:space="0" w:color="9CC2E5" w:themeColor="accent5" w:themeTint="99"/>
            </w:tcBorders>
          </w:tcPr>
          <w:p w14:paraId="32A5C87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0.11</w:t>
            </w:r>
          </w:p>
        </w:tc>
        <w:tc>
          <w:tcPr>
            <w:tcW w:w="1842" w:type="dxa"/>
            <w:tcBorders>
              <w:bottom w:val="single" w:sz="8" w:space="0" w:color="9CC2E5" w:themeColor="accent5" w:themeTint="99"/>
            </w:tcBorders>
          </w:tcPr>
          <w:p w14:paraId="1D0872C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0.09</w:t>
            </w:r>
          </w:p>
        </w:tc>
        <w:tc>
          <w:tcPr>
            <w:tcW w:w="2268" w:type="dxa"/>
            <w:tcBorders>
              <w:bottom w:val="single" w:sz="8" w:space="0" w:color="9CC2E5" w:themeColor="accent5" w:themeTint="99"/>
            </w:tcBorders>
            <w:shd w:val="clear" w:color="auto" w:fill="auto"/>
          </w:tcPr>
          <w:p w14:paraId="6828BAD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0.36</w:t>
            </w:r>
          </w:p>
        </w:tc>
      </w:tr>
      <w:tr w:rsidR="00FF22A4" w:rsidRPr="00A209A6" w14:paraId="775E842B"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bottom w:val="single" w:sz="8" w:space="0" w:color="9CC2E5" w:themeColor="accent5" w:themeTint="99"/>
            </w:tcBorders>
            <w:shd w:val="clear" w:color="auto" w:fill="DEEAF6" w:themeFill="accent5" w:themeFillTint="33"/>
          </w:tcPr>
          <w:p w14:paraId="6AB7683A"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Incident AMI</w:t>
            </w:r>
          </w:p>
        </w:tc>
        <w:tc>
          <w:tcPr>
            <w:tcW w:w="1988" w:type="dxa"/>
            <w:tcBorders>
              <w:top w:val="single" w:sz="8" w:space="0" w:color="9CC2E5" w:themeColor="accent5" w:themeTint="99"/>
              <w:bottom w:val="single" w:sz="8" w:space="0" w:color="9CC2E5" w:themeColor="accent5" w:themeTint="99"/>
            </w:tcBorders>
            <w:shd w:val="clear" w:color="auto" w:fill="DEEAF6" w:themeFill="accent5" w:themeFillTint="33"/>
          </w:tcPr>
          <w:p w14:paraId="19266FF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019" w:type="dxa"/>
            <w:tcBorders>
              <w:top w:val="single" w:sz="8" w:space="0" w:color="9CC2E5" w:themeColor="accent5" w:themeTint="99"/>
              <w:bottom w:val="single" w:sz="8" w:space="0" w:color="9CC2E5" w:themeColor="accent5" w:themeTint="99"/>
            </w:tcBorders>
            <w:shd w:val="clear" w:color="auto" w:fill="DEEAF6" w:themeFill="accent5" w:themeFillTint="33"/>
          </w:tcPr>
          <w:p w14:paraId="72A2D42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5" w:type="dxa"/>
            <w:tcBorders>
              <w:top w:val="single" w:sz="8" w:space="0" w:color="9CC2E5" w:themeColor="accent5" w:themeTint="99"/>
              <w:bottom w:val="single" w:sz="8" w:space="0" w:color="9CC2E5" w:themeColor="accent5" w:themeTint="99"/>
            </w:tcBorders>
            <w:shd w:val="clear" w:color="auto" w:fill="DEEAF6" w:themeFill="accent5" w:themeFillTint="33"/>
          </w:tcPr>
          <w:p w14:paraId="6BB1286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2" w:type="dxa"/>
            <w:tcBorders>
              <w:top w:val="single" w:sz="8" w:space="0" w:color="9CC2E5" w:themeColor="accent5" w:themeTint="99"/>
              <w:bottom w:val="single" w:sz="8" w:space="0" w:color="9CC2E5" w:themeColor="accent5" w:themeTint="99"/>
            </w:tcBorders>
            <w:shd w:val="clear" w:color="auto" w:fill="DEEAF6" w:themeFill="accent5" w:themeFillTint="33"/>
          </w:tcPr>
          <w:p w14:paraId="066770E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Borders>
              <w:top w:val="single" w:sz="8" w:space="0" w:color="9CC2E5" w:themeColor="accent5" w:themeTint="99"/>
              <w:bottom w:val="single" w:sz="8" w:space="0" w:color="9CC2E5" w:themeColor="accent5" w:themeTint="99"/>
            </w:tcBorders>
            <w:shd w:val="clear" w:color="auto" w:fill="DEEAF6" w:themeFill="accent5" w:themeFillTint="33"/>
          </w:tcPr>
          <w:p w14:paraId="4963090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F22A4" w:rsidRPr="00A209A6" w14:paraId="3528A4BE"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00016707"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50DA1F54"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1.09 (1.07 to 1.11)</w:t>
            </w:r>
          </w:p>
        </w:tc>
        <w:tc>
          <w:tcPr>
            <w:tcW w:w="2019" w:type="dxa"/>
            <w:tcBorders>
              <w:top w:val="single" w:sz="8" w:space="0" w:color="9CC2E5" w:themeColor="accent5" w:themeTint="99"/>
            </w:tcBorders>
          </w:tcPr>
          <w:p w14:paraId="5AF0C4AA"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1.09 (1.07 to 1.11)</w:t>
            </w:r>
          </w:p>
        </w:tc>
        <w:tc>
          <w:tcPr>
            <w:tcW w:w="1805" w:type="dxa"/>
            <w:tcBorders>
              <w:top w:val="single" w:sz="8" w:space="0" w:color="9CC2E5" w:themeColor="accent5" w:themeTint="99"/>
            </w:tcBorders>
          </w:tcPr>
          <w:p w14:paraId="61B58BB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1.04 (1.01 to 1.06)</w:t>
            </w:r>
          </w:p>
        </w:tc>
        <w:tc>
          <w:tcPr>
            <w:tcW w:w="1842" w:type="dxa"/>
            <w:tcBorders>
              <w:top w:val="single" w:sz="8" w:space="0" w:color="9CC2E5" w:themeColor="accent5" w:themeTint="99"/>
            </w:tcBorders>
          </w:tcPr>
          <w:p w14:paraId="0CBDE32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1.01 (0.99 to 1.04)</w:t>
            </w:r>
          </w:p>
        </w:tc>
        <w:tc>
          <w:tcPr>
            <w:tcW w:w="2268" w:type="dxa"/>
            <w:tcBorders>
              <w:top w:val="single" w:sz="8" w:space="0" w:color="9CC2E5" w:themeColor="accent5" w:themeTint="99"/>
            </w:tcBorders>
            <w:shd w:val="clear" w:color="auto" w:fill="auto"/>
          </w:tcPr>
          <w:p w14:paraId="6BBFB8F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1.05 (1.02 to 1.07)</w:t>
            </w:r>
          </w:p>
        </w:tc>
      </w:tr>
      <w:tr w:rsidR="00FF22A4" w:rsidRPr="00A209A6" w14:paraId="72918599"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7344D6FA"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4472C4" w:themeColor="accent1"/>
            </w:tcBorders>
          </w:tcPr>
          <w:p w14:paraId="32F81960"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1.1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-15</w:t>
            </w:r>
          </w:p>
        </w:tc>
        <w:tc>
          <w:tcPr>
            <w:tcW w:w="2019" w:type="dxa"/>
            <w:tcBorders>
              <w:bottom w:val="single" w:sz="8" w:space="0" w:color="4472C4" w:themeColor="accent1"/>
            </w:tcBorders>
          </w:tcPr>
          <w:p w14:paraId="72F248B8"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6.7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-16</w:t>
            </w:r>
          </w:p>
        </w:tc>
        <w:tc>
          <w:tcPr>
            <w:tcW w:w="1805" w:type="dxa"/>
            <w:tcBorders>
              <w:bottom w:val="single" w:sz="8" w:space="0" w:color="4472C4" w:themeColor="accent1"/>
            </w:tcBorders>
          </w:tcPr>
          <w:p w14:paraId="53DCBAA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0.007</w:t>
            </w:r>
          </w:p>
        </w:tc>
        <w:tc>
          <w:tcPr>
            <w:tcW w:w="1842" w:type="dxa"/>
            <w:tcBorders>
              <w:bottom w:val="single" w:sz="8" w:space="0" w:color="4472C4" w:themeColor="accent1"/>
            </w:tcBorders>
          </w:tcPr>
          <w:p w14:paraId="55F22DD4"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0.36</w:t>
            </w:r>
          </w:p>
        </w:tc>
        <w:tc>
          <w:tcPr>
            <w:tcW w:w="2268" w:type="dxa"/>
            <w:tcBorders>
              <w:bottom w:val="single" w:sz="8" w:space="0" w:color="4472C4" w:themeColor="accent1"/>
            </w:tcBorders>
            <w:shd w:val="clear" w:color="auto" w:fill="auto"/>
          </w:tcPr>
          <w:p w14:paraId="46D4F39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0.0003</w:t>
            </w:r>
          </w:p>
        </w:tc>
      </w:tr>
      <w:tr w:rsidR="00FF22A4" w:rsidRPr="00A209A6" w14:paraId="7527E315"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tcBorders>
          </w:tcPr>
          <w:p w14:paraId="53BF430E"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tcBorders>
          </w:tcPr>
          <w:p w14:paraId="6B7C4F51"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1.08 (1.04 to 1.13)</w:t>
            </w:r>
          </w:p>
        </w:tc>
        <w:tc>
          <w:tcPr>
            <w:tcW w:w="2019" w:type="dxa"/>
            <w:tcBorders>
              <w:top w:val="single" w:sz="8" w:space="0" w:color="4472C4" w:themeColor="accent1"/>
            </w:tcBorders>
          </w:tcPr>
          <w:p w14:paraId="1AFBD176" w14:textId="77777777" w:rsidR="00C70691" w:rsidRPr="00A209A6" w:rsidRDefault="00C70691" w:rsidP="00A209A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1.06 (1.02. to 1.11)</w:t>
            </w:r>
          </w:p>
        </w:tc>
        <w:tc>
          <w:tcPr>
            <w:tcW w:w="1805" w:type="dxa"/>
            <w:tcBorders>
              <w:top w:val="single" w:sz="8" w:space="0" w:color="4472C4" w:themeColor="accent1"/>
            </w:tcBorders>
          </w:tcPr>
          <w:p w14:paraId="499F593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1.00 (0.95 to 1.05)</w:t>
            </w:r>
          </w:p>
        </w:tc>
        <w:tc>
          <w:tcPr>
            <w:tcW w:w="1842" w:type="dxa"/>
            <w:tcBorders>
              <w:top w:val="single" w:sz="8" w:space="0" w:color="4472C4" w:themeColor="accent1"/>
            </w:tcBorders>
          </w:tcPr>
          <w:p w14:paraId="012F239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0.99 (0.94 to 1.04)</w:t>
            </w:r>
          </w:p>
        </w:tc>
        <w:tc>
          <w:tcPr>
            <w:tcW w:w="2268" w:type="dxa"/>
            <w:tcBorders>
              <w:top w:val="single" w:sz="8" w:space="0" w:color="4472C4" w:themeColor="accent1"/>
            </w:tcBorders>
            <w:shd w:val="clear" w:color="auto" w:fill="auto"/>
          </w:tcPr>
          <w:p w14:paraId="08746A8A"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1.03 (0.98 to 1.08)</w:t>
            </w:r>
          </w:p>
        </w:tc>
      </w:tr>
      <w:tr w:rsidR="00FF22A4" w:rsidRPr="00A209A6" w14:paraId="3B8FDECF"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9CC2E5" w:themeColor="accent5" w:themeTint="99"/>
            </w:tcBorders>
          </w:tcPr>
          <w:p w14:paraId="163F95C1"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Borders>
              <w:bottom w:val="single" w:sz="8" w:space="0" w:color="9CC2E5" w:themeColor="accent5" w:themeTint="99"/>
            </w:tcBorders>
          </w:tcPr>
          <w:p w14:paraId="2060C56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0.0001</w:t>
            </w:r>
          </w:p>
        </w:tc>
        <w:tc>
          <w:tcPr>
            <w:tcW w:w="2019" w:type="dxa"/>
            <w:tcBorders>
              <w:bottom w:val="single" w:sz="8" w:space="0" w:color="9CC2E5" w:themeColor="accent5" w:themeTint="99"/>
            </w:tcBorders>
          </w:tcPr>
          <w:p w14:paraId="3B812A4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0.002</w:t>
            </w:r>
          </w:p>
        </w:tc>
        <w:tc>
          <w:tcPr>
            <w:tcW w:w="1805" w:type="dxa"/>
            <w:tcBorders>
              <w:bottom w:val="single" w:sz="8" w:space="0" w:color="9CC2E5" w:themeColor="accent5" w:themeTint="99"/>
            </w:tcBorders>
          </w:tcPr>
          <w:p w14:paraId="653EB76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0.89</w:t>
            </w:r>
          </w:p>
        </w:tc>
        <w:tc>
          <w:tcPr>
            <w:tcW w:w="1842" w:type="dxa"/>
            <w:tcBorders>
              <w:bottom w:val="single" w:sz="8" w:space="0" w:color="9CC2E5" w:themeColor="accent5" w:themeTint="99"/>
            </w:tcBorders>
          </w:tcPr>
          <w:p w14:paraId="32100387"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0.72</w:t>
            </w:r>
          </w:p>
        </w:tc>
        <w:tc>
          <w:tcPr>
            <w:tcW w:w="2268" w:type="dxa"/>
            <w:tcBorders>
              <w:bottom w:val="single" w:sz="8" w:space="0" w:color="9CC2E5" w:themeColor="accent5" w:themeTint="99"/>
            </w:tcBorders>
            <w:shd w:val="clear" w:color="auto" w:fill="auto"/>
          </w:tcPr>
          <w:p w14:paraId="2B642298"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0.28</w:t>
            </w:r>
          </w:p>
        </w:tc>
      </w:tr>
      <w:tr w:rsidR="00FF22A4" w:rsidRPr="00A209A6" w14:paraId="0FA3BEA1"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bottom w:val="single" w:sz="8" w:space="0" w:color="9CC2E5" w:themeColor="accent5" w:themeTint="99"/>
            </w:tcBorders>
            <w:shd w:val="clear" w:color="auto" w:fill="DEEAF6" w:themeFill="accent5" w:themeFillTint="33"/>
          </w:tcPr>
          <w:p w14:paraId="196390E1" w14:textId="77777777" w:rsidR="00C70691" w:rsidRPr="00A209A6" w:rsidRDefault="00C70691" w:rsidP="00A209A6">
            <w:pPr>
              <w:jc w:val="both"/>
              <w:rPr>
                <w:color w:val="000000" w:themeColor="text1"/>
                <w:sz w:val="20"/>
                <w:szCs w:val="20"/>
              </w:rPr>
            </w:pPr>
            <w:r w:rsidRPr="00A209A6">
              <w:rPr>
                <w:b w:val="0"/>
                <w:bCs w:val="0"/>
                <w:color w:val="000000" w:themeColor="text1"/>
                <w:sz w:val="20"/>
                <w:szCs w:val="20"/>
              </w:rPr>
              <w:t>Cancer mortality</w:t>
            </w:r>
          </w:p>
        </w:tc>
        <w:tc>
          <w:tcPr>
            <w:tcW w:w="1988" w:type="dxa"/>
            <w:tcBorders>
              <w:top w:val="single" w:sz="8" w:space="0" w:color="9CC2E5" w:themeColor="accent5" w:themeTint="99"/>
              <w:bottom w:val="single" w:sz="8" w:space="0" w:color="9CC2E5" w:themeColor="accent5" w:themeTint="99"/>
            </w:tcBorders>
            <w:shd w:val="clear" w:color="auto" w:fill="DEEAF6" w:themeFill="accent5" w:themeFillTint="33"/>
          </w:tcPr>
          <w:p w14:paraId="1BB9CDE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019" w:type="dxa"/>
            <w:tcBorders>
              <w:top w:val="single" w:sz="8" w:space="0" w:color="9CC2E5" w:themeColor="accent5" w:themeTint="99"/>
              <w:bottom w:val="single" w:sz="8" w:space="0" w:color="9CC2E5" w:themeColor="accent5" w:themeTint="99"/>
            </w:tcBorders>
            <w:shd w:val="clear" w:color="auto" w:fill="DEEAF6" w:themeFill="accent5" w:themeFillTint="33"/>
          </w:tcPr>
          <w:p w14:paraId="421BBE73"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5" w:type="dxa"/>
            <w:tcBorders>
              <w:top w:val="single" w:sz="8" w:space="0" w:color="9CC2E5" w:themeColor="accent5" w:themeTint="99"/>
              <w:bottom w:val="single" w:sz="8" w:space="0" w:color="9CC2E5" w:themeColor="accent5" w:themeTint="99"/>
            </w:tcBorders>
            <w:shd w:val="clear" w:color="auto" w:fill="DEEAF6" w:themeFill="accent5" w:themeFillTint="33"/>
          </w:tcPr>
          <w:p w14:paraId="3D6624D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2" w:type="dxa"/>
            <w:tcBorders>
              <w:top w:val="single" w:sz="8" w:space="0" w:color="9CC2E5" w:themeColor="accent5" w:themeTint="99"/>
              <w:bottom w:val="single" w:sz="8" w:space="0" w:color="9CC2E5" w:themeColor="accent5" w:themeTint="99"/>
            </w:tcBorders>
            <w:shd w:val="clear" w:color="auto" w:fill="DEEAF6" w:themeFill="accent5" w:themeFillTint="33"/>
          </w:tcPr>
          <w:p w14:paraId="129FDE2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Borders>
              <w:top w:val="single" w:sz="8" w:space="0" w:color="9CC2E5" w:themeColor="accent5" w:themeTint="99"/>
              <w:bottom w:val="single" w:sz="8" w:space="0" w:color="9CC2E5" w:themeColor="accent5" w:themeTint="99"/>
            </w:tcBorders>
            <w:shd w:val="clear" w:color="auto" w:fill="DEEAF6" w:themeFill="accent5" w:themeFillTint="33"/>
          </w:tcPr>
          <w:p w14:paraId="1A1AC27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F22A4" w:rsidRPr="00A209A6" w14:paraId="25375C66"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9CC2E5" w:themeColor="accent5" w:themeTint="99"/>
            </w:tcBorders>
          </w:tcPr>
          <w:p w14:paraId="17D4E714"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Men</w:t>
            </w:r>
          </w:p>
        </w:tc>
        <w:tc>
          <w:tcPr>
            <w:tcW w:w="1988" w:type="dxa"/>
            <w:tcBorders>
              <w:top w:val="single" w:sz="8" w:space="0" w:color="9CC2E5" w:themeColor="accent5" w:themeTint="99"/>
            </w:tcBorders>
          </w:tcPr>
          <w:p w14:paraId="5DB1B3C5"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1.20 (1.18 to 1.23)</w:t>
            </w:r>
          </w:p>
        </w:tc>
        <w:tc>
          <w:tcPr>
            <w:tcW w:w="2019" w:type="dxa"/>
            <w:tcBorders>
              <w:top w:val="single" w:sz="8" w:space="0" w:color="9CC2E5" w:themeColor="accent5" w:themeTint="99"/>
            </w:tcBorders>
          </w:tcPr>
          <w:p w14:paraId="054A6DA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1.21 (1.18 to 1.23)</w:t>
            </w:r>
          </w:p>
        </w:tc>
        <w:tc>
          <w:tcPr>
            <w:tcW w:w="1805" w:type="dxa"/>
            <w:tcBorders>
              <w:top w:val="single" w:sz="8" w:space="0" w:color="9CC2E5" w:themeColor="accent5" w:themeTint="99"/>
            </w:tcBorders>
          </w:tcPr>
          <w:p w14:paraId="135E48E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1.18 (1.16 to 1.21)</w:t>
            </w:r>
          </w:p>
        </w:tc>
        <w:tc>
          <w:tcPr>
            <w:tcW w:w="1842" w:type="dxa"/>
            <w:tcBorders>
              <w:top w:val="single" w:sz="8" w:space="0" w:color="9CC2E5" w:themeColor="accent5" w:themeTint="99"/>
            </w:tcBorders>
          </w:tcPr>
          <w:p w14:paraId="231FDBE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1.17 (1.14 to 1.20)</w:t>
            </w:r>
          </w:p>
        </w:tc>
        <w:tc>
          <w:tcPr>
            <w:tcW w:w="2268" w:type="dxa"/>
            <w:tcBorders>
              <w:top w:val="single" w:sz="8" w:space="0" w:color="9CC2E5" w:themeColor="accent5" w:themeTint="99"/>
            </w:tcBorders>
            <w:shd w:val="clear" w:color="auto" w:fill="auto"/>
          </w:tcPr>
          <w:p w14:paraId="1844DF4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1.18 (1.15 to 1.21)</w:t>
            </w:r>
          </w:p>
        </w:tc>
      </w:tr>
      <w:tr w:rsidR="00FF22A4" w:rsidRPr="00A209A6" w14:paraId="76B5C806"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4472C4" w:themeColor="accent1"/>
            </w:tcBorders>
          </w:tcPr>
          <w:p w14:paraId="57E07D36" w14:textId="77777777" w:rsidR="00C70691" w:rsidRPr="0057217D" w:rsidRDefault="00C70691" w:rsidP="00A209A6">
            <w:pPr>
              <w:jc w:val="both"/>
              <w:rPr>
                <w:b w:val="0"/>
                <w:bCs w:val="0"/>
                <w:color w:val="000000" w:themeColor="text1"/>
                <w:sz w:val="20"/>
                <w:szCs w:val="20"/>
              </w:rPr>
            </w:pPr>
            <w:r w:rsidRPr="0057217D">
              <w:rPr>
                <w:b w:val="0"/>
                <w:bCs w:val="0"/>
                <w:color w:val="000000" w:themeColor="text1"/>
                <w:sz w:val="20"/>
                <w:szCs w:val="20"/>
              </w:rPr>
              <w:t>p-value</w:t>
            </w:r>
          </w:p>
        </w:tc>
        <w:tc>
          <w:tcPr>
            <w:tcW w:w="1988" w:type="dxa"/>
            <w:tcBorders>
              <w:bottom w:val="single" w:sz="8" w:space="0" w:color="4472C4" w:themeColor="accent1"/>
            </w:tcBorders>
          </w:tcPr>
          <w:p w14:paraId="5A305762" w14:textId="77777777" w:rsidR="00C70691" w:rsidRPr="0057217D"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217D">
              <w:rPr>
                <w:color w:val="000000" w:themeColor="text1"/>
                <w:sz w:val="20"/>
                <w:szCs w:val="20"/>
              </w:rPr>
              <w:t xml:space="preserve">9.9 </w:t>
            </w:r>
            <m:oMath>
              <m:r>
                <w:rPr>
                  <w:rFonts w:ascii="Cambria Math" w:hAnsi="Cambria Math"/>
                  <w:color w:val="000000" w:themeColor="text1"/>
                  <w:sz w:val="20"/>
                  <w:szCs w:val="20"/>
                  <w:lang w:val="en"/>
                </w:rPr>
                <m:t>×</m:t>
              </m:r>
            </m:oMath>
            <w:r w:rsidRPr="0057217D">
              <w:rPr>
                <w:color w:val="000000" w:themeColor="text1"/>
                <w:sz w:val="20"/>
                <w:szCs w:val="20"/>
                <w:lang w:val="en"/>
              </w:rPr>
              <w:t>10</w:t>
            </w:r>
            <w:r w:rsidRPr="0057217D">
              <w:rPr>
                <w:color w:val="000000" w:themeColor="text1"/>
                <w:sz w:val="20"/>
                <w:szCs w:val="20"/>
                <w:vertAlign w:val="superscript"/>
                <w:lang w:val="en"/>
              </w:rPr>
              <w:t>-75</w:t>
            </w:r>
          </w:p>
        </w:tc>
        <w:tc>
          <w:tcPr>
            <w:tcW w:w="2019" w:type="dxa"/>
            <w:tcBorders>
              <w:bottom w:val="single" w:sz="8" w:space="0" w:color="4472C4" w:themeColor="accent1"/>
            </w:tcBorders>
          </w:tcPr>
          <w:p w14:paraId="0B95317B" w14:textId="77777777" w:rsidR="00C70691" w:rsidRPr="0057217D"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217D">
              <w:rPr>
                <w:color w:val="000000" w:themeColor="text1"/>
                <w:sz w:val="20"/>
                <w:szCs w:val="20"/>
              </w:rPr>
              <w:t xml:space="preserve">7.9 </w:t>
            </w:r>
            <m:oMath>
              <m:r>
                <w:rPr>
                  <w:rFonts w:ascii="Cambria Math" w:hAnsi="Cambria Math"/>
                  <w:color w:val="000000" w:themeColor="text1"/>
                  <w:sz w:val="20"/>
                  <w:szCs w:val="20"/>
                  <w:lang w:val="en"/>
                </w:rPr>
                <m:t>×</m:t>
              </m:r>
            </m:oMath>
            <w:r w:rsidRPr="0057217D">
              <w:rPr>
                <w:color w:val="000000" w:themeColor="text1"/>
                <w:sz w:val="20"/>
                <w:szCs w:val="20"/>
                <w:lang w:val="en"/>
              </w:rPr>
              <w:t>10</w:t>
            </w:r>
            <w:r w:rsidRPr="0057217D">
              <w:rPr>
                <w:color w:val="000000" w:themeColor="text1"/>
                <w:sz w:val="20"/>
                <w:szCs w:val="20"/>
                <w:vertAlign w:val="superscript"/>
                <w:lang w:val="en"/>
              </w:rPr>
              <w:t>-83</w:t>
            </w:r>
          </w:p>
        </w:tc>
        <w:tc>
          <w:tcPr>
            <w:tcW w:w="1805" w:type="dxa"/>
            <w:tcBorders>
              <w:bottom w:val="single" w:sz="8" w:space="0" w:color="4472C4" w:themeColor="accent1"/>
            </w:tcBorders>
          </w:tcPr>
          <w:p w14:paraId="7597FE38" w14:textId="77777777" w:rsidR="00C70691" w:rsidRPr="0057217D"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217D">
              <w:rPr>
                <w:color w:val="000000" w:themeColor="text1"/>
                <w:sz w:val="20"/>
                <w:szCs w:val="20"/>
              </w:rPr>
              <w:t xml:space="preserve">1.6 </w:t>
            </w:r>
            <m:oMath>
              <m:r>
                <w:rPr>
                  <w:rFonts w:ascii="Cambria Math" w:hAnsi="Cambria Math"/>
                  <w:color w:val="000000" w:themeColor="text1"/>
                  <w:sz w:val="20"/>
                  <w:szCs w:val="20"/>
                  <w:lang w:val="en"/>
                </w:rPr>
                <m:t>×</m:t>
              </m:r>
            </m:oMath>
            <w:r w:rsidRPr="0057217D">
              <w:rPr>
                <w:color w:val="000000" w:themeColor="text1"/>
                <w:sz w:val="20"/>
                <w:szCs w:val="20"/>
                <w:lang w:val="en"/>
              </w:rPr>
              <w:t>10</w:t>
            </w:r>
            <w:r w:rsidRPr="0057217D">
              <w:rPr>
                <w:color w:val="000000" w:themeColor="text1"/>
                <w:sz w:val="20"/>
                <w:szCs w:val="20"/>
                <w:vertAlign w:val="superscript"/>
                <w:lang w:val="en"/>
              </w:rPr>
              <w:t>-48</w:t>
            </w:r>
          </w:p>
        </w:tc>
        <w:tc>
          <w:tcPr>
            <w:tcW w:w="1842" w:type="dxa"/>
            <w:tcBorders>
              <w:bottom w:val="single" w:sz="8" w:space="0" w:color="4472C4" w:themeColor="accent1"/>
            </w:tcBorders>
          </w:tcPr>
          <w:p w14:paraId="63008F92" w14:textId="77777777" w:rsidR="00C70691" w:rsidRPr="0057217D"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217D">
              <w:rPr>
                <w:color w:val="000000" w:themeColor="text1"/>
                <w:sz w:val="20"/>
                <w:szCs w:val="20"/>
              </w:rPr>
              <w:t xml:space="preserve">1.8 </w:t>
            </w:r>
            <m:oMath>
              <m:r>
                <w:rPr>
                  <w:rFonts w:ascii="Cambria Math" w:hAnsi="Cambria Math"/>
                  <w:color w:val="000000" w:themeColor="text1"/>
                  <w:sz w:val="20"/>
                  <w:szCs w:val="20"/>
                  <w:lang w:val="en"/>
                </w:rPr>
                <m:t>×</m:t>
              </m:r>
            </m:oMath>
            <w:r w:rsidRPr="0057217D">
              <w:rPr>
                <w:color w:val="000000" w:themeColor="text1"/>
                <w:sz w:val="20"/>
                <w:szCs w:val="20"/>
                <w:lang w:val="en"/>
              </w:rPr>
              <w:t>10</w:t>
            </w:r>
            <w:r w:rsidRPr="0057217D">
              <w:rPr>
                <w:color w:val="000000" w:themeColor="text1"/>
                <w:sz w:val="20"/>
                <w:szCs w:val="20"/>
                <w:vertAlign w:val="superscript"/>
                <w:lang w:val="en"/>
              </w:rPr>
              <w:t>-42</w:t>
            </w:r>
          </w:p>
        </w:tc>
        <w:tc>
          <w:tcPr>
            <w:tcW w:w="2268" w:type="dxa"/>
            <w:tcBorders>
              <w:bottom w:val="single" w:sz="8" w:space="0" w:color="4472C4" w:themeColor="accent1"/>
            </w:tcBorders>
            <w:shd w:val="clear" w:color="auto" w:fill="auto"/>
          </w:tcPr>
          <w:p w14:paraId="2790BD2A" w14:textId="77777777" w:rsidR="00C70691" w:rsidRPr="0057217D"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217D">
              <w:rPr>
                <w:color w:val="000000" w:themeColor="text1"/>
                <w:sz w:val="20"/>
                <w:szCs w:val="20"/>
              </w:rPr>
              <w:t xml:space="preserve">5.2 </w:t>
            </w:r>
            <m:oMath>
              <m:r>
                <w:rPr>
                  <w:rFonts w:ascii="Cambria Math" w:hAnsi="Cambria Math"/>
                  <w:color w:val="000000" w:themeColor="text1"/>
                  <w:sz w:val="20"/>
                  <w:szCs w:val="20"/>
                  <w:lang w:val="en"/>
                </w:rPr>
                <m:t>×</m:t>
              </m:r>
            </m:oMath>
            <w:r w:rsidRPr="0057217D">
              <w:rPr>
                <w:color w:val="000000" w:themeColor="text1"/>
                <w:sz w:val="20"/>
                <w:szCs w:val="20"/>
                <w:lang w:val="en"/>
              </w:rPr>
              <w:t>10</w:t>
            </w:r>
            <w:r w:rsidRPr="0057217D">
              <w:rPr>
                <w:color w:val="000000" w:themeColor="text1"/>
                <w:sz w:val="20"/>
                <w:szCs w:val="20"/>
                <w:vertAlign w:val="superscript"/>
                <w:lang w:val="en"/>
              </w:rPr>
              <w:t>-46</w:t>
            </w:r>
          </w:p>
        </w:tc>
      </w:tr>
      <w:tr w:rsidR="00FF22A4" w:rsidRPr="00A209A6" w14:paraId="47645897"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4472C4" w:themeColor="accent1"/>
            </w:tcBorders>
          </w:tcPr>
          <w:p w14:paraId="36C7913B"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Women</w:t>
            </w:r>
          </w:p>
        </w:tc>
        <w:tc>
          <w:tcPr>
            <w:tcW w:w="1988" w:type="dxa"/>
            <w:tcBorders>
              <w:top w:val="single" w:sz="8" w:space="0" w:color="4472C4" w:themeColor="accent1"/>
            </w:tcBorders>
          </w:tcPr>
          <w:p w14:paraId="211B5270"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1.20 (1.17 to 1.23)</w:t>
            </w:r>
          </w:p>
        </w:tc>
        <w:tc>
          <w:tcPr>
            <w:tcW w:w="2019" w:type="dxa"/>
            <w:tcBorders>
              <w:top w:val="single" w:sz="8" w:space="0" w:color="4472C4" w:themeColor="accent1"/>
            </w:tcBorders>
          </w:tcPr>
          <w:p w14:paraId="30364989"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1.17 (1.15 to 1.20)</w:t>
            </w:r>
          </w:p>
        </w:tc>
        <w:tc>
          <w:tcPr>
            <w:tcW w:w="1805" w:type="dxa"/>
            <w:tcBorders>
              <w:top w:val="single" w:sz="8" w:space="0" w:color="4472C4" w:themeColor="accent1"/>
            </w:tcBorders>
          </w:tcPr>
          <w:p w14:paraId="2DAFE51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1.14 (1.11 to 1.18)</w:t>
            </w:r>
          </w:p>
        </w:tc>
        <w:tc>
          <w:tcPr>
            <w:tcW w:w="1842" w:type="dxa"/>
            <w:tcBorders>
              <w:top w:val="single" w:sz="8" w:space="0" w:color="4472C4" w:themeColor="accent1"/>
            </w:tcBorders>
          </w:tcPr>
          <w:p w14:paraId="4FF542EE"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1.14 (1.10 to 1.17)</w:t>
            </w:r>
          </w:p>
        </w:tc>
        <w:tc>
          <w:tcPr>
            <w:tcW w:w="2268" w:type="dxa"/>
            <w:tcBorders>
              <w:top w:val="single" w:sz="8" w:space="0" w:color="4472C4" w:themeColor="accent1"/>
            </w:tcBorders>
            <w:shd w:val="clear" w:color="auto" w:fill="auto"/>
          </w:tcPr>
          <w:p w14:paraId="0F15838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1.15 (1.11 to 1.18)</w:t>
            </w:r>
          </w:p>
        </w:tc>
      </w:tr>
      <w:tr w:rsidR="00FF22A4" w:rsidRPr="00A209A6" w14:paraId="7F8DAF6F" w14:textId="77777777" w:rsidTr="0057217D">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6FA784AD" w14:textId="77777777" w:rsidR="00C70691" w:rsidRPr="00A209A6" w:rsidRDefault="00C70691" w:rsidP="00A209A6">
            <w:pPr>
              <w:jc w:val="both"/>
              <w:rPr>
                <w:b w:val="0"/>
                <w:bCs w:val="0"/>
                <w:color w:val="000000" w:themeColor="text1"/>
                <w:sz w:val="20"/>
                <w:szCs w:val="20"/>
              </w:rPr>
            </w:pPr>
            <w:r w:rsidRPr="00A209A6">
              <w:rPr>
                <w:b w:val="0"/>
                <w:bCs w:val="0"/>
                <w:color w:val="000000" w:themeColor="text1"/>
                <w:sz w:val="20"/>
                <w:szCs w:val="20"/>
              </w:rPr>
              <w:t>p-value</w:t>
            </w:r>
          </w:p>
        </w:tc>
        <w:tc>
          <w:tcPr>
            <w:tcW w:w="1988" w:type="dxa"/>
          </w:tcPr>
          <w:p w14:paraId="0899C94D"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6.8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-48</w:t>
            </w:r>
          </w:p>
        </w:tc>
        <w:tc>
          <w:tcPr>
            <w:tcW w:w="2019" w:type="dxa"/>
          </w:tcPr>
          <w:p w14:paraId="0ECC4A8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6.4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-39</w:t>
            </w:r>
          </w:p>
        </w:tc>
        <w:tc>
          <w:tcPr>
            <w:tcW w:w="1805" w:type="dxa"/>
          </w:tcPr>
          <w:p w14:paraId="4E54797B"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2.9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-17</w:t>
            </w:r>
          </w:p>
        </w:tc>
        <w:tc>
          <w:tcPr>
            <w:tcW w:w="1842" w:type="dxa"/>
          </w:tcPr>
          <w:p w14:paraId="19C54C5C"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1.7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-16</w:t>
            </w:r>
          </w:p>
        </w:tc>
        <w:tc>
          <w:tcPr>
            <w:tcW w:w="2268" w:type="dxa"/>
            <w:shd w:val="clear" w:color="auto" w:fill="auto"/>
          </w:tcPr>
          <w:p w14:paraId="410F35BF" w14:textId="77777777" w:rsidR="00C70691" w:rsidRPr="00A209A6" w:rsidRDefault="00C70691" w:rsidP="00A209A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209A6">
              <w:rPr>
                <w:color w:val="000000" w:themeColor="text1"/>
                <w:sz w:val="20"/>
                <w:szCs w:val="20"/>
              </w:rPr>
              <w:t xml:space="preserve">3.1 </w:t>
            </w:r>
            <m:oMath>
              <m:r>
                <w:rPr>
                  <w:rFonts w:ascii="Cambria Math" w:hAnsi="Cambria Math"/>
                  <w:color w:val="000000" w:themeColor="text1"/>
                  <w:sz w:val="20"/>
                  <w:szCs w:val="20"/>
                  <w:lang w:val="en"/>
                </w:rPr>
                <m:t>×</m:t>
              </m:r>
            </m:oMath>
            <w:r w:rsidRPr="00A209A6">
              <w:rPr>
                <w:color w:val="000000" w:themeColor="text1"/>
                <w:sz w:val="20"/>
                <w:szCs w:val="20"/>
                <w:lang w:val="en"/>
              </w:rPr>
              <w:t>10</w:t>
            </w:r>
            <w:r w:rsidRPr="00A209A6">
              <w:rPr>
                <w:color w:val="000000" w:themeColor="text1"/>
                <w:sz w:val="20"/>
                <w:szCs w:val="20"/>
                <w:vertAlign w:val="superscript"/>
                <w:lang w:val="en"/>
              </w:rPr>
              <w:t>-18</w:t>
            </w:r>
          </w:p>
        </w:tc>
      </w:tr>
    </w:tbl>
    <w:p w14:paraId="6855D159" w14:textId="77777777" w:rsidR="00C70691" w:rsidRPr="00F34287" w:rsidRDefault="00C70691" w:rsidP="00C70691">
      <w:pPr>
        <w:rPr>
          <w:b/>
          <w:bCs/>
          <w:color w:val="000000" w:themeColor="text1"/>
          <w:sz w:val="20"/>
          <w:szCs w:val="20"/>
          <w:vertAlign w:val="superscript"/>
        </w:rPr>
      </w:pPr>
    </w:p>
    <w:p w14:paraId="7990275D" w14:textId="28A3A002" w:rsidR="00C70691" w:rsidRPr="00F34287" w:rsidRDefault="00C70691" w:rsidP="0057217D">
      <w:pPr>
        <w:spacing w:line="360" w:lineRule="auto"/>
        <w:rPr>
          <w:color w:val="000000" w:themeColor="text1"/>
          <w:sz w:val="20"/>
          <w:szCs w:val="20"/>
        </w:rPr>
        <w:sectPr w:rsidR="00C70691" w:rsidRPr="00F34287" w:rsidSect="00A209A6">
          <w:pgSz w:w="16840" w:h="11900" w:orient="landscape"/>
          <w:pgMar w:top="720" w:right="720" w:bottom="720" w:left="720" w:header="720" w:footer="720" w:gutter="0"/>
          <w:cols w:space="720"/>
          <w:titlePg/>
          <w:docGrid w:linePitch="360"/>
        </w:sectPr>
      </w:pPr>
      <w:r w:rsidRPr="00F34287">
        <w:rPr>
          <w:b/>
          <w:bCs/>
          <w:color w:val="000000" w:themeColor="text1"/>
          <w:sz w:val="20"/>
          <w:szCs w:val="20"/>
          <w:vertAlign w:val="superscript"/>
        </w:rPr>
        <w:t>†</w:t>
      </w:r>
      <w:r w:rsidRPr="00F34287">
        <w:rPr>
          <w:color w:val="000000" w:themeColor="text1"/>
          <w:sz w:val="20"/>
          <w:szCs w:val="20"/>
        </w:rPr>
        <w:t xml:space="preserve">Results are hazard ratio (95% confidence interval) for all-cause mortality and sub-distribution hazard ratio (95% confidence interval) for all other outcomes per 10 beat per minute increase in resting heart rate. Significance level is p-value &lt;0.0008. Those with prevalent MI have been excluded from analysis of incident AMI and fatal AMI. </w:t>
      </w:r>
      <w:r w:rsidRPr="00F34287">
        <w:rPr>
          <w:bCs/>
          <w:color w:val="000000" w:themeColor="text1"/>
          <w:sz w:val="20"/>
          <w:szCs w:val="20"/>
          <w:vertAlign w:val="superscript"/>
        </w:rPr>
        <w:t>*</w:t>
      </w:r>
      <w:r w:rsidRPr="00F34287">
        <w:rPr>
          <w:bCs/>
          <w:color w:val="000000" w:themeColor="text1"/>
          <w:sz w:val="20"/>
          <w:szCs w:val="20"/>
        </w:rPr>
        <w:t xml:space="preserve"> CVD risk factors </w:t>
      </w:r>
      <w:proofErr w:type="gramStart"/>
      <w:r w:rsidRPr="00F34287">
        <w:rPr>
          <w:bCs/>
          <w:color w:val="000000" w:themeColor="text1"/>
          <w:sz w:val="20"/>
          <w:szCs w:val="20"/>
        </w:rPr>
        <w:t>include:</w:t>
      </w:r>
      <w:proofErr w:type="gramEnd"/>
      <w:r w:rsidRPr="00F34287">
        <w:rPr>
          <w:bCs/>
          <w:color w:val="000000" w:themeColor="text1"/>
          <w:sz w:val="20"/>
          <w:szCs w:val="20"/>
        </w:rPr>
        <w:t xml:space="preserve"> diabetes, hypertension, hypercholesterolaemia, Townsend deprivation index. </w:t>
      </w:r>
      <w:r w:rsidRPr="00F34287">
        <w:rPr>
          <w:bCs/>
          <w:color w:val="000000" w:themeColor="text1"/>
          <w:sz w:val="20"/>
          <w:szCs w:val="20"/>
          <w:vertAlign w:val="superscript"/>
        </w:rPr>
        <w:t>**</w:t>
      </w:r>
      <w:r w:rsidRPr="00F34287">
        <w:rPr>
          <w:bCs/>
          <w:color w:val="000000" w:themeColor="text1"/>
          <w:sz w:val="20"/>
          <w:szCs w:val="20"/>
        </w:rPr>
        <w:t xml:space="preserve">rate modifying medications include: betablockers, non-dihydropyridine calcium channel blockers, oral nitrates, digoxin, flecainide, amiodarone. </w:t>
      </w:r>
      <w:r w:rsidRPr="00F34287">
        <w:rPr>
          <w:color w:val="000000" w:themeColor="text1"/>
          <w:sz w:val="20"/>
          <w:szCs w:val="20"/>
        </w:rPr>
        <w:t>AMI: acute myocardial infarction; BMI: body mass index; CVD: cardiovascular disease; IHD: ischaemic heart disease</w:t>
      </w:r>
    </w:p>
    <w:p w14:paraId="642FCA15" w14:textId="637F210E" w:rsidR="00BB2A10" w:rsidRPr="00F34287" w:rsidRDefault="00BB2A10" w:rsidP="00BA3555">
      <w:pPr>
        <w:spacing w:line="480" w:lineRule="auto"/>
        <w:jc w:val="both"/>
        <w:rPr>
          <w:b/>
          <w:bCs/>
          <w:color w:val="000000" w:themeColor="text1"/>
          <w:sz w:val="32"/>
          <w:szCs w:val="32"/>
        </w:rPr>
      </w:pPr>
      <w:r w:rsidRPr="00F34287">
        <w:rPr>
          <w:b/>
          <w:bCs/>
          <w:color w:val="000000" w:themeColor="text1"/>
          <w:sz w:val="32"/>
          <w:szCs w:val="32"/>
        </w:rPr>
        <w:lastRenderedPageBreak/>
        <w:t>Test for non-linearity of RHR effect</w:t>
      </w:r>
    </w:p>
    <w:p w14:paraId="1F17D8F0" w14:textId="1233A82E" w:rsidR="00BB2A10" w:rsidRPr="00F34287" w:rsidRDefault="00BB2A10" w:rsidP="00BA3555">
      <w:pPr>
        <w:spacing w:line="480" w:lineRule="auto"/>
        <w:rPr>
          <w:color w:val="000000" w:themeColor="text1"/>
          <w:sz w:val="22"/>
          <w:szCs w:val="22"/>
        </w:rPr>
      </w:pPr>
      <w:r w:rsidRPr="00F34287">
        <w:rPr>
          <w:color w:val="000000" w:themeColor="text1"/>
          <w:sz w:val="22"/>
          <w:szCs w:val="22"/>
          <w:shd w:val="clear" w:color="auto" w:fill="FFFFFF"/>
        </w:rPr>
        <w:t xml:space="preserve">There was non-linearity in the effect of RHR on incident AMI in women (non-linear vs linear model: p-value=0.002). There was no evidence of non-linearity </w:t>
      </w:r>
      <w:r w:rsidR="00CC1EAA" w:rsidRPr="00F34287">
        <w:rPr>
          <w:color w:val="000000" w:themeColor="text1"/>
          <w:sz w:val="22"/>
          <w:szCs w:val="22"/>
          <w:shd w:val="clear" w:color="auto" w:fill="FFFFFF"/>
        </w:rPr>
        <w:t>in</w:t>
      </w:r>
      <w:r w:rsidRPr="00F34287">
        <w:rPr>
          <w:color w:val="000000" w:themeColor="text1"/>
          <w:sz w:val="22"/>
          <w:szCs w:val="22"/>
          <w:shd w:val="clear" w:color="auto" w:fill="FFFFFF"/>
        </w:rPr>
        <w:t xml:space="preserve"> RHR effect </w:t>
      </w:r>
      <w:r w:rsidR="00CC1EAA" w:rsidRPr="00F34287">
        <w:rPr>
          <w:color w:val="000000" w:themeColor="text1"/>
          <w:sz w:val="22"/>
          <w:szCs w:val="22"/>
          <w:shd w:val="clear" w:color="auto" w:fill="FFFFFF"/>
        </w:rPr>
        <w:t xml:space="preserve">for </w:t>
      </w:r>
      <w:r w:rsidRPr="00F34287">
        <w:rPr>
          <w:color w:val="000000" w:themeColor="text1"/>
          <w:sz w:val="22"/>
          <w:szCs w:val="22"/>
          <w:shd w:val="clear" w:color="auto" w:fill="FFFFFF"/>
        </w:rPr>
        <w:t>any the other outcome</w:t>
      </w:r>
      <w:r w:rsidR="0097072E" w:rsidRPr="00F34287">
        <w:rPr>
          <w:color w:val="000000" w:themeColor="text1"/>
          <w:sz w:val="22"/>
          <w:szCs w:val="22"/>
          <w:shd w:val="clear" w:color="auto" w:fill="FFFFFF"/>
        </w:rPr>
        <w:t>, or for incident AMI in men</w:t>
      </w:r>
      <w:r w:rsidRPr="00F34287">
        <w:rPr>
          <w:color w:val="000000" w:themeColor="text1"/>
          <w:sz w:val="22"/>
          <w:szCs w:val="22"/>
          <w:shd w:val="clear" w:color="auto" w:fill="FFFFFF"/>
        </w:rPr>
        <w:t xml:space="preserve"> (Supplementary Table </w:t>
      </w:r>
      <w:r w:rsidR="00A01ED3" w:rsidRPr="00F34287">
        <w:rPr>
          <w:color w:val="000000" w:themeColor="text1"/>
          <w:sz w:val="22"/>
          <w:szCs w:val="22"/>
          <w:shd w:val="clear" w:color="auto" w:fill="FFFFFF"/>
        </w:rPr>
        <w:t>4</w:t>
      </w:r>
      <w:r w:rsidRPr="00F34287">
        <w:rPr>
          <w:color w:val="000000" w:themeColor="text1"/>
          <w:sz w:val="22"/>
          <w:szCs w:val="22"/>
          <w:shd w:val="clear" w:color="auto" w:fill="FFFFFF"/>
        </w:rPr>
        <w:t>).</w:t>
      </w:r>
    </w:p>
    <w:p w14:paraId="78CA1D2C" w14:textId="77777777" w:rsidR="00256C22" w:rsidRPr="00F34287" w:rsidRDefault="00256C22" w:rsidP="00BA3555">
      <w:pPr>
        <w:spacing w:after="120" w:line="480" w:lineRule="auto"/>
        <w:rPr>
          <w:color w:val="000000" w:themeColor="text1"/>
          <w:sz w:val="22"/>
          <w:szCs w:val="22"/>
        </w:rPr>
      </w:pPr>
    </w:p>
    <w:p w14:paraId="44C3C921" w14:textId="0261FD45" w:rsidR="00A50E68" w:rsidRPr="00F34287" w:rsidRDefault="00A50E68" w:rsidP="00BA3555">
      <w:pPr>
        <w:spacing w:after="120" w:line="480" w:lineRule="auto"/>
        <w:rPr>
          <w:b/>
          <w:bCs/>
          <w:iCs/>
          <w:color w:val="000000" w:themeColor="text1"/>
          <w:sz w:val="32"/>
          <w:szCs w:val="32"/>
        </w:rPr>
      </w:pPr>
      <w:r w:rsidRPr="00F34287">
        <w:rPr>
          <w:b/>
          <w:bCs/>
          <w:iCs/>
          <w:color w:val="000000" w:themeColor="text1"/>
          <w:sz w:val="32"/>
          <w:szCs w:val="32"/>
        </w:rPr>
        <w:t xml:space="preserve">Association between </w:t>
      </w:r>
      <w:r w:rsidR="00A26985" w:rsidRPr="00F34287">
        <w:rPr>
          <w:b/>
          <w:bCs/>
          <w:iCs/>
          <w:color w:val="000000" w:themeColor="text1"/>
          <w:sz w:val="32"/>
          <w:szCs w:val="32"/>
        </w:rPr>
        <w:t>RHR and all-cause mortality</w:t>
      </w:r>
    </w:p>
    <w:p w14:paraId="70E29D41" w14:textId="0C829489" w:rsidR="009C5A5A" w:rsidRPr="00F34287" w:rsidRDefault="009733B2" w:rsidP="00BA3555">
      <w:pPr>
        <w:spacing w:line="480" w:lineRule="auto"/>
        <w:rPr>
          <w:bCs/>
          <w:color w:val="000000" w:themeColor="text1"/>
          <w:sz w:val="22"/>
          <w:szCs w:val="22"/>
        </w:rPr>
      </w:pPr>
      <w:r w:rsidRPr="00F34287">
        <w:rPr>
          <w:iCs/>
          <w:color w:val="000000" w:themeColor="text1"/>
          <w:sz w:val="22"/>
          <w:szCs w:val="22"/>
        </w:rPr>
        <w:t xml:space="preserve">RHR was </w:t>
      </w:r>
      <w:r w:rsidR="00B436C4" w:rsidRPr="00F34287">
        <w:rPr>
          <w:iCs/>
          <w:color w:val="000000" w:themeColor="text1"/>
          <w:sz w:val="22"/>
          <w:szCs w:val="22"/>
        </w:rPr>
        <w:t xml:space="preserve">positively </w:t>
      </w:r>
      <w:r w:rsidRPr="00F34287">
        <w:rPr>
          <w:iCs/>
          <w:color w:val="000000" w:themeColor="text1"/>
          <w:sz w:val="22"/>
          <w:szCs w:val="22"/>
        </w:rPr>
        <w:t xml:space="preserve">associated with all-cause mortality in both men and women (Table </w:t>
      </w:r>
      <w:r w:rsidR="00910EAA" w:rsidRPr="00F34287">
        <w:rPr>
          <w:iCs/>
          <w:color w:val="000000" w:themeColor="text1"/>
          <w:sz w:val="22"/>
          <w:szCs w:val="22"/>
        </w:rPr>
        <w:t>3</w:t>
      </w:r>
      <w:r w:rsidRPr="00F34287">
        <w:rPr>
          <w:iCs/>
          <w:color w:val="000000" w:themeColor="text1"/>
          <w:sz w:val="22"/>
          <w:szCs w:val="22"/>
        </w:rPr>
        <w:t xml:space="preserve">). </w:t>
      </w:r>
      <w:r w:rsidR="009C5A5A" w:rsidRPr="00F34287">
        <w:rPr>
          <w:iCs/>
          <w:color w:val="000000" w:themeColor="text1"/>
          <w:sz w:val="22"/>
          <w:szCs w:val="22"/>
        </w:rPr>
        <w:t xml:space="preserve">In the fully adjusted model, a 10bpm </w:t>
      </w:r>
      <w:r w:rsidR="005503C0" w:rsidRPr="00F34287">
        <w:rPr>
          <w:iCs/>
          <w:color w:val="000000" w:themeColor="text1"/>
          <w:sz w:val="22"/>
          <w:szCs w:val="22"/>
        </w:rPr>
        <w:t>increase of</w:t>
      </w:r>
      <w:r w:rsidR="009C5A5A" w:rsidRPr="00F34287">
        <w:rPr>
          <w:iCs/>
          <w:color w:val="000000" w:themeColor="text1"/>
          <w:sz w:val="22"/>
          <w:szCs w:val="22"/>
        </w:rPr>
        <w:t xml:space="preserve"> RHR was associated with 22% </w:t>
      </w:r>
      <w:r w:rsidR="005503C0" w:rsidRPr="00F34287">
        <w:rPr>
          <w:iCs/>
          <w:color w:val="000000" w:themeColor="text1"/>
          <w:sz w:val="22"/>
          <w:szCs w:val="22"/>
        </w:rPr>
        <w:t xml:space="preserve">(HR </w:t>
      </w:r>
      <w:r w:rsidR="005503C0" w:rsidRPr="00F34287">
        <w:rPr>
          <w:bCs/>
          <w:color w:val="000000" w:themeColor="text1"/>
          <w:sz w:val="22"/>
          <w:szCs w:val="22"/>
        </w:rPr>
        <w:t xml:space="preserve">1.22, CI 1.20-1.24, p=3 </w:t>
      </w:r>
      <m:oMath>
        <m:r>
          <w:rPr>
            <w:rFonts w:ascii="Cambria Math" w:hAnsi="Cambria Math"/>
            <w:color w:val="000000" w:themeColor="text1"/>
            <w:sz w:val="22"/>
            <w:szCs w:val="22"/>
            <w:lang w:val="en"/>
          </w:rPr>
          <m:t>×</m:t>
        </m:r>
      </m:oMath>
      <w:r w:rsidR="005503C0" w:rsidRPr="00F34287">
        <w:rPr>
          <w:color w:val="000000" w:themeColor="text1"/>
          <w:sz w:val="22"/>
          <w:szCs w:val="22"/>
          <w:lang w:val="en"/>
        </w:rPr>
        <w:t>10</w:t>
      </w:r>
      <w:r w:rsidR="005503C0" w:rsidRPr="00F34287">
        <w:rPr>
          <w:color w:val="000000" w:themeColor="text1"/>
          <w:sz w:val="22"/>
          <w:szCs w:val="22"/>
          <w:vertAlign w:val="superscript"/>
          <w:lang w:val="en"/>
        </w:rPr>
        <w:t>-123</w:t>
      </w:r>
      <w:r w:rsidR="005503C0" w:rsidRPr="00F34287">
        <w:rPr>
          <w:bCs/>
          <w:color w:val="000000" w:themeColor="text1"/>
          <w:sz w:val="22"/>
          <w:szCs w:val="22"/>
        </w:rPr>
        <w:t>)</w:t>
      </w:r>
      <w:r w:rsidR="005503C0" w:rsidRPr="00F34287">
        <w:rPr>
          <w:iCs/>
          <w:color w:val="000000" w:themeColor="text1"/>
          <w:sz w:val="22"/>
          <w:szCs w:val="22"/>
        </w:rPr>
        <w:t xml:space="preserve"> </w:t>
      </w:r>
      <w:r w:rsidR="005503C0" w:rsidRPr="00F34287">
        <w:rPr>
          <w:bCs/>
          <w:color w:val="000000" w:themeColor="text1"/>
          <w:sz w:val="22"/>
          <w:szCs w:val="22"/>
        </w:rPr>
        <w:t xml:space="preserve">greater </w:t>
      </w:r>
      <w:r w:rsidR="009C5A5A" w:rsidRPr="00F34287">
        <w:rPr>
          <w:iCs/>
          <w:color w:val="000000" w:themeColor="text1"/>
          <w:sz w:val="22"/>
          <w:szCs w:val="22"/>
        </w:rPr>
        <w:t>hazard of all-cause mortality in men</w:t>
      </w:r>
      <w:r w:rsidR="005503C0" w:rsidRPr="00F34287">
        <w:rPr>
          <w:iCs/>
          <w:color w:val="000000" w:themeColor="text1"/>
          <w:sz w:val="22"/>
          <w:szCs w:val="22"/>
        </w:rPr>
        <w:t xml:space="preserve"> </w:t>
      </w:r>
      <w:r w:rsidR="009C5A5A" w:rsidRPr="00F34287">
        <w:rPr>
          <w:bCs/>
          <w:color w:val="000000" w:themeColor="text1"/>
          <w:sz w:val="22"/>
          <w:szCs w:val="22"/>
        </w:rPr>
        <w:t>and 19%</w:t>
      </w:r>
      <w:r w:rsidR="00764CAA" w:rsidRPr="00F34287">
        <w:rPr>
          <w:bCs/>
          <w:color w:val="000000" w:themeColor="text1"/>
          <w:sz w:val="22"/>
          <w:szCs w:val="22"/>
        </w:rPr>
        <w:t xml:space="preserve"> </w:t>
      </w:r>
      <w:r w:rsidR="005503C0" w:rsidRPr="00F34287">
        <w:rPr>
          <w:bCs/>
          <w:color w:val="000000" w:themeColor="text1"/>
          <w:sz w:val="22"/>
          <w:szCs w:val="22"/>
        </w:rPr>
        <w:t xml:space="preserve">(HR 1.19, CI 1.16-1.22, p=8.9 </w:t>
      </w:r>
      <m:oMath>
        <m:r>
          <w:rPr>
            <w:rFonts w:ascii="Cambria Math" w:hAnsi="Cambria Math"/>
            <w:color w:val="000000" w:themeColor="text1"/>
            <w:sz w:val="22"/>
            <w:szCs w:val="22"/>
            <w:lang w:val="en"/>
          </w:rPr>
          <m:t>×</m:t>
        </m:r>
      </m:oMath>
      <w:r w:rsidR="005503C0" w:rsidRPr="00F34287">
        <w:rPr>
          <w:color w:val="000000" w:themeColor="text1"/>
          <w:sz w:val="22"/>
          <w:szCs w:val="22"/>
          <w:lang w:val="en"/>
        </w:rPr>
        <w:t>10</w:t>
      </w:r>
      <w:r w:rsidR="005503C0" w:rsidRPr="00F34287">
        <w:rPr>
          <w:color w:val="000000" w:themeColor="text1"/>
          <w:sz w:val="22"/>
          <w:szCs w:val="22"/>
          <w:vertAlign w:val="superscript"/>
          <w:lang w:val="en"/>
        </w:rPr>
        <w:t>-45</w:t>
      </w:r>
      <w:r w:rsidR="005503C0" w:rsidRPr="00F34287">
        <w:rPr>
          <w:bCs/>
          <w:color w:val="000000" w:themeColor="text1"/>
          <w:sz w:val="22"/>
          <w:szCs w:val="22"/>
        </w:rPr>
        <w:t xml:space="preserve">) </w:t>
      </w:r>
      <w:r w:rsidR="00E25BFB" w:rsidRPr="00F34287">
        <w:rPr>
          <w:bCs/>
          <w:color w:val="000000" w:themeColor="text1"/>
          <w:sz w:val="22"/>
          <w:szCs w:val="22"/>
        </w:rPr>
        <w:t xml:space="preserve">greater </w:t>
      </w:r>
      <w:r w:rsidR="009C5A5A" w:rsidRPr="00F34287">
        <w:rPr>
          <w:bCs/>
          <w:color w:val="000000" w:themeColor="text1"/>
          <w:sz w:val="22"/>
          <w:szCs w:val="22"/>
        </w:rPr>
        <w:t>hazard in women.</w:t>
      </w:r>
    </w:p>
    <w:p w14:paraId="4A63AA30" w14:textId="1322C2AD" w:rsidR="004A72FC" w:rsidRPr="00F34287" w:rsidRDefault="005503C0" w:rsidP="00BA3555">
      <w:pPr>
        <w:spacing w:line="480" w:lineRule="auto"/>
        <w:rPr>
          <w:bCs/>
          <w:color w:val="000000" w:themeColor="text1"/>
          <w:sz w:val="22"/>
          <w:szCs w:val="22"/>
        </w:rPr>
      </w:pPr>
      <w:r w:rsidRPr="00F34287">
        <w:rPr>
          <w:bCs/>
          <w:color w:val="000000" w:themeColor="text1"/>
          <w:sz w:val="22"/>
          <w:szCs w:val="22"/>
        </w:rPr>
        <w:t xml:space="preserve"> </w:t>
      </w:r>
    </w:p>
    <w:p w14:paraId="66AD4F99" w14:textId="7B188D65" w:rsidR="00160DDF" w:rsidRPr="00F34287" w:rsidRDefault="00160DDF" w:rsidP="00BA3555">
      <w:pPr>
        <w:spacing w:after="120" w:line="480" w:lineRule="auto"/>
        <w:rPr>
          <w:b/>
          <w:bCs/>
          <w:iCs/>
          <w:color w:val="000000" w:themeColor="text1"/>
          <w:sz w:val="32"/>
          <w:szCs w:val="32"/>
        </w:rPr>
      </w:pPr>
      <w:r w:rsidRPr="00F34287">
        <w:rPr>
          <w:b/>
          <w:bCs/>
          <w:iCs/>
          <w:color w:val="000000" w:themeColor="text1"/>
          <w:sz w:val="32"/>
          <w:szCs w:val="32"/>
        </w:rPr>
        <w:t xml:space="preserve">Associations between RHR and </w:t>
      </w:r>
      <w:r w:rsidR="009733B2" w:rsidRPr="00F34287">
        <w:rPr>
          <w:b/>
          <w:bCs/>
          <w:iCs/>
          <w:color w:val="000000" w:themeColor="text1"/>
          <w:sz w:val="32"/>
          <w:szCs w:val="32"/>
        </w:rPr>
        <w:t>cardiovascular outcomes</w:t>
      </w:r>
    </w:p>
    <w:p w14:paraId="51852240" w14:textId="34319B91" w:rsidR="00160DDF" w:rsidRPr="00F34287" w:rsidRDefault="000E1800" w:rsidP="00BA3555">
      <w:pPr>
        <w:spacing w:line="480" w:lineRule="auto"/>
        <w:rPr>
          <w:bCs/>
          <w:color w:val="000000" w:themeColor="text1"/>
          <w:sz w:val="22"/>
          <w:szCs w:val="22"/>
        </w:rPr>
      </w:pPr>
      <w:r w:rsidRPr="00F34287">
        <w:rPr>
          <w:bCs/>
          <w:color w:val="000000" w:themeColor="text1"/>
          <w:sz w:val="22"/>
          <w:szCs w:val="22"/>
        </w:rPr>
        <w:t xml:space="preserve">In both men and women, higher RHR was associated with increased hazard of CVD mortality. </w:t>
      </w:r>
      <w:r w:rsidR="009C5A5A" w:rsidRPr="00F34287">
        <w:rPr>
          <w:bCs/>
          <w:color w:val="000000" w:themeColor="text1"/>
          <w:sz w:val="22"/>
          <w:szCs w:val="22"/>
        </w:rPr>
        <w:t xml:space="preserve">Every 10bpm </w:t>
      </w:r>
      <w:r w:rsidRPr="00F34287">
        <w:rPr>
          <w:bCs/>
          <w:color w:val="000000" w:themeColor="text1"/>
          <w:sz w:val="22"/>
          <w:szCs w:val="22"/>
        </w:rPr>
        <w:t xml:space="preserve">increase of </w:t>
      </w:r>
      <w:r w:rsidR="009C5A5A" w:rsidRPr="00F34287">
        <w:rPr>
          <w:bCs/>
          <w:color w:val="000000" w:themeColor="text1"/>
          <w:sz w:val="22"/>
          <w:szCs w:val="22"/>
        </w:rPr>
        <w:t xml:space="preserve">RHR was associated with 17% </w:t>
      </w:r>
      <w:r w:rsidR="00764CAA" w:rsidRPr="00F34287">
        <w:rPr>
          <w:color w:val="000000" w:themeColor="text1"/>
          <w:sz w:val="22"/>
          <w:szCs w:val="22"/>
          <w:lang w:val="en"/>
        </w:rPr>
        <w:t xml:space="preserve">(SHR </w:t>
      </w:r>
      <w:r w:rsidR="00764CAA" w:rsidRPr="00F34287">
        <w:rPr>
          <w:bCs/>
          <w:color w:val="000000" w:themeColor="text1"/>
          <w:sz w:val="22"/>
          <w:szCs w:val="22"/>
        </w:rPr>
        <w:t xml:space="preserve">1.17, CI 1.13-1.21, p-value 5.6 </w:t>
      </w:r>
      <m:oMath>
        <m:r>
          <w:rPr>
            <w:rFonts w:ascii="Cambria Math" w:hAnsi="Cambria Math"/>
            <w:color w:val="000000" w:themeColor="text1"/>
            <w:sz w:val="22"/>
            <w:szCs w:val="22"/>
            <w:lang w:val="en"/>
          </w:rPr>
          <m:t>×</m:t>
        </m:r>
      </m:oMath>
      <w:r w:rsidR="00764CAA" w:rsidRPr="00F34287">
        <w:rPr>
          <w:color w:val="000000" w:themeColor="text1"/>
          <w:sz w:val="22"/>
          <w:szCs w:val="22"/>
          <w:lang w:val="en"/>
        </w:rPr>
        <w:t>10</w:t>
      </w:r>
      <w:r w:rsidR="00764CAA" w:rsidRPr="00F34287">
        <w:rPr>
          <w:color w:val="000000" w:themeColor="text1"/>
          <w:sz w:val="22"/>
          <w:szCs w:val="22"/>
          <w:vertAlign w:val="superscript"/>
          <w:lang w:val="en"/>
        </w:rPr>
        <w:t>-18</w:t>
      </w:r>
      <w:r w:rsidR="00764CAA" w:rsidRPr="00F34287">
        <w:rPr>
          <w:iCs/>
          <w:color w:val="000000" w:themeColor="text1"/>
          <w:sz w:val="22"/>
          <w:szCs w:val="22"/>
        </w:rPr>
        <w:t xml:space="preserve">) </w:t>
      </w:r>
      <w:r w:rsidR="00EA53F0" w:rsidRPr="00F34287">
        <w:rPr>
          <w:bCs/>
          <w:color w:val="000000" w:themeColor="text1"/>
          <w:sz w:val="22"/>
          <w:szCs w:val="22"/>
        </w:rPr>
        <w:t xml:space="preserve">greater </w:t>
      </w:r>
      <w:r w:rsidR="003A1453" w:rsidRPr="00F34287">
        <w:rPr>
          <w:bCs/>
          <w:color w:val="000000" w:themeColor="text1"/>
          <w:sz w:val="22"/>
          <w:szCs w:val="22"/>
        </w:rPr>
        <w:t>hazard</w:t>
      </w:r>
      <w:r w:rsidR="009C5A5A" w:rsidRPr="00F34287">
        <w:rPr>
          <w:bCs/>
          <w:color w:val="000000" w:themeColor="text1"/>
          <w:sz w:val="22"/>
          <w:szCs w:val="22"/>
        </w:rPr>
        <w:t xml:space="preserve"> of CVD </w:t>
      </w:r>
      <w:r w:rsidRPr="00F34287">
        <w:rPr>
          <w:bCs/>
          <w:color w:val="000000" w:themeColor="text1"/>
          <w:sz w:val="22"/>
          <w:szCs w:val="22"/>
        </w:rPr>
        <w:t>mortality</w:t>
      </w:r>
      <w:r w:rsidR="009C5A5A" w:rsidRPr="00F34287">
        <w:rPr>
          <w:bCs/>
          <w:color w:val="000000" w:themeColor="text1"/>
          <w:sz w:val="22"/>
          <w:szCs w:val="22"/>
        </w:rPr>
        <w:t xml:space="preserve"> in men </w:t>
      </w:r>
      <w:r w:rsidR="009C5A5A" w:rsidRPr="00F34287">
        <w:rPr>
          <w:iCs/>
          <w:color w:val="000000" w:themeColor="text1"/>
          <w:sz w:val="22"/>
          <w:szCs w:val="22"/>
        </w:rPr>
        <w:t xml:space="preserve">and 14% </w:t>
      </w:r>
      <w:r w:rsidR="00764CAA" w:rsidRPr="00F34287">
        <w:rPr>
          <w:iCs/>
          <w:color w:val="000000" w:themeColor="text1"/>
          <w:sz w:val="22"/>
          <w:szCs w:val="22"/>
        </w:rPr>
        <w:t xml:space="preserve">(SHR </w:t>
      </w:r>
      <w:r w:rsidR="00764CAA" w:rsidRPr="00F34287">
        <w:rPr>
          <w:bCs/>
          <w:color w:val="000000" w:themeColor="text1"/>
          <w:sz w:val="22"/>
          <w:szCs w:val="22"/>
        </w:rPr>
        <w:t xml:space="preserve">1.14, CI 1.07-1.22, p-value 0.00008) </w:t>
      </w:r>
      <w:r w:rsidR="00B01D1C" w:rsidRPr="00F34287">
        <w:rPr>
          <w:iCs/>
          <w:color w:val="000000" w:themeColor="text1"/>
          <w:sz w:val="22"/>
          <w:szCs w:val="22"/>
        </w:rPr>
        <w:t xml:space="preserve">greater </w:t>
      </w:r>
      <w:r w:rsidR="008721B8" w:rsidRPr="00F34287">
        <w:rPr>
          <w:iCs/>
          <w:color w:val="000000" w:themeColor="text1"/>
          <w:sz w:val="22"/>
          <w:szCs w:val="22"/>
        </w:rPr>
        <w:t xml:space="preserve">hazard </w:t>
      </w:r>
      <w:r w:rsidR="009C5A5A" w:rsidRPr="00F34287">
        <w:rPr>
          <w:iCs/>
          <w:color w:val="000000" w:themeColor="text1"/>
          <w:sz w:val="22"/>
          <w:szCs w:val="22"/>
        </w:rPr>
        <w:t>in women</w:t>
      </w:r>
      <w:r w:rsidR="009C5A5A" w:rsidRPr="00F34287">
        <w:rPr>
          <w:bCs/>
          <w:color w:val="000000" w:themeColor="text1"/>
          <w:sz w:val="22"/>
          <w:szCs w:val="22"/>
        </w:rPr>
        <w:t xml:space="preserve">. Ischaemic aetiology was a significant </w:t>
      </w:r>
      <w:r w:rsidRPr="00F34287">
        <w:rPr>
          <w:bCs/>
          <w:color w:val="000000" w:themeColor="text1"/>
          <w:sz w:val="22"/>
          <w:szCs w:val="22"/>
        </w:rPr>
        <w:t>driver of</w:t>
      </w:r>
      <w:r w:rsidR="009C5A5A" w:rsidRPr="00F34287">
        <w:rPr>
          <w:bCs/>
          <w:color w:val="000000" w:themeColor="text1"/>
          <w:sz w:val="22"/>
          <w:szCs w:val="22"/>
        </w:rPr>
        <w:t xml:space="preserve"> this relationship </w:t>
      </w:r>
      <w:r w:rsidRPr="00F34287">
        <w:rPr>
          <w:bCs/>
          <w:color w:val="000000" w:themeColor="text1"/>
          <w:sz w:val="22"/>
          <w:szCs w:val="22"/>
        </w:rPr>
        <w:t>in men</w:t>
      </w:r>
      <w:r w:rsidR="00C052FA" w:rsidRPr="00F34287">
        <w:rPr>
          <w:bCs/>
          <w:color w:val="000000" w:themeColor="text1"/>
          <w:sz w:val="22"/>
          <w:szCs w:val="22"/>
        </w:rPr>
        <w:t xml:space="preserve">: </w:t>
      </w:r>
      <w:r w:rsidR="009C5A5A" w:rsidRPr="00F34287">
        <w:rPr>
          <w:bCs/>
          <w:color w:val="000000" w:themeColor="text1"/>
          <w:sz w:val="22"/>
          <w:szCs w:val="22"/>
        </w:rPr>
        <w:t>14%</w:t>
      </w:r>
      <w:r w:rsidR="00764CAA" w:rsidRPr="00F34287">
        <w:rPr>
          <w:bCs/>
          <w:color w:val="000000" w:themeColor="text1"/>
          <w:sz w:val="22"/>
          <w:szCs w:val="22"/>
        </w:rPr>
        <w:t xml:space="preserve"> (SHR 1.14, CI 1.09-1.19, p-value 1.2 </w:t>
      </w:r>
      <m:oMath>
        <m:r>
          <w:rPr>
            <w:rFonts w:ascii="Cambria Math" w:hAnsi="Cambria Math"/>
            <w:color w:val="000000" w:themeColor="text1"/>
            <w:sz w:val="22"/>
            <w:szCs w:val="22"/>
            <w:lang w:val="en"/>
          </w:rPr>
          <m:t>×</m:t>
        </m:r>
      </m:oMath>
      <w:r w:rsidR="00764CAA" w:rsidRPr="00F34287">
        <w:rPr>
          <w:color w:val="000000" w:themeColor="text1"/>
          <w:sz w:val="22"/>
          <w:szCs w:val="22"/>
          <w:lang w:val="en"/>
        </w:rPr>
        <w:t>10</w:t>
      </w:r>
      <w:r w:rsidR="00764CAA" w:rsidRPr="00F34287">
        <w:rPr>
          <w:color w:val="000000" w:themeColor="text1"/>
          <w:sz w:val="22"/>
          <w:szCs w:val="22"/>
          <w:vertAlign w:val="superscript"/>
          <w:lang w:val="en"/>
        </w:rPr>
        <w:t>-8</w:t>
      </w:r>
      <w:r w:rsidR="00764CAA" w:rsidRPr="00F34287">
        <w:rPr>
          <w:bCs/>
          <w:color w:val="000000" w:themeColor="text1"/>
          <w:sz w:val="22"/>
          <w:szCs w:val="22"/>
        </w:rPr>
        <w:t xml:space="preserve">) </w:t>
      </w:r>
      <w:r w:rsidR="00B01D1C" w:rsidRPr="00F34287">
        <w:rPr>
          <w:bCs/>
          <w:color w:val="000000" w:themeColor="text1"/>
          <w:sz w:val="22"/>
          <w:szCs w:val="22"/>
        </w:rPr>
        <w:t xml:space="preserve">greater </w:t>
      </w:r>
      <w:r w:rsidR="009733B2" w:rsidRPr="00F34287">
        <w:rPr>
          <w:bCs/>
          <w:color w:val="000000" w:themeColor="text1"/>
          <w:sz w:val="22"/>
          <w:szCs w:val="22"/>
        </w:rPr>
        <w:t>hazard</w:t>
      </w:r>
      <w:r w:rsidR="009C5A5A" w:rsidRPr="00F34287">
        <w:rPr>
          <w:bCs/>
          <w:color w:val="000000" w:themeColor="text1"/>
          <w:sz w:val="22"/>
          <w:szCs w:val="22"/>
        </w:rPr>
        <w:t xml:space="preserve"> of IHD mortality</w:t>
      </w:r>
      <w:r w:rsidR="003A1453" w:rsidRPr="00F34287">
        <w:rPr>
          <w:bCs/>
          <w:color w:val="000000" w:themeColor="text1"/>
          <w:sz w:val="22"/>
          <w:szCs w:val="22"/>
        </w:rPr>
        <w:t xml:space="preserve">, 5% </w:t>
      </w:r>
      <w:r w:rsidR="00764CAA" w:rsidRPr="00F34287">
        <w:rPr>
          <w:bCs/>
          <w:color w:val="000000" w:themeColor="text1"/>
          <w:sz w:val="22"/>
          <w:szCs w:val="22"/>
        </w:rPr>
        <w:t xml:space="preserve">(SHR 1.05,  CI 1.02-1.07, p-value 0.0003) </w:t>
      </w:r>
      <w:r w:rsidR="00B01D1C" w:rsidRPr="00F34287">
        <w:rPr>
          <w:bCs/>
          <w:color w:val="000000" w:themeColor="text1"/>
          <w:sz w:val="22"/>
          <w:szCs w:val="22"/>
        </w:rPr>
        <w:t xml:space="preserve">greater </w:t>
      </w:r>
      <w:r w:rsidR="003A1453" w:rsidRPr="00F34287">
        <w:rPr>
          <w:bCs/>
          <w:color w:val="000000" w:themeColor="text1"/>
          <w:sz w:val="22"/>
          <w:szCs w:val="22"/>
        </w:rPr>
        <w:t xml:space="preserve">hazard of </w:t>
      </w:r>
      <w:r w:rsidRPr="00F34287">
        <w:rPr>
          <w:bCs/>
          <w:color w:val="000000" w:themeColor="text1"/>
          <w:sz w:val="22"/>
          <w:szCs w:val="22"/>
        </w:rPr>
        <w:t xml:space="preserve">incident </w:t>
      </w:r>
      <w:r w:rsidR="003A1453" w:rsidRPr="00F34287">
        <w:rPr>
          <w:bCs/>
          <w:color w:val="000000" w:themeColor="text1"/>
          <w:sz w:val="22"/>
          <w:szCs w:val="22"/>
        </w:rPr>
        <w:t>AMI, and 12% (</w:t>
      </w:r>
      <w:r w:rsidR="000B0509" w:rsidRPr="00F34287">
        <w:rPr>
          <w:bCs/>
          <w:color w:val="000000" w:themeColor="text1"/>
          <w:sz w:val="22"/>
          <w:szCs w:val="22"/>
        </w:rPr>
        <w:t xml:space="preserve">SHR </w:t>
      </w:r>
      <w:r w:rsidR="003A1453" w:rsidRPr="00F34287">
        <w:rPr>
          <w:bCs/>
          <w:color w:val="000000" w:themeColor="text1"/>
          <w:sz w:val="22"/>
          <w:szCs w:val="22"/>
        </w:rPr>
        <w:t xml:space="preserve">1.12, CI 1.05-1.21, p-value 0.002) </w:t>
      </w:r>
      <w:r w:rsidR="00B01D1C" w:rsidRPr="00F34287">
        <w:rPr>
          <w:bCs/>
          <w:color w:val="000000" w:themeColor="text1"/>
          <w:sz w:val="22"/>
          <w:szCs w:val="22"/>
        </w:rPr>
        <w:t xml:space="preserve">greater </w:t>
      </w:r>
      <w:r w:rsidR="003A1453" w:rsidRPr="00F34287">
        <w:rPr>
          <w:bCs/>
          <w:color w:val="000000" w:themeColor="text1"/>
          <w:sz w:val="22"/>
          <w:szCs w:val="22"/>
        </w:rPr>
        <w:t xml:space="preserve">hazard of </w:t>
      </w:r>
      <w:r w:rsidRPr="00F34287">
        <w:rPr>
          <w:bCs/>
          <w:color w:val="000000" w:themeColor="text1"/>
          <w:sz w:val="22"/>
          <w:szCs w:val="22"/>
        </w:rPr>
        <w:t xml:space="preserve">fatal </w:t>
      </w:r>
      <w:r w:rsidR="003A1453" w:rsidRPr="00F34287">
        <w:rPr>
          <w:bCs/>
          <w:color w:val="000000" w:themeColor="text1"/>
          <w:sz w:val="22"/>
          <w:szCs w:val="22"/>
        </w:rPr>
        <w:t xml:space="preserve">AMI </w:t>
      </w:r>
      <w:r w:rsidR="00581096" w:rsidRPr="00F34287">
        <w:rPr>
          <w:bCs/>
          <w:color w:val="000000" w:themeColor="text1"/>
          <w:sz w:val="22"/>
          <w:szCs w:val="22"/>
        </w:rPr>
        <w:t xml:space="preserve">per 10bpm </w:t>
      </w:r>
      <w:r w:rsidR="00C052FA" w:rsidRPr="00F34287">
        <w:rPr>
          <w:bCs/>
          <w:color w:val="000000" w:themeColor="text1"/>
          <w:sz w:val="22"/>
          <w:szCs w:val="22"/>
        </w:rPr>
        <w:t>increment of</w:t>
      </w:r>
      <w:r w:rsidR="00581096" w:rsidRPr="00F34287">
        <w:rPr>
          <w:bCs/>
          <w:color w:val="000000" w:themeColor="text1"/>
          <w:sz w:val="22"/>
          <w:szCs w:val="22"/>
        </w:rPr>
        <w:t xml:space="preserve"> RHR </w:t>
      </w:r>
      <w:r w:rsidR="009733B2" w:rsidRPr="00F34287">
        <w:rPr>
          <w:bCs/>
          <w:color w:val="000000" w:themeColor="text1"/>
          <w:sz w:val="22"/>
          <w:szCs w:val="22"/>
        </w:rPr>
        <w:t xml:space="preserve">(Table </w:t>
      </w:r>
      <w:r w:rsidRPr="00F34287">
        <w:rPr>
          <w:bCs/>
          <w:color w:val="000000" w:themeColor="text1"/>
          <w:sz w:val="22"/>
          <w:szCs w:val="22"/>
        </w:rPr>
        <w:t>3</w:t>
      </w:r>
      <w:r w:rsidR="009733B2" w:rsidRPr="00F34287">
        <w:rPr>
          <w:bCs/>
          <w:color w:val="000000" w:themeColor="text1"/>
          <w:sz w:val="22"/>
          <w:szCs w:val="22"/>
        </w:rPr>
        <w:t>)</w:t>
      </w:r>
      <w:r w:rsidR="003A1453" w:rsidRPr="00F34287">
        <w:rPr>
          <w:bCs/>
          <w:color w:val="000000" w:themeColor="text1"/>
          <w:sz w:val="22"/>
          <w:szCs w:val="22"/>
        </w:rPr>
        <w:t xml:space="preserve">. However, for women, there was no significant association between </w:t>
      </w:r>
      <w:r w:rsidR="000B0509" w:rsidRPr="00F34287">
        <w:rPr>
          <w:bCs/>
          <w:color w:val="000000" w:themeColor="text1"/>
          <w:sz w:val="22"/>
          <w:szCs w:val="22"/>
        </w:rPr>
        <w:t xml:space="preserve">RHR and </w:t>
      </w:r>
      <w:r w:rsidR="003A1453" w:rsidRPr="00F34287">
        <w:rPr>
          <w:bCs/>
          <w:color w:val="000000" w:themeColor="text1"/>
          <w:sz w:val="22"/>
          <w:szCs w:val="22"/>
        </w:rPr>
        <w:t>IHD mortality</w:t>
      </w:r>
      <w:r w:rsidR="00CC1EAA" w:rsidRPr="00F34287">
        <w:rPr>
          <w:bCs/>
          <w:color w:val="000000" w:themeColor="text1"/>
          <w:sz w:val="22"/>
          <w:szCs w:val="22"/>
        </w:rPr>
        <w:t xml:space="preserve"> </w:t>
      </w:r>
      <w:r w:rsidR="003A1453" w:rsidRPr="00F34287">
        <w:rPr>
          <w:bCs/>
          <w:color w:val="000000" w:themeColor="text1"/>
          <w:sz w:val="22"/>
          <w:szCs w:val="22"/>
        </w:rPr>
        <w:t xml:space="preserve">or </w:t>
      </w:r>
      <w:r w:rsidRPr="00F34287">
        <w:rPr>
          <w:bCs/>
          <w:color w:val="000000" w:themeColor="text1"/>
          <w:sz w:val="22"/>
          <w:szCs w:val="22"/>
        </w:rPr>
        <w:t xml:space="preserve">fatal </w:t>
      </w:r>
      <w:r w:rsidR="003A1453" w:rsidRPr="00F34287">
        <w:rPr>
          <w:bCs/>
          <w:color w:val="000000" w:themeColor="text1"/>
          <w:sz w:val="22"/>
          <w:szCs w:val="22"/>
        </w:rPr>
        <w:t>AMI.</w:t>
      </w:r>
      <w:r w:rsidR="00A23EA2" w:rsidRPr="00F34287">
        <w:rPr>
          <w:bCs/>
          <w:color w:val="000000" w:themeColor="text1"/>
          <w:sz w:val="22"/>
          <w:szCs w:val="22"/>
        </w:rPr>
        <w:t xml:space="preserve"> </w:t>
      </w:r>
      <w:r w:rsidR="0097072E" w:rsidRPr="00F34287">
        <w:rPr>
          <w:bCs/>
          <w:color w:val="000000" w:themeColor="text1"/>
          <w:sz w:val="22"/>
          <w:szCs w:val="22"/>
        </w:rPr>
        <w:t>T</w:t>
      </w:r>
      <w:r w:rsidR="00CC1EAA" w:rsidRPr="00F34287">
        <w:rPr>
          <w:bCs/>
          <w:color w:val="000000" w:themeColor="text1"/>
          <w:sz w:val="22"/>
          <w:szCs w:val="22"/>
        </w:rPr>
        <w:t xml:space="preserve">here was evidence of non-linearity in the RHR effect on incident AMI </w:t>
      </w:r>
      <w:r w:rsidR="0097072E" w:rsidRPr="00F34287">
        <w:rPr>
          <w:bCs/>
          <w:color w:val="000000" w:themeColor="text1"/>
          <w:sz w:val="22"/>
          <w:szCs w:val="22"/>
        </w:rPr>
        <w:t>in women</w:t>
      </w:r>
      <w:r w:rsidR="00EE67D8" w:rsidRPr="00F34287">
        <w:rPr>
          <w:bCs/>
          <w:color w:val="000000" w:themeColor="text1"/>
          <w:sz w:val="22"/>
          <w:szCs w:val="22"/>
        </w:rPr>
        <w:t xml:space="preserve"> </w:t>
      </w:r>
      <w:r w:rsidR="00CC1EAA" w:rsidRPr="00F34287">
        <w:rPr>
          <w:bCs/>
          <w:color w:val="000000" w:themeColor="text1"/>
          <w:sz w:val="22"/>
          <w:szCs w:val="22"/>
        </w:rPr>
        <w:t xml:space="preserve">(Supplementary Table </w:t>
      </w:r>
      <w:r w:rsidR="00AF5812" w:rsidRPr="00F34287">
        <w:rPr>
          <w:bCs/>
          <w:color w:val="000000" w:themeColor="text1"/>
          <w:sz w:val="22"/>
          <w:szCs w:val="22"/>
        </w:rPr>
        <w:t>4</w:t>
      </w:r>
      <w:r w:rsidR="00CC1EAA" w:rsidRPr="00F34287">
        <w:rPr>
          <w:bCs/>
          <w:color w:val="000000" w:themeColor="text1"/>
          <w:sz w:val="22"/>
          <w:szCs w:val="22"/>
        </w:rPr>
        <w:t>)</w:t>
      </w:r>
      <w:r w:rsidR="00EE67D8" w:rsidRPr="00F34287">
        <w:rPr>
          <w:bCs/>
          <w:color w:val="000000" w:themeColor="text1"/>
          <w:sz w:val="22"/>
          <w:szCs w:val="22"/>
        </w:rPr>
        <w:t xml:space="preserve"> </w:t>
      </w:r>
      <w:r w:rsidR="00B2416A" w:rsidRPr="00F34287">
        <w:rPr>
          <w:bCs/>
          <w:color w:val="000000" w:themeColor="text1"/>
          <w:sz w:val="22"/>
          <w:szCs w:val="22"/>
        </w:rPr>
        <w:t>with</w:t>
      </w:r>
      <w:r w:rsidR="00EE67D8" w:rsidRPr="00F34287">
        <w:rPr>
          <w:bCs/>
          <w:color w:val="000000" w:themeColor="text1"/>
          <w:sz w:val="22"/>
          <w:szCs w:val="22"/>
        </w:rPr>
        <w:t xml:space="preserve"> r</w:t>
      </w:r>
      <w:r w:rsidR="00CC1EAA" w:rsidRPr="00F34287">
        <w:rPr>
          <w:bCs/>
          <w:color w:val="000000" w:themeColor="text1"/>
          <w:sz w:val="22"/>
          <w:szCs w:val="22"/>
        </w:rPr>
        <w:t xml:space="preserve">estricted cubic spline models </w:t>
      </w:r>
      <w:r w:rsidR="000C19FD" w:rsidRPr="00F34287">
        <w:rPr>
          <w:bCs/>
          <w:color w:val="000000" w:themeColor="text1"/>
          <w:sz w:val="22"/>
          <w:szCs w:val="22"/>
        </w:rPr>
        <w:t>demonstrat</w:t>
      </w:r>
      <w:r w:rsidR="00B2416A" w:rsidRPr="00F34287">
        <w:rPr>
          <w:bCs/>
          <w:color w:val="000000" w:themeColor="text1"/>
          <w:sz w:val="22"/>
          <w:szCs w:val="22"/>
        </w:rPr>
        <w:t>ing</w:t>
      </w:r>
      <w:r w:rsidR="00CC1EAA" w:rsidRPr="00F34287">
        <w:rPr>
          <w:bCs/>
          <w:color w:val="000000" w:themeColor="text1"/>
          <w:sz w:val="22"/>
          <w:szCs w:val="22"/>
        </w:rPr>
        <w:t xml:space="preserve"> a U-shaped </w:t>
      </w:r>
      <w:r w:rsidR="00867105" w:rsidRPr="00F34287">
        <w:rPr>
          <w:bCs/>
          <w:color w:val="000000" w:themeColor="text1"/>
          <w:sz w:val="22"/>
          <w:szCs w:val="22"/>
        </w:rPr>
        <w:t>association</w:t>
      </w:r>
      <w:r w:rsidR="00EE67D8" w:rsidRPr="00F34287">
        <w:rPr>
          <w:bCs/>
          <w:color w:val="000000" w:themeColor="text1"/>
          <w:sz w:val="22"/>
          <w:szCs w:val="22"/>
        </w:rPr>
        <w:t>. We illustrate</w:t>
      </w:r>
      <w:r w:rsidR="00C052FA" w:rsidRPr="00F34287">
        <w:rPr>
          <w:bCs/>
          <w:color w:val="000000" w:themeColor="text1"/>
          <w:sz w:val="22"/>
          <w:szCs w:val="22"/>
        </w:rPr>
        <w:t>d</w:t>
      </w:r>
      <w:r w:rsidR="00EE67D8" w:rsidRPr="00F34287">
        <w:rPr>
          <w:bCs/>
          <w:color w:val="000000" w:themeColor="text1"/>
          <w:sz w:val="22"/>
          <w:szCs w:val="22"/>
        </w:rPr>
        <w:t xml:space="preserve"> this relationship further by stratified analysis in quintiles of RHR</w:t>
      </w:r>
      <w:r w:rsidR="00F3056A" w:rsidRPr="00F34287">
        <w:rPr>
          <w:bCs/>
          <w:color w:val="000000" w:themeColor="text1"/>
          <w:sz w:val="22"/>
          <w:szCs w:val="22"/>
        </w:rPr>
        <w:t xml:space="preserve"> (Table 4)</w:t>
      </w:r>
      <w:r w:rsidR="00EE67D8" w:rsidRPr="00F34287">
        <w:rPr>
          <w:bCs/>
          <w:color w:val="000000" w:themeColor="text1"/>
          <w:sz w:val="22"/>
          <w:szCs w:val="22"/>
        </w:rPr>
        <w:t xml:space="preserve">. For women, there was significantly increased hazard of incident AMI in the highest and lowest quintiles when compared to the middle quintile. </w:t>
      </w:r>
      <w:r w:rsidR="000A2C21" w:rsidRPr="00F34287">
        <w:rPr>
          <w:bCs/>
          <w:color w:val="000000" w:themeColor="text1"/>
          <w:sz w:val="22"/>
          <w:szCs w:val="22"/>
        </w:rPr>
        <w:t xml:space="preserve">There was </w:t>
      </w:r>
      <w:r w:rsidR="000A2C21" w:rsidRPr="00F34287">
        <w:rPr>
          <w:bCs/>
          <w:color w:val="000000" w:themeColor="text1"/>
          <w:sz w:val="22"/>
          <w:szCs w:val="22"/>
        </w:rPr>
        <w:lastRenderedPageBreak/>
        <w:t xml:space="preserve">no evidence of non-linearity </w:t>
      </w:r>
      <w:r w:rsidR="00A23EA2" w:rsidRPr="00F34287">
        <w:rPr>
          <w:bCs/>
          <w:color w:val="000000" w:themeColor="text1"/>
          <w:sz w:val="22"/>
          <w:szCs w:val="22"/>
        </w:rPr>
        <w:t>of effect</w:t>
      </w:r>
      <w:r w:rsidR="000A2C21" w:rsidRPr="00F34287">
        <w:rPr>
          <w:bCs/>
          <w:color w:val="000000" w:themeColor="text1"/>
          <w:sz w:val="22"/>
          <w:szCs w:val="22"/>
        </w:rPr>
        <w:t xml:space="preserve"> </w:t>
      </w:r>
      <w:r w:rsidR="00C052FA" w:rsidRPr="00F34287">
        <w:rPr>
          <w:bCs/>
          <w:color w:val="000000" w:themeColor="text1"/>
          <w:sz w:val="22"/>
          <w:szCs w:val="22"/>
        </w:rPr>
        <w:t xml:space="preserve">on incident AMI </w:t>
      </w:r>
      <w:r w:rsidR="000A2C21" w:rsidRPr="00F34287">
        <w:rPr>
          <w:bCs/>
          <w:color w:val="000000" w:themeColor="text1"/>
          <w:sz w:val="22"/>
          <w:szCs w:val="22"/>
        </w:rPr>
        <w:t>for men</w:t>
      </w:r>
      <w:r w:rsidR="00886AE7" w:rsidRPr="00F34287">
        <w:rPr>
          <w:bCs/>
          <w:color w:val="000000" w:themeColor="text1"/>
          <w:sz w:val="22"/>
          <w:szCs w:val="22"/>
        </w:rPr>
        <w:t xml:space="preserve"> (</w:t>
      </w:r>
      <w:r w:rsidR="000255F4" w:rsidRPr="00F34287">
        <w:rPr>
          <w:bCs/>
          <w:color w:val="000000" w:themeColor="text1"/>
          <w:sz w:val="22"/>
          <w:szCs w:val="22"/>
        </w:rPr>
        <w:t>linear vs non-linear model; p-value 0.52</w:t>
      </w:r>
      <w:r w:rsidR="00886AE7" w:rsidRPr="00F34287">
        <w:rPr>
          <w:bCs/>
          <w:color w:val="000000" w:themeColor="text1"/>
          <w:sz w:val="22"/>
          <w:szCs w:val="22"/>
        </w:rPr>
        <w:t>)</w:t>
      </w:r>
      <w:r w:rsidR="00EE67D8" w:rsidRPr="00F34287">
        <w:rPr>
          <w:bCs/>
          <w:color w:val="000000" w:themeColor="text1"/>
          <w:sz w:val="22"/>
          <w:szCs w:val="22"/>
        </w:rPr>
        <w:t>.</w:t>
      </w:r>
    </w:p>
    <w:p w14:paraId="3FDD7648" w14:textId="1F92F8FB" w:rsidR="004A72FC" w:rsidRPr="00F34287" w:rsidRDefault="004A72FC" w:rsidP="00BA3555">
      <w:pPr>
        <w:spacing w:after="120" w:line="480" w:lineRule="auto"/>
        <w:rPr>
          <w:bCs/>
          <w:color w:val="000000" w:themeColor="text1"/>
          <w:sz w:val="22"/>
          <w:szCs w:val="22"/>
        </w:rPr>
      </w:pPr>
    </w:p>
    <w:p w14:paraId="56D45C35" w14:textId="77777777" w:rsidR="00C70691" w:rsidRPr="00F34287" w:rsidRDefault="00C70691" w:rsidP="00C70691">
      <w:pPr>
        <w:spacing w:line="480" w:lineRule="auto"/>
        <w:jc w:val="center"/>
        <w:rPr>
          <w:b/>
          <w:bCs/>
          <w:color w:val="000000" w:themeColor="text1"/>
          <w:sz w:val="22"/>
          <w:szCs w:val="22"/>
        </w:rPr>
      </w:pPr>
      <w:r w:rsidRPr="00F34287">
        <w:rPr>
          <w:b/>
          <w:bCs/>
          <w:color w:val="000000" w:themeColor="text1"/>
          <w:sz w:val="22"/>
          <w:szCs w:val="22"/>
        </w:rPr>
        <w:t>Table 4. The association of RHR with incident AMI in quintiles for men and women</w:t>
      </w:r>
    </w:p>
    <w:tbl>
      <w:tblPr>
        <w:tblStyle w:val="TableGrid"/>
        <w:tblW w:w="9000"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1316"/>
        <w:gridCol w:w="1731"/>
        <w:gridCol w:w="1701"/>
        <w:gridCol w:w="850"/>
        <w:gridCol w:w="1701"/>
        <w:gridCol w:w="1701"/>
      </w:tblGrid>
      <w:tr w:rsidR="00FF22A4" w:rsidRPr="00F34287" w14:paraId="5FA92F65" w14:textId="77777777" w:rsidTr="00C70691">
        <w:trPr>
          <w:jc w:val="center"/>
        </w:trPr>
        <w:tc>
          <w:tcPr>
            <w:tcW w:w="1316" w:type="dxa"/>
          </w:tcPr>
          <w:p w14:paraId="2BE245B5" w14:textId="77777777" w:rsidR="00C70691" w:rsidRPr="00F34287" w:rsidRDefault="00C70691" w:rsidP="00C70691">
            <w:pPr>
              <w:spacing w:line="360" w:lineRule="auto"/>
              <w:rPr>
                <w:color w:val="000000" w:themeColor="text1"/>
                <w:sz w:val="20"/>
                <w:szCs w:val="20"/>
              </w:rPr>
            </w:pPr>
          </w:p>
        </w:tc>
        <w:tc>
          <w:tcPr>
            <w:tcW w:w="7684" w:type="dxa"/>
            <w:gridSpan w:val="5"/>
          </w:tcPr>
          <w:p w14:paraId="2298EC2D"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HR (95% CI)</w:t>
            </w:r>
            <w:r w:rsidRPr="00F34287">
              <w:rPr>
                <w:color w:val="000000" w:themeColor="text1"/>
                <w:sz w:val="20"/>
                <w:szCs w:val="20"/>
                <w:vertAlign w:val="superscript"/>
              </w:rPr>
              <w:t>*</w:t>
            </w:r>
            <w:r w:rsidRPr="00F34287">
              <w:rPr>
                <w:color w:val="000000" w:themeColor="text1"/>
                <w:sz w:val="20"/>
                <w:szCs w:val="20"/>
              </w:rPr>
              <w:t xml:space="preserve"> </w:t>
            </w:r>
          </w:p>
        </w:tc>
      </w:tr>
      <w:tr w:rsidR="00FF22A4" w:rsidRPr="00F34287" w14:paraId="51FFEAD6" w14:textId="77777777" w:rsidTr="00C70691">
        <w:trPr>
          <w:jc w:val="center"/>
        </w:trPr>
        <w:tc>
          <w:tcPr>
            <w:tcW w:w="1316" w:type="dxa"/>
          </w:tcPr>
          <w:p w14:paraId="788C269B" w14:textId="77777777" w:rsidR="00C70691" w:rsidRPr="00F34287" w:rsidRDefault="00C70691" w:rsidP="00C70691">
            <w:pPr>
              <w:spacing w:line="360" w:lineRule="auto"/>
              <w:jc w:val="center"/>
              <w:rPr>
                <w:color w:val="000000" w:themeColor="text1"/>
                <w:sz w:val="20"/>
                <w:szCs w:val="20"/>
              </w:rPr>
            </w:pPr>
            <w:r w:rsidRPr="00F34287">
              <w:rPr>
                <w:color w:val="000000" w:themeColor="text1"/>
                <w:sz w:val="20"/>
                <w:szCs w:val="20"/>
              </w:rPr>
              <w:t xml:space="preserve">RHR </w:t>
            </w:r>
            <w:proofErr w:type="gramStart"/>
            <w:r w:rsidRPr="00F34287">
              <w:rPr>
                <w:color w:val="000000" w:themeColor="text1"/>
                <w:sz w:val="20"/>
                <w:szCs w:val="20"/>
              </w:rPr>
              <w:t>( bpm</w:t>
            </w:r>
            <w:proofErr w:type="gramEnd"/>
            <w:r w:rsidRPr="00F34287">
              <w:rPr>
                <w:color w:val="000000" w:themeColor="text1"/>
                <w:sz w:val="20"/>
                <w:szCs w:val="20"/>
              </w:rPr>
              <w:t>)</w:t>
            </w:r>
          </w:p>
        </w:tc>
        <w:tc>
          <w:tcPr>
            <w:tcW w:w="1731" w:type="dxa"/>
          </w:tcPr>
          <w:p w14:paraId="33B1FE3F" w14:textId="196C863E" w:rsidR="00C70691" w:rsidRPr="00F34287" w:rsidRDefault="00646967" w:rsidP="00646967">
            <w:pPr>
              <w:spacing w:line="360" w:lineRule="auto"/>
              <w:jc w:val="center"/>
              <w:rPr>
                <w:color w:val="000000" w:themeColor="text1"/>
                <w:sz w:val="20"/>
                <w:szCs w:val="20"/>
              </w:rPr>
            </w:pPr>
            <m:oMathPara>
              <m:oMath>
                <m:r>
                  <w:rPr>
                    <w:rFonts w:ascii="Cambria Math" w:hAnsi="Cambria Math"/>
                    <w:color w:val="000000" w:themeColor="text1"/>
                    <w:sz w:val="20"/>
                    <w:szCs w:val="20"/>
                  </w:rPr>
                  <m:t>&lt;59</m:t>
                </m:r>
              </m:oMath>
            </m:oMathPara>
          </w:p>
        </w:tc>
        <w:tc>
          <w:tcPr>
            <w:tcW w:w="1701" w:type="dxa"/>
          </w:tcPr>
          <w:p w14:paraId="4E738D21" w14:textId="4681D0FA" w:rsidR="00C70691" w:rsidRPr="00F34287" w:rsidRDefault="00646967" w:rsidP="00C70691">
            <w:pPr>
              <w:spacing w:line="360" w:lineRule="auto"/>
              <w:jc w:val="center"/>
              <w:rPr>
                <w:color w:val="000000" w:themeColor="text1"/>
                <w:sz w:val="20"/>
                <w:szCs w:val="20"/>
              </w:rPr>
            </w:pPr>
            <w:r w:rsidRPr="00F34287">
              <w:rPr>
                <w:color w:val="000000" w:themeColor="text1"/>
                <w:sz w:val="20"/>
                <w:szCs w:val="20"/>
              </w:rPr>
              <w:t>59-64</w:t>
            </w:r>
          </w:p>
        </w:tc>
        <w:tc>
          <w:tcPr>
            <w:tcW w:w="850" w:type="dxa"/>
          </w:tcPr>
          <w:p w14:paraId="41FA0773" w14:textId="4E6CB5FD" w:rsidR="00C70691" w:rsidRPr="00F34287" w:rsidRDefault="00646967" w:rsidP="00C70691">
            <w:pPr>
              <w:spacing w:line="360" w:lineRule="auto"/>
              <w:jc w:val="center"/>
              <w:rPr>
                <w:color w:val="000000" w:themeColor="text1"/>
                <w:sz w:val="20"/>
                <w:szCs w:val="20"/>
              </w:rPr>
            </w:pPr>
            <w:r w:rsidRPr="00F34287">
              <w:rPr>
                <w:color w:val="000000" w:themeColor="text1"/>
                <w:sz w:val="20"/>
                <w:szCs w:val="20"/>
              </w:rPr>
              <w:t>65-70</w:t>
            </w:r>
          </w:p>
        </w:tc>
        <w:tc>
          <w:tcPr>
            <w:tcW w:w="1701" w:type="dxa"/>
          </w:tcPr>
          <w:p w14:paraId="2FFCA62A" w14:textId="14A74AF7" w:rsidR="00C70691" w:rsidRPr="00F34287" w:rsidRDefault="00646967" w:rsidP="00C70691">
            <w:pPr>
              <w:spacing w:line="360" w:lineRule="auto"/>
              <w:jc w:val="center"/>
              <w:rPr>
                <w:color w:val="000000" w:themeColor="text1"/>
                <w:sz w:val="20"/>
                <w:szCs w:val="20"/>
              </w:rPr>
            </w:pPr>
            <w:r w:rsidRPr="00F34287">
              <w:rPr>
                <w:color w:val="000000" w:themeColor="text1"/>
                <w:sz w:val="20"/>
                <w:szCs w:val="20"/>
              </w:rPr>
              <w:t>71-77</w:t>
            </w:r>
          </w:p>
        </w:tc>
        <w:tc>
          <w:tcPr>
            <w:tcW w:w="1701" w:type="dxa"/>
          </w:tcPr>
          <w:p w14:paraId="0A7F5581" w14:textId="29366AD1" w:rsidR="00C70691" w:rsidRPr="00F34287" w:rsidRDefault="00123231" w:rsidP="00C70691">
            <w:pPr>
              <w:spacing w:line="360" w:lineRule="auto"/>
              <w:jc w:val="center"/>
              <w:rPr>
                <w:color w:val="000000" w:themeColor="text1"/>
                <w:sz w:val="20"/>
                <w:szCs w:val="20"/>
              </w:rPr>
            </w:pPr>
            <m:oMath>
              <m:r>
                <w:rPr>
                  <w:rFonts w:ascii="Cambria Math" w:hAnsi="Cambria Math"/>
                  <w:color w:val="000000" w:themeColor="text1"/>
                  <w:sz w:val="20"/>
                  <w:szCs w:val="20"/>
                </w:rPr>
                <m:t>≥</m:t>
              </m:r>
            </m:oMath>
            <w:r w:rsidR="00C70691" w:rsidRPr="00F34287">
              <w:rPr>
                <w:color w:val="000000" w:themeColor="text1"/>
                <w:sz w:val="20"/>
                <w:szCs w:val="20"/>
              </w:rPr>
              <w:t>78</w:t>
            </w:r>
          </w:p>
        </w:tc>
      </w:tr>
      <w:tr w:rsidR="00FF22A4" w:rsidRPr="00F34287" w14:paraId="04A9AD02" w14:textId="77777777" w:rsidTr="00C70691">
        <w:trPr>
          <w:jc w:val="center"/>
        </w:trPr>
        <w:tc>
          <w:tcPr>
            <w:tcW w:w="1316" w:type="dxa"/>
          </w:tcPr>
          <w:p w14:paraId="61E0FDB0"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Men</w:t>
            </w:r>
          </w:p>
        </w:tc>
        <w:tc>
          <w:tcPr>
            <w:tcW w:w="1731" w:type="dxa"/>
          </w:tcPr>
          <w:p w14:paraId="0F714300" w14:textId="314A3C38" w:rsidR="00C70691" w:rsidRPr="00F34287" w:rsidRDefault="00A427FD" w:rsidP="00C70691">
            <w:pPr>
              <w:spacing w:line="360" w:lineRule="auto"/>
              <w:rPr>
                <w:color w:val="000000" w:themeColor="text1"/>
                <w:sz w:val="20"/>
                <w:szCs w:val="20"/>
              </w:rPr>
            </w:pPr>
            <w:r w:rsidRPr="00F34287">
              <w:rPr>
                <w:color w:val="000000" w:themeColor="text1"/>
                <w:sz w:val="20"/>
                <w:szCs w:val="20"/>
              </w:rPr>
              <w:t>0.96 (0.87</w:t>
            </w:r>
            <w:r w:rsidR="00C70691" w:rsidRPr="00F34287">
              <w:rPr>
                <w:color w:val="000000" w:themeColor="text1"/>
                <w:sz w:val="20"/>
                <w:szCs w:val="20"/>
              </w:rPr>
              <w:t>-1.06)</w:t>
            </w:r>
          </w:p>
        </w:tc>
        <w:tc>
          <w:tcPr>
            <w:tcW w:w="1701" w:type="dxa"/>
          </w:tcPr>
          <w:p w14:paraId="0724065C" w14:textId="02AC7EB0" w:rsidR="00C70691" w:rsidRPr="00F34287" w:rsidRDefault="00A427FD" w:rsidP="00C70691">
            <w:pPr>
              <w:spacing w:line="360" w:lineRule="auto"/>
              <w:rPr>
                <w:color w:val="000000" w:themeColor="text1"/>
                <w:sz w:val="20"/>
                <w:szCs w:val="20"/>
              </w:rPr>
            </w:pPr>
            <w:r w:rsidRPr="00F34287">
              <w:rPr>
                <w:color w:val="000000" w:themeColor="text1"/>
                <w:sz w:val="20"/>
                <w:szCs w:val="20"/>
              </w:rPr>
              <w:t>0.97 (0.88-1.06</w:t>
            </w:r>
            <w:r w:rsidR="00C70691" w:rsidRPr="00F34287">
              <w:rPr>
                <w:color w:val="000000" w:themeColor="text1"/>
                <w:sz w:val="20"/>
                <w:szCs w:val="20"/>
              </w:rPr>
              <w:t>)</w:t>
            </w:r>
          </w:p>
        </w:tc>
        <w:tc>
          <w:tcPr>
            <w:tcW w:w="850" w:type="dxa"/>
          </w:tcPr>
          <w:p w14:paraId="0C14A31C"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1.00</w:t>
            </w:r>
          </w:p>
        </w:tc>
        <w:tc>
          <w:tcPr>
            <w:tcW w:w="1701" w:type="dxa"/>
          </w:tcPr>
          <w:p w14:paraId="0EC218AE" w14:textId="08913D0C" w:rsidR="00C70691" w:rsidRPr="00F34287" w:rsidRDefault="00A427FD" w:rsidP="00A427FD">
            <w:pPr>
              <w:spacing w:line="360" w:lineRule="auto"/>
              <w:rPr>
                <w:color w:val="000000" w:themeColor="text1"/>
                <w:sz w:val="20"/>
                <w:szCs w:val="20"/>
              </w:rPr>
            </w:pPr>
            <w:r w:rsidRPr="00F34287">
              <w:rPr>
                <w:color w:val="000000" w:themeColor="text1"/>
                <w:sz w:val="20"/>
                <w:szCs w:val="20"/>
              </w:rPr>
              <w:t>1.06</w:t>
            </w:r>
            <w:r w:rsidR="00C70691" w:rsidRPr="00F34287">
              <w:rPr>
                <w:color w:val="000000" w:themeColor="text1"/>
                <w:sz w:val="20"/>
                <w:szCs w:val="20"/>
              </w:rPr>
              <w:t xml:space="preserve"> (0.9</w:t>
            </w:r>
            <w:r w:rsidRPr="00F34287">
              <w:rPr>
                <w:color w:val="000000" w:themeColor="text1"/>
                <w:sz w:val="20"/>
                <w:szCs w:val="20"/>
              </w:rPr>
              <w:t>6-1.16</w:t>
            </w:r>
            <w:r w:rsidR="00C70691" w:rsidRPr="00F34287">
              <w:rPr>
                <w:color w:val="000000" w:themeColor="text1"/>
                <w:sz w:val="20"/>
                <w:szCs w:val="20"/>
              </w:rPr>
              <w:t>)</w:t>
            </w:r>
          </w:p>
        </w:tc>
        <w:tc>
          <w:tcPr>
            <w:tcW w:w="1701" w:type="dxa"/>
          </w:tcPr>
          <w:p w14:paraId="473984D5" w14:textId="1CD20E07" w:rsidR="00C70691" w:rsidRPr="00F34287" w:rsidRDefault="00A427FD" w:rsidP="00C70691">
            <w:pPr>
              <w:spacing w:line="360" w:lineRule="auto"/>
              <w:rPr>
                <w:color w:val="000000" w:themeColor="text1"/>
                <w:sz w:val="20"/>
                <w:szCs w:val="20"/>
              </w:rPr>
            </w:pPr>
            <w:r w:rsidRPr="00F34287">
              <w:rPr>
                <w:color w:val="000000" w:themeColor="text1"/>
                <w:sz w:val="20"/>
                <w:szCs w:val="20"/>
              </w:rPr>
              <w:t>1.15 (1.05-1.27</w:t>
            </w:r>
            <w:r w:rsidR="00C70691" w:rsidRPr="00F34287">
              <w:rPr>
                <w:color w:val="000000" w:themeColor="text1"/>
                <w:sz w:val="20"/>
                <w:szCs w:val="20"/>
              </w:rPr>
              <w:t>)</w:t>
            </w:r>
          </w:p>
        </w:tc>
      </w:tr>
      <w:tr w:rsidR="00FF22A4" w:rsidRPr="00F34287" w14:paraId="7D373AC8" w14:textId="77777777" w:rsidTr="00C70691">
        <w:trPr>
          <w:jc w:val="center"/>
        </w:trPr>
        <w:tc>
          <w:tcPr>
            <w:tcW w:w="1316" w:type="dxa"/>
          </w:tcPr>
          <w:p w14:paraId="412F0390" w14:textId="77777777" w:rsidR="00BC5489" w:rsidRPr="00F34287" w:rsidRDefault="00BC5489" w:rsidP="00C70691">
            <w:pPr>
              <w:spacing w:line="360" w:lineRule="auto"/>
              <w:rPr>
                <w:color w:val="000000" w:themeColor="text1"/>
                <w:sz w:val="20"/>
                <w:szCs w:val="20"/>
              </w:rPr>
            </w:pPr>
          </w:p>
        </w:tc>
        <w:tc>
          <w:tcPr>
            <w:tcW w:w="1731" w:type="dxa"/>
          </w:tcPr>
          <w:p w14:paraId="43A88D52" w14:textId="705DF964" w:rsidR="00BC5489" w:rsidRPr="00F34287" w:rsidRDefault="00646967" w:rsidP="0071478B">
            <w:pPr>
              <w:spacing w:line="360" w:lineRule="auto"/>
              <w:jc w:val="center"/>
              <w:rPr>
                <w:color w:val="000000" w:themeColor="text1"/>
                <w:sz w:val="20"/>
                <w:szCs w:val="20"/>
              </w:rPr>
            </w:pPr>
            <w:r w:rsidRPr="00F34287">
              <w:rPr>
                <w:color w:val="000000" w:themeColor="text1"/>
                <w:sz w:val="20"/>
                <w:szCs w:val="20"/>
              </w:rPr>
              <w:t>&lt;62</w:t>
            </w:r>
          </w:p>
        </w:tc>
        <w:tc>
          <w:tcPr>
            <w:tcW w:w="1701" w:type="dxa"/>
          </w:tcPr>
          <w:p w14:paraId="34424CBF" w14:textId="0F80EE57" w:rsidR="00BC5489" w:rsidRPr="00F34287" w:rsidRDefault="00941AAD" w:rsidP="0071478B">
            <w:pPr>
              <w:spacing w:line="360" w:lineRule="auto"/>
              <w:jc w:val="center"/>
              <w:rPr>
                <w:color w:val="000000" w:themeColor="text1"/>
                <w:sz w:val="20"/>
                <w:szCs w:val="20"/>
              </w:rPr>
            </w:pPr>
            <w:r w:rsidRPr="00F34287">
              <w:rPr>
                <w:color w:val="000000" w:themeColor="text1"/>
                <w:sz w:val="20"/>
                <w:szCs w:val="20"/>
              </w:rPr>
              <w:t>62-67</w:t>
            </w:r>
          </w:p>
        </w:tc>
        <w:tc>
          <w:tcPr>
            <w:tcW w:w="850" w:type="dxa"/>
          </w:tcPr>
          <w:p w14:paraId="6E86F993" w14:textId="47E47D4D" w:rsidR="00BC5489" w:rsidRPr="00F34287" w:rsidRDefault="00941AAD" w:rsidP="0071478B">
            <w:pPr>
              <w:spacing w:line="360" w:lineRule="auto"/>
              <w:jc w:val="center"/>
              <w:rPr>
                <w:color w:val="000000" w:themeColor="text1"/>
                <w:sz w:val="20"/>
                <w:szCs w:val="20"/>
              </w:rPr>
            </w:pPr>
            <w:r w:rsidRPr="00F34287">
              <w:rPr>
                <w:color w:val="000000" w:themeColor="text1"/>
                <w:sz w:val="20"/>
                <w:szCs w:val="20"/>
              </w:rPr>
              <w:t>68-72</w:t>
            </w:r>
          </w:p>
        </w:tc>
        <w:tc>
          <w:tcPr>
            <w:tcW w:w="1701" w:type="dxa"/>
          </w:tcPr>
          <w:p w14:paraId="4B217377" w14:textId="56A928F0" w:rsidR="00BC5489" w:rsidRPr="00F34287" w:rsidRDefault="00941AAD" w:rsidP="0071478B">
            <w:pPr>
              <w:spacing w:line="360" w:lineRule="auto"/>
              <w:jc w:val="center"/>
              <w:rPr>
                <w:color w:val="000000" w:themeColor="text1"/>
                <w:sz w:val="20"/>
                <w:szCs w:val="20"/>
              </w:rPr>
            </w:pPr>
            <w:r w:rsidRPr="00F34287">
              <w:rPr>
                <w:color w:val="000000" w:themeColor="text1"/>
                <w:sz w:val="20"/>
                <w:szCs w:val="20"/>
              </w:rPr>
              <w:t>73-78</w:t>
            </w:r>
          </w:p>
        </w:tc>
        <w:tc>
          <w:tcPr>
            <w:tcW w:w="1701" w:type="dxa"/>
          </w:tcPr>
          <w:p w14:paraId="5D5767D5" w14:textId="12C0D952" w:rsidR="00BC5489" w:rsidRPr="00F34287" w:rsidRDefault="00123231" w:rsidP="0071478B">
            <w:pPr>
              <w:spacing w:line="360" w:lineRule="auto"/>
              <w:jc w:val="center"/>
              <w:rPr>
                <w:color w:val="000000" w:themeColor="text1"/>
                <w:sz w:val="20"/>
                <w:szCs w:val="20"/>
              </w:rPr>
            </w:pPr>
            <m:oMath>
              <m:r>
                <w:rPr>
                  <w:rFonts w:ascii="Cambria Math" w:hAnsi="Cambria Math"/>
                  <w:color w:val="000000" w:themeColor="text1"/>
                  <w:sz w:val="20"/>
                  <w:szCs w:val="20"/>
                </w:rPr>
                <m:t>≥</m:t>
              </m:r>
            </m:oMath>
            <w:r w:rsidR="00941AAD" w:rsidRPr="00F34287">
              <w:rPr>
                <w:color w:val="000000" w:themeColor="text1"/>
                <w:sz w:val="20"/>
                <w:szCs w:val="20"/>
              </w:rPr>
              <w:t>79</w:t>
            </w:r>
          </w:p>
        </w:tc>
      </w:tr>
      <w:tr w:rsidR="00FF22A4" w:rsidRPr="00F34287" w14:paraId="724B5246" w14:textId="77777777" w:rsidTr="00C70691">
        <w:trPr>
          <w:jc w:val="center"/>
        </w:trPr>
        <w:tc>
          <w:tcPr>
            <w:tcW w:w="1316" w:type="dxa"/>
          </w:tcPr>
          <w:p w14:paraId="7C5EE018"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Women</w:t>
            </w:r>
          </w:p>
        </w:tc>
        <w:tc>
          <w:tcPr>
            <w:tcW w:w="1731" w:type="dxa"/>
          </w:tcPr>
          <w:p w14:paraId="5EC7E5AA" w14:textId="469D29E2" w:rsidR="00C70691" w:rsidRPr="00F34287" w:rsidRDefault="00A427FD" w:rsidP="00C70691">
            <w:pPr>
              <w:spacing w:line="360" w:lineRule="auto"/>
              <w:rPr>
                <w:color w:val="000000" w:themeColor="text1"/>
                <w:sz w:val="20"/>
                <w:szCs w:val="20"/>
              </w:rPr>
            </w:pPr>
            <w:r w:rsidRPr="00F34287">
              <w:rPr>
                <w:color w:val="000000" w:themeColor="text1"/>
                <w:sz w:val="20"/>
                <w:szCs w:val="20"/>
              </w:rPr>
              <w:t>1.21 (1.02-1.42</w:t>
            </w:r>
            <w:r w:rsidR="00C70691" w:rsidRPr="00F34287">
              <w:rPr>
                <w:color w:val="000000" w:themeColor="text1"/>
                <w:sz w:val="20"/>
                <w:szCs w:val="20"/>
              </w:rPr>
              <w:t>)</w:t>
            </w:r>
          </w:p>
        </w:tc>
        <w:tc>
          <w:tcPr>
            <w:tcW w:w="1701" w:type="dxa"/>
          </w:tcPr>
          <w:p w14:paraId="35C288CB" w14:textId="47D71BE3" w:rsidR="00C70691" w:rsidRPr="00F34287" w:rsidRDefault="00A427FD" w:rsidP="00C70691">
            <w:pPr>
              <w:spacing w:line="360" w:lineRule="auto"/>
              <w:rPr>
                <w:color w:val="000000" w:themeColor="text1"/>
                <w:sz w:val="20"/>
                <w:szCs w:val="20"/>
              </w:rPr>
            </w:pPr>
            <w:r w:rsidRPr="00F34287">
              <w:rPr>
                <w:color w:val="000000" w:themeColor="text1"/>
                <w:sz w:val="20"/>
                <w:szCs w:val="20"/>
              </w:rPr>
              <w:t>1.08 (0.91-1.2</w:t>
            </w:r>
            <w:r w:rsidR="00C70691" w:rsidRPr="00F34287">
              <w:rPr>
                <w:color w:val="000000" w:themeColor="text1"/>
                <w:sz w:val="20"/>
                <w:szCs w:val="20"/>
              </w:rPr>
              <w:t>8)</w:t>
            </w:r>
          </w:p>
        </w:tc>
        <w:tc>
          <w:tcPr>
            <w:tcW w:w="850" w:type="dxa"/>
          </w:tcPr>
          <w:p w14:paraId="0306AC04" w14:textId="77777777" w:rsidR="00C70691" w:rsidRPr="00F34287" w:rsidRDefault="00C70691" w:rsidP="00C70691">
            <w:pPr>
              <w:spacing w:line="360" w:lineRule="auto"/>
              <w:rPr>
                <w:color w:val="000000" w:themeColor="text1"/>
                <w:sz w:val="20"/>
                <w:szCs w:val="20"/>
              </w:rPr>
            </w:pPr>
            <w:r w:rsidRPr="00F34287">
              <w:rPr>
                <w:color w:val="000000" w:themeColor="text1"/>
                <w:sz w:val="20"/>
                <w:szCs w:val="20"/>
              </w:rPr>
              <w:t>1.00</w:t>
            </w:r>
          </w:p>
        </w:tc>
        <w:tc>
          <w:tcPr>
            <w:tcW w:w="1701" w:type="dxa"/>
          </w:tcPr>
          <w:p w14:paraId="3201C7E2" w14:textId="60E96FE6" w:rsidR="00C70691" w:rsidRPr="00F34287" w:rsidRDefault="00A427FD" w:rsidP="00C70691">
            <w:pPr>
              <w:spacing w:line="360" w:lineRule="auto"/>
              <w:rPr>
                <w:color w:val="000000" w:themeColor="text1"/>
                <w:sz w:val="20"/>
                <w:szCs w:val="20"/>
              </w:rPr>
            </w:pPr>
            <w:r w:rsidRPr="00F34287">
              <w:rPr>
                <w:color w:val="000000" w:themeColor="text1"/>
                <w:sz w:val="20"/>
                <w:szCs w:val="20"/>
              </w:rPr>
              <w:t>1.16 (0.98-1.36</w:t>
            </w:r>
            <w:r w:rsidR="00C70691" w:rsidRPr="00F34287">
              <w:rPr>
                <w:color w:val="000000" w:themeColor="text1"/>
                <w:sz w:val="20"/>
                <w:szCs w:val="20"/>
              </w:rPr>
              <w:t>)</w:t>
            </w:r>
          </w:p>
        </w:tc>
        <w:tc>
          <w:tcPr>
            <w:tcW w:w="1701" w:type="dxa"/>
          </w:tcPr>
          <w:p w14:paraId="095DE5F3" w14:textId="508308E1" w:rsidR="00C70691" w:rsidRPr="00F34287" w:rsidRDefault="00A427FD" w:rsidP="00C70691">
            <w:pPr>
              <w:spacing w:line="360" w:lineRule="auto"/>
              <w:rPr>
                <w:color w:val="000000" w:themeColor="text1"/>
                <w:sz w:val="20"/>
                <w:szCs w:val="20"/>
              </w:rPr>
            </w:pPr>
            <w:r w:rsidRPr="00F34287">
              <w:rPr>
                <w:color w:val="000000" w:themeColor="text1"/>
                <w:sz w:val="20"/>
                <w:szCs w:val="20"/>
              </w:rPr>
              <w:t>1.22 (1.04-1.43</w:t>
            </w:r>
            <w:r w:rsidR="00C70691" w:rsidRPr="00F34287">
              <w:rPr>
                <w:color w:val="000000" w:themeColor="text1"/>
                <w:sz w:val="20"/>
                <w:szCs w:val="20"/>
              </w:rPr>
              <w:t>)</w:t>
            </w:r>
          </w:p>
        </w:tc>
      </w:tr>
    </w:tbl>
    <w:p w14:paraId="0603E132" w14:textId="6850FF92" w:rsidR="00C70691" w:rsidRPr="00F34287" w:rsidRDefault="00C70691" w:rsidP="00C70691">
      <w:pPr>
        <w:rPr>
          <w:color w:val="000000" w:themeColor="text1"/>
          <w:sz w:val="20"/>
          <w:szCs w:val="20"/>
        </w:rPr>
      </w:pPr>
      <w:r w:rsidRPr="00F34287">
        <w:rPr>
          <w:color w:val="000000" w:themeColor="text1"/>
          <w:sz w:val="20"/>
          <w:szCs w:val="20"/>
          <w:vertAlign w:val="superscript"/>
        </w:rPr>
        <w:t>*</w:t>
      </w:r>
      <w:r w:rsidRPr="00F34287">
        <w:rPr>
          <w:color w:val="000000" w:themeColor="text1"/>
          <w:sz w:val="20"/>
          <w:szCs w:val="20"/>
        </w:rPr>
        <w:t xml:space="preserve">HR as compared to middle quintile, fully adjusted model (age, smoking, BMI, exercise level, </w:t>
      </w:r>
      <w:r w:rsidRPr="00F34287">
        <w:rPr>
          <w:bCs/>
          <w:color w:val="000000" w:themeColor="text1"/>
          <w:sz w:val="20"/>
          <w:szCs w:val="20"/>
        </w:rPr>
        <w:t>diabetes, hypertension, hypercholesterolaemia, smoking, BMI, Townsend deprivation index. rate modifying medications)</w:t>
      </w:r>
      <w:r w:rsidRPr="00F34287">
        <w:rPr>
          <w:color w:val="000000" w:themeColor="text1"/>
          <w:sz w:val="20"/>
          <w:szCs w:val="20"/>
        </w:rPr>
        <w:t xml:space="preserve">. AMI: acute myocardial infarction; bpm: beats per minute; CI: confidence interval; RHR: resting heart rate. </w:t>
      </w:r>
    </w:p>
    <w:p w14:paraId="2AAF3BB9" w14:textId="588A4ACA" w:rsidR="00C70691" w:rsidRPr="00F34287" w:rsidRDefault="00C70691" w:rsidP="00BA3555">
      <w:pPr>
        <w:spacing w:after="120" w:line="480" w:lineRule="auto"/>
        <w:rPr>
          <w:bCs/>
          <w:color w:val="000000" w:themeColor="text1"/>
          <w:sz w:val="22"/>
          <w:szCs w:val="22"/>
        </w:rPr>
      </w:pPr>
    </w:p>
    <w:p w14:paraId="713D1BE9" w14:textId="3184639D" w:rsidR="00160DDF" w:rsidRPr="00F34287" w:rsidRDefault="00160DDF" w:rsidP="00BA3555">
      <w:pPr>
        <w:spacing w:after="120" w:line="480" w:lineRule="auto"/>
        <w:rPr>
          <w:b/>
          <w:bCs/>
          <w:iCs/>
          <w:color w:val="000000" w:themeColor="text1"/>
          <w:sz w:val="32"/>
          <w:szCs w:val="32"/>
        </w:rPr>
      </w:pPr>
      <w:r w:rsidRPr="00F34287">
        <w:rPr>
          <w:b/>
          <w:bCs/>
          <w:iCs/>
          <w:color w:val="000000" w:themeColor="text1"/>
          <w:sz w:val="32"/>
          <w:szCs w:val="32"/>
        </w:rPr>
        <w:t>Associations between RHR and cancer mortality</w:t>
      </w:r>
    </w:p>
    <w:p w14:paraId="44F0EF79" w14:textId="65C90A7A" w:rsidR="0097072E" w:rsidRPr="00F34287" w:rsidRDefault="00A72209" w:rsidP="00BA3555">
      <w:pPr>
        <w:spacing w:after="120" w:line="480" w:lineRule="auto"/>
        <w:rPr>
          <w:color w:val="000000" w:themeColor="text1"/>
          <w:sz w:val="22"/>
          <w:szCs w:val="22"/>
          <w:lang w:val="en"/>
        </w:rPr>
      </w:pPr>
      <w:r w:rsidRPr="00F34287">
        <w:rPr>
          <w:bCs/>
          <w:color w:val="000000" w:themeColor="text1"/>
          <w:sz w:val="22"/>
          <w:szCs w:val="22"/>
        </w:rPr>
        <w:t xml:space="preserve">To </w:t>
      </w:r>
      <w:r w:rsidR="00E25BFB" w:rsidRPr="00F34287">
        <w:rPr>
          <w:bCs/>
          <w:color w:val="000000" w:themeColor="text1"/>
          <w:sz w:val="22"/>
          <w:szCs w:val="22"/>
        </w:rPr>
        <w:t xml:space="preserve">compare an exemplar </w:t>
      </w:r>
      <w:r w:rsidR="00453ABE" w:rsidRPr="00F34287">
        <w:rPr>
          <w:bCs/>
          <w:color w:val="000000" w:themeColor="text1"/>
          <w:sz w:val="22"/>
          <w:szCs w:val="22"/>
        </w:rPr>
        <w:t xml:space="preserve">of </w:t>
      </w:r>
      <w:r w:rsidR="000E1800" w:rsidRPr="00F34287">
        <w:rPr>
          <w:bCs/>
          <w:color w:val="000000" w:themeColor="text1"/>
          <w:sz w:val="22"/>
          <w:szCs w:val="22"/>
        </w:rPr>
        <w:t xml:space="preserve">important </w:t>
      </w:r>
      <w:r w:rsidRPr="00F34287">
        <w:rPr>
          <w:bCs/>
          <w:color w:val="000000" w:themeColor="text1"/>
          <w:sz w:val="22"/>
          <w:szCs w:val="22"/>
        </w:rPr>
        <w:t xml:space="preserve">non-cardiac </w:t>
      </w:r>
      <w:r w:rsidR="00E25BFB" w:rsidRPr="00F34287">
        <w:rPr>
          <w:bCs/>
          <w:color w:val="000000" w:themeColor="text1"/>
          <w:sz w:val="22"/>
          <w:szCs w:val="22"/>
        </w:rPr>
        <w:t xml:space="preserve">with cardiac </w:t>
      </w:r>
      <w:r w:rsidR="000E1800" w:rsidRPr="00F34287">
        <w:rPr>
          <w:bCs/>
          <w:color w:val="000000" w:themeColor="text1"/>
          <w:sz w:val="22"/>
          <w:szCs w:val="22"/>
        </w:rPr>
        <w:t>drivers of</w:t>
      </w:r>
      <w:r w:rsidR="00E25BFB" w:rsidRPr="00F34287">
        <w:rPr>
          <w:bCs/>
          <w:color w:val="000000" w:themeColor="text1"/>
          <w:sz w:val="22"/>
          <w:szCs w:val="22"/>
        </w:rPr>
        <w:t xml:space="preserve"> </w:t>
      </w:r>
      <w:r w:rsidRPr="00F34287">
        <w:rPr>
          <w:bCs/>
          <w:color w:val="000000" w:themeColor="text1"/>
          <w:sz w:val="22"/>
          <w:szCs w:val="22"/>
        </w:rPr>
        <w:t xml:space="preserve">all-cause mortality, we </w:t>
      </w:r>
      <w:r w:rsidR="009733B2" w:rsidRPr="00F34287">
        <w:rPr>
          <w:bCs/>
          <w:color w:val="000000" w:themeColor="text1"/>
          <w:sz w:val="22"/>
          <w:szCs w:val="22"/>
        </w:rPr>
        <w:t xml:space="preserve">analysed </w:t>
      </w:r>
      <w:r w:rsidR="00F52155" w:rsidRPr="00F34287">
        <w:rPr>
          <w:bCs/>
          <w:color w:val="000000" w:themeColor="text1"/>
          <w:sz w:val="22"/>
          <w:szCs w:val="22"/>
        </w:rPr>
        <w:t xml:space="preserve">the </w:t>
      </w:r>
      <w:r w:rsidR="009733B2" w:rsidRPr="00F34287">
        <w:rPr>
          <w:bCs/>
          <w:color w:val="000000" w:themeColor="text1"/>
          <w:sz w:val="22"/>
          <w:szCs w:val="22"/>
        </w:rPr>
        <w:t xml:space="preserve">relationship </w:t>
      </w:r>
      <w:r w:rsidR="00764CAA" w:rsidRPr="00F34287">
        <w:rPr>
          <w:bCs/>
          <w:color w:val="000000" w:themeColor="text1"/>
          <w:sz w:val="22"/>
          <w:szCs w:val="22"/>
        </w:rPr>
        <w:t xml:space="preserve">between </w:t>
      </w:r>
      <w:r w:rsidR="00F52155" w:rsidRPr="00F34287">
        <w:rPr>
          <w:bCs/>
          <w:color w:val="000000" w:themeColor="text1"/>
          <w:sz w:val="22"/>
          <w:szCs w:val="22"/>
        </w:rPr>
        <w:t xml:space="preserve">RHR </w:t>
      </w:r>
      <w:r w:rsidR="00764CAA" w:rsidRPr="00F34287">
        <w:rPr>
          <w:bCs/>
          <w:color w:val="000000" w:themeColor="text1"/>
          <w:sz w:val="22"/>
          <w:szCs w:val="22"/>
        </w:rPr>
        <w:t>and</w:t>
      </w:r>
      <w:r w:rsidRPr="00F34287">
        <w:rPr>
          <w:bCs/>
          <w:color w:val="000000" w:themeColor="text1"/>
          <w:sz w:val="22"/>
          <w:szCs w:val="22"/>
        </w:rPr>
        <w:t xml:space="preserve"> </w:t>
      </w:r>
      <w:r w:rsidR="00E25BFB" w:rsidRPr="00F34287">
        <w:rPr>
          <w:bCs/>
          <w:color w:val="000000" w:themeColor="text1"/>
          <w:sz w:val="22"/>
          <w:szCs w:val="22"/>
        </w:rPr>
        <w:t xml:space="preserve">incident </w:t>
      </w:r>
      <w:r w:rsidRPr="00F34287">
        <w:rPr>
          <w:bCs/>
          <w:color w:val="000000" w:themeColor="text1"/>
          <w:sz w:val="22"/>
          <w:szCs w:val="22"/>
        </w:rPr>
        <w:t xml:space="preserve">cancer </w:t>
      </w:r>
      <w:r w:rsidR="000E1800" w:rsidRPr="00F34287">
        <w:rPr>
          <w:bCs/>
          <w:color w:val="000000" w:themeColor="text1"/>
          <w:sz w:val="22"/>
          <w:szCs w:val="22"/>
        </w:rPr>
        <w:t>mortality</w:t>
      </w:r>
      <w:r w:rsidRPr="00F34287">
        <w:rPr>
          <w:bCs/>
          <w:color w:val="000000" w:themeColor="text1"/>
          <w:sz w:val="22"/>
          <w:szCs w:val="22"/>
        </w:rPr>
        <w:t xml:space="preserve">. </w:t>
      </w:r>
      <w:r w:rsidR="000E1800" w:rsidRPr="00F34287">
        <w:rPr>
          <w:bCs/>
          <w:color w:val="000000" w:themeColor="text1"/>
          <w:sz w:val="22"/>
          <w:szCs w:val="22"/>
        </w:rPr>
        <w:t>In both men and women, higher RHR was associated with</w:t>
      </w:r>
      <w:r w:rsidRPr="00F34287">
        <w:rPr>
          <w:bCs/>
          <w:color w:val="000000" w:themeColor="text1"/>
          <w:sz w:val="22"/>
          <w:szCs w:val="22"/>
        </w:rPr>
        <w:t xml:space="preserve"> significant</w:t>
      </w:r>
      <w:r w:rsidR="00B436C4" w:rsidRPr="00F34287">
        <w:rPr>
          <w:bCs/>
          <w:color w:val="000000" w:themeColor="text1"/>
          <w:sz w:val="22"/>
          <w:szCs w:val="22"/>
        </w:rPr>
        <w:t>ly</w:t>
      </w:r>
      <w:r w:rsidRPr="00F34287">
        <w:rPr>
          <w:bCs/>
          <w:color w:val="000000" w:themeColor="text1"/>
          <w:sz w:val="22"/>
          <w:szCs w:val="22"/>
        </w:rPr>
        <w:t xml:space="preserve"> </w:t>
      </w:r>
      <w:r w:rsidR="007027FB" w:rsidRPr="00F34287">
        <w:rPr>
          <w:bCs/>
          <w:color w:val="000000" w:themeColor="text1"/>
          <w:sz w:val="22"/>
          <w:szCs w:val="22"/>
        </w:rPr>
        <w:t xml:space="preserve">greater </w:t>
      </w:r>
      <w:r w:rsidRPr="00F34287">
        <w:rPr>
          <w:bCs/>
          <w:color w:val="000000" w:themeColor="text1"/>
          <w:sz w:val="22"/>
          <w:szCs w:val="22"/>
        </w:rPr>
        <w:t xml:space="preserve">hazard of cancer mortality </w:t>
      </w:r>
      <w:r w:rsidR="008721B8" w:rsidRPr="00F34287">
        <w:rPr>
          <w:bCs/>
          <w:color w:val="000000" w:themeColor="text1"/>
          <w:sz w:val="22"/>
          <w:szCs w:val="22"/>
        </w:rPr>
        <w:t xml:space="preserve">(Table </w:t>
      </w:r>
      <w:r w:rsidR="000E1800" w:rsidRPr="00F34287">
        <w:rPr>
          <w:bCs/>
          <w:color w:val="000000" w:themeColor="text1"/>
          <w:sz w:val="22"/>
          <w:szCs w:val="22"/>
        </w:rPr>
        <w:t>3</w:t>
      </w:r>
      <w:r w:rsidR="008721B8" w:rsidRPr="00F34287">
        <w:rPr>
          <w:bCs/>
          <w:color w:val="000000" w:themeColor="text1"/>
          <w:sz w:val="22"/>
          <w:szCs w:val="22"/>
        </w:rPr>
        <w:t>)</w:t>
      </w:r>
      <w:r w:rsidRPr="00F34287">
        <w:rPr>
          <w:bCs/>
          <w:color w:val="000000" w:themeColor="text1"/>
          <w:sz w:val="22"/>
          <w:szCs w:val="22"/>
        </w:rPr>
        <w:t xml:space="preserve">. A 10bpm </w:t>
      </w:r>
      <w:r w:rsidR="00F20FAF" w:rsidRPr="00F34287">
        <w:rPr>
          <w:bCs/>
          <w:color w:val="000000" w:themeColor="text1"/>
          <w:sz w:val="22"/>
          <w:szCs w:val="22"/>
        </w:rPr>
        <w:t>higher</w:t>
      </w:r>
      <w:r w:rsidRPr="00F34287">
        <w:rPr>
          <w:bCs/>
          <w:color w:val="000000" w:themeColor="text1"/>
          <w:sz w:val="22"/>
          <w:szCs w:val="22"/>
        </w:rPr>
        <w:t xml:space="preserve"> RHR was associated with 18% </w:t>
      </w:r>
      <w:r w:rsidR="00764CAA" w:rsidRPr="00F34287">
        <w:rPr>
          <w:bCs/>
          <w:color w:val="000000" w:themeColor="text1"/>
          <w:sz w:val="22"/>
          <w:szCs w:val="22"/>
        </w:rPr>
        <w:t xml:space="preserve">(SHR 1.18, CI 1.15-1.21, p-value 5.2 </w:t>
      </w:r>
      <m:oMath>
        <m:r>
          <w:rPr>
            <w:rFonts w:ascii="Cambria Math" w:hAnsi="Cambria Math"/>
            <w:color w:val="000000" w:themeColor="text1"/>
            <w:sz w:val="22"/>
            <w:szCs w:val="22"/>
            <w:lang w:val="en"/>
          </w:rPr>
          <m:t>×</m:t>
        </m:r>
      </m:oMath>
      <w:r w:rsidR="00764CAA" w:rsidRPr="00F34287">
        <w:rPr>
          <w:color w:val="000000" w:themeColor="text1"/>
          <w:sz w:val="22"/>
          <w:szCs w:val="22"/>
          <w:lang w:val="en"/>
        </w:rPr>
        <w:t>10</w:t>
      </w:r>
      <w:r w:rsidR="00764CAA" w:rsidRPr="00F34287">
        <w:rPr>
          <w:color w:val="000000" w:themeColor="text1"/>
          <w:sz w:val="22"/>
          <w:szCs w:val="22"/>
          <w:vertAlign w:val="superscript"/>
          <w:lang w:val="en"/>
        </w:rPr>
        <w:t>-46</w:t>
      </w:r>
      <w:r w:rsidR="00764CAA" w:rsidRPr="00F34287">
        <w:rPr>
          <w:color w:val="000000" w:themeColor="text1"/>
          <w:sz w:val="22"/>
          <w:szCs w:val="22"/>
          <w:lang w:val="en"/>
        </w:rPr>
        <w:t xml:space="preserve">) </w:t>
      </w:r>
      <w:r w:rsidR="00F20FAF" w:rsidRPr="00F34287">
        <w:rPr>
          <w:bCs/>
          <w:color w:val="000000" w:themeColor="text1"/>
          <w:sz w:val="22"/>
          <w:szCs w:val="22"/>
        </w:rPr>
        <w:t xml:space="preserve">greater </w:t>
      </w:r>
      <w:r w:rsidRPr="00F34287">
        <w:rPr>
          <w:bCs/>
          <w:color w:val="000000" w:themeColor="text1"/>
          <w:sz w:val="22"/>
          <w:szCs w:val="22"/>
        </w:rPr>
        <w:t xml:space="preserve">hazard of cancer mortality in men </w:t>
      </w:r>
      <w:r w:rsidRPr="00F34287">
        <w:rPr>
          <w:color w:val="000000" w:themeColor="text1"/>
          <w:sz w:val="22"/>
          <w:szCs w:val="22"/>
          <w:lang w:val="en"/>
        </w:rPr>
        <w:t xml:space="preserve">and 15% </w:t>
      </w:r>
      <w:r w:rsidR="00764CAA" w:rsidRPr="00F34287">
        <w:rPr>
          <w:color w:val="000000" w:themeColor="text1"/>
          <w:sz w:val="22"/>
          <w:szCs w:val="22"/>
          <w:lang w:val="en"/>
        </w:rPr>
        <w:t xml:space="preserve">(SHR </w:t>
      </w:r>
      <w:r w:rsidR="00764CAA" w:rsidRPr="00F34287">
        <w:rPr>
          <w:bCs/>
          <w:color w:val="000000" w:themeColor="text1"/>
          <w:sz w:val="22"/>
          <w:szCs w:val="22"/>
        </w:rPr>
        <w:t xml:space="preserve">1.15, CI 1.11-1.18, p-value 3.1 </w:t>
      </w:r>
      <m:oMath>
        <m:r>
          <w:rPr>
            <w:rFonts w:ascii="Cambria Math" w:hAnsi="Cambria Math"/>
            <w:color w:val="000000" w:themeColor="text1"/>
            <w:sz w:val="22"/>
            <w:szCs w:val="22"/>
            <w:lang w:val="en"/>
          </w:rPr>
          <m:t>×</m:t>
        </m:r>
      </m:oMath>
      <w:r w:rsidR="00764CAA" w:rsidRPr="00F34287">
        <w:rPr>
          <w:color w:val="000000" w:themeColor="text1"/>
          <w:sz w:val="22"/>
          <w:szCs w:val="22"/>
          <w:lang w:val="en"/>
        </w:rPr>
        <w:t>10</w:t>
      </w:r>
      <w:r w:rsidR="00764CAA" w:rsidRPr="00F34287">
        <w:rPr>
          <w:color w:val="000000" w:themeColor="text1"/>
          <w:sz w:val="22"/>
          <w:szCs w:val="22"/>
          <w:vertAlign w:val="superscript"/>
          <w:lang w:val="en"/>
        </w:rPr>
        <w:t>-18</w:t>
      </w:r>
      <w:r w:rsidR="00764CAA" w:rsidRPr="00F34287">
        <w:rPr>
          <w:color w:val="000000" w:themeColor="text1"/>
          <w:sz w:val="22"/>
          <w:szCs w:val="22"/>
          <w:lang w:val="en"/>
        </w:rPr>
        <w:t xml:space="preserve">) </w:t>
      </w:r>
      <w:r w:rsidR="00F20FAF" w:rsidRPr="00F34287">
        <w:rPr>
          <w:color w:val="000000" w:themeColor="text1"/>
          <w:sz w:val="22"/>
          <w:szCs w:val="22"/>
          <w:lang w:val="en"/>
        </w:rPr>
        <w:t xml:space="preserve">greater </w:t>
      </w:r>
      <w:r w:rsidR="00453ABE" w:rsidRPr="00F34287">
        <w:rPr>
          <w:color w:val="000000" w:themeColor="text1"/>
          <w:sz w:val="22"/>
          <w:szCs w:val="22"/>
          <w:lang w:val="en"/>
        </w:rPr>
        <w:t xml:space="preserve">hazard </w:t>
      </w:r>
      <w:r w:rsidRPr="00F34287">
        <w:rPr>
          <w:color w:val="000000" w:themeColor="text1"/>
          <w:sz w:val="22"/>
          <w:szCs w:val="22"/>
          <w:lang w:val="en"/>
        </w:rPr>
        <w:t>in women</w:t>
      </w:r>
      <w:r w:rsidR="00764CAA" w:rsidRPr="00F34287">
        <w:rPr>
          <w:color w:val="000000" w:themeColor="text1"/>
          <w:sz w:val="22"/>
          <w:szCs w:val="22"/>
          <w:lang w:val="en"/>
        </w:rPr>
        <w:t>.</w:t>
      </w:r>
    </w:p>
    <w:p w14:paraId="6AB14675" w14:textId="77777777" w:rsidR="004B4A00" w:rsidRPr="00F34287" w:rsidRDefault="004B4A00" w:rsidP="00BA3555">
      <w:pPr>
        <w:spacing w:after="120" w:line="480" w:lineRule="auto"/>
        <w:rPr>
          <w:bCs/>
          <w:color w:val="000000" w:themeColor="text1"/>
          <w:sz w:val="22"/>
          <w:szCs w:val="22"/>
        </w:rPr>
      </w:pPr>
    </w:p>
    <w:p w14:paraId="70EE201E" w14:textId="26592519" w:rsidR="00B96A7A" w:rsidRPr="00F34287" w:rsidRDefault="00F37306" w:rsidP="00BA3555">
      <w:pPr>
        <w:spacing w:line="480" w:lineRule="auto"/>
        <w:rPr>
          <w:b/>
          <w:color w:val="000000" w:themeColor="text1"/>
          <w:sz w:val="32"/>
          <w:szCs w:val="32"/>
        </w:rPr>
      </w:pPr>
      <w:r w:rsidRPr="00F34287">
        <w:rPr>
          <w:b/>
          <w:color w:val="000000" w:themeColor="text1"/>
          <w:sz w:val="32"/>
          <w:szCs w:val="32"/>
        </w:rPr>
        <w:t>Interaction with age</w:t>
      </w:r>
    </w:p>
    <w:p w14:paraId="1B9E7DB2" w14:textId="1468CE9C" w:rsidR="00634CD6" w:rsidRPr="00F34287" w:rsidRDefault="00703641" w:rsidP="00BA3555">
      <w:pPr>
        <w:spacing w:line="480" w:lineRule="auto"/>
        <w:rPr>
          <w:rFonts w:eastAsiaTheme="minorEastAsia"/>
          <w:color w:val="000000" w:themeColor="text1"/>
          <w:sz w:val="22"/>
          <w:szCs w:val="22"/>
        </w:rPr>
      </w:pPr>
      <w:r w:rsidRPr="00F34287">
        <w:rPr>
          <w:color w:val="000000" w:themeColor="text1"/>
          <w:sz w:val="22"/>
          <w:szCs w:val="22"/>
        </w:rPr>
        <w:t>Tests for interaction were made with age as a continuous variable</w:t>
      </w:r>
      <w:r w:rsidR="008D56B5" w:rsidRPr="00F34287">
        <w:rPr>
          <w:color w:val="000000" w:themeColor="text1"/>
          <w:sz w:val="22"/>
          <w:szCs w:val="22"/>
        </w:rPr>
        <w:t>, but</w:t>
      </w:r>
      <w:r w:rsidRPr="00F34287">
        <w:rPr>
          <w:color w:val="000000" w:themeColor="text1"/>
          <w:sz w:val="22"/>
          <w:szCs w:val="22"/>
        </w:rPr>
        <w:t xml:space="preserve"> for ease of interpretation we present hazard ratios by age group. The age groups were chosen to create even deciles (&lt;50years, 50-59years, &gt;60years). We do not ascribe any clinical meaning to these age groups and would not advocate viewing these as thresholds. </w:t>
      </w:r>
      <w:r w:rsidR="000B0509" w:rsidRPr="00F34287">
        <w:rPr>
          <w:color w:val="000000" w:themeColor="text1"/>
          <w:sz w:val="22"/>
          <w:szCs w:val="22"/>
        </w:rPr>
        <w:t>In age-stratified analyses</w:t>
      </w:r>
      <w:r w:rsidR="00C92BEF" w:rsidRPr="00F34287">
        <w:rPr>
          <w:color w:val="000000" w:themeColor="text1"/>
          <w:sz w:val="22"/>
          <w:szCs w:val="22"/>
        </w:rPr>
        <w:t xml:space="preserve"> (Table </w:t>
      </w:r>
      <w:r w:rsidR="00C70691" w:rsidRPr="00F34287">
        <w:rPr>
          <w:color w:val="000000" w:themeColor="text1"/>
          <w:sz w:val="22"/>
          <w:szCs w:val="22"/>
        </w:rPr>
        <w:t>5</w:t>
      </w:r>
      <w:r w:rsidR="00C92BEF" w:rsidRPr="00F34287">
        <w:rPr>
          <w:color w:val="000000" w:themeColor="text1"/>
          <w:sz w:val="22"/>
          <w:szCs w:val="22"/>
        </w:rPr>
        <w:t>)</w:t>
      </w:r>
      <w:r w:rsidR="000B0509" w:rsidRPr="00F34287">
        <w:rPr>
          <w:color w:val="000000" w:themeColor="text1"/>
          <w:sz w:val="22"/>
          <w:szCs w:val="22"/>
        </w:rPr>
        <w:t xml:space="preserve">, </w:t>
      </w:r>
      <w:r w:rsidR="008721B8" w:rsidRPr="00F34287">
        <w:rPr>
          <w:color w:val="000000" w:themeColor="text1"/>
          <w:sz w:val="22"/>
          <w:szCs w:val="22"/>
        </w:rPr>
        <w:t>there was</w:t>
      </w:r>
      <w:r w:rsidR="0027453D" w:rsidRPr="00F34287">
        <w:rPr>
          <w:color w:val="000000" w:themeColor="text1"/>
          <w:sz w:val="22"/>
          <w:szCs w:val="22"/>
        </w:rPr>
        <w:t xml:space="preserve"> a significant trend for greater effect size in younger participants for</w:t>
      </w:r>
      <w:r w:rsidR="000B0509" w:rsidRPr="00F34287">
        <w:rPr>
          <w:color w:val="000000" w:themeColor="text1"/>
          <w:sz w:val="22"/>
          <w:szCs w:val="22"/>
        </w:rPr>
        <w:t xml:space="preserve"> all-cause </w:t>
      </w:r>
      <w:r w:rsidR="00453ABE" w:rsidRPr="00F34287">
        <w:rPr>
          <w:color w:val="000000" w:themeColor="text1"/>
          <w:sz w:val="22"/>
          <w:szCs w:val="22"/>
        </w:rPr>
        <w:t xml:space="preserve">mortality </w:t>
      </w:r>
      <w:r w:rsidR="008721B8" w:rsidRPr="00F34287">
        <w:rPr>
          <w:color w:val="000000" w:themeColor="text1"/>
          <w:sz w:val="22"/>
          <w:szCs w:val="22"/>
        </w:rPr>
        <w:t>[</w:t>
      </w:r>
      <w:r w:rsidR="000B0509" w:rsidRPr="00F34287">
        <w:rPr>
          <w:color w:val="000000" w:themeColor="text1"/>
          <w:sz w:val="22"/>
          <w:szCs w:val="22"/>
        </w:rPr>
        <w:t xml:space="preserve">HR 1.30 </w:t>
      </w:r>
      <w:r w:rsidR="0027453D" w:rsidRPr="00F34287">
        <w:rPr>
          <w:color w:val="000000" w:themeColor="text1"/>
          <w:sz w:val="22"/>
          <w:szCs w:val="22"/>
        </w:rPr>
        <w:t>(1.24-1.36)</w:t>
      </w:r>
      <w:r w:rsidR="000B0509" w:rsidRPr="00F34287">
        <w:rPr>
          <w:color w:val="000000" w:themeColor="text1"/>
          <w:sz w:val="22"/>
          <w:szCs w:val="22"/>
        </w:rPr>
        <w:t xml:space="preserve"> &lt;50 years</w:t>
      </w:r>
      <w:r w:rsidR="00764CAA" w:rsidRPr="00F34287">
        <w:rPr>
          <w:color w:val="000000" w:themeColor="text1"/>
          <w:sz w:val="22"/>
          <w:szCs w:val="22"/>
        </w:rPr>
        <w:t>-old</w:t>
      </w:r>
      <w:r w:rsidR="000B0509" w:rsidRPr="00F34287">
        <w:rPr>
          <w:color w:val="000000" w:themeColor="text1"/>
          <w:sz w:val="22"/>
          <w:szCs w:val="22"/>
        </w:rPr>
        <w:t xml:space="preserve"> vs 1.15 </w:t>
      </w:r>
      <w:r w:rsidR="0027453D" w:rsidRPr="00F34287">
        <w:rPr>
          <w:color w:val="000000" w:themeColor="text1"/>
          <w:sz w:val="22"/>
          <w:szCs w:val="22"/>
        </w:rPr>
        <w:t>(1.13-1.16)</w:t>
      </w:r>
      <w:r w:rsidR="000B0509" w:rsidRPr="00F34287">
        <w:rPr>
          <w:color w:val="000000" w:themeColor="text1"/>
          <w:sz w:val="22"/>
          <w:szCs w:val="22"/>
        </w:rPr>
        <w:t xml:space="preserve"> </w:t>
      </w:r>
      <m:oMath>
        <m:r>
          <w:rPr>
            <w:rFonts w:ascii="Cambria Math" w:hAnsi="Cambria Math"/>
            <w:color w:val="000000" w:themeColor="text1"/>
            <w:sz w:val="22"/>
            <w:szCs w:val="22"/>
          </w:rPr>
          <m:t>≥</m:t>
        </m:r>
      </m:oMath>
      <w:r w:rsidR="000B0509" w:rsidRPr="00F34287">
        <w:rPr>
          <w:rFonts w:eastAsiaTheme="minorEastAsia"/>
          <w:color w:val="000000" w:themeColor="text1"/>
          <w:sz w:val="22"/>
          <w:szCs w:val="22"/>
        </w:rPr>
        <w:t>60 years-old</w:t>
      </w:r>
      <w:r w:rsidR="008721B8" w:rsidRPr="00F34287">
        <w:rPr>
          <w:rFonts w:eastAsiaTheme="minorEastAsia"/>
          <w:color w:val="000000" w:themeColor="text1"/>
          <w:sz w:val="22"/>
          <w:szCs w:val="22"/>
        </w:rPr>
        <w:t>]</w:t>
      </w:r>
      <w:r w:rsidR="0027453D" w:rsidRPr="00F34287">
        <w:rPr>
          <w:rFonts w:eastAsiaTheme="minorEastAsia"/>
          <w:color w:val="000000" w:themeColor="text1"/>
          <w:sz w:val="22"/>
          <w:szCs w:val="22"/>
        </w:rPr>
        <w:t xml:space="preserve"> and cancer mortality </w:t>
      </w:r>
      <w:r w:rsidR="008721B8" w:rsidRPr="00F34287">
        <w:rPr>
          <w:rFonts w:eastAsiaTheme="minorEastAsia"/>
          <w:color w:val="000000" w:themeColor="text1"/>
          <w:sz w:val="22"/>
          <w:szCs w:val="22"/>
        </w:rPr>
        <w:t>[</w:t>
      </w:r>
      <w:r w:rsidR="0027453D" w:rsidRPr="00F34287">
        <w:rPr>
          <w:color w:val="000000" w:themeColor="text1"/>
          <w:sz w:val="22"/>
          <w:szCs w:val="22"/>
        </w:rPr>
        <w:t>H</w:t>
      </w:r>
      <w:r w:rsidR="00764CAA" w:rsidRPr="00F34287">
        <w:rPr>
          <w:color w:val="000000" w:themeColor="text1"/>
          <w:sz w:val="22"/>
          <w:szCs w:val="22"/>
        </w:rPr>
        <w:t>R</w:t>
      </w:r>
      <w:r w:rsidR="0027453D" w:rsidRPr="00F34287">
        <w:rPr>
          <w:color w:val="000000" w:themeColor="text1"/>
          <w:sz w:val="22"/>
          <w:szCs w:val="22"/>
        </w:rPr>
        <w:t xml:space="preserve"> 1.21 (1.13-1.30) &lt;50 years</w:t>
      </w:r>
      <w:r w:rsidR="00764CAA" w:rsidRPr="00F34287">
        <w:rPr>
          <w:color w:val="000000" w:themeColor="text1"/>
          <w:sz w:val="22"/>
          <w:szCs w:val="22"/>
        </w:rPr>
        <w:t>-old</w:t>
      </w:r>
      <w:r w:rsidR="0027453D" w:rsidRPr="00F34287">
        <w:rPr>
          <w:color w:val="000000" w:themeColor="text1"/>
          <w:sz w:val="22"/>
          <w:szCs w:val="22"/>
        </w:rPr>
        <w:t xml:space="preserve"> vs 1.15 (1.13-1.18) </w:t>
      </w:r>
      <m:oMath>
        <m:r>
          <w:rPr>
            <w:rFonts w:ascii="Cambria Math" w:hAnsi="Cambria Math"/>
            <w:color w:val="000000" w:themeColor="text1"/>
            <w:sz w:val="22"/>
            <w:szCs w:val="22"/>
          </w:rPr>
          <m:t>≥</m:t>
        </m:r>
      </m:oMath>
      <w:r w:rsidR="0027453D" w:rsidRPr="00F34287">
        <w:rPr>
          <w:rFonts w:eastAsiaTheme="minorEastAsia"/>
          <w:color w:val="000000" w:themeColor="text1"/>
          <w:sz w:val="22"/>
          <w:szCs w:val="22"/>
        </w:rPr>
        <w:t>60 years-old</w:t>
      </w:r>
      <w:r w:rsidR="008721B8" w:rsidRPr="00F34287">
        <w:rPr>
          <w:rFonts w:eastAsiaTheme="minorEastAsia"/>
          <w:color w:val="000000" w:themeColor="text1"/>
          <w:sz w:val="22"/>
          <w:szCs w:val="22"/>
        </w:rPr>
        <w:t>]</w:t>
      </w:r>
      <w:r w:rsidR="000B0509" w:rsidRPr="00F34287">
        <w:rPr>
          <w:rFonts w:eastAsiaTheme="minorEastAsia"/>
          <w:color w:val="000000" w:themeColor="text1"/>
          <w:sz w:val="22"/>
          <w:szCs w:val="22"/>
        </w:rPr>
        <w:t>.</w:t>
      </w:r>
      <w:r w:rsidR="0027453D" w:rsidRPr="00F34287">
        <w:rPr>
          <w:rFonts w:eastAsiaTheme="minorEastAsia"/>
          <w:color w:val="000000" w:themeColor="text1"/>
          <w:sz w:val="22"/>
          <w:szCs w:val="22"/>
        </w:rPr>
        <w:t xml:space="preserve"> The same age modifying effect was observed for </w:t>
      </w:r>
      <w:r w:rsidR="00A75037" w:rsidRPr="00F34287">
        <w:rPr>
          <w:rFonts w:eastAsiaTheme="minorEastAsia"/>
          <w:color w:val="000000" w:themeColor="text1"/>
          <w:sz w:val="22"/>
          <w:szCs w:val="22"/>
        </w:rPr>
        <w:t xml:space="preserve">incident </w:t>
      </w:r>
      <w:r w:rsidR="0027453D" w:rsidRPr="00F34287">
        <w:rPr>
          <w:rFonts w:eastAsiaTheme="minorEastAsia"/>
          <w:color w:val="000000" w:themeColor="text1"/>
          <w:sz w:val="22"/>
          <w:szCs w:val="22"/>
        </w:rPr>
        <w:t xml:space="preserve">AMI, </w:t>
      </w:r>
      <w:r w:rsidR="00E25BFB" w:rsidRPr="00F34287">
        <w:rPr>
          <w:rFonts w:eastAsiaTheme="minorEastAsia"/>
          <w:color w:val="000000" w:themeColor="text1"/>
          <w:sz w:val="22"/>
          <w:szCs w:val="22"/>
        </w:rPr>
        <w:t xml:space="preserve">with </w:t>
      </w:r>
      <w:r w:rsidR="00E25BFB" w:rsidRPr="00F34287">
        <w:rPr>
          <w:rFonts w:eastAsiaTheme="minorEastAsia"/>
          <w:color w:val="000000" w:themeColor="text1"/>
          <w:sz w:val="22"/>
          <w:szCs w:val="22"/>
        </w:rPr>
        <w:lastRenderedPageBreak/>
        <w:t>the association becoming null in the</w:t>
      </w:r>
      <w:r w:rsidR="0027453D" w:rsidRPr="00F34287">
        <w:rPr>
          <w:rFonts w:eastAsiaTheme="minorEastAsia"/>
          <w:color w:val="000000" w:themeColor="text1"/>
          <w:sz w:val="22"/>
          <w:szCs w:val="22"/>
        </w:rPr>
        <w:t xml:space="preserve"> oldest age category </w:t>
      </w:r>
      <w:r w:rsidR="00C052FA" w:rsidRPr="00F34287">
        <w:rPr>
          <w:color w:val="000000" w:themeColor="text1"/>
          <w:sz w:val="22"/>
          <w:szCs w:val="22"/>
        </w:rPr>
        <w:t>[</w:t>
      </w:r>
      <w:r w:rsidR="0027453D" w:rsidRPr="00F34287">
        <w:rPr>
          <w:color w:val="000000" w:themeColor="text1"/>
          <w:sz w:val="22"/>
          <w:szCs w:val="22"/>
        </w:rPr>
        <w:t>HR: 1.14 (1.06-1.22) &lt;50 years</w:t>
      </w:r>
      <w:r w:rsidR="00764CAA" w:rsidRPr="00F34287">
        <w:rPr>
          <w:color w:val="000000" w:themeColor="text1"/>
          <w:sz w:val="22"/>
          <w:szCs w:val="22"/>
        </w:rPr>
        <w:t>-old</w:t>
      </w:r>
      <w:r w:rsidR="0027453D" w:rsidRPr="00F34287">
        <w:rPr>
          <w:color w:val="000000" w:themeColor="text1"/>
          <w:sz w:val="22"/>
          <w:szCs w:val="22"/>
        </w:rPr>
        <w:t xml:space="preserve"> vs 1.02 (0.99-1.05) </w:t>
      </w:r>
      <m:oMath>
        <m:r>
          <w:rPr>
            <w:rFonts w:ascii="Cambria Math" w:hAnsi="Cambria Math"/>
            <w:color w:val="000000" w:themeColor="text1"/>
            <w:sz w:val="22"/>
            <w:szCs w:val="22"/>
          </w:rPr>
          <m:t>≥</m:t>
        </m:r>
      </m:oMath>
      <w:r w:rsidR="0027453D" w:rsidRPr="00F34287">
        <w:rPr>
          <w:rFonts w:eastAsiaTheme="minorEastAsia"/>
          <w:color w:val="000000" w:themeColor="text1"/>
          <w:sz w:val="22"/>
          <w:szCs w:val="22"/>
        </w:rPr>
        <w:t>60 years-old</w:t>
      </w:r>
      <w:r w:rsidR="00C052FA" w:rsidRPr="00F34287">
        <w:rPr>
          <w:rFonts w:eastAsiaTheme="minorEastAsia"/>
          <w:color w:val="000000" w:themeColor="text1"/>
          <w:sz w:val="22"/>
          <w:szCs w:val="22"/>
        </w:rPr>
        <w:t>]</w:t>
      </w:r>
      <w:r w:rsidR="0027453D" w:rsidRPr="00F34287">
        <w:rPr>
          <w:rFonts w:eastAsiaTheme="minorEastAsia"/>
          <w:color w:val="000000" w:themeColor="text1"/>
          <w:sz w:val="22"/>
          <w:szCs w:val="22"/>
        </w:rPr>
        <w:t>.</w:t>
      </w:r>
    </w:p>
    <w:p w14:paraId="4DDF74CF" w14:textId="109110FA" w:rsidR="00C70691" w:rsidRPr="00F34287" w:rsidRDefault="00C70691" w:rsidP="00BA3555">
      <w:pPr>
        <w:spacing w:line="480" w:lineRule="auto"/>
        <w:rPr>
          <w:rFonts w:eastAsiaTheme="minorEastAsia"/>
          <w:color w:val="000000" w:themeColor="text1"/>
          <w:sz w:val="22"/>
          <w:szCs w:val="22"/>
        </w:rPr>
      </w:pPr>
    </w:p>
    <w:p w14:paraId="7246E4BB" w14:textId="77777777" w:rsidR="00C70691" w:rsidRPr="00F34287" w:rsidRDefault="00C70691" w:rsidP="00C70691">
      <w:pPr>
        <w:spacing w:line="480" w:lineRule="auto"/>
        <w:jc w:val="center"/>
        <w:rPr>
          <w:b/>
          <w:color w:val="000000" w:themeColor="text1"/>
          <w:sz w:val="22"/>
          <w:szCs w:val="22"/>
        </w:rPr>
      </w:pPr>
      <w:r w:rsidRPr="00F34287">
        <w:rPr>
          <w:b/>
          <w:color w:val="000000" w:themeColor="text1"/>
          <w:sz w:val="22"/>
          <w:szCs w:val="22"/>
        </w:rPr>
        <w:t>Table 5. Age interactions and age stratified analyses for all outcomes</w:t>
      </w:r>
    </w:p>
    <w:tbl>
      <w:tblPr>
        <w:tblStyle w:val="TableGrid"/>
        <w:tblW w:w="7807"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562"/>
        <w:gridCol w:w="1309"/>
        <w:gridCol w:w="866"/>
        <w:gridCol w:w="1812"/>
        <w:gridCol w:w="2258"/>
      </w:tblGrid>
      <w:tr w:rsidR="0057217D" w:rsidRPr="00F34287" w14:paraId="6B8B01E3" w14:textId="052231EB" w:rsidTr="0057217D">
        <w:trPr>
          <w:trHeight w:val="314"/>
        </w:trPr>
        <w:tc>
          <w:tcPr>
            <w:tcW w:w="1562" w:type="dxa"/>
            <w:hideMark/>
          </w:tcPr>
          <w:p w14:paraId="24C1C755" w14:textId="77777777" w:rsidR="0057217D" w:rsidRPr="00F34287" w:rsidRDefault="0057217D" w:rsidP="00C70691">
            <w:pPr>
              <w:spacing w:line="360" w:lineRule="auto"/>
              <w:rPr>
                <w:color w:val="000000" w:themeColor="text1"/>
                <w:sz w:val="20"/>
                <w:szCs w:val="20"/>
              </w:rPr>
            </w:pPr>
            <w:r w:rsidRPr="00F34287">
              <w:rPr>
                <w:b/>
                <w:bCs/>
                <w:color w:val="000000" w:themeColor="text1"/>
                <w:sz w:val="20"/>
                <w:szCs w:val="20"/>
              </w:rPr>
              <w:t>Outcome</w:t>
            </w:r>
          </w:p>
        </w:tc>
        <w:tc>
          <w:tcPr>
            <w:tcW w:w="1309" w:type="dxa"/>
            <w:hideMark/>
          </w:tcPr>
          <w:p w14:paraId="3908C2D9" w14:textId="77777777" w:rsidR="0057217D" w:rsidRPr="00F34287" w:rsidRDefault="0057217D" w:rsidP="00C70691">
            <w:pPr>
              <w:spacing w:line="360" w:lineRule="auto"/>
              <w:rPr>
                <w:color w:val="000000" w:themeColor="text1"/>
                <w:sz w:val="20"/>
                <w:szCs w:val="20"/>
              </w:rPr>
            </w:pPr>
            <w:r w:rsidRPr="00F34287">
              <w:rPr>
                <w:b/>
                <w:bCs/>
                <w:color w:val="000000" w:themeColor="text1"/>
                <w:sz w:val="20"/>
                <w:szCs w:val="20"/>
              </w:rPr>
              <w:t>Age group (years)</w:t>
            </w:r>
          </w:p>
        </w:tc>
        <w:tc>
          <w:tcPr>
            <w:tcW w:w="866" w:type="dxa"/>
          </w:tcPr>
          <w:p w14:paraId="3566AC4E" w14:textId="7E22CB9D" w:rsidR="0057217D" w:rsidRPr="00F34287" w:rsidRDefault="0057217D" w:rsidP="003205E0">
            <w:pPr>
              <w:spacing w:line="360" w:lineRule="auto"/>
              <w:jc w:val="center"/>
              <w:rPr>
                <w:b/>
                <w:bCs/>
                <w:i/>
                <w:iCs/>
                <w:color w:val="000000" w:themeColor="text1"/>
                <w:sz w:val="20"/>
                <w:szCs w:val="20"/>
              </w:rPr>
            </w:pPr>
            <w:r w:rsidRPr="00F34287">
              <w:rPr>
                <w:b/>
                <w:bCs/>
                <w:i/>
                <w:iCs/>
                <w:color w:val="000000" w:themeColor="text1"/>
                <w:sz w:val="20"/>
                <w:szCs w:val="20"/>
              </w:rPr>
              <w:t>n</w:t>
            </w:r>
          </w:p>
        </w:tc>
        <w:tc>
          <w:tcPr>
            <w:tcW w:w="1812" w:type="dxa"/>
            <w:hideMark/>
          </w:tcPr>
          <w:p w14:paraId="2027D6CD" w14:textId="2962265E" w:rsidR="0057217D" w:rsidRPr="00F34287" w:rsidRDefault="0057217D" w:rsidP="00C70691">
            <w:pPr>
              <w:spacing w:line="360" w:lineRule="auto"/>
              <w:rPr>
                <w:color w:val="000000" w:themeColor="text1"/>
                <w:sz w:val="20"/>
                <w:szCs w:val="20"/>
              </w:rPr>
            </w:pPr>
            <w:r w:rsidRPr="00F34287">
              <w:rPr>
                <w:b/>
                <w:bCs/>
                <w:color w:val="000000" w:themeColor="text1"/>
                <w:sz w:val="20"/>
                <w:szCs w:val="20"/>
              </w:rPr>
              <w:t xml:space="preserve">HR (95% </w:t>
            </w:r>
            <w:proofErr w:type="gramStart"/>
            <w:r w:rsidRPr="00F34287">
              <w:rPr>
                <w:b/>
                <w:bCs/>
                <w:color w:val="000000" w:themeColor="text1"/>
                <w:sz w:val="20"/>
                <w:szCs w:val="20"/>
              </w:rPr>
              <w:t>CI)</w:t>
            </w:r>
            <w:r w:rsidRPr="00F34287">
              <w:rPr>
                <w:color w:val="000000" w:themeColor="text1"/>
                <w:sz w:val="20"/>
                <w:szCs w:val="20"/>
                <w:vertAlign w:val="superscript"/>
              </w:rPr>
              <w:t>*</w:t>
            </w:r>
            <w:proofErr w:type="gramEnd"/>
          </w:p>
        </w:tc>
        <w:tc>
          <w:tcPr>
            <w:tcW w:w="2258" w:type="dxa"/>
            <w:hideMark/>
          </w:tcPr>
          <w:p w14:paraId="33683364" w14:textId="77777777" w:rsidR="0057217D" w:rsidRPr="00F34287" w:rsidRDefault="0057217D" w:rsidP="00C70691">
            <w:pPr>
              <w:spacing w:line="360" w:lineRule="auto"/>
              <w:jc w:val="both"/>
              <w:rPr>
                <w:b/>
                <w:bCs/>
                <w:color w:val="000000" w:themeColor="text1"/>
                <w:sz w:val="20"/>
                <w:szCs w:val="20"/>
              </w:rPr>
            </w:pPr>
            <w:r w:rsidRPr="00F34287">
              <w:rPr>
                <w:b/>
                <w:bCs/>
                <w:color w:val="000000" w:themeColor="text1"/>
                <w:sz w:val="20"/>
                <w:szCs w:val="20"/>
              </w:rPr>
              <w:t xml:space="preserve">Age  RHR Interaction </w:t>
            </w:r>
          </w:p>
          <w:p w14:paraId="3F8850A8" w14:textId="77777777" w:rsidR="0057217D" w:rsidRPr="00F34287" w:rsidRDefault="0057217D" w:rsidP="0071478B">
            <w:pPr>
              <w:spacing w:line="360" w:lineRule="auto"/>
              <w:jc w:val="center"/>
              <w:rPr>
                <w:color w:val="000000" w:themeColor="text1"/>
                <w:sz w:val="20"/>
                <w:szCs w:val="20"/>
              </w:rPr>
            </w:pPr>
            <w:r w:rsidRPr="00F34287">
              <w:rPr>
                <w:b/>
                <w:bCs/>
                <w:color w:val="000000" w:themeColor="text1"/>
                <w:sz w:val="20"/>
                <w:szCs w:val="20"/>
              </w:rPr>
              <w:t>(p-value)</w:t>
            </w:r>
            <w:r w:rsidRPr="00F34287">
              <w:rPr>
                <w:color w:val="000000" w:themeColor="text1"/>
                <w:sz w:val="20"/>
                <w:szCs w:val="20"/>
                <w:vertAlign w:val="superscript"/>
              </w:rPr>
              <w:t>**</w:t>
            </w:r>
          </w:p>
        </w:tc>
      </w:tr>
      <w:tr w:rsidR="0057217D" w:rsidRPr="00F34287" w14:paraId="6E299C4B" w14:textId="6D06551F" w:rsidTr="0057217D">
        <w:tc>
          <w:tcPr>
            <w:tcW w:w="1562" w:type="dxa"/>
            <w:hideMark/>
          </w:tcPr>
          <w:p w14:paraId="4ED45EE5"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All-cause mortality</w:t>
            </w:r>
          </w:p>
        </w:tc>
        <w:tc>
          <w:tcPr>
            <w:tcW w:w="1309" w:type="dxa"/>
            <w:hideMark/>
          </w:tcPr>
          <w:p w14:paraId="444953BA"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&lt;50</w:t>
            </w:r>
          </w:p>
          <w:p w14:paraId="4C1DECEC"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50-59</w:t>
            </w:r>
          </w:p>
          <w:p w14:paraId="3316F838"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487A3646" w14:textId="0F5D6D38" w:rsidR="0057217D" w:rsidRPr="00F34287" w:rsidRDefault="0057217D" w:rsidP="00C70691">
            <w:pPr>
              <w:spacing w:line="360" w:lineRule="auto"/>
              <w:rPr>
                <w:color w:val="000000" w:themeColor="text1"/>
                <w:sz w:val="20"/>
                <w:szCs w:val="20"/>
              </w:rPr>
            </w:pPr>
            <w:r w:rsidRPr="00F34287">
              <w:rPr>
                <w:color w:val="000000" w:themeColor="text1"/>
                <w:sz w:val="20"/>
                <w:szCs w:val="20"/>
              </w:rPr>
              <w:t>117,535</w:t>
            </w:r>
          </w:p>
          <w:p w14:paraId="548AB288" w14:textId="6F206A87" w:rsidR="0057217D" w:rsidRPr="00F34287" w:rsidRDefault="0057217D" w:rsidP="00C70691">
            <w:pPr>
              <w:spacing w:line="360" w:lineRule="auto"/>
              <w:rPr>
                <w:color w:val="000000" w:themeColor="text1"/>
                <w:sz w:val="20"/>
                <w:szCs w:val="20"/>
              </w:rPr>
            </w:pPr>
            <w:r w:rsidRPr="00F34287">
              <w:rPr>
                <w:color w:val="000000" w:themeColor="text1"/>
                <w:sz w:val="20"/>
                <w:szCs w:val="20"/>
              </w:rPr>
              <w:t>166,778</w:t>
            </w:r>
          </w:p>
          <w:p w14:paraId="259CE353" w14:textId="49A3C257" w:rsidR="0057217D" w:rsidRPr="00F34287" w:rsidRDefault="0057217D" w:rsidP="00C70691">
            <w:pPr>
              <w:spacing w:line="360" w:lineRule="auto"/>
              <w:rPr>
                <w:color w:val="000000" w:themeColor="text1"/>
                <w:sz w:val="20"/>
                <w:szCs w:val="20"/>
              </w:rPr>
            </w:pPr>
            <w:r w:rsidRPr="00F34287">
              <w:rPr>
                <w:color w:val="000000" w:themeColor="text1"/>
                <w:sz w:val="20"/>
                <w:szCs w:val="20"/>
              </w:rPr>
              <w:t>217,018</w:t>
            </w:r>
          </w:p>
        </w:tc>
        <w:tc>
          <w:tcPr>
            <w:tcW w:w="1812" w:type="dxa"/>
            <w:hideMark/>
          </w:tcPr>
          <w:p w14:paraId="133D580F" w14:textId="3EED031A" w:rsidR="0057217D" w:rsidRPr="00F34287" w:rsidRDefault="0057217D" w:rsidP="00C70691">
            <w:pPr>
              <w:spacing w:line="360" w:lineRule="auto"/>
              <w:rPr>
                <w:color w:val="000000" w:themeColor="text1"/>
                <w:sz w:val="20"/>
                <w:szCs w:val="20"/>
              </w:rPr>
            </w:pPr>
            <w:r w:rsidRPr="00F34287">
              <w:rPr>
                <w:color w:val="000000" w:themeColor="text1"/>
                <w:sz w:val="20"/>
                <w:szCs w:val="20"/>
              </w:rPr>
              <w:t>1.30 (1.24 to 1.36)</w:t>
            </w:r>
          </w:p>
          <w:p w14:paraId="3367F784"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1.26 (1.22 to 1.29)</w:t>
            </w:r>
          </w:p>
          <w:p w14:paraId="368F420B"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1.15 (1.13 to 1.16)</w:t>
            </w:r>
          </w:p>
        </w:tc>
        <w:tc>
          <w:tcPr>
            <w:tcW w:w="2258" w:type="dxa"/>
            <w:hideMark/>
          </w:tcPr>
          <w:p w14:paraId="30E57797" w14:textId="6E909F98" w:rsidR="0057217D" w:rsidRPr="00F34287" w:rsidRDefault="0057217D" w:rsidP="00C70691">
            <w:pPr>
              <w:spacing w:line="360" w:lineRule="auto"/>
              <w:rPr>
                <w:color w:val="000000" w:themeColor="text1"/>
                <w:sz w:val="20"/>
                <w:szCs w:val="20"/>
              </w:rPr>
            </w:pPr>
            <w:r w:rsidRPr="00F34287">
              <w:rPr>
                <w:color w:val="000000" w:themeColor="text1"/>
                <w:sz w:val="20"/>
                <w:szCs w:val="20"/>
                <w:lang w:val="en"/>
              </w:rPr>
              <w:t>9.5</w:t>
            </w:r>
            <w:r>
              <w:rPr>
                <w:color w:val="000000" w:themeColor="text1"/>
                <w:sz w:val="20"/>
                <w:szCs w:val="20"/>
                <w:lang w:val="en"/>
              </w:rPr>
              <w:t xml:space="preserve"> </w:t>
            </w:r>
            <m:oMath>
              <m:r>
                <w:rPr>
                  <w:rFonts w:ascii="Cambria Math" w:hAnsi="Cambria Math"/>
                  <w:color w:val="000000" w:themeColor="text1"/>
                  <w:sz w:val="20"/>
                  <w:szCs w:val="20"/>
                  <w:lang w:val="en"/>
                </w:rPr>
                <m:t>×</m:t>
              </m:r>
            </m:oMath>
            <w:r w:rsidRPr="00F34287">
              <w:rPr>
                <w:color w:val="000000" w:themeColor="text1"/>
                <w:sz w:val="20"/>
                <w:szCs w:val="20"/>
                <w:lang w:val="en"/>
              </w:rPr>
              <w:t>10</w:t>
            </w:r>
            <w:r w:rsidRPr="00F34287">
              <w:rPr>
                <w:color w:val="000000" w:themeColor="text1"/>
                <w:sz w:val="20"/>
                <w:szCs w:val="20"/>
                <w:vertAlign w:val="superscript"/>
                <w:lang w:val="en"/>
              </w:rPr>
              <w:t>-15</w:t>
            </w:r>
          </w:p>
        </w:tc>
      </w:tr>
      <w:tr w:rsidR="0057217D" w:rsidRPr="00F34287" w14:paraId="4183A45A" w14:textId="40B9953C" w:rsidTr="0057217D">
        <w:tc>
          <w:tcPr>
            <w:tcW w:w="1562" w:type="dxa"/>
          </w:tcPr>
          <w:p w14:paraId="4D5DCB2D" w14:textId="67EFF07B" w:rsidR="0057217D" w:rsidRPr="00F34287" w:rsidRDefault="0057217D" w:rsidP="00C70691">
            <w:pPr>
              <w:spacing w:line="360" w:lineRule="auto"/>
              <w:rPr>
                <w:color w:val="000000" w:themeColor="text1"/>
                <w:sz w:val="20"/>
                <w:szCs w:val="20"/>
              </w:rPr>
            </w:pPr>
            <w:r w:rsidRPr="00F34287">
              <w:rPr>
                <w:color w:val="000000" w:themeColor="text1"/>
                <w:sz w:val="20"/>
                <w:szCs w:val="20"/>
              </w:rPr>
              <w:t>CVD mortality</w:t>
            </w:r>
          </w:p>
        </w:tc>
        <w:tc>
          <w:tcPr>
            <w:tcW w:w="1309" w:type="dxa"/>
          </w:tcPr>
          <w:p w14:paraId="224866C6"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 &lt;50</w:t>
            </w:r>
          </w:p>
          <w:p w14:paraId="4E9B8336"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 to 59</w:t>
            </w:r>
          </w:p>
          <w:p w14:paraId="3F057AD2"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1C9202E1" w14:textId="1B421426" w:rsidR="0057217D" w:rsidRPr="00F34287" w:rsidRDefault="0057217D" w:rsidP="006638A1">
            <w:pPr>
              <w:spacing w:line="360" w:lineRule="auto"/>
              <w:rPr>
                <w:color w:val="000000" w:themeColor="text1"/>
                <w:sz w:val="20"/>
                <w:szCs w:val="20"/>
              </w:rPr>
            </w:pPr>
            <w:r w:rsidRPr="00F34287">
              <w:rPr>
                <w:color w:val="000000" w:themeColor="text1"/>
                <w:sz w:val="20"/>
                <w:szCs w:val="20"/>
              </w:rPr>
              <w:t>117,535</w:t>
            </w:r>
          </w:p>
          <w:p w14:paraId="28854223" w14:textId="510BAD07" w:rsidR="0057217D" w:rsidRPr="00F34287" w:rsidRDefault="0057217D" w:rsidP="006638A1">
            <w:pPr>
              <w:spacing w:line="360" w:lineRule="auto"/>
              <w:rPr>
                <w:color w:val="000000" w:themeColor="text1"/>
                <w:sz w:val="20"/>
                <w:szCs w:val="20"/>
              </w:rPr>
            </w:pPr>
            <w:r w:rsidRPr="00F34287">
              <w:rPr>
                <w:color w:val="000000" w:themeColor="text1"/>
                <w:sz w:val="20"/>
                <w:szCs w:val="20"/>
              </w:rPr>
              <w:t>166,778</w:t>
            </w:r>
          </w:p>
          <w:p w14:paraId="697FAA2A" w14:textId="47F9BA5D" w:rsidR="0057217D" w:rsidRPr="00F34287" w:rsidRDefault="0057217D" w:rsidP="006638A1">
            <w:pPr>
              <w:spacing w:line="360" w:lineRule="auto"/>
              <w:rPr>
                <w:color w:val="000000" w:themeColor="text1"/>
                <w:sz w:val="20"/>
                <w:szCs w:val="20"/>
              </w:rPr>
            </w:pPr>
            <w:r w:rsidRPr="00F34287">
              <w:rPr>
                <w:color w:val="000000" w:themeColor="text1"/>
                <w:sz w:val="20"/>
                <w:szCs w:val="20"/>
              </w:rPr>
              <w:t>217,018</w:t>
            </w:r>
          </w:p>
        </w:tc>
        <w:tc>
          <w:tcPr>
            <w:tcW w:w="1812" w:type="dxa"/>
          </w:tcPr>
          <w:p w14:paraId="504599B6" w14:textId="0EC9A9B1" w:rsidR="0057217D" w:rsidRPr="00F34287" w:rsidRDefault="0057217D" w:rsidP="00C70691">
            <w:pPr>
              <w:spacing w:line="360" w:lineRule="auto"/>
              <w:rPr>
                <w:color w:val="000000" w:themeColor="text1"/>
                <w:sz w:val="20"/>
                <w:szCs w:val="20"/>
              </w:rPr>
            </w:pPr>
            <w:r w:rsidRPr="00F34287">
              <w:rPr>
                <w:color w:val="000000" w:themeColor="text1"/>
                <w:sz w:val="20"/>
                <w:szCs w:val="20"/>
              </w:rPr>
              <w:t>1.11 (0.99 to 1.24)</w:t>
            </w:r>
          </w:p>
          <w:p w14:paraId="1926C9A4"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1.28 (1.21 to 1.36)</w:t>
            </w:r>
          </w:p>
          <w:p w14:paraId="001248FC"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1.15 (1.11 to 1.20)</w:t>
            </w:r>
          </w:p>
        </w:tc>
        <w:tc>
          <w:tcPr>
            <w:tcW w:w="2258" w:type="dxa"/>
          </w:tcPr>
          <w:p w14:paraId="5886AC0F" w14:textId="77777777" w:rsidR="0057217D" w:rsidRPr="00F34287" w:rsidRDefault="0057217D" w:rsidP="00C70691">
            <w:pPr>
              <w:spacing w:line="360" w:lineRule="auto"/>
              <w:rPr>
                <w:color w:val="000000" w:themeColor="text1"/>
                <w:sz w:val="20"/>
                <w:szCs w:val="20"/>
                <w:lang w:val="en"/>
              </w:rPr>
            </w:pPr>
            <w:r w:rsidRPr="00F34287">
              <w:rPr>
                <w:color w:val="000000" w:themeColor="text1"/>
                <w:sz w:val="20"/>
                <w:szCs w:val="20"/>
              </w:rPr>
              <w:t>0.15</w:t>
            </w:r>
          </w:p>
        </w:tc>
      </w:tr>
      <w:tr w:rsidR="0057217D" w:rsidRPr="00F34287" w14:paraId="0B1D9718" w14:textId="31EB9D69" w:rsidTr="0057217D">
        <w:tc>
          <w:tcPr>
            <w:tcW w:w="1562" w:type="dxa"/>
          </w:tcPr>
          <w:p w14:paraId="7244DD32"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IHD mortality</w:t>
            </w:r>
          </w:p>
        </w:tc>
        <w:tc>
          <w:tcPr>
            <w:tcW w:w="1309" w:type="dxa"/>
          </w:tcPr>
          <w:p w14:paraId="56E6B276"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 &lt;50</w:t>
            </w:r>
          </w:p>
          <w:p w14:paraId="6B5936E6"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 to 59</w:t>
            </w:r>
          </w:p>
          <w:p w14:paraId="589C142F"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5F3FDBF1" w14:textId="526F4CF0" w:rsidR="0057217D" w:rsidRPr="00F34287" w:rsidRDefault="0057217D" w:rsidP="006638A1">
            <w:pPr>
              <w:spacing w:line="360" w:lineRule="auto"/>
              <w:rPr>
                <w:color w:val="000000" w:themeColor="text1"/>
                <w:sz w:val="20"/>
                <w:szCs w:val="20"/>
              </w:rPr>
            </w:pPr>
            <w:r w:rsidRPr="00F34287">
              <w:rPr>
                <w:color w:val="000000" w:themeColor="text1"/>
                <w:sz w:val="20"/>
                <w:szCs w:val="20"/>
              </w:rPr>
              <w:t>117,535</w:t>
            </w:r>
          </w:p>
          <w:p w14:paraId="2FE58E09" w14:textId="12E77426" w:rsidR="0057217D" w:rsidRPr="00F34287" w:rsidRDefault="0057217D" w:rsidP="006638A1">
            <w:pPr>
              <w:spacing w:line="360" w:lineRule="auto"/>
              <w:rPr>
                <w:color w:val="000000" w:themeColor="text1"/>
                <w:sz w:val="20"/>
                <w:szCs w:val="20"/>
              </w:rPr>
            </w:pPr>
            <w:r w:rsidRPr="00F34287">
              <w:rPr>
                <w:color w:val="000000" w:themeColor="text1"/>
                <w:sz w:val="20"/>
                <w:szCs w:val="20"/>
              </w:rPr>
              <w:t>166,778</w:t>
            </w:r>
          </w:p>
          <w:p w14:paraId="36890180" w14:textId="545F8AEE" w:rsidR="0057217D" w:rsidRPr="00F34287" w:rsidRDefault="0057217D" w:rsidP="006638A1">
            <w:pPr>
              <w:spacing w:line="360" w:lineRule="auto"/>
              <w:rPr>
                <w:color w:val="000000" w:themeColor="text1"/>
                <w:sz w:val="20"/>
                <w:szCs w:val="20"/>
              </w:rPr>
            </w:pPr>
            <w:r w:rsidRPr="00F34287">
              <w:rPr>
                <w:color w:val="000000" w:themeColor="text1"/>
                <w:sz w:val="20"/>
                <w:szCs w:val="20"/>
              </w:rPr>
              <w:t>217,018</w:t>
            </w:r>
          </w:p>
        </w:tc>
        <w:tc>
          <w:tcPr>
            <w:tcW w:w="1812" w:type="dxa"/>
          </w:tcPr>
          <w:p w14:paraId="76BF2803" w14:textId="61AFF64E" w:rsidR="0057217D" w:rsidRPr="00F34287" w:rsidRDefault="0057217D" w:rsidP="00C70691">
            <w:pPr>
              <w:spacing w:line="360" w:lineRule="auto"/>
              <w:rPr>
                <w:color w:val="000000" w:themeColor="text1"/>
                <w:sz w:val="20"/>
                <w:szCs w:val="20"/>
              </w:rPr>
            </w:pPr>
            <w:r w:rsidRPr="00F34287">
              <w:rPr>
                <w:color w:val="000000" w:themeColor="text1"/>
                <w:sz w:val="20"/>
                <w:szCs w:val="20"/>
              </w:rPr>
              <w:t>1.06 (0.91 to 1.24)</w:t>
            </w:r>
          </w:p>
          <w:p w14:paraId="1E6EEC3C"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1.24 (1.15 to 1.34)</w:t>
            </w:r>
          </w:p>
          <w:p w14:paraId="20697811"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1.11 (1.06 to 1.17)</w:t>
            </w:r>
          </w:p>
        </w:tc>
        <w:tc>
          <w:tcPr>
            <w:tcW w:w="2258" w:type="dxa"/>
          </w:tcPr>
          <w:p w14:paraId="092FD57B" w14:textId="77777777" w:rsidR="0057217D" w:rsidRPr="00F34287" w:rsidRDefault="0057217D" w:rsidP="00C70691">
            <w:pPr>
              <w:spacing w:line="360" w:lineRule="auto"/>
              <w:rPr>
                <w:color w:val="000000" w:themeColor="text1"/>
                <w:sz w:val="20"/>
                <w:szCs w:val="20"/>
                <w:lang w:val="en"/>
              </w:rPr>
            </w:pPr>
            <w:r w:rsidRPr="00F34287">
              <w:rPr>
                <w:color w:val="000000" w:themeColor="text1"/>
                <w:sz w:val="20"/>
                <w:szCs w:val="20"/>
              </w:rPr>
              <w:t>0.51</w:t>
            </w:r>
          </w:p>
        </w:tc>
      </w:tr>
      <w:tr w:rsidR="0057217D" w:rsidRPr="00F34287" w14:paraId="0652EDE7" w14:textId="799A26BA" w:rsidTr="0057217D">
        <w:tc>
          <w:tcPr>
            <w:tcW w:w="1562" w:type="dxa"/>
          </w:tcPr>
          <w:p w14:paraId="093A2B2B"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 xml:space="preserve">Incident AMI </w:t>
            </w:r>
          </w:p>
        </w:tc>
        <w:tc>
          <w:tcPr>
            <w:tcW w:w="1309" w:type="dxa"/>
          </w:tcPr>
          <w:p w14:paraId="1796D3FC"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&lt;50</w:t>
            </w:r>
          </w:p>
          <w:p w14:paraId="104F2957"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 to 59</w:t>
            </w:r>
          </w:p>
          <w:p w14:paraId="47F1AA53"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79572534" w14:textId="70619DFB" w:rsidR="0057217D" w:rsidRPr="00F34287" w:rsidRDefault="0057217D" w:rsidP="00C70691">
            <w:pPr>
              <w:spacing w:line="360" w:lineRule="auto"/>
              <w:rPr>
                <w:color w:val="000000" w:themeColor="text1"/>
                <w:sz w:val="20"/>
                <w:szCs w:val="20"/>
              </w:rPr>
            </w:pPr>
            <w:r w:rsidRPr="00F34287">
              <w:rPr>
                <w:color w:val="000000" w:themeColor="text1"/>
                <w:sz w:val="20"/>
                <w:szCs w:val="20"/>
              </w:rPr>
              <w:t>116,875</w:t>
            </w:r>
          </w:p>
          <w:p w14:paraId="3BFF132D" w14:textId="6BF697FF" w:rsidR="0057217D" w:rsidRPr="00F34287" w:rsidRDefault="0057217D" w:rsidP="00C70691">
            <w:pPr>
              <w:spacing w:line="360" w:lineRule="auto"/>
              <w:rPr>
                <w:color w:val="000000" w:themeColor="text1"/>
                <w:sz w:val="20"/>
                <w:szCs w:val="20"/>
              </w:rPr>
            </w:pPr>
            <w:r w:rsidRPr="00F34287">
              <w:rPr>
                <w:color w:val="000000" w:themeColor="text1"/>
                <w:sz w:val="20"/>
                <w:szCs w:val="20"/>
              </w:rPr>
              <w:t>164,030</w:t>
            </w:r>
          </w:p>
          <w:p w14:paraId="6E46E03F" w14:textId="6E320E8A" w:rsidR="0057217D" w:rsidRPr="00F34287" w:rsidRDefault="0057217D" w:rsidP="00C70691">
            <w:pPr>
              <w:spacing w:line="360" w:lineRule="auto"/>
              <w:rPr>
                <w:color w:val="000000" w:themeColor="text1"/>
                <w:sz w:val="20"/>
                <w:szCs w:val="20"/>
              </w:rPr>
            </w:pPr>
            <w:r w:rsidRPr="00F34287">
              <w:rPr>
                <w:color w:val="000000" w:themeColor="text1"/>
                <w:sz w:val="20"/>
                <w:szCs w:val="20"/>
              </w:rPr>
              <w:t>208,372</w:t>
            </w:r>
          </w:p>
        </w:tc>
        <w:tc>
          <w:tcPr>
            <w:tcW w:w="1812" w:type="dxa"/>
          </w:tcPr>
          <w:p w14:paraId="1D200314" w14:textId="410B6C4F" w:rsidR="0057217D" w:rsidRPr="00F34287" w:rsidRDefault="0057217D" w:rsidP="00C70691">
            <w:pPr>
              <w:spacing w:line="360" w:lineRule="auto"/>
              <w:rPr>
                <w:color w:val="000000" w:themeColor="text1"/>
                <w:sz w:val="20"/>
                <w:szCs w:val="20"/>
              </w:rPr>
            </w:pPr>
            <w:r w:rsidRPr="00F34287">
              <w:rPr>
                <w:color w:val="000000" w:themeColor="text1"/>
                <w:sz w:val="20"/>
                <w:szCs w:val="20"/>
              </w:rPr>
              <w:t>1.14 (1.06 to 1.22)</w:t>
            </w:r>
          </w:p>
          <w:p w14:paraId="7022D055"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1.06 (1.02 to 1.10)</w:t>
            </w:r>
          </w:p>
          <w:p w14:paraId="029F4452"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1.02 (0.99 to 1.05)</w:t>
            </w:r>
          </w:p>
        </w:tc>
        <w:tc>
          <w:tcPr>
            <w:tcW w:w="2258" w:type="dxa"/>
          </w:tcPr>
          <w:p w14:paraId="330C9F95"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0.0004</w:t>
            </w:r>
          </w:p>
        </w:tc>
      </w:tr>
      <w:tr w:rsidR="0057217D" w:rsidRPr="00F34287" w14:paraId="498D1236" w14:textId="299B547A" w:rsidTr="0057217D">
        <w:tc>
          <w:tcPr>
            <w:tcW w:w="1562" w:type="dxa"/>
          </w:tcPr>
          <w:p w14:paraId="367D6812" w14:textId="438F7FDC" w:rsidR="0057217D" w:rsidRPr="00F34287" w:rsidRDefault="0057217D" w:rsidP="00C70691">
            <w:pPr>
              <w:spacing w:line="360" w:lineRule="auto"/>
              <w:rPr>
                <w:color w:val="000000" w:themeColor="text1"/>
                <w:sz w:val="20"/>
                <w:szCs w:val="20"/>
              </w:rPr>
            </w:pPr>
            <w:r w:rsidRPr="00F34287">
              <w:rPr>
                <w:color w:val="000000" w:themeColor="text1"/>
                <w:sz w:val="20"/>
                <w:szCs w:val="20"/>
              </w:rPr>
              <w:t xml:space="preserve">Fatal AMI </w:t>
            </w:r>
          </w:p>
        </w:tc>
        <w:tc>
          <w:tcPr>
            <w:tcW w:w="1309" w:type="dxa"/>
          </w:tcPr>
          <w:p w14:paraId="040E5A60"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 &lt;50</w:t>
            </w:r>
          </w:p>
          <w:p w14:paraId="35ADD491"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 to 59</w:t>
            </w:r>
          </w:p>
          <w:p w14:paraId="68C08149"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0DED163E" w14:textId="1164BC8C" w:rsidR="0057217D" w:rsidRPr="00F34287" w:rsidRDefault="0057217D" w:rsidP="006638A1">
            <w:pPr>
              <w:spacing w:line="360" w:lineRule="auto"/>
              <w:rPr>
                <w:color w:val="000000" w:themeColor="text1"/>
                <w:sz w:val="20"/>
                <w:szCs w:val="20"/>
              </w:rPr>
            </w:pPr>
            <w:r w:rsidRPr="00F34287">
              <w:rPr>
                <w:color w:val="000000" w:themeColor="text1"/>
                <w:sz w:val="20"/>
                <w:szCs w:val="20"/>
              </w:rPr>
              <w:t>117,535</w:t>
            </w:r>
          </w:p>
          <w:p w14:paraId="5B7AF03C" w14:textId="60A1F670" w:rsidR="0057217D" w:rsidRPr="00F34287" w:rsidRDefault="0057217D" w:rsidP="006638A1">
            <w:pPr>
              <w:spacing w:line="360" w:lineRule="auto"/>
              <w:rPr>
                <w:color w:val="000000" w:themeColor="text1"/>
                <w:sz w:val="20"/>
                <w:szCs w:val="20"/>
              </w:rPr>
            </w:pPr>
            <w:r w:rsidRPr="00F34287">
              <w:rPr>
                <w:color w:val="000000" w:themeColor="text1"/>
                <w:sz w:val="20"/>
                <w:szCs w:val="20"/>
              </w:rPr>
              <w:t>166,778</w:t>
            </w:r>
          </w:p>
          <w:p w14:paraId="50005128" w14:textId="40780DA4" w:rsidR="0057217D" w:rsidRPr="00F34287" w:rsidRDefault="0057217D" w:rsidP="006638A1">
            <w:pPr>
              <w:spacing w:line="360" w:lineRule="auto"/>
              <w:rPr>
                <w:color w:val="000000" w:themeColor="text1"/>
                <w:sz w:val="20"/>
                <w:szCs w:val="20"/>
              </w:rPr>
            </w:pPr>
            <w:r w:rsidRPr="00F34287">
              <w:rPr>
                <w:color w:val="000000" w:themeColor="text1"/>
                <w:sz w:val="20"/>
                <w:szCs w:val="20"/>
              </w:rPr>
              <w:t>217,018</w:t>
            </w:r>
          </w:p>
        </w:tc>
        <w:tc>
          <w:tcPr>
            <w:tcW w:w="1812" w:type="dxa"/>
          </w:tcPr>
          <w:p w14:paraId="3C2CB9B7" w14:textId="3015D104" w:rsidR="0057217D" w:rsidRPr="00F34287" w:rsidRDefault="0057217D" w:rsidP="00C70691">
            <w:pPr>
              <w:spacing w:line="360" w:lineRule="auto"/>
              <w:rPr>
                <w:color w:val="000000" w:themeColor="text1"/>
                <w:sz w:val="20"/>
                <w:szCs w:val="20"/>
              </w:rPr>
            </w:pPr>
            <w:r w:rsidRPr="00F34287">
              <w:rPr>
                <w:color w:val="000000" w:themeColor="text1"/>
                <w:sz w:val="20"/>
                <w:szCs w:val="20"/>
              </w:rPr>
              <w:t>1.09 (0.84 to 1.40)</w:t>
            </w:r>
          </w:p>
          <w:p w14:paraId="1ADD8669"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1.26 (1.11 to 1.43)</w:t>
            </w:r>
          </w:p>
          <w:p w14:paraId="3F7A3752"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1.05 (0.97 to 1.14)</w:t>
            </w:r>
          </w:p>
        </w:tc>
        <w:tc>
          <w:tcPr>
            <w:tcW w:w="2258" w:type="dxa"/>
          </w:tcPr>
          <w:p w14:paraId="4EA92213"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0.09</w:t>
            </w:r>
          </w:p>
        </w:tc>
      </w:tr>
      <w:tr w:rsidR="0057217D" w:rsidRPr="00F34287" w14:paraId="79E5AC27" w14:textId="1744F1A2" w:rsidTr="0057217D">
        <w:tc>
          <w:tcPr>
            <w:tcW w:w="1562" w:type="dxa"/>
          </w:tcPr>
          <w:p w14:paraId="44007D41"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Cancer mortality</w:t>
            </w:r>
          </w:p>
        </w:tc>
        <w:tc>
          <w:tcPr>
            <w:tcW w:w="1309" w:type="dxa"/>
          </w:tcPr>
          <w:p w14:paraId="61D20612"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&lt;50</w:t>
            </w:r>
          </w:p>
          <w:p w14:paraId="513FCA1D"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50-59</w:t>
            </w:r>
          </w:p>
          <w:p w14:paraId="173991C1" w14:textId="77777777" w:rsidR="0057217D" w:rsidRPr="00F34287" w:rsidRDefault="0057217D" w:rsidP="00C70691">
            <w:pPr>
              <w:spacing w:line="360" w:lineRule="auto"/>
              <w:rPr>
                <w:color w:val="000000" w:themeColor="text1"/>
                <w:sz w:val="20"/>
                <w:szCs w:val="20"/>
              </w:rPr>
            </w:pPr>
            <m:oMath>
              <m:r>
                <w:rPr>
                  <w:rFonts w:ascii="Cambria Math" w:hAnsi="Cambria Math"/>
                  <w:color w:val="000000" w:themeColor="text1"/>
                  <w:sz w:val="20"/>
                  <w:szCs w:val="20"/>
                </w:rPr>
                <m:t>≥</m:t>
              </m:r>
            </m:oMath>
            <w:r w:rsidRPr="00F34287">
              <w:rPr>
                <w:color w:val="000000" w:themeColor="text1"/>
                <w:sz w:val="20"/>
                <w:szCs w:val="20"/>
              </w:rPr>
              <w:t>60</w:t>
            </w:r>
          </w:p>
        </w:tc>
        <w:tc>
          <w:tcPr>
            <w:tcW w:w="866" w:type="dxa"/>
          </w:tcPr>
          <w:p w14:paraId="465D7384" w14:textId="58B01615" w:rsidR="0057217D" w:rsidRPr="00F34287" w:rsidRDefault="0057217D" w:rsidP="006638A1">
            <w:pPr>
              <w:spacing w:line="360" w:lineRule="auto"/>
              <w:rPr>
                <w:color w:val="000000" w:themeColor="text1"/>
                <w:sz w:val="20"/>
                <w:szCs w:val="20"/>
              </w:rPr>
            </w:pPr>
            <w:r w:rsidRPr="00F34287">
              <w:rPr>
                <w:color w:val="000000" w:themeColor="text1"/>
                <w:sz w:val="20"/>
                <w:szCs w:val="20"/>
              </w:rPr>
              <w:t>117,535</w:t>
            </w:r>
          </w:p>
          <w:p w14:paraId="0A255F0E" w14:textId="64475A59" w:rsidR="0057217D" w:rsidRPr="00F34287" w:rsidRDefault="0057217D" w:rsidP="006638A1">
            <w:pPr>
              <w:spacing w:line="360" w:lineRule="auto"/>
              <w:rPr>
                <w:color w:val="000000" w:themeColor="text1"/>
                <w:sz w:val="20"/>
                <w:szCs w:val="20"/>
              </w:rPr>
            </w:pPr>
            <w:r w:rsidRPr="00F34287">
              <w:rPr>
                <w:color w:val="000000" w:themeColor="text1"/>
                <w:sz w:val="20"/>
                <w:szCs w:val="20"/>
              </w:rPr>
              <w:t>166,778</w:t>
            </w:r>
          </w:p>
          <w:p w14:paraId="389CF8D9" w14:textId="2061FD26" w:rsidR="0057217D" w:rsidRPr="00F34287" w:rsidRDefault="0057217D" w:rsidP="006638A1">
            <w:pPr>
              <w:spacing w:line="360" w:lineRule="auto"/>
              <w:rPr>
                <w:color w:val="000000" w:themeColor="text1"/>
                <w:sz w:val="20"/>
                <w:szCs w:val="20"/>
              </w:rPr>
            </w:pPr>
            <w:r w:rsidRPr="00F34287">
              <w:rPr>
                <w:color w:val="000000" w:themeColor="text1"/>
                <w:sz w:val="20"/>
                <w:szCs w:val="20"/>
              </w:rPr>
              <w:t>217,018</w:t>
            </w:r>
          </w:p>
        </w:tc>
        <w:tc>
          <w:tcPr>
            <w:tcW w:w="1812" w:type="dxa"/>
          </w:tcPr>
          <w:p w14:paraId="16995D13" w14:textId="3736490B" w:rsidR="0057217D" w:rsidRPr="00F34287" w:rsidRDefault="0057217D" w:rsidP="00C70691">
            <w:pPr>
              <w:spacing w:line="360" w:lineRule="auto"/>
              <w:rPr>
                <w:color w:val="000000" w:themeColor="text1"/>
                <w:sz w:val="20"/>
                <w:szCs w:val="20"/>
              </w:rPr>
            </w:pPr>
            <w:r w:rsidRPr="00F34287">
              <w:rPr>
                <w:color w:val="000000" w:themeColor="text1"/>
                <w:sz w:val="20"/>
                <w:szCs w:val="20"/>
              </w:rPr>
              <w:t>1.21 (1.13 to 1.30)</w:t>
            </w:r>
          </w:p>
          <w:p w14:paraId="14947214"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1.22 (1.18 to 1.26)</w:t>
            </w:r>
          </w:p>
          <w:p w14:paraId="1DE92A61"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1.15 (1.13 to 1.18)</w:t>
            </w:r>
          </w:p>
        </w:tc>
        <w:tc>
          <w:tcPr>
            <w:tcW w:w="2258" w:type="dxa"/>
          </w:tcPr>
          <w:p w14:paraId="150B9F29" w14:textId="77777777" w:rsidR="0057217D" w:rsidRPr="00F34287" w:rsidRDefault="0057217D" w:rsidP="00C70691">
            <w:pPr>
              <w:spacing w:line="360" w:lineRule="auto"/>
              <w:rPr>
                <w:color w:val="000000" w:themeColor="text1"/>
                <w:sz w:val="20"/>
                <w:szCs w:val="20"/>
              </w:rPr>
            </w:pPr>
            <w:r w:rsidRPr="00F34287">
              <w:rPr>
                <w:color w:val="000000" w:themeColor="text1"/>
                <w:sz w:val="20"/>
                <w:szCs w:val="20"/>
              </w:rPr>
              <w:t>0.0007</w:t>
            </w:r>
          </w:p>
        </w:tc>
      </w:tr>
    </w:tbl>
    <w:p w14:paraId="28451040" w14:textId="6E021981" w:rsidR="00C70691" w:rsidRPr="00F34287" w:rsidRDefault="00C70691" w:rsidP="00C70691">
      <w:pPr>
        <w:rPr>
          <w:rFonts w:eastAsiaTheme="minorEastAsia"/>
          <w:color w:val="000000" w:themeColor="text1"/>
          <w:sz w:val="22"/>
          <w:szCs w:val="22"/>
        </w:rPr>
      </w:pPr>
      <w:r w:rsidRPr="00F34287">
        <w:rPr>
          <w:color w:val="000000" w:themeColor="text1"/>
          <w:sz w:val="20"/>
          <w:szCs w:val="20"/>
        </w:rPr>
        <w:t xml:space="preserve">AMI: acute myocardial infarction; CVD: cardiovascular disease; IHD: ischaemic heart disease; RHR: resting heart rate. </w:t>
      </w:r>
      <w:r w:rsidRPr="00F34287">
        <w:rPr>
          <w:color w:val="000000" w:themeColor="text1"/>
          <w:sz w:val="20"/>
          <w:szCs w:val="20"/>
          <w:vertAlign w:val="superscript"/>
        </w:rPr>
        <w:t>*</w:t>
      </w:r>
      <w:r w:rsidRPr="00F34287">
        <w:rPr>
          <w:color w:val="000000" w:themeColor="text1"/>
          <w:sz w:val="20"/>
          <w:szCs w:val="20"/>
        </w:rPr>
        <w:t xml:space="preserve">Results are Hazard ratio (95% Confidence interval) per 10bpm increase in heart rate. </w:t>
      </w:r>
    </w:p>
    <w:p w14:paraId="2173660B" w14:textId="77777777" w:rsidR="00FE5AC1" w:rsidRPr="00F34287" w:rsidRDefault="00FE5AC1" w:rsidP="00BA3555">
      <w:pPr>
        <w:spacing w:line="480" w:lineRule="auto"/>
        <w:rPr>
          <w:b/>
          <w:color w:val="000000" w:themeColor="text1"/>
          <w:sz w:val="22"/>
          <w:szCs w:val="22"/>
        </w:rPr>
      </w:pPr>
    </w:p>
    <w:p w14:paraId="6E559015" w14:textId="6AB32629" w:rsidR="000B0509" w:rsidRPr="00F34287" w:rsidRDefault="006D6C5D" w:rsidP="00BA3555">
      <w:pPr>
        <w:spacing w:line="480" w:lineRule="auto"/>
        <w:rPr>
          <w:b/>
          <w:color w:val="000000" w:themeColor="text1"/>
          <w:sz w:val="36"/>
          <w:szCs w:val="36"/>
        </w:rPr>
      </w:pPr>
      <w:r w:rsidRPr="00F34287">
        <w:rPr>
          <w:b/>
          <w:color w:val="000000" w:themeColor="text1"/>
          <w:sz w:val="36"/>
          <w:szCs w:val="36"/>
        </w:rPr>
        <w:t>Discussion</w:t>
      </w:r>
    </w:p>
    <w:p w14:paraId="6C1F047B" w14:textId="1A2C746A" w:rsidR="0072190F" w:rsidRPr="00F34287" w:rsidRDefault="0072190F" w:rsidP="00BA3555">
      <w:pPr>
        <w:spacing w:line="480" w:lineRule="auto"/>
        <w:rPr>
          <w:b/>
          <w:color w:val="000000" w:themeColor="text1"/>
          <w:sz w:val="32"/>
          <w:szCs w:val="32"/>
        </w:rPr>
      </w:pPr>
      <w:r w:rsidRPr="00F34287">
        <w:rPr>
          <w:b/>
          <w:color w:val="000000" w:themeColor="text1"/>
          <w:sz w:val="32"/>
          <w:szCs w:val="32"/>
        </w:rPr>
        <w:t>Summary of findings</w:t>
      </w:r>
    </w:p>
    <w:p w14:paraId="1D9A1DCD" w14:textId="1CEB3B27" w:rsidR="00F848BB" w:rsidRPr="00F34287" w:rsidRDefault="00D76732" w:rsidP="00BA3555">
      <w:pPr>
        <w:spacing w:line="480" w:lineRule="auto"/>
        <w:rPr>
          <w:bCs/>
          <w:color w:val="000000" w:themeColor="text1"/>
          <w:sz w:val="22"/>
          <w:szCs w:val="22"/>
        </w:rPr>
      </w:pPr>
      <w:r w:rsidRPr="00F34287">
        <w:rPr>
          <w:bCs/>
          <w:color w:val="000000" w:themeColor="text1"/>
          <w:sz w:val="22"/>
          <w:szCs w:val="22"/>
        </w:rPr>
        <w:t xml:space="preserve">In this large </w:t>
      </w:r>
      <w:r w:rsidRPr="00F34287">
        <w:rPr>
          <w:color w:val="000000" w:themeColor="text1"/>
          <w:sz w:val="22"/>
          <w:szCs w:val="22"/>
        </w:rPr>
        <w:t xml:space="preserve">prospective study of over 500,000 individuals with 7–12 years follow-up, we confirm RHR as an independent predictor of all-cause and CVD mortality in both men and women. </w:t>
      </w:r>
      <w:r w:rsidR="00181EC7" w:rsidRPr="00F34287">
        <w:rPr>
          <w:color w:val="000000" w:themeColor="text1"/>
          <w:sz w:val="22"/>
          <w:szCs w:val="22"/>
        </w:rPr>
        <w:t>I</w:t>
      </w:r>
      <w:r w:rsidRPr="00F34287">
        <w:rPr>
          <w:color w:val="000000" w:themeColor="text1"/>
          <w:sz w:val="22"/>
          <w:szCs w:val="22"/>
        </w:rPr>
        <w:t xml:space="preserve">schaemic </w:t>
      </w:r>
      <w:r w:rsidR="00A40080" w:rsidRPr="00F34287">
        <w:rPr>
          <w:color w:val="000000" w:themeColor="text1"/>
          <w:sz w:val="22"/>
          <w:szCs w:val="22"/>
        </w:rPr>
        <w:t xml:space="preserve">cardiac </w:t>
      </w:r>
      <w:r w:rsidRPr="00F34287">
        <w:rPr>
          <w:color w:val="000000" w:themeColor="text1"/>
          <w:sz w:val="22"/>
          <w:szCs w:val="22"/>
        </w:rPr>
        <w:t xml:space="preserve">events </w:t>
      </w:r>
      <w:r w:rsidR="00181EC7" w:rsidRPr="00F34287">
        <w:rPr>
          <w:color w:val="000000" w:themeColor="text1"/>
          <w:sz w:val="22"/>
          <w:szCs w:val="22"/>
        </w:rPr>
        <w:t>appeared a</w:t>
      </w:r>
      <w:r w:rsidR="00CE2845" w:rsidRPr="00F34287">
        <w:rPr>
          <w:color w:val="000000" w:themeColor="text1"/>
          <w:sz w:val="22"/>
          <w:szCs w:val="22"/>
        </w:rPr>
        <w:t xml:space="preserve"> consistent and significant</w:t>
      </w:r>
      <w:r w:rsidR="00A40080" w:rsidRPr="00F34287">
        <w:rPr>
          <w:color w:val="000000" w:themeColor="text1"/>
          <w:sz w:val="22"/>
          <w:szCs w:val="22"/>
        </w:rPr>
        <w:t xml:space="preserve"> </w:t>
      </w:r>
      <w:r w:rsidR="00181EC7" w:rsidRPr="00F34287">
        <w:rPr>
          <w:color w:val="000000" w:themeColor="text1"/>
          <w:sz w:val="22"/>
          <w:szCs w:val="22"/>
        </w:rPr>
        <w:t>driver of</w:t>
      </w:r>
      <w:r w:rsidRPr="00F34287">
        <w:rPr>
          <w:color w:val="000000" w:themeColor="text1"/>
          <w:sz w:val="22"/>
          <w:szCs w:val="22"/>
        </w:rPr>
        <w:t xml:space="preserve"> this relationship</w:t>
      </w:r>
      <w:r w:rsidR="00181EC7" w:rsidRPr="00F34287">
        <w:rPr>
          <w:color w:val="000000" w:themeColor="text1"/>
          <w:sz w:val="22"/>
          <w:szCs w:val="22"/>
        </w:rPr>
        <w:t xml:space="preserve"> for men</w:t>
      </w:r>
      <w:r w:rsidR="00F76A7F" w:rsidRPr="00F34287">
        <w:rPr>
          <w:bCs/>
          <w:color w:val="000000" w:themeColor="text1"/>
          <w:sz w:val="22"/>
          <w:szCs w:val="22"/>
        </w:rPr>
        <w:t>.</w:t>
      </w:r>
      <w:r w:rsidR="00F76A7F" w:rsidRPr="00F34287">
        <w:rPr>
          <w:color w:val="000000" w:themeColor="text1"/>
          <w:sz w:val="22"/>
          <w:szCs w:val="22"/>
        </w:rPr>
        <w:t xml:space="preserve"> </w:t>
      </w:r>
      <w:r w:rsidR="005F3D35" w:rsidRPr="00F34287">
        <w:rPr>
          <w:color w:val="000000" w:themeColor="text1"/>
          <w:sz w:val="22"/>
          <w:szCs w:val="22"/>
        </w:rPr>
        <w:t xml:space="preserve">For women, there was no significant relationship between RHR and fatal AMI or IHD mortality, and there was a non-linear effect on incident AMI. </w:t>
      </w:r>
      <w:r w:rsidRPr="00F34287">
        <w:rPr>
          <w:bCs/>
          <w:color w:val="000000" w:themeColor="text1"/>
          <w:sz w:val="22"/>
          <w:szCs w:val="22"/>
        </w:rPr>
        <w:t xml:space="preserve">In both men and women, the </w:t>
      </w:r>
      <w:r w:rsidR="00F76A7F" w:rsidRPr="00F34287">
        <w:rPr>
          <w:bCs/>
          <w:color w:val="000000" w:themeColor="text1"/>
          <w:sz w:val="22"/>
          <w:szCs w:val="22"/>
        </w:rPr>
        <w:t xml:space="preserve">excess </w:t>
      </w:r>
      <w:r w:rsidRPr="00F34287">
        <w:rPr>
          <w:bCs/>
          <w:color w:val="000000" w:themeColor="text1"/>
          <w:sz w:val="22"/>
          <w:szCs w:val="22"/>
        </w:rPr>
        <w:t xml:space="preserve">mortality cannot be accounted </w:t>
      </w:r>
      <w:r w:rsidRPr="00F34287">
        <w:rPr>
          <w:bCs/>
          <w:color w:val="000000" w:themeColor="text1"/>
          <w:sz w:val="22"/>
          <w:szCs w:val="22"/>
        </w:rPr>
        <w:lastRenderedPageBreak/>
        <w:t xml:space="preserve">for entirely by CVD events. We observed significant associations between RHR and increased cancer mortality. The effect of RHR was greater in younger individuals for all-cause mortality, cancer death, and </w:t>
      </w:r>
      <w:r w:rsidR="00181EC7" w:rsidRPr="00F34287">
        <w:rPr>
          <w:bCs/>
          <w:color w:val="000000" w:themeColor="text1"/>
          <w:sz w:val="22"/>
          <w:szCs w:val="22"/>
        </w:rPr>
        <w:t xml:space="preserve">incident </w:t>
      </w:r>
      <w:r w:rsidRPr="00F34287">
        <w:rPr>
          <w:bCs/>
          <w:color w:val="000000" w:themeColor="text1"/>
          <w:sz w:val="22"/>
          <w:szCs w:val="22"/>
        </w:rPr>
        <w:t>AMI.</w:t>
      </w:r>
      <w:r w:rsidR="00342C50" w:rsidRPr="00F34287">
        <w:rPr>
          <w:bCs/>
          <w:color w:val="000000" w:themeColor="text1"/>
          <w:sz w:val="22"/>
          <w:szCs w:val="22"/>
        </w:rPr>
        <w:t xml:space="preserve"> Our findings add to the literature</w:t>
      </w:r>
      <w:r w:rsidR="0071478B">
        <w:rPr>
          <w:bCs/>
          <w:color w:val="000000" w:themeColor="text1"/>
          <w:sz w:val="22"/>
          <w:szCs w:val="22"/>
        </w:rPr>
        <w:t xml:space="preserve"> by</w:t>
      </w:r>
      <w:r w:rsidR="00342C50" w:rsidRPr="00F34287">
        <w:rPr>
          <w:bCs/>
          <w:color w:val="000000" w:themeColor="text1"/>
          <w:sz w:val="22"/>
          <w:szCs w:val="22"/>
        </w:rPr>
        <w:t xml:space="preserve"> demonstration of</w:t>
      </w:r>
      <w:r w:rsidR="006076C6" w:rsidRPr="00F34287">
        <w:rPr>
          <w:bCs/>
          <w:color w:val="000000" w:themeColor="text1"/>
          <w:sz w:val="22"/>
          <w:szCs w:val="22"/>
        </w:rPr>
        <w:t xml:space="preserve"> age, sex, and disease-specific </w:t>
      </w:r>
      <w:r w:rsidR="0071478B">
        <w:rPr>
          <w:bCs/>
          <w:color w:val="000000" w:themeColor="text1"/>
          <w:sz w:val="22"/>
          <w:szCs w:val="22"/>
        </w:rPr>
        <w:t>aspects</w:t>
      </w:r>
      <w:r w:rsidR="006076C6" w:rsidRPr="00F34287">
        <w:rPr>
          <w:bCs/>
          <w:color w:val="000000" w:themeColor="text1"/>
          <w:sz w:val="22"/>
          <w:szCs w:val="22"/>
        </w:rPr>
        <w:t xml:space="preserve"> of the relationship</w:t>
      </w:r>
      <w:r w:rsidR="0071478B">
        <w:rPr>
          <w:bCs/>
          <w:color w:val="000000" w:themeColor="text1"/>
          <w:sz w:val="22"/>
          <w:szCs w:val="22"/>
        </w:rPr>
        <w:t xml:space="preserve"> in a large well-defined population</w:t>
      </w:r>
      <w:r w:rsidR="006076C6" w:rsidRPr="00F34287">
        <w:rPr>
          <w:bCs/>
          <w:color w:val="000000" w:themeColor="text1"/>
          <w:sz w:val="22"/>
          <w:szCs w:val="22"/>
        </w:rPr>
        <w:t xml:space="preserve">. </w:t>
      </w:r>
    </w:p>
    <w:p w14:paraId="6F8E4E23" w14:textId="77777777" w:rsidR="003205E0" w:rsidRPr="00F34287" w:rsidRDefault="003205E0" w:rsidP="00BA3555">
      <w:pPr>
        <w:spacing w:line="480" w:lineRule="auto"/>
        <w:rPr>
          <w:color w:val="000000" w:themeColor="text1"/>
          <w:sz w:val="22"/>
          <w:szCs w:val="22"/>
        </w:rPr>
      </w:pPr>
    </w:p>
    <w:p w14:paraId="2AFC543B" w14:textId="6FBE07C1" w:rsidR="00BB7E10" w:rsidRPr="00F34287" w:rsidRDefault="0072190F" w:rsidP="00BA3555">
      <w:pPr>
        <w:spacing w:after="120" w:line="480" w:lineRule="auto"/>
        <w:rPr>
          <w:b/>
          <w:bCs/>
          <w:color w:val="000000" w:themeColor="text1"/>
          <w:sz w:val="32"/>
          <w:szCs w:val="32"/>
        </w:rPr>
      </w:pPr>
      <w:r w:rsidRPr="00F34287">
        <w:rPr>
          <w:b/>
          <w:bCs/>
          <w:color w:val="000000" w:themeColor="text1"/>
          <w:sz w:val="32"/>
          <w:szCs w:val="32"/>
        </w:rPr>
        <w:t>Comparison with existing studies</w:t>
      </w:r>
      <w:r w:rsidR="0096554D" w:rsidRPr="00F34287">
        <w:rPr>
          <w:b/>
          <w:bCs/>
          <w:color w:val="000000" w:themeColor="text1"/>
          <w:sz w:val="32"/>
          <w:szCs w:val="32"/>
        </w:rPr>
        <w:t xml:space="preserve"> </w:t>
      </w:r>
    </w:p>
    <w:p w14:paraId="4F6760A0" w14:textId="425934A7" w:rsidR="003D7792" w:rsidRPr="00F34287" w:rsidRDefault="00161006" w:rsidP="00BA3555">
      <w:pPr>
        <w:spacing w:after="120" w:line="480" w:lineRule="auto"/>
        <w:rPr>
          <w:color w:val="000000" w:themeColor="text1"/>
          <w:sz w:val="22"/>
          <w:szCs w:val="22"/>
        </w:rPr>
      </w:pPr>
      <w:r w:rsidRPr="00F34287">
        <w:rPr>
          <w:color w:val="000000" w:themeColor="text1"/>
          <w:sz w:val="22"/>
          <w:szCs w:val="22"/>
        </w:rPr>
        <w:t>E</w:t>
      </w:r>
      <w:r w:rsidR="005233F7" w:rsidRPr="00F34287">
        <w:rPr>
          <w:color w:val="000000" w:themeColor="text1"/>
          <w:sz w:val="22"/>
          <w:szCs w:val="22"/>
        </w:rPr>
        <w:t xml:space="preserve">levated RHR has been </w:t>
      </w:r>
      <w:r w:rsidR="008361AF" w:rsidRPr="00F34287">
        <w:rPr>
          <w:color w:val="000000" w:themeColor="text1"/>
          <w:sz w:val="22"/>
          <w:szCs w:val="22"/>
        </w:rPr>
        <w:t>repeatedly</w:t>
      </w:r>
      <w:r w:rsidR="005233F7" w:rsidRPr="00F34287">
        <w:rPr>
          <w:color w:val="000000" w:themeColor="text1"/>
          <w:sz w:val="22"/>
          <w:szCs w:val="22"/>
        </w:rPr>
        <w:t xml:space="preserve"> linked to increased all-cause mortality in multiple studies </w:t>
      </w:r>
      <w:r w:rsidR="003631BD" w:rsidRPr="00F34287">
        <w:rPr>
          <w:color w:val="000000" w:themeColor="text1"/>
          <w:sz w:val="22"/>
          <w:szCs w:val="22"/>
        </w:rPr>
        <w:t xml:space="preserve">and </w:t>
      </w:r>
      <w:r w:rsidR="005233F7" w:rsidRPr="00F34287">
        <w:rPr>
          <w:color w:val="000000" w:themeColor="text1"/>
          <w:sz w:val="22"/>
          <w:szCs w:val="22"/>
        </w:rPr>
        <w:t>in diverse population</w:t>
      </w:r>
      <w:r w:rsidR="00BB2E91" w:rsidRPr="00F34287">
        <w:rPr>
          <w:color w:val="000000" w:themeColor="text1"/>
          <w:sz w:val="22"/>
          <w:szCs w:val="22"/>
        </w:rPr>
        <w:t>s</w:t>
      </w:r>
      <w:r w:rsidR="00E40263"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10.1093/eurheartj/ehi190","ISSN":"1522-9645","author":[{"dropping-particle":"","family":"Diaz","given":"Ariel","non-dropping-particle":"","parse-names":false,"suffix":""},{"dropping-particle":"","family":"Bourassa","given":"Martial G.","non-dropping-particle":"","parse-names":false,"suffix":""},{"dropping-particle":"","family":"Guertin","given":"Marie-Claude","non-dropping-particle":"","parse-names":false,"suffix":""},{"dropping-particle":"","family":"Tardif","given":"Jean-Claude","non-dropping-particle":"","parse-names":false,"suffix":""}],"container-title":"European Heart Journal","id":"ITEM-1","issue":"10","issued":{"date-parts":[["2005","5","1"]]},"page":"967-974","title":"Long-term prognostic value of resting heart rate in patients with suspected or proven coronary artery disease","type":"article-journal","volume":"26"},"uris":["http://www.mendeley.com/documents/?uuid=a5942480-6857-3446-a2ab-40c47c4fc67b"]},{"id":"ITEM-2","itemData":{"DOI":"10.1007/s00392-015-0956-7","abstract":"Background High resting heart rate (RHR) predicts car-diovascular outcomes in patients with vascular disease and heart failure. We evaluated the prognostic value of RHR in a large contemporary population-based, prospective cohort of individuals without known coronary artery disease. Methods and results Resting heart rate (RHR) was determined in 4091 individuals (mean age 59.2 ± 7.7; 53 % women) from the Heinz Nixdorf RECALL study, of whom, 3348 were free of heart rate lowering medication. During 10.5 years of follow-up (median), 159 (3.9 %) individuals developed a coronary event and 398 (9.7 %) died of any cause. Persons without any event (n = 3603) had similar heart rates as persons with coronary events (69.5 ± 11 versus 69.9 ± 11 bpm, p = 0.51) but lower heart rates than persons who died (72.3 ± 13 bpm, p \\ 0.0001). In individuals without heart rate lowering medication, an increase in heart rate by 5 bpm was associated with an increased hazard ratio (HR) for all-cause mortality of 13 % in unadjusted analysis and also upon adjustment for traditional cardiovascular risk factors, including coronary artery calcification [full model: HR (95 % CI) 1.13 (1.07-1.20), p \\ 0.0001], but not for coronary events [HR 1.02 (0.94-1.11), p = 0.60]. In individuals without heart rate lowering medication, the HR (full model) for heart rate C70 versus\\70 bpm with regard to all-cause mortality and coronary events was 1.68 (1.30-2.18), p \\ 0.0001, and 1.20 (0.82-1.77), p = 0.35. Analysis of the entire cohort revealed a continuous relationship of heart rate with all-cause mortality [HR for lowest to highest heart rate quartile 1.64 (1.22-2.22), p = 0.001, full model] but not with coronary events [HR 1.04 (0.65-1.66), p = 0.86]. Conclusions In the general population without known coronary artery disease and heart rate lowering medication, elevated RHR is an independent risk marker for all-cause mortality but not for coronary events.","author":[{"dropping-particle":"","family":"Custodis","given":"Florian","non-dropping-particle":"","parse-names":false,"suffix":""},{"dropping-particle":"","family":"Roggenbuck","given":"Ulla","non-dropping-particle":"","parse-names":false,"suffix":""},{"dropping-particle":"","family":"Lehmann","given":"Nils","non-dropping-particle":"","parse-names":false,"suffix":""},{"dropping-particle":"","family":"Moebus","given":"Susanne","non-dropping-particle":"","parse-names":false,"suffix":""},{"dropping-particle":"","family":"Laufs","given":"Ulrich","non-dropping-particle":"","parse-names":false,"suffix":""},{"dropping-particle":"","family":"Mahabadi","given":"Amir-Abbas","non-dropping-particle":"","parse-names":false,"suffix":""},{"dropping-particle":"","family":"Heusch","given":"Gerd","non-dropping-particle":"","parse-names":false,"suffix":""},{"dropping-particle":"","family":"Mann","given":"Klaus","non-dropping-particle":"","parse-names":false,"suffix":""},{"dropping-particle":"","family":"Jöckel","given":"Karl-Heinz","non-dropping-particle":"","parse-names":false,"suffix":""},{"dropping-particle":"","family":"Erbel","given":"Raimund","non-dropping-particle":"","parse-names":false,"suffix":""},{"dropping-particle":"","family":"Böhm","given":"Michael","non-dropping-particle":"","parse-names":false,"suffix":""},{"dropping-particle":"","family":"Möhlenkamp","given":"Stefan","non-dropping-particle":"","parse-names":false,"suffix":""},{"dropping-particle":"","family":"Möhlenkamp stefanmoehlenkamp","given":"Stefan","non-dropping-particle":"","parse-names":false,"suffix":""}],"container-title":"Clin Res Cardiol","id":"ITEM-2","issued":{"date-parts":[["2016"]]},"note":"understand with greater confindece the nature of the relationship between RHR and cardiovascular mortality","page":"601-612","title":"Resting heart rate is an independent predictor of all-cause mortality in the middle aged general population","type":"article-journal","volume":"105"},"uris":["http://www.mendeley.com/documents/?uuid=0e2e6c57-8a3a-3271-866a-5d701c361e9b"]},{"id":"ITEM-3","itemData":{"DOI":"10.1136/jech-2015-206663","ISSN":"1470-2738","PMID":"26951324","abstract":"BACKGROUND Elevated resting heart rate (RHR) increases risk of death overall, but a comprehensive picture of the associations between RHR, cardiovascular morbidity and mortality events has not yet been presented. We aimed to investigate the effect of RHR on the risk of 5 cardiovascular events: incident myocardial infarction (MI), incident atrial fibrillation (AF), incident ischaemic stroke, total death and cardiovascular death in a general population from Norway. METHODS We followed 24 489 men and women from the Tromsø Study 1994-1995, a population-based cohort study, for 18 years, and analysed the association between RHR and the investigated cardiovascular events. Sex-specific Cox regression with time-dependent covariates was applied with the best-fitting fractional polynomials of RHR. RESULTS Among men, an independent positive relationship was observed for MI and AF (adjusted HR for AF per 20 bpm increase=1.14; 95% CI 1.02 to 1.27). In women, the corresponding HR for MI was 1.23 (1.09 to 1.40). A J-shaped association was observed for ischaemic stroke in women when compared with a RHR of 70 bpm (HR for 50 bpm=1.31; 0.90 to 1.90; HR for 100 bpm=1.32; 1.04 to 1.69). Total and cardiovascular death showed a strong positive association with RHR in men. In women, the pattern for total death was similar. CONCLUSIONS RHR is an independent risk factor for several cardiovascular events. A novel finding is the positive association between RHR and AF in men and the sex difference in association with ischaemic stroke.","author":[{"dropping-particle":"","family":"Sharashova","given":"Ekaterina","non-dropping-particle":"","parse-names":false,"suffix":""},{"dropping-particle":"","family":"Wilsgaard","given":"Tom","non-dropping-particle":"","parse-names":false,"suffix":""},{"dropping-particle":"","family":"Mathiesen","given":"Ellisiv B","non-dropping-particle":"","parse-names":false,"suffix":""},{"dropping-particle":"","family":"Løchen","given":"Maja-Lisa","non-dropping-particle":"","parse-names":false,"suffix":""},{"dropping-particle":"","family":"Njølstad","given":"Inger","non-dropping-particle":"","parse-names":false,"suffix":""},{"dropping-particle":"","family":"Brenn","given":"Tormod","non-dropping-particle":"","parse-names":false,"suffix":""}],"container-title":"Journal of epidemiology and community health","id":"ITEM-3","issue":"9","issued":{"date-parts":[["2016","9","1"]]},"note":"the role of important modifiers such as age and sex are poorly understood with inconsistent reports in the literature.\n\nstudies - narrow age ranges","page":"902-9","publisher":"BMJ Publishing Group Ltd","title":"Resting heart rate predicts incident myocardial infarction, atrial fibrillation, ischaemic stroke and death in the general population: the Tromsø Study.","type":"article-journal","volume":"70"},"uris":["http://www.mendeley.com/documents/?uuid=3729e782-be6a-370e-8aca-d71b30355608"]},{"id":"ITEM-4","itemData":{"DOI":"10.1503/cmaj.150535","ISSN":"1488-2329","PMID":"26598376","abstract":"BACKGROUND Data on resting heart rate and risk of all-cause and cardiovascular mortality are inconsistent; the magnitude of associations between resting heart rate and risk of all-cause and cardiovascular mortality varies across studies. We performed a meta-analysis of prospective cohort studies to quantitatively evaluate the associations in the general population. METHODS We searched PubMed, Embase and MEDLINE from inception to Jan. 1, 2015. We used a random-effects model to combine study-specific relative risks and 95% confidence intervals (CIs). We used restricted cubic spline functions to assess the dose-response relation. RESULTS A total of 46 studies were included in the meta-analysis, involving 1 246 203 patients and 78 349 deaths for all-cause mortality, and 848 320 patients and 25 800 deaths for cardiovascular mortality. The relative risk with 10 beats/min increment of resting heart rate was 1.09 (95% CI 1.07-1.12) for all-cause mortality and 1.08 (95% CI 1.06-1.10) for cardiovascular mortality. Compared with the lowest category, patients with a resting heart rate of 60-80 beats/min had a relative risk of 1.12 (95% CI 1.07-1.17) for all-cause mortality and 1.08 (95% CI 0.99-1.17) for cardiovascular mortality, and those with a resting heart rate of greater than 80 beats/min had a relative risk of 1.45 (95% CI 1.34-1.57) for all-cause mortality and 1.33 (95% CI 1.19-1.47) for cardiovascular mortality. Overall, the results did not differ after adjustment for traditional risk factors for cardiovascular disease. Compared with 45 beats/min, the risk of all-cause mortality increased significantly with increasing resting heart rate in a linear relation, but a significantly increased risk of cardiovascular mortality was observed at 90 beats/min. Substantial heterogeneity and publication bias were detected. INTERPRETATION Higher resting heart rate was independently associated with increased risks of all-cause and cardiovascular mortality. This indicates that resting heart rate is a predictor of all-cause and cardiovascular mortality in the general population.","author":[{"dropping-particle":"","family":"Zhang","given":"Dongfeng","non-dropping-particle":"","parse-names":false,"suffix":""},{"dropping-particle":"","family":"Shen","given":"Xiaoli","non-dropping-particle":"","parse-names":false,"suffix":""},{"dropping-particle":"","family":"Qi","given":"Xin","non-dropping-particle":"","parse-names":false,"suffix":""}],"container-title":"CMAJ : Canadian Medical Association journal = journal de l'Association medicale canadienne","id":"ITEM-4","issue":"3","issued":{"date-parts":[["2016","2","16"]]},"page":"E53-E63","publisher":"CMAJ","title":"Resting heart rate and all-cause and cardiovascular mortality in the general population: a meta-analysis.","type":"article-journal","volume":"188"},"uris":["http://www.mendeley.com/documents/?uuid=d0cdd794-afb0-3e99-9af5-2573b9402b5e"]}],"mendeley":{"formattedCitation":"(2–5)","plainTextFormattedCitation":"(2–5)","previouslyFormattedCitation":"(2–5)"},"properties":{"noteIndex":0},"schema":"https://github.com/citation-style-language/schema/raw/master/csl-citation.json"}</w:instrText>
      </w:r>
      <w:r w:rsidR="00E40263" w:rsidRPr="00F34287">
        <w:rPr>
          <w:color w:val="000000" w:themeColor="text1"/>
          <w:sz w:val="22"/>
          <w:szCs w:val="22"/>
        </w:rPr>
        <w:fldChar w:fldCharType="separate"/>
      </w:r>
      <w:r w:rsidR="003B1439" w:rsidRPr="00F34287">
        <w:rPr>
          <w:noProof/>
          <w:color w:val="000000" w:themeColor="text1"/>
          <w:sz w:val="22"/>
          <w:szCs w:val="22"/>
        </w:rPr>
        <w:t>(2–5)</w:t>
      </w:r>
      <w:r w:rsidR="00E40263" w:rsidRPr="00F34287">
        <w:rPr>
          <w:color w:val="000000" w:themeColor="text1"/>
          <w:sz w:val="22"/>
          <w:szCs w:val="22"/>
        </w:rPr>
        <w:fldChar w:fldCharType="end"/>
      </w:r>
      <w:r w:rsidR="005233F7" w:rsidRPr="00F34287">
        <w:rPr>
          <w:color w:val="000000" w:themeColor="text1"/>
          <w:sz w:val="22"/>
          <w:szCs w:val="22"/>
        </w:rPr>
        <w:t xml:space="preserve">. </w:t>
      </w:r>
      <w:r w:rsidR="009D5D48" w:rsidRPr="00F34287">
        <w:rPr>
          <w:color w:val="000000" w:themeColor="text1"/>
          <w:sz w:val="22"/>
          <w:szCs w:val="22"/>
        </w:rPr>
        <w:t xml:space="preserve">However, the sex-differential pattern of this relationship is incompletely understood. </w:t>
      </w:r>
      <w:r w:rsidR="00E40263" w:rsidRPr="00F34287">
        <w:rPr>
          <w:color w:val="000000" w:themeColor="text1"/>
          <w:sz w:val="22"/>
          <w:szCs w:val="22"/>
        </w:rPr>
        <w:t>Whilst e</w:t>
      </w:r>
      <w:r w:rsidR="00F95D3E" w:rsidRPr="00F34287">
        <w:rPr>
          <w:color w:val="000000" w:themeColor="text1"/>
          <w:sz w:val="22"/>
          <w:szCs w:val="22"/>
        </w:rPr>
        <w:t>xisting literature is supportive of i</w:t>
      </w:r>
      <w:r w:rsidR="0096554D" w:rsidRPr="00F34287">
        <w:rPr>
          <w:color w:val="000000" w:themeColor="text1"/>
          <w:sz w:val="22"/>
          <w:szCs w:val="22"/>
        </w:rPr>
        <w:t>ncreased CVD mortality</w:t>
      </w:r>
      <w:r w:rsidR="009840D1" w:rsidRPr="00F34287">
        <w:rPr>
          <w:color w:val="000000" w:themeColor="text1"/>
          <w:sz w:val="22"/>
          <w:szCs w:val="22"/>
        </w:rPr>
        <w:t xml:space="preserve"> as the likely driver of </w:t>
      </w:r>
      <w:r w:rsidR="00563F1E" w:rsidRPr="00F34287">
        <w:rPr>
          <w:color w:val="000000" w:themeColor="text1"/>
          <w:sz w:val="22"/>
          <w:szCs w:val="22"/>
        </w:rPr>
        <w:t>th</w:t>
      </w:r>
      <w:r w:rsidR="00C322C9" w:rsidRPr="00F34287">
        <w:rPr>
          <w:color w:val="000000" w:themeColor="text1"/>
          <w:sz w:val="22"/>
          <w:szCs w:val="22"/>
        </w:rPr>
        <w:t>e</w:t>
      </w:r>
      <w:r w:rsidR="00563F1E" w:rsidRPr="00F34287">
        <w:rPr>
          <w:color w:val="000000" w:themeColor="text1"/>
          <w:sz w:val="22"/>
          <w:szCs w:val="22"/>
        </w:rPr>
        <w:t xml:space="preserve"> </w:t>
      </w:r>
      <w:r w:rsidR="0023756F" w:rsidRPr="00F34287">
        <w:rPr>
          <w:color w:val="000000" w:themeColor="text1"/>
          <w:sz w:val="22"/>
          <w:szCs w:val="22"/>
        </w:rPr>
        <w:t xml:space="preserve">RHR-mortality </w:t>
      </w:r>
      <w:r w:rsidR="00141791" w:rsidRPr="00F34287">
        <w:rPr>
          <w:color w:val="000000" w:themeColor="text1"/>
          <w:sz w:val="22"/>
          <w:szCs w:val="22"/>
        </w:rPr>
        <w:t>association</w:t>
      </w:r>
      <w:r w:rsidR="00C322C9" w:rsidRPr="00F34287">
        <w:rPr>
          <w:color w:val="000000" w:themeColor="text1"/>
          <w:sz w:val="22"/>
          <w:szCs w:val="22"/>
        </w:rPr>
        <w:t xml:space="preserve"> </w:t>
      </w:r>
      <w:r w:rsidR="00F95D3E" w:rsidRPr="00F34287">
        <w:rPr>
          <w:color w:val="000000" w:themeColor="text1"/>
          <w:sz w:val="22"/>
          <w:szCs w:val="22"/>
        </w:rPr>
        <w:t xml:space="preserve">in </w:t>
      </w:r>
      <w:r w:rsidR="009840D1" w:rsidRPr="00F34287">
        <w:rPr>
          <w:color w:val="000000" w:themeColor="text1"/>
          <w:sz w:val="22"/>
          <w:szCs w:val="22"/>
        </w:rPr>
        <w:t>men</w:t>
      </w:r>
      <w:r w:rsidR="0029752F"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{"citationItems":[{"id":"ITEM-1","itemData":{"DOI":"10.1136/openhrt-2018-000856","ISSN":"2053-3624","abstract":"Background Resting heart rate (RHR), a known cardiovascular risk factor, changes with age. However, little is known about the association between changes in RHR and the risk of cardiovascular events. The purpose of this study was therefore to assess the impact of RHR at baseline, and the change in RHR over time, on the risk of all-cause death and cardiovascular events.\n\nDesign A random population sample of men born in 1943 who were living in Gothenburg, Sweden was prospectively followed for a 21-year period.\n\nMethods Participants were examined three times: first in 1993 and then re-examined in 2003 and 2014. At each visit, a clinical examination, an ECG and laboratory analyses were performed. Change in RHR between 1993 and 2003 was defined as a decrease if RHR decreased by 5 beats per minute (bpm), an increase if RHR increased by 5 bpm or stable if the RHR change was &lt;4bpm).\n\nResults Participants with a baseline RHR of &gt;75 bpm in 1993 had about a twofold higher risk of all-cause death (HR 2.3, CI 1.2 to 4.7, p=0.018), cardiovascular disease (CVD) (HR 1.8, CI 1.1 to 3.0, p=0.014) and coronary heart disease (CHD) (HR 2.2, CI 1.1 to 4.5, p=0.025) compared with those with &lt;55 bpm in 1993. Participants with a stable RHR between 1993 and 2003 had a 44% decreased risk of CVD (HR 0.56, CI 0.35 to 0.87, p=0.011) compared with participants with an increasing RHR. Furthermore, every beat increase in heart rate from 1993 was associated with a 3% higher risk for all-cause death, 1% higher risk for CVD and 2% higher risk for CHD.\n\nConclusion High RHR was associated with an increased risk of death and cardiovascular events in men from the general population. Moreover, individuals with an increase in RHR between 50 and 60 years of age had worse outcome.","author":[{"dropping-particle":"","family":"Chen","given":"Xiao-jing","non-dropping-particle":"","parse-names":false,"suffix":""},{"dropping-particle":"","family":"Barywani","given":"Salim Bary","non-dropping-particle":"","parse-names":false,"suffix":""},{"dropping-particle":"","family":"Hansson","given":"Per-Olof","non-dropping-particle":"","parse-names":false,"suffix":""},{"dropping-particle":"","family":"Östgärd Thunström","given":"Erik","non-dropping-particle":"","parse-names":false,"suffix":""},{"dropping-particle":"","family":"Rosengren","given":"Annika","non-dropping-particle":"","parse-names":false,"suffix":""},{"dropping-particle":"","family":"Ergatoudes","given":"Constantinos","non-dropping-particle":"","parse-names":false,"suffix":""},{"dropping-particle":"","family":"Mandalenakis","given":"Zacharias","non-dropping-particle":"","parse-names":false,"suffix":""},{"dropping-particle":"","family":"Caidahl","given":"Kenneth","non-dropping-particle":"","parse-names":false,"suffix":""},{"dropping-particle":"","family":"Fu","given":"Michael Lx","non-dropping-particle":"","parse-names":false,"suffix":""}],"container-title":"Open Heart","id":"ITEM-1","issue":"1","issued":{"date-parts":[["2019","3","15"]]},"page":"e000856","publisher":"Archives of Disease in childhood","title":"Impact of changes in heart rate with age on all-cause death and cardiovascular events in 50-year-old men from the general population","type":"article-journal","volume":"6"},"uris":["http://www.mendeley.com/documents/?uuid=9d19eacd-ba6d-323d-958a-ef792e7d8ed1"]},{"id":"ITEM-2","itemData":{"DOI":"10.1053/euhj.1999.1741","ISSN":"0195668X","abstract":"Background. Resting heart rate has frequently been shown to be a predictor of coronary heart disease mortality. Elevated heart rate could also be a marker for the presence of other risk factors, which have not been taken into consideration in previous studies. Objective. To evaluate the effect of resting heart rate on the risk of all-cause cardiovascular and cancer mortality, taking into consideration haematological variables. Method. The association between resting heart rate and mortality was assessed applying Cox's proportional hazard models to data obtained in an 8 year follow-up of 3527 Israeli male industrial employees. During this period 135 deaths were recorded, 57 from cardiovascular disease and 45 from cancer. Resting heart rate was assessed at entry; potential confounding demographic, anthropometric and socioeconomic variables, haematological data, serum lipid levels and health-related habits were accounted for. Results. We found that the relative risk of all-cause mortality increased with increasing resting heart rate, workers with resting heart rate &gt; 90 beats.min-1 had an adjusted relative risk of 2.23 (95 CI 1.4-3.6) compared with those with a heart rate &lt; 70 beats.min-1. A similar result was achieved for cardiovascular disease mortality (adjusted relative risk 2.02, 95 CI 1.1-4.0). Cancer mortality was not associated with resting heart rate. Conclusion. This study found that resting heart rate is associated with all-cause and cardiovascular disease mortality after controlling (in various statistical models) for platelet counts, haemoglobin concentration, white blood cell counts, total protein, and other recognized risk factors. (C) 2000 The European Society of Cardiology.","author":[{"dropping-particle":"","family":"Kristal-Boneh","given":"E","non-dropping-particle":"","parse-names":false,"suffix":""},{"dropping-particle":"","family":"Silber","given":"H","non-dropping-particle":"","parse-names":false,"suffix":""},{"dropping-particle":"","family":"Harari","given":"G","non-dropping-particle":"","parse-names":false,"suffix":""},{"dropping-particle":"","family":"Froom","given":"P","non-dropping-particle":"","parse-names":false,"suffix":""}],"container-title":"European Heart Journal","id":"ITEM-2","issue":"2","issued":{"date-parts":[["2000"]]},"note":"relevant to biomarker work for later.\n\nfound increased risk of all cause mortality and CVD death \nno relationship with cancer death","page":"116-124","title":"The association of resting heart rate with cardiovascular, cancer and all-cause mortality. Eight year follow-up of 3527 male Israeli employees (the CORDIS Study)","type":"article-journal","volume":"21"},"uris":["http://www.mendeley.com/documents/?uuid=e81820f9-353a-397a-909e-8e1c45e85d5b"]},{"id":"ITEM-3","itemData":{"DOI":"10.1136/HEARTJNL-2012-303375","ISSN":"1355-6037","PMID":"23595657","abstract":"Objective To examine whether elevated resting heart rate (RHR) is an independent risk factor for mortality or a mere marker of physical fitness (VO2Max).\n\nMethods This was a prospective cohort study: the Copenhagen Male Study, a longitudinal study of healthy middle-aged employed men. Subjects with sinus rhythm and without known cardiovascular disease or diabetes were included. RHR was assessed from a resting ECG at study visit in 1985–1986. VO2Max was determined by the Åstrand bicycle ergometer test in 1970–1971. Subjects were classified into categories according to level of RHR. Associations with mortality were studied in multivariate Cox models adjusted for physical fitness, leisure-time physical activity and conventional cardiovascular risk factors.\n\nResults 2798 subjects were followed for 16 years. 1082 deaths occurred. RHR was inversely related to physical fitness (p&lt;0.001). Overall, increasing RHR was highly associated with mortality in a graded manner after adjusting for physical fitness, leisure-time physical activity and other cardiovascular risk factors. Compared to men with RHR ≤50, those with RHR &gt;90 had an HR (95% CI) of 3.06 (1.97 to 4.75). With RHR as a continuous variable, risk of mortality increased with 16% (10–22) per 10 beats per minute (bpm). There was a borderline interaction with smoking (p=0.07); risk per 10 bpm increase in RHR was 20% (12–27) in smokers, and 14% (4–24) in non-smokers.\n\nConclusions Elevated RHR is a risk factor for mortality independent of physical fitness, leisure-time physical activity and other major cardiovascular risk factors.","author":[{"dropping-particle":"","family":"Jensen","given":"Magnus Thorsten","non-dropping-particle":"","parse-names":false,"suffix":""},{"dropping-particle":"","family":"Suadicani","given":"Poul","non-dropping-particle":"","parse-names":false,"suffix":""},{"dropping-particle":"","family":"Hein","given":"Hans Ole","non-dropping-particle":"","parse-names":false,"suffix":""},{"dropping-particle":"","family":"Gyntelberg","given":"Finn","non-dropping-particle":"","parse-names":false,"suffix":""}],"container-title":"Heart","id":"ITEM-3","issue":"12","issued":{"date-parts":[["2013","6","15"]]},"note":"this large cohort with detailed characterisation of participants will allow adequate adjustment for known confounders and enable \n\nEven some of the relatively larger studies have limited power due to the small number of observed end points,","page":"882-887","publisher":"BMJ Publishing Group Ltd and British Cardiovascular Society","title":"Elevated resting heart rate, physical fitness and all-cause mortality: a 16-year follow-up in the Copenhagen Male Study","type":"article-journal","volume":"99"},"uris":["http://www.mendeley.com/documents/?uuid=bc195f92-c29f-3fc3-b163-418972aec12f"]}],"mendeley":{"formattedCitation":"(13–15)","plainTextFormattedCitation":"(13–15)","previouslyFormattedCitation":"(13–15)"},"properties":{"noteIndex":0},"schema":"https://github.com/citation-style-language/schema/raw/master/csl-citation.json"}</w:instrText>
      </w:r>
      <w:r w:rsidR="0029752F" w:rsidRPr="00F34287">
        <w:rPr>
          <w:color w:val="000000" w:themeColor="text1"/>
          <w:sz w:val="22"/>
          <w:szCs w:val="22"/>
        </w:rPr>
        <w:fldChar w:fldCharType="separate"/>
      </w:r>
      <w:r w:rsidR="003B1439" w:rsidRPr="00F34287">
        <w:rPr>
          <w:noProof/>
          <w:color w:val="000000" w:themeColor="text1"/>
          <w:sz w:val="22"/>
          <w:szCs w:val="22"/>
        </w:rPr>
        <w:t>(13–15)</w:t>
      </w:r>
      <w:r w:rsidR="0029752F" w:rsidRPr="00F34287">
        <w:rPr>
          <w:color w:val="000000" w:themeColor="text1"/>
          <w:sz w:val="22"/>
          <w:szCs w:val="22"/>
        </w:rPr>
        <w:fldChar w:fldCharType="end"/>
      </w:r>
      <w:r w:rsidR="009335C5" w:rsidRPr="00F34287">
        <w:rPr>
          <w:color w:val="000000" w:themeColor="text1"/>
          <w:sz w:val="22"/>
          <w:szCs w:val="22"/>
        </w:rPr>
        <w:t>,</w:t>
      </w:r>
      <w:r w:rsidR="0096554D" w:rsidRPr="00F34287">
        <w:rPr>
          <w:color w:val="000000" w:themeColor="text1"/>
          <w:sz w:val="22"/>
          <w:szCs w:val="22"/>
        </w:rPr>
        <w:t xml:space="preserve"> </w:t>
      </w:r>
      <w:r w:rsidR="00E40263" w:rsidRPr="00F34287">
        <w:rPr>
          <w:color w:val="000000" w:themeColor="text1"/>
          <w:sz w:val="22"/>
          <w:szCs w:val="22"/>
        </w:rPr>
        <w:t>reports in women are inconsistent</w:t>
      </w:r>
      <w:r w:rsidR="00E40263"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10.1093/eurheartj/ehn435","ISSN":"0195-668X","author":[{"dropping-particle":"","family":"Tverdal","given":"A.","non-dropping-particle":"","parse-names":false,"suffix":""},{"dropping-particle":"","family":"Hjellvik","given":"V.","non-dropping-particle":"","parse-names":false,"suffix":""},{"dropping-particle":"","family":"Selmer","given":"R.","non-dropping-particle":"","parse-names":false,"suffix":""}],"container-title":"European Heart Journal","id":"ITEM-1","issue":"22","issued":{"date-parts":[["2008","5","30"]]},"note":"ref to review\n\n19\n20\n5\n\n\nIt has been shown that the\nhigher the risk in absolute terms the lower the risk in relative\nterms.","page":"2772-2781","publisher":"Narnia","title":"Heart rate and mortality from cardiovascular causes: a 12 year follow-up study of 379 843 men and women aged 40-45 years","type":"article-journal","volume":"29"},"uris":["http://www.mendeley.com/documents/?uuid=33b5a5d0-a9d2-33f2-8c55-4146a807e559"]},{"id":"ITEM-2","itemData":{"DOI":"10.1016/0002-8703(91)90970-s","ISSN":"0002-8703","PMID":"1985358","abstract":"To determine whether associations of elevated resting pulse rate with CHD incidence or death in white men are independent of other risk factors and whether such associations exist for women and blacks, data were examined from the NHANES I Epidemiologic Follow-up Study. Over a follow-up period of 6 to 13 years, elevated RR for CHD incidence were found for older white men with baseline pulse greater than 84 beats/min compared with less than 74 beats/min after controlling multiple risk factors (RR = 1.37, 95% CL 1.02, 1.84). Risks of death from all causes, cardiovascular diseases, and noncardiovascular diseases were also elevated for white men with elevated pulse rate independent of other risk factors. CHD incidence was increased in white women with elevated pulse rate. Risks of death from all causes, cardiovascular diseases, and noncardiovascular diseases, were also elevated for white men with elevated pulse rate independent of other risk factors. CHD incidence was increased in white women with elevated pulse rate. Risk of death from all causes and cardiovascular diseases was elevated in black men and women with elevated pulse rate. Risk of death from noncardiovascular disease was elevated in black men with elevated pulse rate. The association with cardiovascular death was particularly striking in black women, even after adjusting for baseline risk factors (RR 3.03, 95% CL 1.46, 6.28). Further studies are needed to assess associations of pulse rate with CHD in blacks and to elucidate mechanisms in all groups.","author":[{"dropping-particle":"","family":"Gillum","given":"R F","non-dropping-particle":"","parse-names":false,"suffix":""},{"dropping-particle":"","family":"Makuc","given":"D M","non-dropping-particle":"","parse-names":false,"suffix":""},{"dropping-particle":"","family":"Feldman","given":"J J","non-dropping-particle":"","parse-names":false,"suffix":""}],"container-title":"American heart journal","id":"ITEM-2","issue":"1 Pt 1","issued":{"date-parts":[["1991","1"]]},"page":"172-7","title":"Pulse rate, coronary heart disease, and death: the NHANES I Epidemiologic Follow-up Study.","type":"article-journal","volume":"121"},"uris":["http://www.mendeley.com/documents/?uuid=6f54137e-2a82-39e3-9819-d2d756fbe3b6"]},{"id":"ITEM-3","itemData":{"DOI":"10.1001/archinte.1996.00440050051006","ISSN":"0003-9926","abstract":"&lt;h3&gt;Background:&lt;/h3&gt;&lt;p&gt;Whereas a variety of epidemiological stud-ies ies have examined factors associated with overall and cause-specific morbidity and mortality, limited data exist about factors associated with longevity, particularly in middle-aged men and women. The present study examined factors associated with survival to 75 years of age in middle-aged men and women from the community-based Framingham Study.&lt;/p&gt;&lt;h3&gt;Methods:&lt;/h3&gt;&lt;p&gt;After excluding persons with cancer, cardiovascular disease, or diabetes, 747 men and 973 women from the Framingham Study, who were 50 years of age at the time of a routine clinical examination and who could potentially reach 75 years of age during follow-up, were studied. Logistic regression modeling was used to examine factors associated with survival to 75 years of age.&lt;/p&gt;&lt;h3&gt;Results:&lt;/h3&gt;&lt;p&gt;Fewer cigarettes smoked per day, lower systolic blood pressure, and higher forced vital capacity were associated with longevity in both sexes. Lower heart rate in men and parental survival to 75 years of age in women were additionally associated with survival to 75 years of age.&lt;/p&gt;&lt;h3&gt;Conclusions:&lt;/h3&gt;&lt;p&gt;The results of this long-term, prospective study suggest a number of lifestyle characteristics and one familial factor associated with increased life expectancy. These data lend further support to the positive impact on life expectancy of health promotional efforts directed at smoking cessation and control of hypertension in middle-aged men and women.&lt;/p&gt;&lt;p&gt;(Arch Intern Med. 1996;156:505-509)&lt;/p&gt;","author":[{"dropping-particle":"","family":"Goldberg","given":"Robert J.","non-dropping-particle":"","parse-names":false,"suffix":""},{"dropping-particle":"","family":"Larson","given":"Martin","non-dropping-particle":"","parse-names":false,"suffix":""},{"dropping-particle":"","family":"Levy","given":"Daniel","non-dropping-particle":"","parse-names":false,"suffix":""}],"container-title":"Archives of Internal Medicine","id":"ITEM-3","issue":"5","issued":{"date-parts":[["1996","3","11"]]},"page":"505","publisher":"American Medical Association","title":"Factors Associated With Survival to 75 Years of Age in Middle-aged Men and Women","type":"article-journal","volume":"156"},"uris":["http://www.mendeley.com/documents/?uuid=06713ec4-4ce8-35db-816c-628c50ed6d40"]},{"id":"ITEM-4","itemData":{"DOI":"10.1161/01.hyp.33.1.44","ISSN":"0194-911X","PMID":"9931080","abstract":"-The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1979)","id":"ITEM-4","issue":"1","issued":{"date-parts":[["1999","1"]]},"page":"44-52","title":"Influence of heart rate on mortality in a French population: role of age, gender, and blood pressure.","type":"article-journal","volume":"33"},"uris":["http://www.mendeley.com/documents/?uuid=2a7e8b17-1e03-3540-932e-b13c20ab9b22"]},{"id":"ITEM-5","itemData":{"DOI":"10.1093/oxfordjournals.aje.a009901","abstract":"In a prospective cohort study, associations of resting heart rate with risk of coronary, cardiovascular disease, cancer, and all-cause mortality in age-specific cohorts of black and white men and women were examined over 22 years of follow-up. Participants were employees from 84 companies and organizations in the Chicago, Illinois, area who volunteered for a screening examination. Participants included 9,706 men aged 18-39 years, 7,760 men aged 40-59 years, 1,321 men aged 60-74 years, 6,928 women aged 18-39 years, 6,915 women aged 40-59 years, and 1,151 women aged 60-74 years at trie baseline examination in 1967-1973. Vital status was ascertained through 1992. For fatal coronary disease, multivariate-adjusted relative risks associated with a 12 beats per minute higher heart rate (one standard deviation) were as follows: for men aged 18-39 years, relative risk (RR) = 1.27 (95% confidence interval (Cl) 1.08-1.48); for men aged 40-59 years, RR = 1.13 (95% Cl 1.05-1.21); for men aged 60-74 years, RR = 1.00 (95% Cl 0.89-1.12); for women aged 40-59 years, RR = 1.21 (95% Cl 1.07-1.36); and for women aged 60-74 years, RR = 1.16 (95% Cl 0.99-1.37). Corresponding risks for all fatal cardiovascular diseases were similar to those for coronary death alone. Deaths from cancer were significantly associated with heart rate in men and women aged 40-59 years. All-cause mortality was associated with higher heart rate in men aged 18-39 years (RR = 1.11, 95% Cl 1.01-1.20), men aged 40-59 years (RR = 1.16, 95% Cl 1.11-1.21), and women aged 40-59 years (RR = 1.20, 95% Cl 1.13-1.27). Heart rate was not associated with mortality in women aged 18-39 years. In summary, heart rate was a risk factor for mortality from coronary disease, all cardiovascular diseases, and all causes in younger men and in middle-aged men and women, and for cancer mortality in middle-aged men and women. Am J Epidemiol 1999;149:853-62.","author":[{"dropping-particle":"","family":"Greenland","given":"Philip","non-dropping-particle":"","parse-names":false,"suffix":""},{"dropping-particle":"","family":"Daviglus","given":"Martha L","non-dropping-particle":"","parse-names":false,"suffix":""},{"dropping-particle":"","family":"Dyer","given":"Alan R","non-dropping-particle":"","parse-names":false,"suffix":""},{"dropping-particle":"","family":"Liu","given":"Kiang","non-dropping-particle":"","parse-names":false,"suffix":""},{"dropping-particle":"","family":"Huang","given":"Cheng-Fang","non-dropping-particle":"","parse-names":false,"suffix":""},{"dropping-particle":"","family":"Goldberger","given":"Jeffrey J","non-dropping-particle":"","parse-names":false,"suffix":""},{"dropping-particle":"","family":"Stamler","given":"Jeremiah","non-dropping-particle":"","parse-names":false,"suffix":""}],"container-title":"American Journal of Epidemiology","id":"ITEM-5","issue":"9","issued":{"date-parts":[["1999"]]},"page":"853-862","title":"Resting Heart Rate is a Risk Factor for Cardiovascular and Noncardiovascular Mortality","type":"article-journal","volume":"149"},"uris":["http://www.mendeley.com/documents/?uuid=8a4c82ff-7342-36c3-8fa8-811a83c47be6"]}],"mendeley":{"formattedCitation":"(7–11)","plainTextFormattedCitation":"(7–11)","previouslyFormattedCitation":"(7–11)"},"properties":{"noteIndex":0},"schema":"https://github.com/citation-style-language/schema/raw/master/csl-citation.json"}</w:instrText>
      </w:r>
      <w:r w:rsidR="00E40263" w:rsidRPr="00F34287">
        <w:rPr>
          <w:color w:val="000000" w:themeColor="text1"/>
          <w:sz w:val="22"/>
          <w:szCs w:val="22"/>
        </w:rPr>
        <w:fldChar w:fldCharType="separate"/>
      </w:r>
      <w:r w:rsidR="003B1439" w:rsidRPr="00F34287">
        <w:rPr>
          <w:noProof/>
          <w:color w:val="000000" w:themeColor="text1"/>
          <w:sz w:val="22"/>
          <w:szCs w:val="22"/>
        </w:rPr>
        <w:t>(7–11)</w:t>
      </w:r>
      <w:r w:rsidR="00E40263" w:rsidRPr="00F34287">
        <w:rPr>
          <w:color w:val="000000" w:themeColor="text1"/>
          <w:sz w:val="22"/>
          <w:szCs w:val="22"/>
        </w:rPr>
        <w:fldChar w:fldCharType="end"/>
      </w:r>
      <w:r w:rsidR="009335C5" w:rsidRPr="00F34287">
        <w:rPr>
          <w:color w:val="000000" w:themeColor="text1"/>
          <w:sz w:val="22"/>
          <w:szCs w:val="22"/>
        </w:rPr>
        <w:t xml:space="preserve">. </w:t>
      </w:r>
      <w:r w:rsidR="00F95D3E" w:rsidRPr="00F34287">
        <w:rPr>
          <w:color w:val="000000" w:themeColor="text1"/>
          <w:sz w:val="22"/>
          <w:szCs w:val="22"/>
        </w:rPr>
        <w:t xml:space="preserve">Similarly, </w:t>
      </w:r>
      <w:r w:rsidR="008D56B5" w:rsidRPr="00F34287">
        <w:rPr>
          <w:color w:val="000000" w:themeColor="text1"/>
          <w:sz w:val="22"/>
          <w:szCs w:val="22"/>
        </w:rPr>
        <w:t>for men</w:t>
      </w:r>
      <w:r w:rsidR="007C5809" w:rsidRPr="00F34287">
        <w:rPr>
          <w:color w:val="000000" w:themeColor="text1"/>
          <w:sz w:val="22"/>
          <w:szCs w:val="22"/>
        </w:rPr>
        <w:t>,</w:t>
      </w:r>
      <w:r w:rsidR="008D56B5" w:rsidRPr="00F34287">
        <w:rPr>
          <w:color w:val="000000" w:themeColor="text1"/>
          <w:sz w:val="22"/>
          <w:szCs w:val="22"/>
        </w:rPr>
        <w:t xml:space="preserve"> </w:t>
      </w:r>
      <w:r w:rsidR="004F49CD" w:rsidRPr="00F34287">
        <w:rPr>
          <w:color w:val="000000" w:themeColor="text1"/>
          <w:sz w:val="22"/>
          <w:szCs w:val="22"/>
        </w:rPr>
        <w:t xml:space="preserve">ischaemic cardiac </w:t>
      </w:r>
      <w:r w:rsidR="00E40263" w:rsidRPr="00F34287">
        <w:rPr>
          <w:color w:val="000000" w:themeColor="text1"/>
          <w:sz w:val="22"/>
          <w:szCs w:val="22"/>
        </w:rPr>
        <w:t>outcomes</w:t>
      </w:r>
      <w:r w:rsidR="004F49CD" w:rsidRPr="00F34287">
        <w:rPr>
          <w:color w:val="000000" w:themeColor="text1"/>
          <w:sz w:val="22"/>
          <w:szCs w:val="22"/>
        </w:rPr>
        <w:t xml:space="preserve"> </w:t>
      </w:r>
      <w:r w:rsidR="00F95D3E" w:rsidRPr="00F34287">
        <w:rPr>
          <w:color w:val="000000" w:themeColor="text1"/>
          <w:sz w:val="22"/>
          <w:szCs w:val="22"/>
        </w:rPr>
        <w:t>have been proposed as</w:t>
      </w:r>
      <w:r w:rsidR="0013234C" w:rsidRPr="00F34287">
        <w:rPr>
          <w:color w:val="000000" w:themeColor="text1"/>
          <w:sz w:val="22"/>
          <w:szCs w:val="22"/>
        </w:rPr>
        <w:t xml:space="preserve"> an</w:t>
      </w:r>
      <w:r w:rsidR="000B52E1" w:rsidRPr="00F34287">
        <w:rPr>
          <w:color w:val="000000" w:themeColor="text1"/>
          <w:sz w:val="22"/>
          <w:szCs w:val="22"/>
        </w:rPr>
        <w:t xml:space="preserve"> important driver of </w:t>
      </w:r>
      <w:r w:rsidR="0013234C" w:rsidRPr="00F34287">
        <w:rPr>
          <w:color w:val="000000" w:themeColor="text1"/>
          <w:sz w:val="22"/>
          <w:szCs w:val="22"/>
        </w:rPr>
        <w:t>mortality associations</w:t>
      </w:r>
      <w:r w:rsidR="004F49CD" w:rsidRPr="00F34287">
        <w:rPr>
          <w:color w:val="000000" w:themeColor="text1"/>
          <w:sz w:val="22"/>
          <w:szCs w:val="22"/>
        </w:rPr>
        <w:t xml:space="preserve">, </w:t>
      </w:r>
      <w:r w:rsidR="007C5809" w:rsidRPr="00F34287">
        <w:rPr>
          <w:color w:val="000000" w:themeColor="text1"/>
          <w:sz w:val="22"/>
          <w:szCs w:val="22"/>
        </w:rPr>
        <w:t>whilst</w:t>
      </w:r>
      <w:r w:rsidR="00E40263" w:rsidRPr="00F34287">
        <w:rPr>
          <w:color w:val="000000" w:themeColor="text1"/>
          <w:sz w:val="22"/>
          <w:szCs w:val="22"/>
        </w:rPr>
        <w:t xml:space="preserve"> in women the evidence is conflicting</w:t>
      </w:r>
      <w:r w:rsidR="00563F1E"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{"citationItems":[{"id":"ITEM-1","itemData":{"DOI":"10.1016/0002-8703(91)90970-s","ISSN":"0002-8703","PMID":"1985358","abstract":"To determine whether associations of elevated resting pulse rate with CHD incidence or death in white men are independent of other risk factors and whether such associations exist for women and blacks, data were examined from the NHANES I Epidemiologic Follow-up Study. Over a follow-up period of 6 to 13 years, elevated RR for CHD incidence were found for older white men with baseline pulse greater than 84 beats/min compared with less than 74 beats/min after controlling multiple risk factors (RR = 1.37, 95% CL 1.02, 1.84). Risks of death from all causes, cardiovascular diseases, and noncardiovascular diseases were also elevated for white men with elevated pulse rate independent of other risk factors. CHD incidence was increased in white women with elevated pulse rate. Risks of death from all causes, cardiovascular diseases, and noncardiovascular diseases, were also elevated for white men with elevated pulse rate independent of other risk factors. CHD incidence was increased in white women with elevated pulse rate. Risk of death from all causes and cardiovascular diseases was elevated in black men and women with elevated pulse rate. Risk of death from noncardiovascular disease was elevated in black men with elevated pulse rate. The association with cardiovascular death was particularly striking in black women, even after adjusting for baseline risk factors (RR 3.03, 95% CL 1.46, 6.28). Further studies are needed to assess associations of pulse rate with CHD in blacks and to elucidate mechanisms in all groups.","author":[{"dropping-particle":"","family":"Gillum","given":"R F","non-dropping-particle":"","parse-names":false,"suffix":""},{"dropping-particle":"","family":"Makuc","given":"D M","non-dropping-particle":"","parse-names":false,"suffix":""},{"dropping-particle":"","family":"Feldman","given":"J J","non-dropping-particle":"","parse-names":false,"suffix":""}],"container-title":"American heart journal","id":"ITEM-1","issue":"1 Pt 1","issued":{"date-parts":[["1991","1"]]},"page":"172-7","title":"Pulse rate, coronary heart disease, and death: the NHANES I Epidemiologic Follow-up Study.","type":"article-journal","volume":"121"},"uris":["http://www.mendeley.com/documents/?uuid=6f54137e-2a82-39e3-9819-d2d756fbe3b6"]},{"id":"ITEM-2","itemData":{"DOI":"10.1001/archinte.1996.00440050051006","ISSN":"0003-9926","abstract":"&lt;h3&gt;Background:&lt;/h3&gt;&lt;p&gt;Whereas a variety of epidemiological stud-ies ies have examined factors associated with overall and cause-specific morbidity and mortality, limited data exist about factors associated with longevity, particularly in middle-aged men and women. The present study examined factors associated with survival to 75 years of age in middle-aged men and women from the community-based Framingham Study.&lt;/p&gt;&lt;h3&gt;Methods:&lt;/h3&gt;&lt;p&gt;After excluding persons with cancer, cardiovascular disease, or diabetes, 747 men and 973 women from the Framingham Study, who were 50 years of age at the time of a routine clinical examination and who could potentially reach 75 years of age during follow-up, were studied. Logistic regression modeling was used to examine factors associated with survival to 75 years of age.&lt;/p&gt;&lt;h3&gt;Results:&lt;/h3&gt;&lt;p&gt;Fewer cigarettes smoked per day, lower systolic blood pressure, and higher forced vital capacity were associated with longevity in both sexes. Lower heart rate in men and parental survival to 75 years of age in women were additionally associated with survival to 75 years of age.&lt;/p&gt;&lt;h3&gt;Conclusions:&lt;/h3&gt;&lt;p&gt;The results of this long-term, prospective study suggest a number of lifestyle characteristics and one familial factor associated with increased life expectancy. These data lend further support to the positive impact on life expectancy of health promotional efforts directed at smoking cessation and control of hypertension in middle-aged men and women.&lt;/p&gt;&lt;p&gt;(Arch Intern Med. 1996;156:505-509)&lt;/p&gt;","author":[{"dropping-particle":"","family":"Goldberg","given":"Robert J.","non-dropping-particle":"","parse-names":false,"suffix":""},{"dropping-particle":"","family":"Larson","given":"Martin","non-dropping-particle":"","parse-names":false,"suffix":""},{"dropping-particle":"","family":"Levy","given":"Daniel","non-dropping-particle":"","parse-names":false,"suffix":""}],"container-title":"Archives of Internal Medicine","id":"ITEM-2","issue":"5","issued":{"date-parts":[["1996","3","11"]]},"page":"505","publisher":"American Medical Association","title":"Factors Associated With Survival to 75 Years of Age in Middle-aged Men and Women","type":"article-journal","volume":"156"},"uris":["http://www.mendeley.com/documents/?uuid=06713ec4-4ce8-35db-816c-628c50ed6d40"]},{"id":"ITEM-3","itemData":{"DOI":"10.1093/oxfordjournals.aje.a009901","abstract":"In a prospective cohort study, associations of resting heart rate with risk of coronary, cardiovascular disease, cancer, and all-cause mortality in age-specific cohorts of black and white men and women were examined over 22 years of follow-up. Participants were employees from 84 companies and organizations in the Chicago, Illinois, area who volunteered for a screening examination. Participants included 9,706 men aged 18-39 years, 7,760 men aged 40-59 years, 1,321 men aged 60-74 years, 6,928 women aged 18-39 years, 6,915 women aged 40-59 years, and 1,151 women aged 60-74 years at trie baseline examination in 1967-1973. Vital status was ascertained through 1992. For fatal coronary disease, multivariate-adjusted relative risks associated with a 12 beats per minute higher heart rate (one standard deviation) were as follows: for men aged 18-39 years, relative risk (RR) = 1.27 (95% confidence interval (Cl) 1.08-1.48); for men aged 40-59 years, RR = 1.13 (95% Cl 1.05-1.21); for men aged 60-74 years, RR = 1.00 (95% Cl 0.89-1.12); for women aged 40-59 years, RR = 1.21 (95% Cl 1.07-1.36); and for women aged 60-74 years, RR = 1.16 (95% Cl 0.99-1.37). Corresponding risks for all fatal cardiovascular diseases were similar to those for coronary death alone. Deaths from cancer were significantly associated with heart rate in men and women aged 40-59 years. All-cause mortality was associated with higher heart rate in men aged 18-39 years (RR = 1.11, 95% Cl 1.01-1.20), men aged 40-59 years (RR = 1.16, 95% Cl 1.11-1.21), and women aged 40-59 years (RR = 1.20, 95% Cl 1.13-1.27). Heart rate was not associated with mortality in women aged 18-39 years. In summary, heart rate was a risk factor for mortality from coronary disease, all cardiovascular diseases, and all causes in younger men and in middle-aged men and women, and for cancer mortality in middle-aged men and women. Am J Epidemiol 1999;149:853-62.","author":[{"dropping-particle":"","family":"Greenland","given":"Philip","non-dropping-particle":"","parse-names":false,"suffix":""},{"dropping-particle":"","family":"Daviglus","given":"Martha L","non-dropping-particle":"","parse-names":false,"suffix":""},{"dropping-particle":"","family":"Dyer","given":"Alan R","non-dropping-particle":"","parse-names":false,"suffix":""},{"dropping-particle":"","family":"Liu","given":"Kiang","non-dropping-particle":"","parse-names":false,"suffix":""},{"dropping-particle":"","family":"Huang","given":"Cheng-Fang","non-dropping-particle":"","parse-names":false,"suffix":""},{"dropping-particle":"","family":"Goldberger","given":"Jeffrey J","non-dropping-particle":"","parse-names":false,"suffix":""},{"dropping-particle":"","family":"Stamler","given":"Jeremiah","non-dropping-particle":"","parse-names":false,"suffix":""}],"container-title":"American Journal of Epidemiology","id":"ITEM-3","issue":"9","issued":{"date-parts":[["1999"]]},"page":"853-862","title":"Resting Heart Rate is a Risk Factor for Cardiovascular and Noncardiovascular Mortality","type":"article-journal","volume":"149"},"uris":["http://www.mendeley.com/documents/?uuid=8a4c82ff-7342-36c3-8fa8-811a83c47be6"]}],"mendeley":{"formattedCitation":"(7–9)","plainTextFormattedCitation":"(7–9)","previouslyFormattedCitation":"(7–9)"},"properties":{"noteIndex":0},"schema":"https://github.com/citation-style-language/schema/raw/master/csl-citation.json"}</w:instrText>
      </w:r>
      <w:r w:rsidR="00563F1E" w:rsidRPr="00F34287">
        <w:rPr>
          <w:color w:val="000000" w:themeColor="text1"/>
          <w:sz w:val="22"/>
          <w:szCs w:val="22"/>
        </w:rPr>
        <w:fldChar w:fldCharType="separate"/>
      </w:r>
      <w:r w:rsidR="003B1439" w:rsidRPr="00F34287">
        <w:rPr>
          <w:noProof/>
          <w:color w:val="000000" w:themeColor="text1"/>
          <w:sz w:val="22"/>
          <w:szCs w:val="22"/>
        </w:rPr>
        <w:t>(7–9)</w:t>
      </w:r>
      <w:r w:rsidR="00563F1E" w:rsidRPr="00F34287">
        <w:rPr>
          <w:color w:val="000000" w:themeColor="text1"/>
          <w:sz w:val="22"/>
          <w:szCs w:val="22"/>
        </w:rPr>
        <w:fldChar w:fldCharType="end"/>
      </w:r>
      <w:r w:rsidR="0023756F" w:rsidRPr="00F34287">
        <w:rPr>
          <w:color w:val="000000" w:themeColor="text1"/>
          <w:sz w:val="22"/>
          <w:szCs w:val="22"/>
        </w:rPr>
        <w:t xml:space="preserve">. </w:t>
      </w:r>
      <w:r w:rsidR="007D2A21" w:rsidRPr="00F34287">
        <w:rPr>
          <w:color w:val="000000" w:themeColor="text1"/>
          <w:sz w:val="22"/>
          <w:szCs w:val="22"/>
        </w:rPr>
        <w:t xml:space="preserve">In the largest </w:t>
      </w:r>
      <w:r w:rsidR="00414245" w:rsidRPr="00F34287">
        <w:rPr>
          <w:color w:val="000000" w:themeColor="text1"/>
          <w:sz w:val="22"/>
          <w:szCs w:val="22"/>
        </w:rPr>
        <w:t xml:space="preserve">reported </w:t>
      </w:r>
      <w:r w:rsidR="007D2A21" w:rsidRPr="00F34287">
        <w:rPr>
          <w:color w:val="000000" w:themeColor="text1"/>
          <w:sz w:val="22"/>
          <w:szCs w:val="22"/>
        </w:rPr>
        <w:t>cohort of women to date (</w:t>
      </w:r>
      <w:r w:rsidR="007D2A21" w:rsidRPr="00F34287">
        <w:rPr>
          <w:i/>
          <w:iCs/>
          <w:color w:val="000000" w:themeColor="text1"/>
          <w:sz w:val="22"/>
          <w:szCs w:val="22"/>
        </w:rPr>
        <w:t>n</w:t>
      </w:r>
      <w:r w:rsidR="007D2A21" w:rsidRPr="00F34287">
        <w:rPr>
          <w:color w:val="000000" w:themeColor="text1"/>
          <w:sz w:val="22"/>
          <w:szCs w:val="22"/>
        </w:rPr>
        <w:t>=199,490)</w:t>
      </w:r>
      <w:r w:rsidR="00414245" w:rsidRPr="00F34287">
        <w:rPr>
          <w:color w:val="000000" w:themeColor="text1"/>
          <w:sz w:val="22"/>
          <w:szCs w:val="22"/>
        </w:rPr>
        <w:t>,</w:t>
      </w:r>
      <w:r w:rsidR="007D2A21" w:rsidRPr="00F34287">
        <w:rPr>
          <w:color w:val="000000" w:themeColor="text1"/>
          <w:sz w:val="22"/>
          <w:szCs w:val="22"/>
        </w:rPr>
        <w:t xml:space="preserve"> </w:t>
      </w:r>
      <w:proofErr w:type="spellStart"/>
      <w:r w:rsidR="007D2A21" w:rsidRPr="00F34287">
        <w:rPr>
          <w:color w:val="000000" w:themeColor="text1"/>
          <w:sz w:val="22"/>
          <w:szCs w:val="22"/>
        </w:rPr>
        <w:t>Tverdal</w:t>
      </w:r>
      <w:proofErr w:type="spellEnd"/>
      <w:r w:rsidR="007D2A21" w:rsidRPr="00F34287">
        <w:rPr>
          <w:color w:val="000000" w:themeColor="text1"/>
          <w:sz w:val="22"/>
          <w:szCs w:val="22"/>
        </w:rPr>
        <w:t xml:space="preserve"> et al</w:t>
      </w:r>
      <w:r w:rsidR="00B37B4D" w:rsidRPr="00F34287">
        <w:rPr>
          <w:color w:val="000000" w:themeColor="text1"/>
          <w:sz w:val="22"/>
          <w:szCs w:val="22"/>
        </w:rPr>
        <w:t>.</w:t>
      </w:r>
      <w:r w:rsidR="007D2A21" w:rsidRPr="00F34287">
        <w:rPr>
          <w:color w:val="000000" w:themeColor="text1"/>
          <w:sz w:val="22"/>
          <w:szCs w:val="22"/>
        </w:rPr>
        <w:t xml:space="preserve"> report</w:t>
      </w:r>
      <w:r w:rsidR="00C451C0" w:rsidRPr="00F34287">
        <w:rPr>
          <w:color w:val="000000" w:themeColor="text1"/>
          <w:sz w:val="22"/>
          <w:szCs w:val="22"/>
        </w:rPr>
        <w:t>ed</w:t>
      </w:r>
      <w:r w:rsidR="007D2A21" w:rsidRPr="00F34287">
        <w:rPr>
          <w:color w:val="000000" w:themeColor="text1"/>
          <w:sz w:val="22"/>
          <w:szCs w:val="22"/>
        </w:rPr>
        <w:t xml:space="preserve"> no association between </w:t>
      </w:r>
      <w:r w:rsidR="00BB2E91" w:rsidRPr="00F34287">
        <w:rPr>
          <w:color w:val="000000" w:themeColor="text1"/>
          <w:sz w:val="22"/>
          <w:szCs w:val="22"/>
        </w:rPr>
        <w:t xml:space="preserve">RHR and </w:t>
      </w:r>
      <w:r w:rsidR="007D2A21" w:rsidRPr="00F34287">
        <w:rPr>
          <w:color w:val="000000" w:themeColor="text1"/>
          <w:sz w:val="22"/>
          <w:szCs w:val="22"/>
        </w:rPr>
        <w:t xml:space="preserve">risk of CVD or </w:t>
      </w:r>
      <w:r w:rsidR="009A1DA7" w:rsidRPr="00F34287">
        <w:rPr>
          <w:color w:val="000000" w:themeColor="text1"/>
          <w:sz w:val="22"/>
          <w:szCs w:val="22"/>
        </w:rPr>
        <w:t>IHD</w:t>
      </w:r>
      <w:r w:rsidR="007D2A21" w:rsidRPr="00F34287">
        <w:rPr>
          <w:color w:val="000000" w:themeColor="text1"/>
          <w:sz w:val="22"/>
          <w:szCs w:val="22"/>
        </w:rPr>
        <w:t xml:space="preserve"> mortality in women</w:t>
      </w:r>
      <w:r w:rsidR="007D2A21"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10.1093/eurheartj/ehn435","ISSN":"0195-668X","author":[{"dropping-particle":"","family":"Tverdal","given":"A.","non-dropping-particle":"","parse-names":false,"suffix":""},{"dropping-particle":"","family":"Hjellvik","given":"V.","non-dropping-particle":"","parse-names":false,"suffix":""},{"dropping-particle":"","family":"Selmer","given":"R.","non-dropping-particle":"","parse-names":false,"suffix":""}],"container-title":"European Heart Journal","id":"ITEM-1","issue":"22","issued":{"date-parts":[["2008","5","30"]]},"note":"ref to review\n\n19\n20\n5\n\n\nIt has been shown that the\nhigher the risk in absolute terms the lower the risk in relative\nterms.","page":"2772-2781","publisher":"Narnia","title":"Heart rate and mortality from cardiovascular causes: a 12 year follow-up study of 379 843 men and women aged 40-45 years","type":"article-journal","volume":"29"},"uris":["http://www.mendeley.com/documents/?uuid=33b5a5d0-a9d2-33f2-8c55-4146a807e559"]}],"mendeley":{"formattedCitation":"(11)","plainTextFormattedCitation":"(11)","previouslyFormattedCitation":"(11)"},"properties":{"noteIndex":0},"schema":"https://github.com/citation-style-language/schema/raw/master/csl-citation.json"}</w:instrText>
      </w:r>
      <w:r w:rsidR="007D2A21" w:rsidRPr="00F34287">
        <w:rPr>
          <w:color w:val="000000" w:themeColor="text1"/>
          <w:sz w:val="22"/>
          <w:szCs w:val="22"/>
        </w:rPr>
        <w:fldChar w:fldCharType="separate"/>
      </w:r>
      <w:r w:rsidR="003B1439" w:rsidRPr="00F34287">
        <w:rPr>
          <w:noProof/>
          <w:color w:val="000000" w:themeColor="text1"/>
          <w:sz w:val="22"/>
          <w:szCs w:val="22"/>
        </w:rPr>
        <w:t>(11)</w:t>
      </w:r>
      <w:r w:rsidR="007D2A21" w:rsidRPr="00F34287">
        <w:rPr>
          <w:color w:val="000000" w:themeColor="text1"/>
          <w:sz w:val="22"/>
          <w:szCs w:val="22"/>
        </w:rPr>
        <w:fldChar w:fldCharType="end"/>
      </w:r>
      <w:r w:rsidR="007D2A21" w:rsidRPr="00F34287">
        <w:rPr>
          <w:color w:val="000000" w:themeColor="text1"/>
          <w:sz w:val="22"/>
          <w:szCs w:val="22"/>
        </w:rPr>
        <w:t>. Conversely, a</w:t>
      </w:r>
      <w:r w:rsidR="009A1DA7" w:rsidRPr="00F34287">
        <w:rPr>
          <w:color w:val="000000" w:themeColor="text1"/>
          <w:sz w:val="22"/>
          <w:szCs w:val="22"/>
        </w:rPr>
        <w:t xml:space="preserve"> </w:t>
      </w:r>
      <w:r w:rsidR="007D2A21" w:rsidRPr="00F34287">
        <w:rPr>
          <w:color w:val="000000" w:themeColor="text1"/>
          <w:sz w:val="22"/>
          <w:szCs w:val="22"/>
        </w:rPr>
        <w:t xml:space="preserve">prospective cohort study of 129,135 women </w:t>
      </w:r>
      <w:r w:rsidR="00C451C0" w:rsidRPr="00F34287">
        <w:rPr>
          <w:color w:val="000000" w:themeColor="text1"/>
          <w:sz w:val="22"/>
          <w:szCs w:val="22"/>
        </w:rPr>
        <w:t>documented</w:t>
      </w:r>
      <w:r w:rsidR="007D2A21" w:rsidRPr="00F34287">
        <w:rPr>
          <w:color w:val="000000" w:themeColor="text1"/>
          <w:sz w:val="22"/>
          <w:szCs w:val="22"/>
        </w:rPr>
        <w:t xml:space="preserve"> a positive association between RHR and ischaemic cardiac events, expressed as a composite of AMI and coronary death</w:t>
      </w:r>
      <w:r w:rsidR="007D2A21" w:rsidRPr="00F34287">
        <w:rPr>
          <w:color w:val="000000" w:themeColor="text1"/>
          <w:sz w:val="22"/>
          <w:szCs w:val="22"/>
        </w:rPr>
        <w:fldChar w:fldCharType="begin" w:fldLock="1"/>
      </w:r>
      <w:r w:rsidR="006755C9" w:rsidRPr="00F34287">
        <w:rPr>
          <w:color w:val="000000" w:themeColor="text1"/>
          <w:sz w:val="22"/>
          <w:szCs w:val="22"/>
        </w:rPr>
        <w:instrText>ADDIN CSL_CITATION {"citationItems":[{"id":"ITEM-1","itemData":{"DOI":"10.1136/bmj.b219","ISSN":"17561833","abstract":"Objective: To evaluate resting heart rate as an independent predictor of cardiovascular risk in women. Design: Prospective cohort study. Setting: The Women's Health Initiative was undertaken at 40 research clinics in the United States. Participants: 129 135 postmenopausal women. Main outcome measure: Clinical cardiovascular events. Results: During a mean of 7.8 (SD 1.6) years of follow up, 2281 women were identified with myocardial infarction or coronary death and 1877 with stroke. We evaluated associations between resting heart rate and cardiovascular events in Cox regression models adjusted for multiple covariates. Higher resting heart rate was independently associated with coronary events (hazard ratio 1.26, 95% confidence interval 1.11 to 1.42 for highest [ &gt; 76 beats per minute] v lowest quintile [≤62 beats per minute] ; P=0.001), but not with stroke. The relation between heart rate and coronary events did not differ between white women and women from other ethnic groups (P for interaction=0.45) or between women with and without diabetes (P for interaction=0.31), but it was stronger in women aged 50-64 at baseline than in those aged 65-79 (P for interaction=0.009). Conclusion: Resting heart rate, a low tech and inexpensive measure o f autonomic tone, independently predicts myocardial infarction or coronary death, but not stroke, in women. Trial registration: ClinicalTrials.gov NCT00000611.","author":[{"dropping-particle":"","family":"Hsia","given":"Judith","non-dropping-particle":"","parse-names":false,"suffix":""},{"dropping-particle":"","family":"Larson","given":"Joseph C","non-dropping-particle":"","parse-names":false,"suffix":""},{"dropping-particle":"","family":"Ockene","given":"Judith K","non-dropping-particle":"","parse-names":false,"suffix":""},{"dropping-particle":"","family":"Sarto","given":"Gloria E","non-dropping-particle":"","parse-names":false,"suffix":""},{"dropping-particle":"","family":"Allison","given":"Matthew A","non-dropping-particle":"","parse-names":false,"suffix":""},{"dropping-particle":"","family":"Hendrix","given":"Susan L","non-dropping-particle":"","parse-names":false,"suffix":""},{"dropping-particle":"","family":"Robinson","given":"Jennifer G","non-dropping-particle":"","parse-names":false,"suffix":""},{"dropping-particle":"","family":"LaCroix","given":"Andrea Z.","non-dropping-particle":"","parse-names":false,"suffix":""},{"dropping-particle":"","family":"Manson","given":"Joann E","non-dropping-particle":"","parse-names":false,"suffix":""}],"container-title":"BMJ (Online)","id":"ITEM-1","issue":"7694","issued":{"date-parts":[["2009"]]},"note":"analysis of a subsample of the Women's Health initiative cohort who were originally recruited for a number of RCTs and a cohort study - composite outcome of MI or coronary death","page":"577-579","title":"Resting heart rate as a low tech predictor of coronary events in women: Prospective cohort study","type":"article-journal","volume":"338"},"uris":["http://www.mendeley.com/documents/?uuid=44eb2dfc-9566-3908-bf74-c99ba56348aa"]}],"mendeley":{"formattedCitation":"(25)","plainTextFormattedCitation":"(25)","previouslyFormattedCitation":"(25)"},"properties":{"noteIndex":0},"schema":"https://github.com/citation-style-language/schema/raw/master/csl-citation.json"}</w:instrText>
      </w:r>
      <w:r w:rsidR="007D2A21" w:rsidRPr="00F34287">
        <w:rPr>
          <w:color w:val="000000" w:themeColor="text1"/>
          <w:sz w:val="22"/>
          <w:szCs w:val="22"/>
        </w:rPr>
        <w:fldChar w:fldCharType="separate"/>
      </w:r>
      <w:r w:rsidR="00D25C92" w:rsidRPr="00F34287">
        <w:rPr>
          <w:noProof/>
          <w:color w:val="000000" w:themeColor="text1"/>
          <w:sz w:val="22"/>
          <w:szCs w:val="22"/>
        </w:rPr>
        <w:t>(25)</w:t>
      </w:r>
      <w:r w:rsidR="007D2A21" w:rsidRPr="00F34287">
        <w:rPr>
          <w:color w:val="000000" w:themeColor="text1"/>
          <w:sz w:val="22"/>
          <w:szCs w:val="22"/>
        </w:rPr>
        <w:fldChar w:fldCharType="end"/>
      </w:r>
      <w:r w:rsidR="007D2A21" w:rsidRPr="00F34287">
        <w:rPr>
          <w:color w:val="000000" w:themeColor="text1"/>
          <w:sz w:val="22"/>
          <w:szCs w:val="22"/>
        </w:rPr>
        <w:t xml:space="preserve">. </w:t>
      </w:r>
      <w:r w:rsidR="00E40263" w:rsidRPr="00F34287">
        <w:rPr>
          <w:color w:val="000000" w:themeColor="text1"/>
          <w:sz w:val="22"/>
          <w:szCs w:val="22"/>
        </w:rPr>
        <w:t>S</w:t>
      </w:r>
      <w:r w:rsidR="00BB2E91" w:rsidRPr="00F34287">
        <w:rPr>
          <w:color w:val="000000" w:themeColor="text1"/>
          <w:sz w:val="22"/>
          <w:szCs w:val="22"/>
        </w:rPr>
        <w:t xml:space="preserve">everal </w:t>
      </w:r>
      <w:r w:rsidR="00E338D3" w:rsidRPr="00F34287">
        <w:rPr>
          <w:color w:val="000000" w:themeColor="text1"/>
          <w:sz w:val="22"/>
          <w:szCs w:val="22"/>
        </w:rPr>
        <w:t xml:space="preserve">older studies with smaller sample sizes have reported increased hazard of CVD and </w:t>
      </w:r>
      <w:r w:rsidR="009A1DA7" w:rsidRPr="00F34287">
        <w:rPr>
          <w:color w:val="000000" w:themeColor="text1"/>
          <w:sz w:val="22"/>
          <w:szCs w:val="22"/>
        </w:rPr>
        <w:t>IHD</w:t>
      </w:r>
      <w:r w:rsidR="00E338D3" w:rsidRPr="00F34287">
        <w:rPr>
          <w:color w:val="000000" w:themeColor="text1"/>
          <w:sz w:val="22"/>
          <w:szCs w:val="22"/>
        </w:rPr>
        <w:t xml:space="preserve"> mortality in both men and women</w:t>
      </w:r>
      <w:r w:rsidR="00E338D3" w:rsidRPr="00F34287">
        <w:rPr>
          <w:color w:val="000000" w:themeColor="text1"/>
          <w:sz w:val="22"/>
          <w:szCs w:val="22"/>
        </w:rPr>
        <w:fldChar w:fldCharType="begin" w:fldLock="1"/>
      </w:r>
      <w:r w:rsidR="006755C9" w:rsidRPr="00F34287">
        <w:rPr>
          <w:color w:val="000000" w:themeColor="text1"/>
          <w:sz w:val="22"/>
          <w:szCs w:val="22"/>
        </w:rPr>
        <w:instrText>ADDIN CSL_CITATION {"citationItems":[{"id":"ITEM-1","itemData":{"DOI":"10.1016/J.AHJ.2009.12.029","ISSN":"0002-8703","abstract":"BACKGROUND\nElevated resting heart rate (RHR) is known to be associated with reduced survival but inconsistencies remain, including lack of significance in most studies of healthy women, lack of independence from systolic blood pressure (SBP) in some, and the suggestion that RHR is merely functioning as a marker of physical inactivity or other comorbidities. We aimed to clarify these inconsistencies. \n\nMETHODS\nWe analyzed the effect of RHR on end points in the National FINRISK Study; a representative, prospective study using Cox proportional hazards model. Ten-thousand five-hundred nineteen men and 11,334 women were included, excluding those with preexisting coronary heart disease, angina, heart failure, or on antihypertensive therapy. \n\nRESULTS\nThe hazard ratios for cardiovascular disease (CVD) mortality for each 15 beats/min increase in RHR were 1.24 (1.11-1.40) in men and 1.32 (1.08-1.60) in women, adjusted for age, gender, total cholesterol, physical activity (categorical), SBP, body mass index, and high-density lipoprotein cholesterol. This relationship remained significant after exclusion of those with comorbidities and events occurring within first 2 years of observation. Relationship with coronary mortality was stronger and with total mortality was slightly weaker. Inclusion of nonfatal end points weakened the relationship. \n\nCONCLUSIONS\nA strong, graded, independent relationship between RHR and incident CVD was demonstrated. This was consistent in healthy men and women. We have clarified that the relationship is independent of SBP and that the temporal sequence would be compatible with a causal relationship. New findings include independence from both a validated measure of physical activity and comorbidities and the demonstration of a stronger effect for fatal than nonfatal events, supporting increased arrhythmogenicity of one of the mechanisms.","author":[{"dropping-particle":"","family":"Cooney","given":"Marie Therese","non-dropping-particle":"","parse-names":false,"suffix":""},{"dropping-particle":"","family":"Vartiainen","given":"Erkki","non-dropping-particle":"","parse-names":false,"suffix":""},{"dropping-particle":"","family":"Laakitainen","given":"Tinna","non-dropping-particle":"","parse-names":false,"suffix":""},{"dropping-particle":"","family":"Juolevi","given":"Anne","non-dropping-particle":"","parse-names":false,"suffix":""},{"dropping-particle":"","family":"Dudina","given":"Alexandra","non-dropping-particle":"","parse-names":false,"suffix":""},{"dropping-particle":"","family":"Graham","given":"Ian M.","non-dropping-particle":"","parse-names":false,"suffix":""}],"container-title":"American Heart Journal","id":"ITEM-1","issue":"4","issued":{"date-parts":[["2010","4","1"]]},"note":"prospective study of 10, 519 men and 11334 women from Finland shows Increased CVD mortality for both men and women with adjustment for CVD risk factors.","page":"612-619.e3","publisher":"Mosby","title":"Elevated resting heart rate is an independent risk factor for cardiovascular disease in healthy men and women","type":"article-journal","volume":"159"},"uris":["http://www.mendeley.com/documents/?uuid=64248dda-8419-3fde-9de5-e26b1894afb5"]},{"id":"ITEM-2","itemData":{"DOI":"10.1093/oxfordjournals.aje.a009901","abstract":"In a prospective cohort study, associations of resting heart rate with risk of coronary, cardiovascular disease, cancer, and all-cause mortality in age-specific cohorts of black and white men and women were examined over 22 years of follow-up. Participants were employees from 84 companies and organizations in the Chicago, Illinois, area who volunteered for a screening examination. Participants included 9,706 men aged 18-39 years, 7,760 men aged 40-59 years, 1,321 men aged 60-74 years, 6,928 women aged 18-39 years, 6,915 women aged 40-59 years, and 1,151 women aged 60-74 years at trie baseline examination in 1967-1973. Vital status was ascertained through 1992. For fatal coronary disease, multivariate-adjusted relative risks associated with a 12 beats per minute higher heart rate (one standard deviation) were as follows: for men aged 18-39 years, relative risk (RR) = 1.27 (95% confidence interval (Cl) 1.08-1.48); for men aged 40-59 years, RR = 1.13 (95% Cl 1.05-1.21); for men aged 60-74 years, RR = 1.00 (95% Cl 0.89-1.12); for women aged 40-59 years, RR = 1.21 (95% Cl 1.07-1.36); and for women aged 60-74 years, RR = 1.16 (95% Cl 0.99-1.37). Corresponding risks for all fatal cardiovascular diseases were similar to those for coronary death alone. Deaths from cancer were significantly associated with heart rate in men and women aged 40-59 years. All-cause mortality was associated with higher heart rate in men aged 18-39 years (RR = 1.11, 95% Cl 1.01-1.20), men aged 40-59 years (RR = 1.16, 95% Cl 1.11-1.21), and women aged 40-59 years (RR = 1.20, 95% Cl 1.13-1.27). Heart rate was not associated with mortality in women aged 18-39 years. In summary, heart rate was a risk factor for mortality from coronary disease, all cardiovascular diseases, and all causes in younger men and in middle-aged men and women, and for cancer mortality in middle-aged men and women. Am J Epidemiol 1999;149:853-62.","author":[{"dropping-particle":"","family":"Greenland","given":"Philip","non-dropping-particle":"","parse-names":false,"suffix":""},{"dropping-particle":"","family":"Daviglus","given":"Martha L","non-dropping-particle":"","parse-names":false,"suffix":""},{"dropping-particle":"","family":"Dyer","given":"Alan R","non-dropping-particle":"","parse-names":false,"suffix":""},{"dropping-particle":"","family":"Liu","given":"Kiang","non-dropping-particle":"","parse-names":false,"suffix":""},{"dropping-particle":"","family":"Huang","given":"Cheng-Fang","non-dropping-particle":"","parse-names":false,"suffix":""},{"dropping-particle":"","family":"Goldberger","given":"Jeffrey J","non-dropping-particle":"","parse-names":false,"suffix":""},{"dropping-particle":"","family":"Stamler","given":"Jeremiah","non-dropping-particle":"","parse-names":false,"suffix":""}],"container-title":"American Journal of Epidemiology","id":"ITEM-2","issue":"9","issued":{"date-parts":[["1999"]]},"page":"853-862","title":"Resting Heart Rate is a Risk Factor for Cardiovascular and Noncardiovascular Mortality","type":"article-journal","volume":"149"},"uris":["http://www.mendeley.com/documents/?uuid=8a4c82ff-7342-36c3-8fa8-811a83c47be6"]},{"id":"ITEM-3","itemData":{"DOI":"10.1016/0002-8703(87)90666-1","ISSN":"0002-8703","PMID":"3591616","abstract":"The relation of resting heart rate on biennial ECG examinations to mortality rates over 30 years of follow-up of the Framingham cohort was examined based on 1876 total deaths and 894 cardiovascular deaths, evolving out of 5070 subjects free of cardiovascular disease at entry into the study. In both sexes, at all ages, all-cause, cardiovascular, and coronary mortality rates increased progressively in relation to antecedent heart rates determined biennially. A more impressive association to cardiovascular disease was observed in men than in women, which was independent of associated cardiovascular risk factors. Case fatality rates following coronary events also increased with antecedent heart rate and the fraction of coronary deaths as sudden death increased strikingly with heart rate in men 35 to 64 years of age. There was also a substantial excess of noncardiovascular deaths at high heart rates, and the proportion of all deaths resulting from cardiovascular disease did not increase with heart rate. The excess cardiovascular deaths with more rapid heart rates were also noted, excluding those with interim overt cardiovascular disease, suggesting an effect independent of preexisting cardiac damage.","author":[{"dropping-particle":"","family":"Kannel","given":"W B","non-dropping-particle":"","parse-names":false,"suffix":""},{"dropping-particle":"","family":"Kannel","given":"C","non-dropping-particle":"","parse-names":false,"suffix":""},{"dropping-particle":"","family":"Paffenbarger Jr","given":"R S","non-dropping-particle":"","parse-names":false,"suffix":""}],"container-title":"American heart journal","id":"ITEM-3","issue":"6","issued":{"date-parts":[["1987","6"]]},"page":"1489-94","title":"Heart rate and cardiovascular mortality: The Framingham study","type":"article-journal","volume":"113"},"uris":["http://www.mendeley.com/documents/?uuid=0d0a51c6-6899-3d29-8f2b-e9229fe13903"]}],"mendeley":{"formattedCitation":"(9,18,26)","plainTextFormattedCitation":"(9,18,26)","previouslyFormattedCitation":"(9,18,26)"},"properties":{"noteIndex":0},"schema":"https://github.com/citation-style-language/schema/raw/master/csl-citation.json"}</w:instrText>
      </w:r>
      <w:r w:rsidR="00E338D3" w:rsidRPr="00F34287">
        <w:rPr>
          <w:color w:val="000000" w:themeColor="text1"/>
          <w:sz w:val="22"/>
          <w:szCs w:val="22"/>
        </w:rPr>
        <w:fldChar w:fldCharType="separate"/>
      </w:r>
      <w:r w:rsidR="00D25C92" w:rsidRPr="00F34287">
        <w:rPr>
          <w:noProof/>
          <w:color w:val="000000" w:themeColor="text1"/>
          <w:sz w:val="22"/>
          <w:szCs w:val="22"/>
        </w:rPr>
        <w:t>(9,18,26)</w:t>
      </w:r>
      <w:r w:rsidR="00E338D3" w:rsidRPr="00F34287">
        <w:rPr>
          <w:color w:val="000000" w:themeColor="text1"/>
          <w:sz w:val="22"/>
          <w:szCs w:val="22"/>
        </w:rPr>
        <w:fldChar w:fldCharType="end"/>
      </w:r>
      <w:r w:rsidR="00E338D3" w:rsidRPr="00F34287">
        <w:rPr>
          <w:color w:val="000000" w:themeColor="text1"/>
          <w:sz w:val="22"/>
          <w:szCs w:val="22"/>
        </w:rPr>
        <w:t>.</w:t>
      </w:r>
      <w:r w:rsidR="0023756F" w:rsidRPr="00F34287">
        <w:rPr>
          <w:color w:val="000000" w:themeColor="text1"/>
          <w:sz w:val="22"/>
          <w:szCs w:val="22"/>
        </w:rPr>
        <w:t xml:space="preserve"> A pooled analysis of 12 cohort studies</w:t>
      </w:r>
      <w:r w:rsidR="004E2894" w:rsidRPr="00F34287">
        <w:rPr>
          <w:color w:val="000000" w:themeColor="text1"/>
          <w:sz w:val="22"/>
          <w:szCs w:val="22"/>
        </w:rPr>
        <w:t>, suggests that for women, there is</w:t>
      </w:r>
      <w:r w:rsidR="0023756F" w:rsidRPr="00F34287">
        <w:rPr>
          <w:color w:val="000000" w:themeColor="text1"/>
          <w:sz w:val="22"/>
          <w:szCs w:val="22"/>
        </w:rPr>
        <w:t xml:space="preserve"> a positive association of RHR with CVD mortality, but not with ischaemic cardiac outcomes</w:t>
      </w:r>
      <w:r w:rsidR="0023756F"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{"citationItems":[{"id":"ITEM-1","itemData":{"DOI":"10.1177/2047487312452501","ISSN":"20474881","PMID":"22718796","abstract":"Background: Multiple studies have examined the relationship between heart rate and mortality; however, there are discrepancies in results. Our aim was to describe the relationship between resting heart rate (RHR) and both major cardiovascular (CV) outcomes, as well as all-cause mortality in the Asia-Pacific region. Design and methods: Individual data from 112,680 subjects in 12 cohort studies were pooled and analysed using Cox models, stratified by study and sex, and adjusted for age and systolic blood pressure. Results: During a mean 7.4 years follow-up, 6086 deaths and 2726 fatal or nonfatal CVevents were recorded. There was a continuous, increasing association between having a RHR above approximately 65 beats/min and the risk of both CV and all-cause mortality, yet there was no evidence of associations below this threshold. The hazard ratio (95% CI) comparing the extreme quarters of RHR (80 v &lt;65 beats/min) was 1.44 (1.291.60) for CV and 1.54 (1.431.66) for total mortality. These associations were not materially changed by adjustment for other risk factors and exclusion of the first 2 years of follow-up. Hazard ratios of a similar magnitude were found for ischemic and hemorrhagic stroke, but the hazard ratio for heart failure was higher (2.08, 95% CI 1.074.06) and for Coronary Heart Disease (CHD) was lower (1.11, 95% CI 0.931.31) than for stroke. Conclusions: RHR of above 65 beats/min has a strong independent effect on premature mortality and stroke, but a lesser effect on CHD. Lifestyle and pharmaceutical regimens to reduce RHR may be beneficial for people with moderate to high levels of RHR. © The European Society of Cardiology 2012.","author":[{"dropping-particle":"","family":"Woodward","given":"Mark","non-dropping-particle":"","parse-names":false,"suffix":""},{"dropping-particle":"","family":"Webster","given":"Ruth","non-dropping-particle":"","parse-names":false,"suffix":""},{"dropping-particle":"","family":"Murakami","given":"Yoshitaka","non-dropping-particle":"","parse-names":false,"suffix":""},{"dropping-particle":"","family":"Barzi","given":"Federica","non-dropping-particle":"","parse-names":false,"suffix":""},{"dropping-particle":"","family":"Lam","given":"Tai-Hing Hing","non-dropping-particle":"","parse-names":false,"suffix":""},{"dropping-particle":"","family":"Fang","given":"Xianghua","non-dropping-particle":"","parse-names":false,"suffix":""},{"dropping-particle":"","family":"Suh","given":"Il","non-dropping-particle":"","parse-names":false,"suffix":""},{"dropping-particle":"","family":"Batty","given":"G. David","non-dropping-particle":"","parse-names":false,"suffix":""},{"dropping-particle":"","family":"Huxley","given":"Rachel","non-dropping-particle":"","parse-names":false,"suffix":""},{"dropping-particle":"","family":"Rodgers","given":"Anthony","non-dropping-particle":"","parse-names":false,"suffix":""},{"dropping-particle":"","family":"from the Asia Pacific Cohort Studies Collaboration","given":"","non-dropping-particle":"","parse-names":false,"suffix":""}],"container-title":"European Journal of Preventive Cardiology","id":"ITEM-1","issue":"6","issued":{"date-parts":[["2014","6","20"]]},"note":"From Duplicate 2 (The association between resting heart rate, cardiovascular disease and mortality: Evidence from 112,680 men and women in 12 cohorts - Woodward, Mark; Webster, Ruth; Murakami, Yoshitaka; Barzi, Federica; Lam, Tai Hing; Fang, Xianghua; Suh, Il; Batty, G. David; Huxley, Rachel; Rodgers, Anthony)\n\nThe present study has a number of strengths, includ-\ning its prospective design, its re-assessment of RHR in sub-groups, its large size, its capacity to explore the effect modifications by region and sex","page":"719-726","title":"The association between resting heart rate, cardiovascular disease and mortality: Evidence from 112,680 men and women in 12 cohorts","type":"article-journal","volume":"21"},"uris":["http://www.mendeley.com/documents/?uuid=ba2bc6f7-4510-4eb5-8082-a96ac5df8d17"]}],"mendeley":{"formattedCitation":"(17)","plainTextFormattedCitation":"(17)","previouslyFormattedCitation":"(17)"},"properties":{"noteIndex":0},"schema":"https://github.com/citation-style-language/schema/raw/master/csl-citation.json"}</w:instrText>
      </w:r>
      <w:r w:rsidR="0023756F" w:rsidRPr="00F34287">
        <w:rPr>
          <w:color w:val="000000" w:themeColor="text1"/>
          <w:sz w:val="22"/>
          <w:szCs w:val="22"/>
        </w:rPr>
        <w:fldChar w:fldCharType="separate"/>
      </w:r>
      <w:r w:rsidR="003B1439" w:rsidRPr="00F34287">
        <w:rPr>
          <w:noProof/>
          <w:color w:val="000000" w:themeColor="text1"/>
          <w:sz w:val="22"/>
          <w:szCs w:val="22"/>
        </w:rPr>
        <w:t>(17)</w:t>
      </w:r>
      <w:r w:rsidR="0023756F" w:rsidRPr="00F34287">
        <w:rPr>
          <w:color w:val="000000" w:themeColor="text1"/>
          <w:sz w:val="22"/>
          <w:szCs w:val="22"/>
        </w:rPr>
        <w:fldChar w:fldCharType="end"/>
      </w:r>
      <w:r w:rsidR="0023756F" w:rsidRPr="00F34287">
        <w:rPr>
          <w:color w:val="000000" w:themeColor="text1"/>
          <w:sz w:val="22"/>
          <w:szCs w:val="22"/>
        </w:rPr>
        <w:t xml:space="preserve">. </w:t>
      </w:r>
    </w:p>
    <w:p w14:paraId="47CB3BFB" w14:textId="2AEB2D66" w:rsidR="004E2894" w:rsidRPr="00F34287" w:rsidRDefault="004E2894" w:rsidP="00BA3555">
      <w:pPr>
        <w:spacing w:after="120" w:line="480" w:lineRule="auto"/>
        <w:rPr>
          <w:color w:val="000000" w:themeColor="text1"/>
          <w:sz w:val="22"/>
          <w:szCs w:val="22"/>
        </w:rPr>
      </w:pPr>
    </w:p>
    <w:p w14:paraId="54DF82DC" w14:textId="4072C5B6" w:rsidR="00606607" w:rsidRPr="00F34287" w:rsidRDefault="00606607" w:rsidP="00BA3555">
      <w:pPr>
        <w:spacing w:after="120" w:line="480" w:lineRule="auto"/>
        <w:rPr>
          <w:color w:val="000000" w:themeColor="text1"/>
          <w:sz w:val="22"/>
          <w:szCs w:val="22"/>
        </w:rPr>
      </w:pPr>
      <w:r w:rsidRPr="00F34287">
        <w:rPr>
          <w:color w:val="000000" w:themeColor="text1"/>
          <w:sz w:val="22"/>
          <w:szCs w:val="22"/>
        </w:rPr>
        <w:t>Taken as whole, our findings, in the largest cohort studied to date, confirm the contribution of ischaemic cardiac events to the RHR-mortality relationship in men, and suggest that non-ischaemic cardiac disease may be a more important mediator in women</w:t>
      </w:r>
      <w:r w:rsidR="00805172" w:rsidRPr="00805172">
        <w:rPr>
          <w:color w:val="000000" w:themeColor="text1"/>
          <w:sz w:val="22"/>
          <w:szCs w:val="22"/>
        </w:rPr>
        <w:t>. Considering the point estimates and 95% CIs (Table 3), the possibility for a sex difference seems most convincing in relation to fatal AMI. For other ischaemic outcomes, this is less certain, as there is substantial overlap between the 95% CIs for these outcomes (IHD mortality, incident AMI) by sex.</w:t>
      </w:r>
      <w:r w:rsidR="002859A6">
        <w:rPr>
          <w:color w:val="000000" w:themeColor="text1"/>
          <w:sz w:val="22"/>
          <w:szCs w:val="22"/>
        </w:rPr>
        <w:t xml:space="preserve"> </w:t>
      </w:r>
      <w:r w:rsidR="00CF0627" w:rsidRPr="00F34287">
        <w:rPr>
          <w:bCs/>
          <w:color w:val="000000" w:themeColor="text1"/>
          <w:sz w:val="22"/>
          <w:szCs w:val="22"/>
        </w:rPr>
        <w:t xml:space="preserve">It was interesting to observe the U-shaped </w:t>
      </w:r>
      <w:r w:rsidR="00CF0627" w:rsidRPr="00F34287">
        <w:rPr>
          <w:bCs/>
          <w:color w:val="000000" w:themeColor="text1"/>
          <w:sz w:val="22"/>
          <w:szCs w:val="22"/>
        </w:rPr>
        <w:lastRenderedPageBreak/>
        <w:t xml:space="preserve">effect of RHR on incident AMI in women. This may be explained by </w:t>
      </w:r>
      <w:r w:rsidR="00432F63" w:rsidRPr="00F34287">
        <w:rPr>
          <w:bCs/>
          <w:color w:val="000000" w:themeColor="text1"/>
          <w:sz w:val="22"/>
          <w:szCs w:val="22"/>
        </w:rPr>
        <w:t xml:space="preserve">sex </w:t>
      </w:r>
      <w:r w:rsidR="00CF0627" w:rsidRPr="00F34287">
        <w:rPr>
          <w:bCs/>
          <w:color w:val="000000" w:themeColor="text1"/>
          <w:sz w:val="22"/>
          <w:szCs w:val="22"/>
        </w:rPr>
        <w:t>differences in disease mechanisms</w:t>
      </w:r>
      <w:r w:rsidR="008B0DD7" w:rsidRPr="00F34287">
        <w:rPr>
          <w:bCs/>
          <w:color w:val="000000" w:themeColor="text1"/>
          <w:sz w:val="22"/>
          <w:szCs w:val="22"/>
        </w:rPr>
        <w:t xml:space="preserve">; for instance, in women, coronary atherosclerosis may manifest as arrhythmic disease with </w:t>
      </w:r>
      <w:r w:rsidR="00432F63" w:rsidRPr="00F34287">
        <w:rPr>
          <w:bCs/>
          <w:color w:val="000000" w:themeColor="text1"/>
          <w:sz w:val="22"/>
          <w:szCs w:val="22"/>
        </w:rPr>
        <w:t>consequently</w:t>
      </w:r>
      <w:r w:rsidR="008B0DD7" w:rsidRPr="00F34287">
        <w:rPr>
          <w:bCs/>
          <w:color w:val="000000" w:themeColor="text1"/>
          <w:sz w:val="22"/>
          <w:szCs w:val="22"/>
        </w:rPr>
        <w:t xml:space="preserve"> higher risks of incident AMI at the lowest and highest heart rates.</w:t>
      </w:r>
      <w:r w:rsidR="00432F63" w:rsidRPr="00F34287">
        <w:rPr>
          <w:bCs/>
          <w:color w:val="000000" w:themeColor="text1"/>
          <w:sz w:val="22"/>
          <w:szCs w:val="22"/>
        </w:rPr>
        <w:t xml:space="preserve"> </w:t>
      </w:r>
      <w:r w:rsidR="008B0DD7" w:rsidRPr="00F34287">
        <w:rPr>
          <w:bCs/>
          <w:color w:val="000000" w:themeColor="text1"/>
          <w:sz w:val="22"/>
          <w:szCs w:val="22"/>
        </w:rPr>
        <w:t xml:space="preserve">Alternatively, this observation </w:t>
      </w:r>
      <w:r w:rsidR="000E664B" w:rsidRPr="00F34287">
        <w:rPr>
          <w:bCs/>
          <w:color w:val="000000" w:themeColor="text1"/>
          <w:sz w:val="22"/>
          <w:szCs w:val="22"/>
        </w:rPr>
        <w:t xml:space="preserve">could have arisen as a result of an artefact of the data, for example if a substantial proportion of women in the low RHR group </w:t>
      </w:r>
      <w:r w:rsidR="007C5809" w:rsidRPr="00F34287">
        <w:rPr>
          <w:bCs/>
          <w:color w:val="000000" w:themeColor="text1"/>
          <w:sz w:val="22"/>
          <w:szCs w:val="22"/>
        </w:rPr>
        <w:t>failed</w:t>
      </w:r>
      <w:r w:rsidR="000E664B" w:rsidRPr="00F34287">
        <w:rPr>
          <w:bCs/>
          <w:color w:val="000000" w:themeColor="text1"/>
          <w:sz w:val="22"/>
          <w:szCs w:val="22"/>
        </w:rPr>
        <w:t xml:space="preserve"> to report the use of rate limiting medications used </w:t>
      </w:r>
      <w:r w:rsidR="008D56B5" w:rsidRPr="00F34287">
        <w:rPr>
          <w:bCs/>
          <w:color w:val="000000" w:themeColor="text1"/>
          <w:sz w:val="22"/>
          <w:szCs w:val="22"/>
        </w:rPr>
        <w:t>in the management of underlying</w:t>
      </w:r>
      <w:r w:rsidR="000E664B" w:rsidRPr="00F34287">
        <w:rPr>
          <w:bCs/>
          <w:color w:val="000000" w:themeColor="text1"/>
          <w:sz w:val="22"/>
          <w:szCs w:val="22"/>
        </w:rPr>
        <w:t xml:space="preserve"> ischaemic heart disease.</w:t>
      </w:r>
      <w:r w:rsidR="008B0DD7" w:rsidRPr="00F34287">
        <w:rPr>
          <w:bCs/>
          <w:color w:val="000000" w:themeColor="text1"/>
          <w:sz w:val="22"/>
          <w:szCs w:val="22"/>
        </w:rPr>
        <w:t xml:space="preserve"> Definitive explanation of this observation requires dedicated study and is beyond the scope of the current work. </w:t>
      </w:r>
      <w:r w:rsidRPr="00F34287">
        <w:rPr>
          <w:color w:val="000000" w:themeColor="text1"/>
          <w:sz w:val="22"/>
          <w:szCs w:val="22"/>
        </w:rPr>
        <w:t>Importantly, for both men and women, the positive RHR-all-cause mortality association was not fully explained by excess CVD events. Other studies have identified non-cardiac conditions as important components of excess mortality related to elevated RHR</w:t>
      </w:r>
      <w:r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1979)","id":"ITEM-1","issue":"1","issued":{"date-parts":[["1999","1"]]},"page":"44-52","title":"Influence of heart rate on mortality in a French population: role of age, gender, and blood pressure.","type":"article-journal","volume":"33"},"uris":["http://www.mendeley.com/documents/?uuid=2a7e8b17-1e03-3540-932e-b13c20ab9b22"]}],"mendeley":{"formattedCitation":"(10)","plainTextFormattedCitation":"(10)","previouslyFormattedCitation":"(10)"},"properties":{"noteIndex":0},"schema":"https://github.com/citation-style-language/schema/raw/master/csl-citation.json"}</w:instrText>
      </w:r>
      <w:r w:rsidRPr="00F34287">
        <w:rPr>
          <w:color w:val="000000" w:themeColor="text1"/>
          <w:sz w:val="22"/>
          <w:szCs w:val="22"/>
        </w:rPr>
        <w:fldChar w:fldCharType="separate"/>
      </w:r>
      <w:r w:rsidR="003B1439" w:rsidRPr="00F34287">
        <w:rPr>
          <w:noProof/>
          <w:color w:val="000000" w:themeColor="text1"/>
          <w:sz w:val="22"/>
          <w:szCs w:val="22"/>
        </w:rPr>
        <w:t>(10)</w:t>
      </w:r>
      <w:r w:rsidRPr="00F34287">
        <w:rPr>
          <w:color w:val="000000" w:themeColor="text1"/>
          <w:sz w:val="22"/>
          <w:szCs w:val="22"/>
        </w:rPr>
        <w:fldChar w:fldCharType="end"/>
      </w:r>
      <w:r w:rsidRPr="00F34287">
        <w:rPr>
          <w:color w:val="000000" w:themeColor="text1"/>
          <w:sz w:val="22"/>
          <w:szCs w:val="22"/>
        </w:rPr>
        <w:t>, with cancer mortality being a dominant cause</w:t>
      </w:r>
      <w:r w:rsidRPr="00F34287">
        <w:rPr>
          <w:color w:val="000000" w:themeColor="text1"/>
          <w:sz w:val="22"/>
          <w:szCs w:val="22"/>
        </w:rPr>
        <w:fldChar w:fldCharType="begin" w:fldLock="1"/>
      </w:r>
      <w:r w:rsidR="00DF2FAB" w:rsidRPr="00F34287">
        <w:rPr>
          <w:color w:val="000000" w:themeColor="text1"/>
          <w:sz w:val="22"/>
          <w:szCs w:val="22"/>
        </w:rPr>
        <w:instrText>ADDIN CSL_CITATION {"citationItems":[{"id":"ITEM-1","itemData":{"DOI":"10.1093/eurheartj/ehn435","ISSN":"0195-668X","author":[{"dropping-particle":"","family":"Tverdal","given":"A.","non-dropping-particle":"","parse-names":false,"suffix":""},{"dropping-particle":"","family":"Hjellvik","given":"V.","non-dropping-particle":"","parse-names":false,"suffix":""},{"dropping-particle":"","family":"Selmer","given":"R.","non-dropping-particle":"","parse-names":false,"suffix":""}],"container-title":"European Heart Journal","id":"ITEM-1","issue":"22","issued":{"date-parts":[["2008","5","30"]]},"note":"ref to review\n\n19\n20\n5\n\n\nIt has been shown that the\nhigher the risk in absolute terms the lower the risk in relative\nterms.","page":"2772-2781","publisher":"Narnia","title":"Heart rate and mortality from cardiovascular causes: a 12 year follow-up study of 379 843 men and women aged 40-45 years","type":"article-journal","volume":"29"},"uris":["http://www.mendeley.com/documents/?uuid=33b5a5d0-a9d2-33f2-8c55-4146a807e559"]},{"id":"ITEM-2","itemData":{"DOI":"10.1136/HEARTJNL-2017-312251","ISSN":"1355-6037","PMID":"29269380","abstract":"Objective Most studies investigating the association between resting heart rate (RHR) and mortality have focused on cardiovascular disease (CVD) mortality, and measured RHR at only one time point. We aimed to assess associations of RHR and changes in RHR over approximately a decade with overall and cause-specific mortality.\n\nMethods We used data from participants in the Melbourne Collaborative Cohort Study with RHR measures at baseline (1990–1994; n=41 386; 9846 deaths) and at follow-up (2003–2007; n=21 692; 2818 deaths). RHR measures were taken by trained staff, using Dinamap monitors. Cox models were used to estimate HR and 95% CI for the associations between RHR and mortality. Vital status and cause of death were ascertained until August 2015 and December 2013, respectively.\n\nResults After adjustment for confounders, including blood pressure and known medical conditions but not arrhythmias or atrial fibrillation, RHR was associated with a higher risk of death of similar magnitude for CVD (HR per 10 beats per minute (bpm)=1.11, 95% CI 1.07 to 1.16), cancer (HR=1.10, 95% CI 1.06 to 1.13) and other causes (HR=1.20, 95% CI 1.16 to 1.25). Higher mortality was observed for most cancer sites, including breast (HR=1.16, 95% CI 1.03 to 1.31), colorectal (HR=1.18, 95% CI 1.08 to 1.29), kidney (HR=1.27, 95% CI 1.03 to 1.57) and lung cancer (HR=1.19, 95% CI 1.10 to 1.29). Temporal increases in RHR were associated with higher mortality, particularly for individuals whose RHR increased by more than 15 bpm.\n\nConclusions RHR and changes in RHR over a decade are associated with mortality risk, including from causes other than CVD such as breast, colorectal or lung cancer. Monitoring of RHR may have utility in identifying individuals at higher mortality risk.","author":[{"dropping-particle":"","family":"Seviiri","given":"Mathias","non-dropping-particle":"","parse-names":false,"suffix":""},{"dropping-particle":"","family":"Lynch","given":"Brigid M","non-dropping-particle":"","parse-names":false,"suffix":""},{"dropping-particle":"","family":"Hodge","given":"Allison M","non-dropping-particle":"","parse-names":false,"suffix":""},{"dropping-particle":"","family":"Yang","given":"Yi","non-dropping-particle":"","parse-names":false,"suffix":""},{"dropping-particle":"","family":"Liew","given":"Danny","non-dropping-particle":"","parse-names":false,"suffix":""},{"dropping-particle":"","family":"English","given":"Dallas R","non-dropping-particle":"","parse-names":false,"suffix":""},{"dropping-particle":"","family":"Giles","given":"Graham G","non-dropping-particle":"","parse-names":false,"suffix":""},{"dropping-particle":"","family":"Milne","given":"Roger L","non-dropping-particle":"","parse-names":false,"suffix":""},{"dropping-particle":"","family":"Dugué","given":"Pierre-Antoine","non-dropping-particle":"","parse-names":false,"suffix":""}],"container-title":"Heart","id":"ITEM-2","issue":"13","issued":{"date-parts":[["2018","7","1"]]},"page":"1076-1085","publisher":"BMJ Publishing Group Ltd and British Cardiovascular Society","title":"Resting heart rate, temporal changes in resting heart rate, and overall and cause-specific mortality","type":"article-journal","volume":"104"},"uris":["http://www.mendeley.com/documents/?uuid=b8d4772d-5cd2-3780-9295-1f43c36cc5d1"]}],"mendeley":{"formattedCitation":"(11,27)","plainTextFormattedCitation":"(11,27)","previouslyFormattedCitation":"(11,27)"},"properties":{"noteIndex":0},"schema":"https://github.com/citation-style-language/schema/raw/master/csl-citation.json"}</w:instrText>
      </w:r>
      <w:r w:rsidRPr="00F34287">
        <w:rPr>
          <w:color w:val="000000" w:themeColor="text1"/>
          <w:sz w:val="22"/>
          <w:szCs w:val="22"/>
        </w:rPr>
        <w:fldChar w:fldCharType="separate"/>
      </w:r>
      <w:r w:rsidR="00DF2FAB" w:rsidRPr="00F34287">
        <w:rPr>
          <w:noProof/>
          <w:color w:val="000000" w:themeColor="text1"/>
          <w:sz w:val="22"/>
          <w:szCs w:val="22"/>
        </w:rPr>
        <w:t>(11,27)</w:t>
      </w:r>
      <w:r w:rsidRPr="00F34287">
        <w:rPr>
          <w:color w:val="000000" w:themeColor="text1"/>
          <w:sz w:val="22"/>
          <w:szCs w:val="22"/>
        </w:rPr>
        <w:fldChar w:fldCharType="end"/>
      </w:r>
      <w:r w:rsidRPr="00F34287">
        <w:rPr>
          <w:color w:val="000000" w:themeColor="text1"/>
          <w:sz w:val="22"/>
          <w:szCs w:val="22"/>
        </w:rPr>
        <w:t>. Consistent with this, we observed 18% and 15% increased hazard of cancer mortality with every 10bpm increment of RHR in men and women respectively.</w:t>
      </w:r>
    </w:p>
    <w:p w14:paraId="1F0B2879" w14:textId="42224E1F" w:rsidR="008D094A" w:rsidRPr="00F34287" w:rsidRDefault="00606607" w:rsidP="00BA3555">
      <w:pPr>
        <w:spacing w:after="120" w:line="480" w:lineRule="auto"/>
        <w:rPr>
          <w:color w:val="000000" w:themeColor="text1"/>
          <w:sz w:val="22"/>
          <w:szCs w:val="22"/>
        </w:rPr>
      </w:pPr>
      <w:r w:rsidRPr="00F34287">
        <w:rPr>
          <w:color w:val="000000" w:themeColor="text1"/>
          <w:sz w:val="22"/>
          <w:szCs w:val="22"/>
        </w:rPr>
        <w:t xml:space="preserve"> </w:t>
      </w:r>
    </w:p>
    <w:p w14:paraId="11A40A24" w14:textId="5440E154" w:rsidR="00183165" w:rsidRPr="00F34287" w:rsidRDefault="00C82363" w:rsidP="00BA3555">
      <w:pPr>
        <w:spacing w:line="480" w:lineRule="auto"/>
        <w:rPr>
          <w:color w:val="000000" w:themeColor="text1"/>
          <w:sz w:val="22"/>
          <w:szCs w:val="22"/>
        </w:rPr>
      </w:pPr>
      <w:r w:rsidRPr="00F34287">
        <w:rPr>
          <w:color w:val="000000" w:themeColor="text1"/>
          <w:sz w:val="22"/>
          <w:szCs w:val="22"/>
        </w:rPr>
        <w:t xml:space="preserve">Several </w:t>
      </w:r>
      <w:r w:rsidR="00C451C0" w:rsidRPr="00F34287">
        <w:rPr>
          <w:color w:val="000000" w:themeColor="text1"/>
          <w:sz w:val="22"/>
          <w:szCs w:val="22"/>
        </w:rPr>
        <w:t xml:space="preserve">smaller </w:t>
      </w:r>
      <w:r w:rsidRPr="00F34287">
        <w:rPr>
          <w:color w:val="000000" w:themeColor="text1"/>
          <w:sz w:val="22"/>
          <w:szCs w:val="22"/>
        </w:rPr>
        <w:t>studies have explored the modifying effect of age on the relationship between RHR and mortality and CVD outcomes with discrepant results</w:t>
      </w:r>
      <w:r w:rsidR="00B07738"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{"citationItems":[{"id":"ITEM-1","itemData":{"DOI":"10.1111/jgs.14714","ISSN":"15325415","abstract":"© 2016, Copyright the Authors Journal compilation © 2016, The American Geriatrics Society Objectives: To examine whether the association between resting heart rate (RHR) and all-cause mortality and cardiovascular events differs according to age. Design: Prospective cohort. Setting: Community in Beijing, China. Participants: Individuals aged 40 and older without cardiovascular disease at baseline (N = 6,209). Measurements: Trained investigators interviewed participants using a standard questionnaire to obtain information on demographic characteristics, medical history and lifestyle risk factors in 1991. RHR was evaluated according to quartiles ( &lt; 72, 72–76, 76–84, ≥84 beats/min). Cox regression models were used to assess the associations between RHR and all-cause mortality and cardiovascular events. Results: During a mean follow-up of 8.3 years, 840 subjects died, and 676 experienced a cardiovascular event. Higher RHR was significantly associated with all-cause mortality (P trend &lt; .001) and cardiovascular events (P trend =.002) in older (≥60) but not younger ( &lt; 60) participants (both P trend &gt; .05). There were significant modifying effects of age on the association between RHR and all-cause mortality (P interaction &lt; .001) and cardiovascular events (P interaction =.002). Similar results were observed after exclusion of individuals who died (n = 100) or had a cardiovascular event (n = 45) during the first 2 years of follow-up. Conclusion: High RHR appears to be an independent determinant of all-cause mortality and cardiovascular events in older but not younger individuals.","author":[{"dropping-particle":"","family":"Li","given":"Kuibao","non-dropping-particle":"","parse-names":false,"suffix":""},{"dropping-particle":"","family":"Yao","given":"Chonghua","non-dropping-particle":"","parse-names":false,"suffix":""},{"dropping-particle":"","family":"Yang","given":"Xinchun","non-dropping-particle":"","parse-names":false,"suffix":""},{"dropping-particle":"","family":"Dong","given":"Lei","non-dropping-particle":"","parse-names":false,"suffix":""}],"container-title":"Journal of the American Geriatrics Society","id":"ITEM-1","issue":"5","issued":{"date-parts":[["2017"]]},"note":"It has been observed in previous studies, that the association between RHR and all-cause mortality and CVD events differs according to age. The precise relationship with age is incompletely understood with contradictory reports in the literature. \n\nThe small samples sizes and consequent small number of observed hard end points (events) reduces confidence in the accuracy in existing studies. \n\nThere are some pertinent questions that have not been answered by existing studies. In particular the relationship of RHR in different age groups is unclear with inconsistencies in the literature. The idea that age modifies the impact of RHR is recognised, however the nature of the relationship has not been properly characterised. \n\nFurther gender differences have not been adequately explored. Men are over-represented in current studies, with several larger studies comprising male-only cohorts. Differential CVD patterns in men and women arerecognised. It is recognised that there are some risk factors that appear unique to women. It is feasible that there are different driving factors in men and women. There is over-representation of men in existing reports. We include large cohort of women and also gender-stratified analysis will allow comparison between men and women. \n\n\nThere are some inconsistencies in the litareture, for instance, Li et al report that high RHR as predictor of all-cause mortality and cardiovascular events in older, but not younger individuals.","page":"989-994","title":"Effect of Resting Heart Rate on All-Cause Mortality and Cardiovascular Events According to Age","type":"article-journal","volume":"65"},"uris":["http://www.mendeley.com/documents/?uuid=8e6bbb67-2ca7-3b88-8a1f-a43f672e7ad4"]},{"id":"ITEM-2","itemData":{"DOI":"10.1136/openhrt-2018-000856","ISSN":"2053-3624","abstract":"Background Resting heart rate (RHR), a known cardiovascular risk factor, changes with age. However, little is known about the association between changes in RHR and the risk of cardiovascular events. The purpose of this study was therefore to assess the impact of RHR at baseline, and the change in RHR over time, on the risk of all-cause death and cardiovascular events.\n\nDesign A random population sample of men born in 1943 who were living in Gothenburg, Sweden was prospectively followed for a 21-year period.\n\nMethods Participants were examined three times: first in 1993 and then re-examined in 2003 and 2014. At each visit, a clinical examination, an ECG and laboratory analyses were performed. Change in RHR between 1993 and 2003 was defined as a decrease if RHR decreased by 5 beats per minute (bpm), an increase if RHR increased by 5 bpm or stable if the RHR change was &lt;4bpm).\n\nResults Participants with a baseline RHR of &gt;75 bpm in 1993 had about a twofold higher risk of all-cause death (HR 2.3, CI 1.2 to 4.7, p=0.018), cardiovascular disease (CVD) (HR 1.8, CI 1.1 to 3.0, p=0.014) and coronary heart disease (CHD) (HR 2.2, CI 1.1 to 4.5, p=0.025) compared with those with &lt;55 bpm in 1993. Participants with a stable RHR between 1993 and 2003 had a 44% decreased risk of CVD (HR 0.56, CI 0.35 to 0.87, p=0.011) compared with participants with an increasing RHR. Furthermore, every beat increase in heart rate from 1993 was associated with a 3% higher risk for all-cause death, 1% higher risk for CVD and 2% higher risk for CHD.\n\nConclusion High RHR was associated with an increased risk of death and cardiovascular events in men from the general population. Moreover, individuals with an increase in RHR between 50 and 60 years of age had worse outcome.","author":[{"dropping-particle":"","family":"Chen","given":"Xiao-jing","non-dropping-particle":"","parse-names":false,"suffix":""},{"dropping-particle":"","family":"Barywani","given":"Salim Bary","non-dropping-particle":"","parse-names":false,"suffix":""},{"dropping-particle":"","family":"Hansson","given":"Per-Olof","non-dropping-particle":"","parse-names":false,"suffix":""},{"dropping-particle":"","family":"Östgärd Thunström","given":"Erik","non-dropping-particle":"","parse-names":false,"suffix":""},{"dropping-particle":"","family":"Rosengren","given":"Annika","non-dropping-particle":"","parse-names":false,"suffix":""},{"dropping-particle":"","family":"Ergatoudes","given":"Constantinos","non-dropping-particle":"","parse-names":false,"suffix":""},{"dropping-particle":"","family":"Mandalenakis","given":"Zacharias","non-dropping-particle":"","parse-names":false,"suffix":""},{"dropping-particle":"","family":"Caidahl","given":"Kenneth","non-dropping-particle":"","parse-names":false,"suffix":""},{"dropping-particle":"","family":"Fu","given":"Michael Lx","non-dropping-particle":"","parse-names":false,"suffix":""}],"container-title":"Open Heart","id":"ITEM-2","issue":"1","issued":{"date-parts":[["2019","3","15"]]},"page":"e000856","publisher":"Archives of Disease in childhood","title":"Impact of changes in heart rate with age on all-cause death and cardiovascular events in 50-year-old men from the general population","type":"article-journal","volume":"6"},"uris":["http://www.mendeley.com/documents/?uuid=9d19eacd-ba6d-323d-958a-ef792e7d8ed1"]},{"id":"ITEM-3","itemData":{"DOI":"10.1161/01.hyp.33.1.44","ISSN":"0194-911X","PMID":"9931080","abstract":"-The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1979)","id":"ITEM-3","issue":"1","issued":{"date-parts":[["1999","1"]]},"page":"44-52","title":"Influence of heart rate on mortality in a French population: role of age, gender, and blood pressure.","type":"article-journal","volume":"33"},"uris":["http://www.mendeley.com/documents/?uuid=2a7e8b17-1e03-3540-932e-b13c20ab9b22"]}],"mendeley":{"formattedCitation":"(10,13,16)","plainTextFormattedCitation":"(10,13,16)","previouslyFormattedCitation":"(10,13,16)"},"properties":{"noteIndex":0},"schema":"https://github.com/citation-style-language/schema/raw/master/csl-citation.json"}</w:instrText>
      </w:r>
      <w:r w:rsidR="00B07738" w:rsidRPr="00F34287">
        <w:rPr>
          <w:color w:val="000000" w:themeColor="text1"/>
          <w:sz w:val="22"/>
          <w:szCs w:val="22"/>
        </w:rPr>
        <w:fldChar w:fldCharType="separate"/>
      </w:r>
      <w:r w:rsidR="003B1439" w:rsidRPr="00F34287">
        <w:rPr>
          <w:noProof/>
          <w:color w:val="000000" w:themeColor="text1"/>
          <w:sz w:val="22"/>
          <w:szCs w:val="22"/>
        </w:rPr>
        <w:t>(10,13,16)</w:t>
      </w:r>
      <w:r w:rsidR="00B07738" w:rsidRPr="00F34287">
        <w:rPr>
          <w:color w:val="000000" w:themeColor="text1"/>
          <w:sz w:val="22"/>
          <w:szCs w:val="22"/>
        </w:rPr>
        <w:fldChar w:fldCharType="end"/>
      </w:r>
      <w:r w:rsidRPr="00F34287">
        <w:rPr>
          <w:color w:val="000000" w:themeColor="text1"/>
          <w:sz w:val="22"/>
          <w:szCs w:val="22"/>
        </w:rPr>
        <w:t xml:space="preserve">. </w:t>
      </w:r>
      <w:r w:rsidR="006C1B23" w:rsidRPr="00F34287">
        <w:rPr>
          <w:rFonts w:eastAsiaTheme="minorEastAsia"/>
          <w:color w:val="000000" w:themeColor="text1"/>
          <w:sz w:val="22"/>
          <w:szCs w:val="22"/>
        </w:rPr>
        <w:t>There are</w:t>
      </w:r>
      <w:r w:rsidR="0099622F" w:rsidRPr="00F34287">
        <w:rPr>
          <w:rFonts w:eastAsiaTheme="minorEastAsia"/>
          <w:color w:val="000000" w:themeColor="text1"/>
          <w:sz w:val="22"/>
          <w:szCs w:val="22"/>
        </w:rPr>
        <w:t xml:space="preserve"> limited</w:t>
      </w:r>
      <w:r w:rsidR="0099622F" w:rsidRPr="00F34287">
        <w:rPr>
          <w:color w:val="000000" w:themeColor="text1"/>
          <w:sz w:val="22"/>
          <w:szCs w:val="22"/>
        </w:rPr>
        <w:t xml:space="preserve"> reports of a similar effect size of RHR for all-cause mortality in different age groups</w:t>
      </w:r>
      <w:r w:rsidR="0099622F"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{"citationItems":[{"id":"ITEM-1","itemData":{"DOI":"10.1161/01.hyp.33.1.44","ISSN":"0194-911X","PMID":"9931080","abstract":"-The aim of the present study was to assess the effects of high heart rate on mortality in different subgroups in a French population according to age, gender, and blood pressure levels. We studied 19 386 subjects (12 123 men, 7263 women), aged 40 to 69 years, who had a routine health examination at the Centre d'Investigations Préventives et Cliniques (IPC) between 1974 and 1977. Heart rate (HR) measured by ECG was classified into 4 groups: HR1, &lt;60; HR2, 60 to 80; HR3, 81 to 100; and HR4, &gt;100 bpm. Mortality data were recorded for the period of 1974 through 1994. In both sexes, HR was a significant predictor of noncardiovascular mortality. In men, the relative risk (95% confidence interval) for cardiovascular death after adjustment for age and other risk factors in the HR2, HR3, and HR4 groups was 1.35 (1.01 to 1.80), 1.44 (1.04 to 2.00), and 2.18 (1.37 to 3.47), respectively, when compared with HR1. In women, HR did not influence cardiovascular mortality. The association of HR with cardiovascular mortality in men was (1) related to a strong association with coronary but not cerebrovascular mortality, (2) independent of age and hypertension, and (3) influenced by the level of pulse pressure; in patients with high pulse pressure (&gt;65 mm Hg), accelerated HR was not associated with increased cardiovascular mortality. In conclusion, in a large French population, accelerated resting HR represents an independent predictor of noncardiovascular mortality in both genders, and of cardiovascular mortality in men, independent of age and the presence of hypertension. Further investigations are needed to explain the complex interactions between HR, pulse pressure, and cardiovascular complications.","author":[{"dropping-particle":"","family":"Benetos","given":"A","non-dropping-particle":"","parse-names":false,"suffix":""},{"dropping-particle":"","family":"Rudnichi","given":"A","non-dropping-particle":"","parse-names":false,"suffix":""},{"dropping-particle":"","family":"Thomas","given":"F","non-dropping-particle":"","parse-names":false,"suffix":""},{"dropping-particle":"","family":"Safar","given":"M","non-dropping-particle":"","parse-names":false,"suffix":""},{"dropping-particle":"","family":"Guize","given":"L","non-dropping-particle":"","parse-names":false,"suffix":""}],"container-title":"Hypertension (Dallas, Tex. : 1979)","id":"ITEM-1","issue":"1","issued":{"date-parts":[["1999","1"]]},"page":"44-52","title":"Influence of heart rate on mortality in a French population: role of age, gender, and blood pressure.","type":"article-journal","volume":"33"},"uris":["http://www.mendeley.com/documents/?uuid=2a7e8b17-1e03-3540-932e-b13c20ab9b22"]}],"mendeley":{"formattedCitation":"(10)","plainTextFormattedCitation":"(10)","previouslyFormattedCitation":"(10)"},"properties":{"noteIndex":0},"schema":"https://github.com/citation-style-language/schema/raw/master/csl-citation.json"}</w:instrText>
      </w:r>
      <w:r w:rsidR="0099622F" w:rsidRPr="00F34287">
        <w:rPr>
          <w:color w:val="000000" w:themeColor="text1"/>
          <w:sz w:val="22"/>
          <w:szCs w:val="22"/>
        </w:rPr>
        <w:fldChar w:fldCharType="separate"/>
      </w:r>
      <w:r w:rsidR="003B1439" w:rsidRPr="00F34287">
        <w:rPr>
          <w:noProof/>
          <w:color w:val="000000" w:themeColor="text1"/>
          <w:sz w:val="22"/>
          <w:szCs w:val="22"/>
        </w:rPr>
        <w:t>(10)</w:t>
      </w:r>
      <w:r w:rsidR="0099622F" w:rsidRPr="00F34287">
        <w:rPr>
          <w:color w:val="000000" w:themeColor="text1"/>
          <w:sz w:val="22"/>
          <w:szCs w:val="22"/>
        </w:rPr>
        <w:fldChar w:fldCharType="end"/>
      </w:r>
      <w:r w:rsidR="006C1B23" w:rsidRPr="00F34287">
        <w:rPr>
          <w:color w:val="000000" w:themeColor="text1"/>
          <w:sz w:val="22"/>
          <w:szCs w:val="22"/>
        </w:rPr>
        <w:t xml:space="preserve">, </w:t>
      </w:r>
      <w:r w:rsidR="0099622F" w:rsidRPr="00F34287">
        <w:rPr>
          <w:color w:val="000000" w:themeColor="text1"/>
          <w:sz w:val="22"/>
          <w:szCs w:val="22"/>
        </w:rPr>
        <w:t>one report of a reverse relationship</w:t>
      </w:r>
      <w:r w:rsidR="0099622F" w:rsidRPr="00F34287">
        <w:rPr>
          <w:color w:val="000000" w:themeColor="text1"/>
          <w:sz w:val="22"/>
          <w:szCs w:val="22"/>
        </w:rPr>
        <w:fldChar w:fldCharType="begin" w:fldLock="1"/>
      </w:r>
      <w:r w:rsidR="00D25C92" w:rsidRPr="00F34287">
        <w:rPr>
          <w:color w:val="000000" w:themeColor="text1"/>
          <w:sz w:val="22"/>
          <w:szCs w:val="22"/>
        </w:rPr>
        <w:instrText>ADDIN CSL_CITATION {"citationItems":[{"id":"ITEM-1","itemData":{"DOI":"10.1111/jgs.14714","ISSN":"15325415","abstract":"© 2016, Copyright the Authors Journal compilation © 2016, The American Geriatrics Society Objectives: To examine whether the association between resting heart rate (RHR) and all-cause mortality and cardiovascular events differs according to age. Design: Prospective cohort. Setting: Community in Beijing, China. Participants: Individuals aged 40 and older without cardiovascular disease at baseline (N = 6,209). Measurements: Trained investigators interviewed participants using a standard questionnaire to obtain information on demographic characteristics, medical history and lifestyle risk factors in 1991. RHR was evaluated according to quartiles ( &lt; 72, 72–76, 76–84, ≥84 beats/min). Cox regression models were used to assess the associations between RHR and all-cause mortality and cardiovascular events. Results: During a mean follow-up of 8.3 years, 840 subjects died, and 676 experienced a cardiovascular event. Higher RHR was significantly associated with all-cause mortality (P trend &lt; .001) and cardiovascular events (P trend =.002) in older (≥60) but not younger ( &lt; 60) participants (both P trend &gt; .05). There were significant modifying effects of age on the association between RHR and all-cause mortality (P interaction &lt; .001) and cardiovascular events (P interaction =.002). Similar results were observed after exclusion of individuals who died (n = 100) or had a cardiovascular event (n = 45) during the first 2 years of follow-up. Conclusion: High RHR appears to be an independent determinant of all-cause mortality and cardiovascular events in older but not younger individuals.","author":[{"dropping-particle":"","family":"Li","given":"Kuibao","non-dropping-particle":"","parse-names":false,"suffix":""},{"dropping-particle":"","family":"Yao","given":"Chonghua","non-dropping-particle":"","parse-names":false,"suffix":""},{"dropping-particle":"","family":"Yang","given":"Xinchun","non-dropping-particle":"","parse-names":false,"suffix":""},{"dropping-particle":"","family":"Dong","given":"Lei","non-dropping-particle":"","parse-names":false,"suffix":""}],"container-title":"Journal of the American Geriatrics Society","id":"ITEM-1","issue":"5","issued":{"date-parts":[["2017"]]},"note":"It has been observed in previous studies, that the association between RHR and all-cause mortality and CVD events differs according to age. The precise relationship with age is incompletely understood with contradictory reports in the literature. \n\nThe small samples sizes and consequent small number of observed hard end points (events) reduces confidence in the accuracy in existing studies. \n\nThere are some pertinent questions that have not been answered by existing studies. In particular the relationship of RHR in different age groups is unclear with inconsistencies in the literature. The idea that age modifies the impact of RHR is recognised, however the nature of the relationship has not been properly characterised. \n\nFurther gender differences have not been adequately explored. Men are over-represented in current studies, with several larger studies comprising male-only cohorts. Differential CVD patterns in men and women arerecognised. It is recognised that there are some risk factors that appear unique to women. It is feasible that there are different driving factors in men and women. There is over-representation of men in existing reports. We include large cohort of women and also gender-stratified analysis will allow comparison between men and women. \n\n\nThere are some inconsistencies in the litareture, for instance, Li et al report that high RHR as predictor of all-cause mortality and cardiovascular events in older, but not younger individuals.","page":"989-994","title":"Effect of Resting Heart Rate on All-Cause Mortality and Cardiovascular Events According to Age","type":"article-journal","volume":"65"},"uris":["http://www.mendeley.com/documents/?uuid=8e6bbb67-2ca7-3b88-8a1f-a43f672e7ad4"]}],"mendeley":{"formattedCitation":"(16)","plainTextFormattedCitation":"(16)","previouslyFormattedCitation":"(16)"},"properties":{"noteIndex":0},"schema":"https://github.com/citation-style-language/schema/raw/master/csl-citation.json"}</w:instrText>
      </w:r>
      <w:r w:rsidR="0099622F" w:rsidRPr="00F34287">
        <w:rPr>
          <w:color w:val="000000" w:themeColor="text1"/>
          <w:sz w:val="22"/>
          <w:szCs w:val="22"/>
        </w:rPr>
        <w:fldChar w:fldCharType="separate"/>
      </w:r>
      <w:r w:rsidR="003B1439" w:rsidRPr="00F34287">
        <w:rPr>
          <w:noProof/>
          <w:color w:val="000000" w:themeColor="text1"/>
          <w:sz w:val="22"/>
          <w:szCs w:val="22"/>
        </w:rPr>
        <w:t>(16)</w:t>
      </w:r>
      <w:r w:rsidR="0099622F" w:rsidRPr="00F34287">
        <w:rPr>
          <w:color w:val="000000" w:themeColor="text1"/>
          <w:sz w:val="22"/>
          <w:szCs w:val="22"/>
        </w:rPr>
        <w:fldChar w:fldCharType="end"/>
      </w:r>
      <w:r w:rsidR="0099622F" w:rsidRPr="00F34287">
        <w:rPr>
          <w:color w:val="000000" w:themeColor="text1"/>
          <w:sz w:val="22"/>
          <w:szCs w:val="22"/>
        </w:rPr>
        <w:t xml:space="preserve">, </w:t>
      </w:r>
      <w:r w:rsidR="006C1B23" w:rsidRPr="00F34287">
        <w:rPr>
          <w:color w:val="000000" w:themeColor="text1"/>
          <w:sz w:val="22"/>
          <w:szCs w:val="22"/>
        </w:rPr>
        <w:t xml:space="preserve">and several studies </w:t>
      </w:r>
      <w:r w:rsidR="0099622F" w:rsidRPr="00F34287">
        <w:rPr>
          <w:color w:val="000000" w:themeColor="text1"/>
          <w:sz w:val="22"/>
          <w:szCs w:val="22"/>
        </w:rPr>
        <w:t>suggest</w:t>
      </w:r>
      <w:r w:rsidR="006C1B23" w:rsidRPr="00F34287">
        <w:rPr>
          <w:color w:val="000000" w:themeColor="text1"/>
          <w:sz w:val="22"/>
          <w:szCs w:val="22"/>
        </w:rPr>
        <w:t>ing</w:t>
      </w:r>
      <w:r w:rsidR="0099622F" w:rsidRPr="00F34287">
        <w:rPr>
          <w:color w:val="000000" w:themeColor="text1"/>
          <w:sz w:val="22"/>
          <w:szCs w:val="22"/>
        </w:rPr>
        <w:t xml:space="preserve"> </w:t>
      </w:r>
      <w:r w:rsidR="006C1B23" w:rsidRPr="00F34287">
        <w:rPr>
          <w:color w:val="000000" w:themeColor="text1"/>
          <w:sz w:val="22"/>
          <w:szCs w:val="22"/>
        </w:rPr>
        <w:t>larger effect sizes</w:t>
      </w:r>
      <w:r w:rsidR="0099622F" w:rsidRPr="00F34287">
        <w:rPr>
          <w:color w:val="000000" w:themeColor="text1"/>
          <w:sz w:val="22"/>
          <w:szCs w:val="22"/>
        </w:rPr>
        <w:t xml:space="preserve"> at younger ages</w:t>
      </w:r>
      <w:r w:rsidR="0099622F" w:rsidRPr="00F34287">
        <w:rPr>
          <w:rFonts w:eastAsiaTheme="minorEastAsia"/>
          <w:color w:val="000000" w:themeColor="text1"/>
          <w:sz w:val="22"/>
          <w:szCs w:val="22"/>
        </w:rPr>
        <w:fldChar w:fldCharType="begin" w:fldLock="1"/>
      </w:r>
      <w:r w:rsidR="00D25C92" w:rsidRPr="00F34287">
        <w:rPr>
          <w:rFonts w:eastAsiaTheme="minorEastAsia"/>
          <w:color w:val="000000" w:themeColor="text1"/>
          <w:sz w:val="22"/>
          <w:szCs w:val="22"/>
        </w:rPr>
        <w:instrText>ADDIN CSL_CITATION {"citationItems":[{"id":"ITEM-1","itemData":{"DOI":"10.1177/2047487312452501","ISSN":"20474881","PMID":"22718796","abstract":"Background: Multiple studies have examined the relationship between heart rate and mortality; however, there are discrepancies in results. Our aim was to describe the relationship between resting heart rate (RHR) and both major cardiovascular (CV) outcomes, as well as all-cause mortality in the Asia-Pacific region. Design and methods: Individual data from 112,680 subjects in 12 cohort studies were pooled and analysed using Cox models, stratified by study and sex, and adjusted for age and systolic blood pressure. Results: During a mean 7.4 years follow-up, 6086 deaths and 2726 fatal or nonfatal CVevents were recorded. There was a continuous, increasing association between having a RHR above approximately 65 beats/min and the risk of both CV and all-cause mortality, yet there was no evidence of associations below this threshold. The hazard ratio (95% CI) comparing the extreme quarters of RHR (80 v &lt;65 beats/min) was 1.44 (1.291.60) for CV and 1.54 (1.431.66) for total mortality. These associations were not materially changed by adjustment for other risk factors and exclusion of the first 2 years of follow-up. Hazard ratios of a similar magnitude were found for ischemic and hemorrhagic stroke, but the hazard ratio for heart failure was higher (2.08, 95% CI 1.074.06) and for Coronary Heart Disease (CHD) was lower (1.11, 95% CI 0.931.31) than for stroke. Conclusions: RHR of above 65 beats/min has a strong independent effect on premature mortality and stroke, but a lesser effect on CHD. Lifestyle and pharmaceutical regimens to reduce RHR may be beneficial for people with moderate to high levels of RHR. © The European Society of Cardiology 2012.","author":[{"dropping-particle":"","family":"Woodward","given":"Mark","non-dropping-particle":"","parse-names":false,"suffix":""},{"dropping-particle":"","family":"Webster","given":"Ruth","non-dropping-particle":"","parse-names":false,"suffix":""},{"dropping-particle":"","family":"Murakami","given":"Yoshitaka","non-dropping-particle":"","parse-names":false,"suffix":""},{"dropping-particle":"","family":"Barzi","given":"Federica","non-dropping-particle":"","parse-names":false,"suffix":""},{"dropping-particle":"","family":"Lam","given":"Tai-Hing Hing","non-dropping-particle":"","parse-names":false,"suffix":""},{"dropping-particle":"","family":"Fang","given":"Xianghua","non-dropping-particle":"","parse-names":false,"suffix":""},{"dropping-particle":"","family":"Suh","given":"Il","non-dropping-particle":"","parse-names":false,"suffix":""},{"dropping-particle":"","family":"Batty","given":"G. David","non-dropping-particle":"","parse-names":false,"suffix":""},{"dropping-particle":"","family":"Huxley","given":"Rachel","non-dropping-particle":"","parse-names":false,"suffix":""},{"dropping-particle":"","family":"Rodgers","given":"Anthony","non-dropping-particle":"","parse-names":false,"suffix":""},{"dropping-particle":"","family":"from the Asia Pacific Cohort Studies Collaboration","given":"","non-dropping-particle":"","parse-names":false,"suffix":""}],"container-title":"European Journal of Preventive Cardiology","id":"ITEM-1","issue":"6","issued":{"date-parts":[["2014","6","20"]]},"note":"From Duplicate 2 (The association between resting heart rate, cardiovascular disease and mortality: Evidence from 112,680 men and women in 12 cohorts - Woodward, Mark; Webster, Ruth; Murakami, Yoshitaka; Barzi, Federica; Lam, Tai Hing; Fang, Xianghua; Suh, Il; Batty, G. David; Huxley, Rachel; Rodgers, Anthony)\n\nThe present study has a number of strengths, includ-\ning its prospective design, its re-assessment of RHR in sub-groups, its large size, its capacity to explore the effect modifications by region and sex","page":"719-726","title":"The association between resting heart rate, cardiovascular disease and mortality: Evidence from 112,680 men and women in 12 cohorts","type":"article-journal","volume":"21"},"uris":["http://www.mendeley.com/documents/?uuid=ba2bc6f7-4510-4eb5-8082-a96ac5df8d17"]},{"id":"ITEM-2","itemData":{"DOI":"10.1016/0002-8703(87)90666-1","ISSN":"0002-8703","PMID":"3591616","abstract":"The relation of resting heart rate on biennial ECG examinations to mortality rates over 30 years of follow-up of the Framingham cohort was examined based on 1876 total deaths and 894 cardiovascular deaths, evolving out of 5070 subjects free of cardiovascular disease at entry into the study. In both sexes, at all ages, all-cause, cardiovascular, and coronary mortality rates increased progressively in relation to antecedent heart rates determined biennially. A more impressive association to cardiovascular disease was observed in men than in women, which was independent of associated cardiovascular risk factors. Case fatality rates following coronary events also increased with antecedent heart rate and the fraction of coronary deaths as sudden death increased strikingly with heart rate in men 35 to 64 years of age. There was also a substantial excess of noncardiovascular deaths at high heart rates, and the proportion of all deaths resulting from cardiovascular disease did not increase with heart rate. The excess cardiovascular deaths with more rapid heart rates were also noted, excluding those with interim overt cardiovascular disease, suggesting an effect independent of preexisting cardiac damage.","author":[{"dropping-particle":"","family":"Kannel","given":"W B","non-dropping-particle":"","parse-names":false,"suffix":""},{"dropping-particle":"","family":"Kannel","given":"C","non-dropping-particle":"","parse-names":false,"suffix":""},{"dropping-particle":"","family":"Paffenbarger Jr","given":"R S","non-dropping-particle":"","parse-names":false,"suffix":""}],"container-title":"American heart journal","id":"ITEM-2","issue":"6","issued":{"date-parts":[["1987","6"]]},"page":"1489-94","title":"Heart rate and cardiovascular mortality: The Framingham study","type":"article-journal","volume":"113"},"uris":["http://www.mendeley.com/documents/?uuid=0d0a51c6-6899-3d29-8f2b-e9229fe13903"]}],"mendeley":{"formattedCitation":"(17,18)","plainTextFormattedCitation":"(17,18)","previouslyFormattedCitation":"(17,18)"},"properties":{"noteIndex":0},"schema":"https://github.com/citation-style-language/schema/raw/master/csl-citation.json"}</w:instrText>
      </w:r>
      <w:r w:rsidR="0099622F" w:rsidRPr="00F34287">
        <w:rPr>
          <w:rFonts w:eastAsiaTheme="minorEastAsia"/>
          <w:color w:val="000000" w:themeColor="text1"/>
          <w:sz w:val="22"/>
          <w:szCs w:val="22"/>
        </w:rPr>
        <w:fldChar w:fldCharType="separate"/>
      </w:r>
      <w:r w:rsidR="003B1439" w:rsidRPr="00F34287">
        <w:rPr>
          <w:rFonts w:eastAsiaTheme="minorEastAsia"/>
          <w:noProof/>
          <w:color w:val="000000" w:themeColor="text1"/>
          <w:sz w:val="22"/>
          <w:szCs w:val="22"/>
        </w:rPr>
        <w:t>(17,18)</w:t>
      </w:r>
      <w:r w:rsidR="0099622F" w:rsidRPr="00F34287">
        <w:rPr>
          <w:rFonts w:eastAsiaTheme="minorEastAsia"/>
          <w:color w:val="000000" w:themeColor="text1"/>
          <w:sz w:val="22"/>
          <w:szCs w:val="22"/>
        </w:rPr>
        <w:fldChar w:fldCharType="end"/>
      </w:r>
      <w:r w:rsidR="0099622F" w:rsidRPr="00F34287">
        <w:rPr>
          <w:rFonts w:eastAsiaTheme="minorEastAsia"/>
          <w:color w:val="000000" w:themeColor="text1"/>
          <w:sz w:val="22"/>
          <w:szCs w:val="22"/>
        </w:rPr>
        <w:t xml:space="preserve">. Our findings, in a much larger cohort, support this latter interaction. </w:t>
      </w:r>
      <w:r w:rsidR="00183165" w:rsidRPr="00F34287">
        <w:rPr>
          <w:color w:val="000000" w:themeColor="text1"/>
          <w:sz w:val="22"/>
          <w:szCs w:val="22"/>
          <w:shd w:val="clear" w:color="auto" w:fill="FFFFFF"/>
        </w:rPr>
        <w:t xml:space="preserve">However, interestingly, this age-RHR interaction was much less clear for CVD, IHD or AMI </w:t>
      </w:r>
      <w:r w:rsidR="006C1B23" w:rsidRPr="00F34287">
        <w:rPr>
          <w:color w:val="000000" w:themeColor="text1"/>
          <w:sz w:val="22"/>
          <w:szCs w:val="22"/>
          <w:shd w:val="clear" w:color="auto" w:fill="FFFFFF"/>
        </w:rPr>
        <w:t>mortality</w:t>
      </w:r>
      <w:r w:rsidR="00183165" w:rsidRPr="00F34287">
        <w:rPr>
          <w:color w:val="000000" w:themeColor="text1"/>
          <w:sz w:val="22"/>
          <w:szCs w:val="22"/>
          <w:shd w:val="clear" w:color="auto" w:fill="FFFFFF"/>
        </w:rPr>
        <w:t>, with the effect size greatest in the middle age band, rather than a linear decrease in effect size with age.  Given the convincing interaction between RHR and age on inciden</w:t>
      </w:r>
      <w:r w:rsidR="008D094A" w:rsidRPr="00F34287">
        <w:rPr>
          <w:color w:val="000000" w:themeColor="text1"/>
          <w:sz w:val="22"/>
          <w:szCs w:val="22"/>
          <w:shd w:val="clear" w:color="auto" w:fill="FFFFFF"/>
        </w:rPr>
        <w:t>t</w:t>
      </w:r>
      <w:r w:rsidR="00183165" w:rsidRPr="00F34287">
        <w:rPr>
          <w:color w:val="000000" w:themeColor="text1"/>
          <w:sz w:val="22"/>
          <w:szCs w:val="22"/>
          <w:shd w:val="clear" w:color="auto" w:fill="FFFFFF"/>
        </w:rPr>
        <w:t xml:space="preserve"> AMI, which appeared to be of greater relative magnitude tha</w:t>
      </w:r>
      <w:r w:rsidR="002259C6" w:rsidRPr="00F34287">
        <w:rPr>
          <w:color w:val="000000" w:themeColor="text1"/>
          <w:sz w:val="22"/>
          <w:szCs w:val="22"/>
          <w:shd w:val="clear" w:color="auto" w:fill="FFFFFF"/>
        </w:rPr>
        <w:t>n</w:t>
      </w:r>
      <w:r w:rsidR="00183165" w:rsidRPr="00F34287">
        <w:rPr>
          <w:color w:val="000000" w:themeColor="text1"/>
          <w:sz w:val="22"/>
          <w:szCs w:val="22"/>
          <w:shd w:val="clear" w:color="auto" w:fill="FFFFFF"/>
        </w:rPr>
        <w:t xml:space="preserve"> those for all-cause mortality or cancer </w:t>
      </w:r>
      <w:r w:rsidR="008D094A" w:rsidRPr="00F34287">
        <w:rPr>
          <w:color w:val="000000" w:themeColor="text1"/>
          <w:sz w:val="22"/>
          <w:szCs w:val="22"/>
          <w:shd w:val="clear" w:color="auto" w:fill="FFFFFF"/>
        </w:rPr>
        <w:t>mortality</w:t>
      </w:r>
      <w:r w:rsidR="00183165" w:rsidRPr="00F34287">
        <w:rPr>
          <w:color w:val="000000" w:themeColor="text1"/>
          <w:sz w:val="22"/>
          <w:szCs w:val="22"/>
          <w:shd w:val="clear" w:color="auto" w:fill="FFFFFF"/>
        </w:rPr>
        <w:t>, we hypothesi</w:t>
      </w:r>
      <w:r w:rsidR="002259C6" w:rsidRPr="00F34287">
        <w:rPr>
          <w:color w:val="000000" w:themeColor="text1"/>
          <w:sz w:val="22"/>
          <w:szCs w:val="22"/>
          <w:shd w:val="clear" w:color="auto" w:fill="FFFFFF"/>
        </w:rPr>
        <w:t>s</w:t>
      </w:r>
      <w:r w:rsidR="00183165" w:rsidRPr="00F34287">
        <w:rPr>
          <w:color w:val="000000" w:themeColor="text1"/>
          <w:sz w:val="22"/>
          <w:szCs w:val="22"/>
          <w:shd w:val="clear" w:color="auto" w:fill="FFFFFF"/>
        </w:rPr>
        <w:t xml:space="preserve">e that age may influence the relationship between RHR and the occurrence of AMI, but once an AMI has occurred, the subsequent risk of death is less dependent on, or differently influenced by, prior RHR. The former suggestion seems an intuitively reasonable supposition from the clinical point of view, but will of course require further exploration, as will the possibility of a differential interaction between RHR and age on </w:t>
      </w:r>
      <w:r w:rsidR="006743F1" w:rsidRPr="00F34287">
        <w:rPr>
          <w:color w:val="000000" w:themeColor="text1"/>
          <w:sz w:val="22"/>
          <w:szCs w:val="22"/>
          <w:shd w:val="clear" w:color="auto" w:fill="FFFFFF"/>
        </w:rPr>
        <w:t xml:space="preserve">incident </w:t>
      </w:r>
      <w:r w:rsidR="00183165" w:rsidRPr="00F34287">
        <w:rPr>
          <w:color w:val="000000" w:themeColor="text1"/>
          <w:sz w:val="22"/>
          <w:szCs w:val="22"/>
          <w:shd w:val="clear" w:color="auto" w:fill="FFFFFF"/>
        </w:rPr>
        <w:t xml:space="preserve">AMI vs </w:t>
      </w:r>
      <w:r w:rsidR="006743F1" w:rsidRPr="00F34287">
        <w:rPr>
          <w:color w:val="000000" w:themeColor="text1"/>
          <w:sz w:val="22"/>
          <w:szCs w:val="22"/>
          <w:shd w:val="clear" w:color="auto" w:fill="FFFFFF"/>
        </w:rPr>
        <w:t xml:space="preserve">fatal </w:t>
      </w:r>
      <w:r w:rsidR="00183165" w:rsidRPr="00F34287">
        <w:rPr>
          <w:color w:val="000000" w:themeColor="text1"/>
          <w:sz w:val="22"/>
          <w:szCs w:val="22"/>
          <w:shd w:val="clear" w:color="auto" w:fill="FFFFFF"/>
        </w:rPr>
        <w:t>AMI</w:t>
      </w:r>
      <w:r w:rsidR="006C1B23" w:rsidRPr="00F34287">
        <w:rPr>
          <w:color w:val="000000" w:themeColor="text1"/>
          <w:sz w:val="22"/>
          <w:szCs w:val="22"/>
          <w:shd w:val="clear" w:color="auto" w:fill="FFFFFF"/>
        </w:rPr>
        <w:t>.</w:t>
      </w:r>
    </w:p>
    <w:p w14:paraId="2146E5B3" w14:textId="3DA95EC4" w:rsidR="00F305A4" w:rsidRPr="00F34287" w:rsidRDefault="00F305A4" w:rsidP="00BA3555">
      <w:pPr>
        <w:spacing w:after="120" w:line="480" w:lineRule="auto"/>
        <w:rPr>
          <w:color w:val="000000" w:themeColor="text1"/>
          <w:sz w:val="22"/>
          <w:szCs w:val="22"/>
        </w:rPr>
      </w:pPr>
    </w:p>
    <w:p w14:paraId="37954BE7" w14:textId="74F324F3" w:rsidR="00F305A4" w:rsidRPr="00F34287" w:rsidRDefault="006822A7" w:rsidP="00BA3555">
      <w:pPr>
        <w:spacing w:after="120" w:line="480" w:lineRule="auto"/>
        <w:rPr>
          <w:b/>
          <w:bCs/>
          <w:color w:val="000000" w:themeColor="text1"/>
          <w:sz w:val="32"/>
          <w:szCs w:val="32"/>
        </w:rPr>
      </w:pPr>
      <w:r w:rsidRPr="00F34287">
        <w:rPr>
          <w:b/>
          <w:bCs/>
          <w:color w:val="000000" w:themeColor="text1"/>
          <w:sz w:val="32"/>
          <w:szCs w:val="32"/>
        </w:rPr>
        <w:t>Possible aetiological pathways</w:t>
      </w:r>
      <w:r w:rsidR="00C005F7" w:rsidRPr="00F34287">
        <w:rPr>
          <w:b/>
          <w:bCs/>
          <w:color w:val="000000" w:themeColor="text1"/>
          <w:sz w:val="32"/>
          <w:szCs w:val="32"/>
        </w:rPr>
        <w:t xml:space="preserve"> for the association of RHR and CVD</w:t>
      </w:r>
    </w:p>
    <w:p w14:paraId="4AE26E0B" w14:textId="06736FF3" w:rsidR="00DF2FAB" w:rsidRPr="00F34287" w:rsidRDefault="00DF2FAB" w:rsidP="00DF2FAB">
      <w:pPr>
        <w:spacing w:after="120" w:line="480" w:lineRule="auto"/>
        <w:rPr>
          <w:color w:val="000000" w:themeColor="text1"/>
        </w:rPr>
      </w:pPr>
      <w:r w:rsidRPr="00F34287">
        <w:rPr>
          <w:color w:val="000000" w:themeColor="text1"/>
        </w:rPr>
        <w:t xml:space="preserve">The scientific literature on mechanisms by which RHR may increase CVD mortality is limited, however several potential explanations may be considered (Figure 1). Firstly, a faster RHR is likely to have adverse haemodynamic consequences leading to increased vascular shear stress, myocardial mechanical load, and tensile stress </w:t>
      </w:r>
      <w:r w:rsidRPr="00F34287">
        <w:rPr>
          <w:color w:val="000000" w:themeColor="text1"/>
        </w:rPr>
        <w:fldChar w:fldCharType="begin" w:fldLock="1"/>
      </w:r>
      <w:r w:rsidRPr="00F34287">
        <w:rPr>
          <w:color w:val="000000" w:themeColor="text1"/>
        </w:rPr>
        <w:instrText>ADDIN CSL_CITATION {"citationItems":[{"id":"ITEM-1","itemData":{"DOI":"10.1016/j.pcad.2009.05.005","PMID":"19615493","abstract":"Heart rate is a major determinant of myocardial oxygen consumption and of cardiac work, and thus reduction of heart rate may represent an important strategy for the treatment of patients with a wide range of cardiac disorders. In addition, several experimental lines of research point to high heart rate as an important risk factor for atherosclerosis and, thus, pharmacologic heart rate reduction could prevent or retard the development of atherosclerotic plaques and increase survival. Today, in patients with acute or chronic coronary syndromes or with congestive heart failure, reducing heart rate is a generally accepted treatment modality. Up to now, no human study has been performed to demonstrate the efficacy and the risk-benefit ratio of cardiac slowing in patients without cardiac disorders. However, recent retrospective analyses of the INternational VErapamil-SR/trandolapril STudy and the Paris Prospective Study 1 provided promising results. Treatment of high heart rate in healthy subjects appears to be premature, but in clinical conditions such as hypertension or diabetes, the reduction of elevated heart rate appears a desirable additional goal of therapy.","author":[{"dropping-particle":"","family":"Palatini","given":"Paolo","non-dropping-particle":"","parse-names":false,"suffix":""}],"container-title":"Progress in Cardiovascular Diseases","id":"ITEM-1","issue":"1","issued":{"date-parts":[["2009","7","1"]]},"page":"46-60","publisher":"W.B. Saunders","title":"Elevated Heart Rate in Cardiovascular Diseases: A Target for Treatment?","type":"article-journal","volume":"52"},"uris":["http://www.mendeley.com/documents/?uuid=e03358a6-3ed0-4e0d-85e1-8d3842c44210"]},{"id":"ITEM-2","itemData":{"DOI":"10.1016/J.JACC.2007.04.079","ISSN":"0735-1097","abstract":"The importance of resting heart rate (HR) as a prognostic factor and potential therapeutic target is not yet generally accepted. Recent large epidemiologic studies have confirmed earlier studies that showed resting HR to be an independent predictor of cardiovascular and all-cause mortality in men and women with and without diagnosed cardiovascular disease. Clinical trial data suggest that HR reduction itself is an important mechanism of benefit of beta-blockers and other heart-rate lowering drugs used after acute myocardial infarction, in chronic heart failure, and in stable angina pectoris. Pathophysiological studies indicate that a relatively high HR has direct detrimental effects on the progression of coronary atherosclerosis, on the occurrence of myocardial ischemia and ventricular arrhythmias, and on left ventricular function. Studies have found a continuous increase in risk with HR above 60 beats/min. Although it may be difficult to define an optimal HR for a given individual, it seems desirable to maintain resting HR substantially below the traditionally defined tachycardia threshold of 90 or 100 beats/min. These findings suggest that the potential role of HR and its modulation should be considered in future cardiovascular guidance documents.","author":[{"dropping-particle":"","family":"Fox","given":"Kim","non-dropping-particle":"","parse-names":false,"suffix":""},{"dropping-particle":"","family":"Borer","given":"Jeffrey S.","non-dropping-particle":"","parse-names":false,"suffix":""},{"dropping-particle":"","family":"Camm","given":"A. John","non-dropping-particle":"","parse-names":false,"suffix":""},{"dropping-particle":"","family":"Danchin","given":"Nicolas","non-dropping-particle":"","parse-names":false,"suffix":""},{"dropping-particle":"","family":"Ferrari","given":"Roberto","non-dropping-particle":"","parse-names":false,"suffix":""},{"dropping-particle":"","family":"Lopez Sendon","given":"Jose L.","non-dropping-particle":"","parse-names":false,"suffix":""},{"dropping-particle":"","family":"Steg","given":"Philippe Gabriel","non-dropping-particle":"","parse-names":false,"suffix":""},{"dropping-particle":"","family":"Tardif","given":"Jean-Claude","non-dropping-particle":"","parse-names":false,"suffix":""},{"dropping-particle":"","family":"Tavazzi","given":"Luigi","non-dropping-particle":"","parse-names":false,"suffix":""},{"dropping-particle":"","family":"Tendera","given":"Michal","non-dropping-particle":"","parse-names":false,"suffix":""}],"container-title":"Journal of the American College of Cardiology","id":"ITEM-2","issue":"9","issued":{"date-parts":[["2007","8","28"]]},"page":"823-830","publisher":"Elsevier","title":"Resting Heart Rate in Cardiovascular Disease","type":"article-journal","volume":"50"},"uris":["http://www.mendeley.com/documents/?uuid=da4b6dc1-491c-3b85-97c2-29a4b639b558"]}],"mendeley":{"formattedCitation":"(28,29)","plainTextFormattedCitation":"(28,29)","previouslyFormattedCitation":"(28,29)"},"properties":{"noteIndex":0},"schema":"https://github.com/citation-style-language/schema/raw/master/csl-citation.json"}</w:instrText>
      </w:r>
      <w:r w:rsidRPr="00F34287">
        <w:rPr>
          <w:color w:val="000000" w:themeColor="text1"/>
        </w:rPr>
        <w:fldChar w:fldCharType="separate"/>
      </w:r>
      <w:r w:rsidRPr="00F34287">
        <w:rPr>
          <w:noProof/>
          <w:color w:val="000000" w:themeColor="text1"/>
        </w:rPr>
        <w:t>(28,29)</w:t>
      </w:r>
      <w:r w:rsidRPr="00F34287">
        <w:rPr>
          <w:color w:val="000000" w:themeColor="text1"/>
        </w:rPr>
        <w:fldChar w:fldCharType="end"/>
      </w:r>
      <w:r w:rsidRPr="00F34287">
        <w:rPr>
          <w:color w:val="000000" w:themeColor="text1"/>
        </w:rPr>
        <w:t>. Together, these haemodynamic alterations promote adverse vascular and myocardial remodelling, thereby increasing the likelihood of endothelial injury, development of atherosclerotic disease, and heart failure syndromes. There are several possibilities regarding the underlying cause of a faster RHR. Some individuals may have an intrinsically faster RHR due to differences in autonomic nervous system balance, specifically, increased sympathetic tone</w:t>
      </w:r>
      <w:r w:rsidRPr="00F34287">
        <w:rPr>
          <w:color w:val="000000" w:themeColor="text1"/>
        </w:rPr>
        <w:fldChar w:fldCharType="begin" w:fldLock="1"/>
      </w:r>
      <w:r w:rsidRPr="00F34287">
        <w:rPr>
          <w:color w:val="000000" w:themeColor="text1"/>
        </w:rPr>
        <w:instrText>ADDIN CSL_CITATION {"citationItems":[{"id":"ITEM-1","itemData":{"DOI":"10.1007/s11906-013-0342-7","ISSN":"15226417","abstract":"Resting heart rate is a well recognized marker of autonomic nervous system tone, and in many population studies has been found to be a significant correlate of blood pressure, increased body mass index, and metabolic disturbances. This association is particularly striking in patients with hypertension or diabetes, and cardiovascular morbidity related to high heart rate in these conditions seems to depend mainly on the clustering of these risk factors. The prospective relationship between tachycardia and metabolic abnormalities found in longitudinal studies indicates that the adrenergic overdrive is the cause rather than the consequence of the insulin resistance state. Findings from observational studies and clinical trials have shown that heart rate measured during the follow-up provides prognostic information over and above heart rate measured at baseline, whereas the predictive value of heart rate measured out of the office is still debated. Antihypertensive drugs that decrease blood pressure and heart rate through a reduction of the sympathetic outflow may be more beneficial in clinical situations characterized by heightened sympathetic activity associated to insulin resistance.","author":[{"dropping-particle":"","family":"Palatini","given":"Paolo","non-dropping-particle":"","parse-names":false,"suffix":""}],"container-title":"Current Hypertension Reports","id":"ITEM-1","issue":"3","issued":{"date-parts":[["2013"]]},"page":"253-259","title":"Heart rate and the cardiometabolic risk","type":"article-journal","volume":"15"},"uris":["http://www.mendeley.com/documents/?uuid=ce091970-592d-3424-b6e9-70820d99448d"]}],"mendeley":{"formattedCitation":"(30)","plainTextFormattedCitation":"(30)"},"properties":{"noteIndex":0},"schema":"https://github.com/citation-style-language/schema/raw/master/csl-citation.json"}</w:instrText>
      </w:r>
      <w:r w:rsidRPr="00F34287">
        <w:rPr>
          <w:color w:val="000000" w:themeColor="text1"/>
        </w:rPr>
        <w:fldChar w:fldCharType="separate"/>
      </w:r>
      <w:r w:rsidRPr="00F34287">
        <w:rPr>
          <w:noProof/>
          <w:color w:val="000000" w:themeColor="text1"/>
        </w:rPr>
        <w:t>(30)</w:t>
      </w:r>
      <w:r w:rsidRPr="00F34287">
        <w:rPr>
          <w:color w:val="000000" w:themeColor="text1"/>
        </w:rPr>
        <w:fldChar w:fldCharType="end"/>
      </w:r>
      <w:r w:rsidRPr="00F34287">
        <w:rPr>
          <w:color w:val="000000" w:themeColor="text1"/>
        </w:rPr>
        <w:t xml:space="preserve">. In such cases, faster RHR would act as the proponent of increased cardiovascular risk mediated by the associated adverse haemodynamic effects. Alternatively, elevated RHR may be downstream of some underlying biological process. There are multitudes of possible driving processes, such as, inflammatory cascades, corticosteroid levels, and sex hormone levels. These biological processes may have mechanistic roles in the genesis of CVD, perhaps initiating endothelial injury and atherogenesis or causing direct cardiotoxicity </w:t>
      </w:r>
      <w:r w:rsidRPr="00F34287">
        <w:rPr>
          <w:color w:val="000000" w:themeColor="text1"/>
        </w:rPr>
        <w:fldChar w:fldCharType="begin" w:fldLock="1"/>
      </w:r>
      <w:r w:rsidRPr="00F34287">
        <w:rPr>
          <w:color w:val="000000" w:themeColor="text1"/>
        </w:rPr>
        <w:instrText>ADDIN CSL_CITATION {"citationItems":[{"id":"ITEM-1","itemData":{"DOI":"10.1007/s11906-013-0342-7","ISSN":"15226417","abstract":"Resting heart rate is a well recognized marker of autonomic nervous system tone, and in many population studies has been found to be a significant correlate of blood pressure, increased body mass index, and metabolic disturbances. This association is particularly striking in patients with hypertension or diabetes, and cardiovascular morbidity related to high heart rate in these conditions seems to depend mainly on the clustering of these risk factors. The prospective relationship between tachycardia and metabolic abnormalities found in longitudinal studies indicates that the adrenergic overdrive is the cause rather than the consequence of the insulin resistance state. Findings from observational studies and clinical trials have shown that heart rate measured during the follow-up provides prognostic information over and above heart rate measured at baseline, whereas the predictive value of heart rate measured out of the office is still debated. Antihypertensive drugs that decrease blood pressure and heart rate through a reduction of the sympathetic outflow may be more beneficial in clinical situations characterized by heightened sympathetic activity associated to insulin resistance.","author":[{"dropping-particle":"","family":"Palatini","given":"Paolo","non-dropping-particle":"","parse-names":false,"suffix":""}],"container-title":"Current Hypertension Reports","id":"ITEM-1","issue":"3","issued":{"date-parts":[["2013"]]},"page":"253-259","title":"Heart rate and the cardiometabolic risk","type":"article-journal","volume":"15"},"uris":["http://www.mendeley.com/documents/?uuid=ce091970-592d-3424-b6e9-70820d99448d"]},{"id":"ITEM-2","itemData":{"DOI":"10.1007/s00392-007-0537-5","ISSN":"1861-0684","PMID":"17593316","abstract":"Heart rate is an independent risk factor for patients with cardiovascular disease, in particular with arterial hypertension, myocardial infarction, coronary artery disease and heart failure. This relation is supported by a large number of animal studies as well as clinical trials which are summarized in this article. These studies demonstrated detrimental effects of increased heart rate on the function and structure of the cardiovascular system. Heart rate can be easily detected during physical examination of the patient and therefore allows a simple conclusion on prognosis and efficiency of therapy.","author":[{"dropping-particle":"","family":"Reil","given":"J.-C.","non-dropping-particle":"","parse-names":false,"suffix":""},{"dropping-particle":"","family":"Böhm","given":"M.","non-dropping-particle":"","parse-names":false,"suffix":""}],"container-title":"Clinical Research in Cardiology","id":"ITEM-2","issue":"9","issued":{"date-parts":[["2007","9","27"]]},"page":"585-592","title":"The role of heart rate in the development of cardiovascular disease","type":"article-journal","volume":"96"},"uris":["http://www.mendeley.com/documents/?uuid=9a3762d4-b341-3e35-8529-751cd3b05d12"]},{"id":"ITEM-3","itemData":{"DOI":"10.1093/eurjhf/hfs195","ISSN":"13889842","author":[{"dropping-particle":"","family":"Nanchen","given":"David","non-dropping-particle":"","parse-names":false,"suffix":""},{"dropping-particle":"","family":"Stott","given":"David J.","non-dropping-particle":"","parse-names":false,"suffix":""},{"dropping-particle":"","family":"Gussekloo","given":"Jacobijn","non-dropping-particle":"","parse-names":false,"suffix":""},{"dropping-particle":"","family":"Mooijaart","given":"Simon P.","non-dropping-particle":"","parse-names":false,"suffix":""},{"dropping-particle":"","family":"Westendorp","given":"Rudi G.J.","non-dropping-particle":"","parse-names":false,"suffix":""},{"dropping-particle":"","family":"Jukema","given":"J. Wouter","non-dropping-particle":"","parse-names":false,"suffix":""},{"dropping-particle":"","family":"Macfarlane","given":"Peter W.","non-dropping-particle":"","parse-names":false,"suffix":""},{"dropping-particle":"","family":"Cornuz","given":"Jacques","non-dropping-particle":"","parse-names":false,"suffix":""},{"dropping-particle":"","family":"Rodondi","given":"Nicolas","non-dropping-particle":"","parse-names":false,"suffix":""},{"dropping-particle":"","family":"Buckley","given":"Brendan M.","non-dropping-particle":"","parse-names":false,"suffix":""},{"dropping-particle":"","family":"Ford","given":"Ian","non-dropping-particle":"","parse-names":false,"suffix":""},{"dropping-particle":"","family":"Sattar","given":"Naveed","non-dropping-particle":"","parse-names":false,"suffix":""},{"dropping-particle":"","family":"Craen","given":"Anton J.M.","non-dropping-particle":"de","parse-names":false,"suffix":""}],"container-title":"European Journal of Heart Failure","id":"ITEM-3","issue":"5","issued":{"date-parts":[["2013","5"]]},"page":"581-588","title":"Resting heart rate and incident heart failure and cardiovascular mortality in older adults: role of inflammation and endothelial dysfunction: the PROSPER study","type":"article-journal","volume":"15"},"uris":["http://www.mendeley.com/documents/?uuid=3c56efbe-74b9-380b-bfdc-9e05b4d48137"]}],"mendeley":{"formattedCitation":"(30–32)","plainTextFormattedCitation":"(30–32)","previouslyFormattedCitation":"(30–32)"},"properties":{"noteIndex":0},"schema":"https://github.com/citation-style-language/schema/raw/master/csl-citation.json"}</w:instrText>
      </w:r>
      <w:r w:rsidRPr="00F34287">
        <w:rPr>
          <w:color w:val="000000" w:themeColor="text1"/>
        </w:rPr>
        <w:fldChar w:fldCharType="separate"/>
      </w:r>
      <w:r w:rsidRPr="00F34287">
        <w:rPr>
          <w:noProof/>
          <w:color w:val="000000" w:themeColor="text1"/>
        </w:rPr>
        <w:t>(30–32)</w:t>
      </w:r>
      <w:r w:rsidRPr="00F34287">
        <w:rPr>
          <w:color w:val="000000" w:themeColor="text1"/>
        </w:rPr>
        <w:fldChar w:fldCharType="end"/>
      </w:r>
      <w:r w:rsidRPr="00F34287">
        <w:rPr>
          <w:color w:val="000000" w:themeColor="text1"/>
        </w:rPr>
        <w:t>. Alternatively, the effect of these systemic processes on CVD may be indirect, mediated solely through the adverse haemodynamic impact of an elevated RHR. It is, of course, also feasible that the elevations in RHR are representative of early subclinical CVD, and the observed relationship with CVD mortality is due to reverse causation.</w:t>
      </w:r>
    </w:p>
    <w:p w14:paraId="1E48749D" w14:textId="77777777" w:rsidR="00CA416D" w:rsidRPr="00F34287" w:rsidRDefault="00CA416D" w:rsidP="00DF2FAB">
      <w:pPr>
        <w:spacing w:after="120" w:line="480" w:lineRule="auto"/>
        <w:rPr>
          <w:color w:val="000000" w:themeColor="text1"/>
        </w:rPr>
      </w:pPr>
    </w:p>
    <w:p w14:paraId="0707E7BB" w14:textId="59FA736A" w:rsidR="007B0107" w:rsidRPr="00F34287" w:rsidRDefault="00DF2FAB" w:rsidP="00BA3555">
      <w:pPr>
        <w:spacing w:after="120" w:line="480" w:lineRule="auto"/>
        <w:rPr>
          <w:color w:val="000000" w:themeColor="text1"/>
        </w:rPr>
      </w:pPr>
      <w:r w:rsidRPr="00F34287">
        <w:rPr>
          <w:color w:val="000000" w:themeColor="text1"/>
        </w:rPr>
        <w:lastRenderedPageBreak/>
        <w:t>Our data supports differential causative disease pathways in men and women, with greater effect from ischaemic cardiac disease in men and non-ischaemic disease in women. With regards the increased hazard of cancer mortality, reverse causation seems a likely explanation. However, it is also possible that elevated RHR is an indicator of biological pathways that predispose or are precursors to subsequent development of cancer.</w:t>
      </w:r>
    </w:p>
    <w:p w14:paraId="5EAB3894" w14:textId="41E27947" w:rsidR="00D20105" w:rsidRPr="00F34287" w:rsidRDefault="006D6C5D" w:rsidP="00BA3555">
      <w:pPr>
        <w:spacing w:after="120" w:line="480" w:lineRule="auto"/>
        <w:rPr>
          <w:b/>
          <w:bCs/>
          <w:color w:val="000000" w:themeColor="text1"/>
          <w:sz w:val="36"/>
          <w:szCs w:val="36"/>
        </w:rPr>
      </w:pPr>
      <w:r w:rsidRPr="00F34287">
        <w:rPr>
          <w:b/>
          <w:bCs/>
          <w:color w:val="000000" w:themeColor="text1"/>
          <w:sz w:val="36"/>
          <w:szCs w:val="36"/>
        </w:rPr>
        <w:t>Strengths and limitations</w:t>
      </w:r>
    </w:p>
    <w:p w14:paraId="69A65C88" w14:textId="7569976A" w:rsidR="00D20105" w:rsidRPr="00F34287" w:rsidRDefault="00D20105" w:rsidP="00BA3555">
      <w:pPr>
        <w:spacing w:after="120" w:line="480" w:lineRule="auto"/>
        <w:rPr>
          <w:color w:val="000000" w:themeColor="text1"/>
          <w:sz w:val="22"/>
          <w:szCs w:val="22"/>
        </w:rPr>
      </w:pPr>
      <w:r w:rsidRPr="00F34287">
        <w:rPr>
          <w:color w:val="000000" w:themeColor="text1"/>
          <w:sz w:val="22"/>
          <w:szCs w:val="22"/>
        </w:rPr>
        <w:t>The strengths of this study include its large sample size, detailed characterisation of participants, standardised RHR measurement, and validated prospective outcome data. However, as this is an observational study, we cannot exclude the possibility of residual confounding or reverse causation.</w:t>
      </w:r>
      <w:r w:rsidR="001C3327" w:rsidRPr="00F34287">
        <w:rPr>
          <w:color w:val="000000" w:themeColor="text1"/>
          <w:sz w:val="22"/>
          <w:szCs w:val="22"/>
        </w:rPr>
        <w:t xml:space="preserve"> We consider heart rate measured at a single time point at the UKB baseline assessment visit. Out-of-office measurements of heart rate may provide a more accurate representation of an individual’s resting heart rate and thus a better measure of the exposure. This approach has not yet been addressed by existing research, presumably due to limitations in obtaining a standardised out-of-office measure of heart rate, and cost and feasibility issues relating to recruitment of a large sample with long follow up. </w:t>
      </w:r>
      <w:r w:rsidR="00613E0C" w:rsidRPr="00F34287">
        <w:rPr>
          <w:color w:val="000000" w:themeColor="text1"/>
          <w:sz w:val="22"/>
          <w:szCs w:val="22"/>
        </w:rPr>
        <w:t>Such studies may become feasible with the increased use of personal monitoring devices such as the Apple Watch</w:t>
      </w:r>
      <w:r w:rsidR="00613E0C" w:rsidRPr="00F34287">
        <w:rPr>
          <w:color w:val="000000" w:themeColor="text1"/>
          <w:sz w:val="22"/>
          <w:szCs w:val="22"/>
          <w:vertAlign w:val="superscript"/>
        </w:rPr>
        <w:sym w:font="Symbol" w:char="F0E2"/>
      </w:r>
      <w:r w:rsidR="00613E0C" w:rsidRPr="00F34287">
        <w:rPr>
          <w:color w:val="000000" w:themeColor="text1"/>
          <w:sz w:val="22"/>
          <w:szCs w:val="22"/>
          <w:vertAlign w:val="superscript"/>
        </w:rPr>
        <w:t xml:space="preserve"> </w:t>
      </w:r>
      <w:r w:rsidR="00613E0C" w:rsidRPr="00F34287">
        <w:rPr>
          <w:color w:val="000000" w:themeColor="text1"/>
          <w:sz w:val="22"/>
          <w:szCs w:val="22"/>
        </w:rPr>
        <w:t>and certainly warrant consideration as an area of future research.</w:t>
      </w:r>
      <w:r w:rsidR="00F37DD0" w:rsidRPr="00F34287">
        <w:rPr>
          <w:color w:val="000000" w:themeColor="text1"/>
          <w:sz w:val="22"/>
          <w:szCs w:val="22"/>
        </w:rPr>
        <w:t xml:space="preserve"> The very large sample in our study is likely to mitigate small variations in the data and although there may be some inaccuracies relating to measurement of the exposure, this is extremely unlikely to have influenced the direction of observed effects or the overall conclusions of the study. </w:t>
      </w:r>
      <w:r w:rsidR="00613E0C" w:rsidRPr="00F34287">
        <w:rPr>
          <w:color w:val="000000" w:themeColor="text1"/>
          <w:sz w:val="22"/>
          <w:szCs w:val="22"/>
        </w:rPr>
        <w:t xml:space="preserve"> </w:t>
      </w:r>
      <w:r w:rsidRPr="00F34287">
        <w:rPr>
          <w:color w:val="000000" w:themeColor="text1"/>
          <w:sz w:val="22"/>
          <w:szCs w:val="22"/>
        </w:rPr>
        <w:t xml:space="preserve">Our cohort had a restricted age range and we cannot exclude the possibility of no relationship at very old, or very young age. </w:t>
      </w:r>
      <w:r w:rsidR="001C3327" w:rsidRPr="00F34287">
        <w:rPr>
          <w:color w:val="000000" w:themeColor="text1"/>
          <w:sz w:val="22"/>
          <w:szCs w:val="22"/>
        </w:rPr>
        <w:t>S</w:t>
      </w:r>
      <w:r w:rsidR="008D56B5" w:rsidRPr="00F34287">
        <w:rPr>
          <w:color w:val="000000" w:themeColor="text1"/>
          <w:sz w:val="22"/>
          <w:szCs w:val="22"/>
        </w:rPr>
        <w:t xml:space="preserve">ome of the covariates, such as medication use, are based on self-report and </w:t>
      </w:r>
      <w:r w:rsidR="001B3B8B" w:rsidRPr="00F34287">
        <w:rPr>
          <w:color w:val="000000" w:themeColor="text1"/>
          <w:sz w:val="22"/>
          <w:szCs w:val="22"/>
        </w:rPr>
        <w:t xml:space="preserve">therefore may be subject to bias. </w:t>
      </w:r>
      <w:r w:rsidR="00BC7A25" w:rsidRPr="00F34287">
        <w:rPr>
          <w:color w:val="000000" w:themeColor="text1"/>
        </w:rPr>
        <w:t>young age. In addition, we cannot comment on ethnic variations, as the UKB cohort comprises a predominantly Caucasian population</w:t>
      </w:r>
    </w:p>
    <w:p w14:paraId="0A8219EA" w14:textId="77777777" w:rsidR="001C3327" w:rsidRPr="00F34287" w:rsidRDefault="001C3327" w:rsidP="00BA3555">
      <w:pPr>
        <w:spacing w:after="120" w:line="480" w:lineRule="auto"/>
        <w:rPr>
          <w:b/>
          <w:bCs/>
          <w:color w:val="000000" w:themeColor="text1"/>
          <w:sz w:val="36"/>
          <w:szCs w:val="36"/>
        </w:rPr>
      </w:pPr>
    </w:p>
    <w:p w14:paraId="46492D0A" w14:textId="2F091547" w:rsidR="00C005F7" w:rsidRPr="00F34287" w:rsidRDefault="006D6C5D" w:rsidP="00BA3555">
      <w:pPr>
        <w:spacing w:after="120" w:line="480" w:lineRule="auto"/>
        <w:rPr>
          <w:b/>
          <w:bCs/>
          <w:color w:val="000000" w:themeColor="text1"/>
          <w:sz w:val="36"/>
          <w:szCs w:val="36"/>
        </w:rPr>
      </w:pPr>
      <w:r w:rsidRPr="00F34287">
        <w:rPr>
          <w:b/>
          <w:bCs/>
          <w:color w:val="000000" w:themeColor="text1"/>
          <w:sz w:val="36"/>
          <w:szCs w:val="36"/>
        </w:rPr>
        <w:lastRenderedPageBreak/>
        <w:t>Conclusion</w:t>
      </w:r>
      <w:r w:rsidR="00710045" w:rsidRPr="00F34287">
        <w:rPr>
          <w:b/>
          <w:bCs/>
          <w:color w:val="000000" w:themeColor="text1"/>
          <w:sz w:val="36"/>
          <w:szCs w:val="36"/>
        </w:rPr>
        <w:t>s</w:t>
      </w:r>
    </w:p>
    <w:p w14:paraId="4AA81FDF" w14:textId="31DDAC35" w:rsidR="00064625" w:rsidRPr="00F34287" w:rsidRDefault="00025546" w:rsidP="00BA3555">
      <w:pPr>
        <w:spacing w:after="120" w:line="480" w:lineRule="auto"/>
        <w:rPr>
          <w:color w:val="000000" w:themeColor="text1"/>
          <w:sz w:val="22"/>
          <w:szCs w:val="22"/>
        </w:rPr>
      </w:pPr>
      <w:r w:rsidRPr="00F34287">
        <w:rPr>
          <w:color w:val="000000" w:themeColor="text1"/>
          <w:sz w:val="22"/>
          <w:szCs w:val="22"/>
        </w:rPr>
        <w:t xml:space="preserve">In this prospective study of 228,594 men and 272,737 women with 7-12 years follow-up and verified outcomes, we confirm RHR as an independent predictor of all-cause and CVD mortality, with differential associations by age, sex, and disease. Effect sizes for all-cause mortality, cancer mortality, and incident AMI were greater at younger ages. In men, ischaemic cardiac outcomes were important drivers of the increased all-cause mortality. In women, non-ischaemic outcomes were more significant. Our findings, in the largest cohort studied internationally to date, support the consideration of RHR assessment in risk stratification algorithms, and inform our understanding of potential underlying mechanisms in the </w:t>
      </w:r>
      <w:proofErr w:type="spellStart"/>
      <w:r w:rsidRPr="00F34287">
        <w:rPr>
          <w:color w:val="000000" w:themeColor="text1"/>
          <w:sz w:val="22"/>
          <w:szCs w:val="22"/>
        </w:rPr>
        <w:t>pathoaetiology</w:t>
      </w:r>
      <w:proofErr w:type="spellEnd"/>
      <w:r w:rsidRPr="00F34287">
        <w:rPr>
          <w:color w:val="000000" w:themeColor="text1"/>
          <w:sz w:val="22"/>
          <w:szCs w:val="22"/>
        </w:rPr>
        <w:t xml:space="preserve"> of cardiovascular disease.</w:t>
      </w:r>
    </w:p>
    <w:p w14:paraId="2388017D" w14:textId="77777777" w:rsidR="00025546" w:rsidRPr="00F34287" w:rsidRDefault="00025546" w:rsidP="00BA3555">
      <w:pPr>
        <w:spacing w:after="120" w:line="480" w:lineRule="auto"/>
        <w:rPr>
          <w:color w:val="000000" w:themeColor="text1"/>
          <w:sz w:val="22"/>
          <w:szCs w:val="22"/>
        </w:rPr>
      </w:pPr>
    </w:p>
    <w:p w14:paraId="7706090C" w14:textId="5F8E981A" w:rsidR="00025546" w:rsidRPr="00F34287" w:rsidRDefault="006D6C5D" w:rsidP="00BA3555">
      <w:pPr>
        <w:spacing w:after="120" w:line="480" w:lineRule="auto"/>
        <w:rPr>
          <w:b/>
          <w:color w:val="000000" w:themeColor="text1"/>
          <w:sz w:val="36"/>
          <w:szCs w:val="36"/>
        </w:rPr>
      </w:pPr>
      <w:r w:rsidRPr="00F34287">
        <w:rPr>
          <w:b/>
          <w:color w:val="000000" w:themeColor="text1"/>
          <w:sz w:val="36"/>
          <w:szCs w:val="36"/>
        </w:rPr>
        <w:t>Author contributions</w:t>
      </w:r>
    </w:p>
    <w:p w14:paraId="3D95FAA2" w14:textId="333A237D" w:rsidR="00025546" w:rsidRPr="00F34287" w:rsidRDefault="00025546" w:rsidP="00BA3555">
      <w:pPr>
        <w:spacing w:after="120" w:line="480" w:lineRule="auto"/>
        <w:rPr>
          <w:color w:val="000000" w:themeColor="text1"/>
          <w:sz w:val="22"/>
          <w:szCs w:val="22"/>
        </w:rPr>
      </w:pPr>
      <w:r w:rsidRPr="00F34287">
        <w:rPr>
          <w:color w:val="000000" w:themeColor="text1"/>
          <w:sz w:val="22"/>
          <w:szCs w:val="22"/>
        </w:rPr>
        <w:t xml:space="preserve">The study was conceived and designed by ZRE, SEP, and NCH. JC performed </w:t>
      </w:r>
      <w:r w:rsidR="00067F1E" w:rsidRPr="00F34287">
        <w:rPr>
          <w:color w:val="000000" w:themeColor="text1"/>
          <w:sz w:val="22"/>
          <w:szCs w:val="22"/>
        </w:rPr>
        <w:t xml:space="preserve">and advised on </w:t>
      </w:r>
      <w:r w:rsidRPr="00F34287">
        <w:rPr>
          <w:color w:val="000000" w:themeColor="text1"/>
          <w:sz w:val="22"/>
          <w:szCs w:val="22"/>
        </w:rPr>
        <w:t xml:space="preserve">the data analysis. ZR, RJ, SEP, and NCH drafted the manuscript. All authors commented on and contributed to critical appraisal of the manuscript. The final version of the manuscript has been approved by all authors. </w:t>
      </w:r>
    </w:p>
    <w:p w14:paraId="77B9C0C7" w14:textId="3DBCFAA2" w:rsidR="00025546" w:rsidRPr="00F34287" w:rsidRDefault="00025546" w:rsidP="00BA3555">
      <w:pPr>
        <w:spacing w:after="120" w:line="480" w:lineRule="auto"/>
        <w:rPr>
          <w:color w:val="000000" w:themeColor="text1"/>
          <w:sz w:val="22"/>
          <w:szCs w:val="22"/>
        </w:rPr>
      </w:pPr>
    </w:p>
    <w:p w14:paraId="4274B093" w14:textId="1BD38F38" w:rsidR="004B4A00" w:rsidRPr="00F34287" w:rsidRDefault="004B4A00" w:rsidP="00BA3555">
      <w:pPr>
        <w:spacing w:line="480" w:lineRule="auto"/>
        <w:rPr>
          <w:color w:val="000000" w:themeColor="text1"/>
          <w:sz w:val="22"/>
          <w:szCs w:val="22"/>
        </w:rPr>
      </w:pPr>
    </w:p>
    <w:p w14:paraId="1E2A0C9F" w14:textId="4E32E8DB" w:rsidR="002216E9" w:rsidRPr="00F34287" w:rsidRDefault="002216E9" w:rsidP="00BA3555">
      <w:pPr>
        <w:spacing w:line="480" w:lineRule="auto"/>
        <w:rPr>
          <w:color w:val="000000" w:themeColor="text1"/>
          <w:sz w:val="22"/>
          <w:szCs w:val="22"/>
        </w:rPr>
      </w:pPr>
    </w:p>
    <w:p w14:paraId="121C0323" w14:textId="57B10691" w:rsidR="002216E9" w:rsidRPr="00F34287" w:rsidRDefault="002216E9" w:rsidP="00BA3555">
      <w:pPr>
        <w:spacing w:line="480" w:lineRule="auto"/>
        <w:rPr>
          <w:color w:val="000000" w:themeColor="text1"/>
          <w:sz w:val="22"/>
          <w:szCs w:val="22"/>
        </w:rPr>
      </w:pPr>
    </w:p>
    <w:p w14:paraId="3D55D300" w14:textId="5AFDDD86" w:rsidR="002216E9" w:rsidRDefault="002216E9" w:rsidP="00BA3555">
      <w:pPr>
        <w:spacing w:line="480" w:lineRule="auto"/>
        <w:rPr>
          <w:color w:val="000000" w:themeColor="text1"/>
          <w:sz w:val="22"/>
          <w:szCs w:val="22"/>
        </w:rPr>
      </w:pPr>
    </w:p>
    <w:p w14:paraId="58283412" w14:textId="331C21D1" w:rsidR="007C0421" w:rsidRDefault="007C0421" w:rsidP="00BA3555">
      <w:pPr>
        <w:spacing w:line="480" w:lineRule="auto"/>
        <w:rPr>
          <w:color w:val="000000" w:themeColor="text1"/>
          <w:sz w:val="22"/>
          <w:szCs w:val="22"/>
        </w:rPr>
      </w:pPr>
    </w:p>
    <w:p w14:paraId="594A23E5" w14:textId="1355D892" w:rsidR="007C0421" w:rsidRDefault="007C0421" w:rsidP="00BA3555">
      <w:pPr>
        <w:spacing w:line="480" w:lineRule="auto"/>
        <w:rPr>
          <w:color w:val="000000" w:themeColor="text1"/>
          <w:sz w:val="22"/>
          <w:szCs w:val="22"/>
        </w:rPr>
      </w:pPr>
    </w:p>
    <w:p w14:paraId="5F621E75" w14:textId="42EB0D95" w:rsidR="007C0421" w:rsidRDefault="007C0421" w:rsidP="00BA3555">
      <w:pPr>
        <w:spacing w:line="480" w:lineRule="auto"/>
        <w:rPr>
          <w:color w:val="000000" w:themeColor="text1"/>
          <w:sz w:val="22"/>
          <w:szCs w:val="22"/>
        </w:rPr>
      </w:pPr>
    </w:p>
    <w:p w14:paraId="4E74EA0A" w14:textId="77777777" w:rsidR="007C0421" w:rsidRPr="00F34287" w:rsidRDefault="007C0421" w:rsidP="00BA3555">
      <w:pPr>
        <w:spacing w:line="480" w:lineRule="auto"/>
        <w:rPr>
          <w:color w:val="000000" w:themeColor="text1"/>
          <w:sz w:val="22"/>
          <w:szCs w:val="22"/>
        </w:rPr>
      </w:pPr>
    </w:p>
    <w:p w14:paraId="68D2F4F6" w14:textId="000C67B9" w:rsidR="002216E9" w:rsidRPr="00F34287" w:rsidRDefault="002216E9" w:rsidP="00BA3555">
      <w:pPr>
        <w:spacing w:line="480" w:lineRule="auto"/>
        <w:rPr>
          <w:color w:val="000000" w:themeColor="text1"/>
          <w:sz w:val="22"/>
          <w:szCs w:val="22"/>
        </w:rPr>
      </w:pPr>
    </w:p>
    <w:p w14:paraId="30576476" w14:textId="6FDC0FF3" w:rsidR="00566799" w:rsidRPr="00F34287" w:rsidRDefault="006D6C5D" w:rsidP="00BA3555">
      <w:pPr>
        <w:spacing w:line="480" w:lineRule="auto"/>
        <w:rPr>
          <w:b/>
          <w:bCs/>
          <w:color w:val="000000" w:themeColor="text1"/>
          <w:sz w:val="36"/>
          <w:szCs w:val="36"/>
        </w:rPr>
      </w:pPr>
      <w:r w:rsidRPr="00F34287">
        <w:rPr>
          <w:b/>
          <w:bCs/>
          <w:color w:val="000000" w:themeColor="text1"/>
          <w:sz w:val="36"/>
          <w:szCs w:val="36"/>
        </w:rPr>
        <w:lastRenderedPageBreak/>
        <w:t xml:space="preserve">References </w:t>
      </w:r>
    </w:p>
    <w:p w14:paraId="7B33C9A6" w14:textId="3B3309E4" w:rsidR="00DF2FAB" w:rsidRPr="00F34287" w:rsidRDefault="00781BDE" w:rsidP="00DF2FAB">
      <w:pPr>
        <w:widowControl w:val="0"/>
        <w:autoSpaceDE w:val="0"/>
        <w:autoSpaceDN w:val="0"/>
        <w:adjustRightInd w:val="0"/>
        <w:spacing w:line="480" w:lineRule="auto"/>
        <w:ind w:left="640" w:hanging="640"/>
        <w:rPr>
          <w:noProof/>
          <w:color w:val="000000" w:themeColor="text1"/>
          <w:sz w:val="22"/>
        </w:rPr>
      </w:pPr>
      <w:r w:rsidRPr="00F34287">
        <w:rPr>
          <w:color w:val="000000" w:themeColor="text1"/>
          <w:sz w:val="22"/>
          <w:szCs w:val="22"/>
        </w:rPr>
        <w:fldChar w:fldCharType="begin" w:fldLock="1"/>
      </w:r>
      <w:r w:rsidRPr="00F34287">
        <w:rPr>
          <w:color w:val="000000" w:themeColor="text1"/>
          <w:sz w:val="22"/>
          <w:szCs w:val="22"/>
        </w:rPr>
        <w:instrText xml:space="preserve">ADDIN Mendeley Bibliography CSL_BIBLIOGRAPHY </w:instrText>
      </w:r>
      <w:r w:rsidRPr="00F34287">
        <w:rPr>
          <w:color w:val="000000" w:themeColor="text1"/>
          <w:sz w:val="22"/>
          <w:szCs w:val="22"/>
        </w:rPr>
        <w:fldChar w:fldCharType="separate"/>
      </w:r>
      <w:r w:rsidR="00DF2FAB" w:rsidRPr="00F34287">
        <w:rPr>
          <w:noProof/>
          <w:color w:val="000000" w:themeColor="text1"/>
          <w:sz w:val="22"/>
        </w:rPr>
        <w:t xml:space="preserve">1. </w:t>
      </w:r>
      <w:r w:rsidR="00DF2FAB" w:rsidRPr="00F34287">
        <w:rPr>
          <w:noProof/>
          <w:color w:val="000000" w:themeColor="text1"/>
          <w:sz w:val="22"/>
        </w:rPr>
        <w:tab/>
        <w:t>Roth GA, Abate D, Hassen Abate K, Abay SM, Abbafati C, Abbasi N, et al. Global, regional, and national age-sex-specific mortality for 282 causes of death in 195 countries and territories, 1980-2017: a systematic analysis for the Global Burden of Disease Study 2017 GBD 2017 Causes of Death Collaborators*. Lancet (London, England) [Internet]. 2018 [cited 2019 Jun 10];392:1736–88. Available from: https://vizhub.health</w:t>
      </w:r>
    </w:p>
    <w:p w14:paraId="0CCBD88C"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 </w:t>
      </w:r>
      <w:r w:rsidRPr="00F34287">
        <w:rPr>
          <w:noProof/>
          <w:color w:val="000000" w:themeColor="text1"/>
          <w:sz w:val="22"/>
        </w:rPr>
        <w:tab/>
        <w:t>Diaz A, Bourassa MG, Guertin M-C, Tardif J-C. Long-term prognostic value of resting heart rate in patients with suspected or proven coronary artery disease. Eur Heart J [Internet]. 2005 May 1 [cited 2019 Jun 10];26(10):967–74. Available from: http://academic.oup.com/eurheartj/article/26/10/967/515017/Longterm-prognostic-value-of-resting-heart-rate-in</w:t>
      </w:r>
    </w:p>
    <w:p w14:paraId="033F346D"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3. </w:t>
      </w:r>
      <w:r w:rsidRPr="00F34287">
        <w:rPr>
          <w:noProof/>
          <w:color w:val="000000" w:themeColor="text1"/>
          <w:sz w:val="22"/>
        </w:rPr>
        <w:tab/>
        <w:t>Custodis F, Roggenbuck U, Lehmann N, Moebus S, Laufs U, Mahabadi A-A, et al. Resting heart rate is an independent predictor of all-cause mortality in the middle aged general population. Clin Res Cardiol [Internet]. 2016 [cited 2019 Jun 8];105:601–12. Available from: https://link.springer.com/content/pdf/10.1007%2Fs00392-015-0956-7.pdf</w:t>
      </w:r>
    </w:p>
    <w:p w14:paraId="2ACAEA9A"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4. </w:t>
      </w:r>
      <w:r w:rsidRPr="00F34287">
        <w:rPr>
          <w:noProof/>
          <w:color w:val="000000" w:themeColor="text1"/>
          <w:sz w:val="22"/>
        </w:rPr>
        <w:tab/>
        <w:t>Sharashova E, Wilsgaard T, Mathiesen EB, Løchen M-L, Njølstad I, Brenn T. Resting heart rate predicts incident myocardial infarction, atrial fibrillation, ischaemic stroke and death in the general population: the Tromsø Study. J Epidemiol Community Health [Internet]. 2016 Sep 1 [cited 2019 Jun 8];70(9):902–9. Available from: http://www.ncbi.nlm.nih.gov/pubmed/26951324</w:t>
      </w:r>
    </w:p>
    <w:p w14:paraId="4596E7D8"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5. </w:t>
      </w:r>
      <w:r w:rsidRPr="00F34287">
        <w:rPr>
          <w:noProof/>
          <w:color w:val="000000" w:themeColor="text1"/>
          <w:sz w:val="22"/>
        </w:rPr>
        <w:tab/>
        <w:t>Zhang D, Shen X, Qi X. Resting heart rate and all-cause and cardiovascular mortality in the general population: a meta-analysis. CMAJ [Internet]. 2016 Feb 16 [cited 2019 Jun 8];188(3):E53–63. Available from: http://www.ncbi.nlm.nih.gov/pubmed/26598376</w:t>
      </w:r>
    </w:p>
    <w:p w14:paraId="49492867"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6. </w:t>
      </w:r>
      <w:r w:rsidRPr="00F34287">
        <w:rPr>
          <w:noProof/>
          <w:color w:val="000000" w:themeColor="text1"/>
          <w:sz w:val="22"/>
        </w:rPr>
        <w:tab/>
        <w:t xml:space="preserve">Aune D, Sen A, ó’Hartaigh B, Janszky I, Romundstad PR, Tonstad S, et al. Resting heart rate and the risk of cardiovascular disease, total cancer, and all-cause mortality – A systematic review and dose–response meta-analysis of prospective studies. Nutr Metab Cardiovasc Dis [Internet]. 2017 Jun 1 [cited 2019 Jun 8];27(6):504–17. Available from: </w:t>
      </w:r>
      <w:r w:rsidRPr="00F34287">
        <w:rPr>
          <w:noProof/>
          <w:color w:val="000000" w:themeColor="text1"/>
          <w:sz w:val="22"/>
        </w:rPr>
        <w:lastRenderedPageBreak/>
        <w:t>https://www.sciencedirect.com/science/article/pii/S0939475317300856</w:t>
      </w:r>
    </w:p>
    <w:p w14:paraId="169FD694"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7. </w:t>
      </w:r>
      <w:r w:rsidRPr="00F34287">
        <w:rPr>
          <w:noProof/>
          <w:color w:val="000000" w:themeColor="text1"/>
          <w:sz w:val="22"/>
        </w:rPr>
        <w:tab/>
        <w:t>Gillum RF, Makuc DM, Feldman JJ. Pulse rate, coronary heart disease, and death: the NHANES I Epidemiologic Follow-up Study. Am Heart J [Internet]. 1991 Jan [cited 2019 Jun 10];121(1 Pt 1):172–7. Available from: http://www.ncbi.nlm.nih.gov/pubmed/1985358</w:t>
      </w:r>
    </w:p>
    <w:p w14:paraId="0CF7B978"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8. </w:t>
      </w:r>
      <w:r w:rsidRPr="00F34287">
        <w:rPr>
          <w:noProof/>
          <w:color w:val="000000" w:themeColor="text1"/>
          <w:sz w:val="22"/>
        </w:rPr>
        <w:tab/>
        <w:t>Goldberg RJ, Larson M, Levy D. Factors Associated With Survival to 75 Years of Age in Middle-aged Men and Women. Arch Intern Med [Internet]. 1996 Mar 11 [cited 2019 Jul 22];156(5):505. Available from: http://archinte.jamanetwork.com/article.aspx?doi=10.1001/archinte.1996.00440050051006</w:t>
      </w:r>
    </w:p>
    <w:p w14:paraId="1692F1EF"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9. </w:t>
      </w:r>
      <w:r w:rsidRPr="00F34287">
        <w:rPr>
          <w:noProof/>
          <w:color w:val="000000" w:themeColor="text1"/>
          <w:sz w:val="22"/>
        </w:rPr>
        <w:tab/>
        <w:t>Greenland P, Daviglus ML, Dyer AR, Liu K, Huang C-F, Goldberger JJ, et al. Resting Heart Rate is a Risk Factor for Cardiovascular and Noncardiovascular Mortality. Am J Epidemiol [Internet]. 1999 [cited 2019 Jul 22];149(9):853–62. Available from: https://pdfs.semanticscholar.org/4096/4317fe595fce3de651f102387152e6578123.pdf</w:t>
      </w:r>
    </w:p>
    <w:p w14:paraId="1E58204A"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10. </w:t>
      </w:r>
      <w:r w:rsidRPr="00F34287">
        <w:rPr>
          <w:noProof/>
          <w:color w:val="000000" w:themeColor="text1"/>
          <w:sz w:val="22"/>
        </w:rPr>
        <w:tab/>
        <w:t>Benetos A, Rudnichi A, Thomas F, Safar M, Guize L. Influence of heart rate on mortality in a French population: role of age, gender, and blood pressure. Hypertens (Dallas, Tex  1979) [Internet]. 1999 Jan [cited 2019 Jun 9];33(1):44–52. Available from: http://www.ncbi.nlm.nih.gov/pubmed/9931080</w:t>
      </w:r>
    </w:p>
    <w:p w14:paraId="35DB6EC8"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11. </w:t>
      </w:r>
      <w:r w:rsidRPr="00F34287">
        <w:rPr>
          <w:noProof/>
          <w:color w:val="000000" w:themeColor="text1"/>
          <w:sz w:val="22"/>
        </w:rPr>
        <w:tab/>
        <w:t>Tverdal A, Hjellvik V, Selmer R. Heart rate and mortality from cardiovascular causes: a 12 year follow-up study of 379 843 men and women aged 40-45 years. Eur Heart J [Internet]. 2008 May 30 [cited 2019 Jun 9];29(22):2772–81. Available from: https://academic.oup.com/eurheartj/article-lookup/doi/10.1093/eurheartj/ehn435</w:t>
      </w:r>
    </w:p>
    <w:p w14:paraId="3E35B577"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12. </w:t>
      </w:r>
      <w:r w:rsidRPr="00F34287">
        <w:rPr>
          <w:noProof/>
          <w:color w:val="000000" w:themeColor="text1"/>
          <w:sz w:val="22"/>
        </w:rPr>
        <w:tab/>
        <w:t xml:space="preserve">Garcia M, Mulvagh SL, Merz CNB, Buring JE, Manson JAE. Cardiovascular disease in women: Clinical perspectives. Circ Res. 2016;118(8):1273–93. </w:t>
      </w:r>
    </w:p>
    <w:p w14:paraId="2D7F62A9"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13. </w:t>
      </w:r>
      <w:r w:rsidRPr="00F34287">
        <w:rPr>
          <w:noProof/>
          <w:color w:val="000000" w:themeColor="text1"/>
          <w:sz w:val="22"/>
        </w:rPr>
        <w:tab/>
        <w:t>Chen X, Barywani SB, Hansson P-O, Östgärd Thunström E, Rosengren A, Ergatoudes C, et al. Impact of changes in heart rate with age on all-cause death and cardiovascular events in 50-year-old men from the general population. Open Hear [Internet]. 2019 Mar 15 [cited 2019 Jun 8];6(1):e000856. Available from: http://openheart.bmj.com/lookup/doi/10.1136/openhrt-2018-000856</w:t>
      </w:r>
    </w:p>
    <w:p w14:paraId="0AF8AB5D"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14. </w:t>
      </w:r>
      <w:r w:rsidRPr="00F34287">
        <w:rPr>
          <w:noProof/>
          <w:color w:val="000000" w:themeColor="text1"/>
          <w:sz w:val="22"/>
        </w:rPr>
        <w:tab/>
        <w:t xml:space="preserve">Jensen MT, Suadicani P, Hein HO, Gyntelberg F. Elevated resting heart rate, physical fitness </w:t>
      </w:r>
      <w:r w:rsidRPr="00F34287">
        <w:rPr>
          <w:noProof/>
          <w:color w:val="000000" w:themeColor="text1"/>
          <w:sz w:val="22"/>
        </w:rPr>
        <w:lastRenderedPageBreak/>
        <w:t>and all-cause mortality: a 16-year follow-up in the Copenhagen Male Study. Heart [Internet]. 2013 Jun 15 [cited 2019 Jun 8];99(12):882–7. Available from: http://www.ncbi.nlm.nih.gov/pubmed/23595657</w:t>
      </w:r>
    </w:p>
    <w:p w14:paraId="00D2CA95"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15. </w:t>
      </w:r>
      <w:r w:rsidRPr="00F34287">
        <w:rPr>
          <w:noProof/>
          <w:color w:val="000000" w:themeColor="text1"/>
          <w:sz w:val="22"/>
        </w:rPr>
        <w:tab/>
        <w:t>Kristal-Boneh E, Silber H, Harari G, Froom P. The association of resting heart rate with cardiovascular, cancer and all-cause mortality. Eight year follow-up of 3527 male Israeli employees (the CORDIS Study). Eur Heart J [Internet]. 2000 [cited 2019 Jun 10];21(2):116–24. Available from: http://www.idealibrary.comon</w:t>
      </w:r>
    </w:p>
    <w:p w14:paraId="31B267A8"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16. </w:t>
      </w:r>
      <w:r w:rsidRPr="00F34287">
        <w:rPr>
          <w:noProof/>
          <w:color w:val="000000" w:themeColor="text1"/>
          <w:sz w:val="22"/>
        </w:rPr>
        <w:tab/>
        <w:t>Li K, Yao C, Yang X, Dong L. Effect of Resting Heart Rate on All-Cause Mortality and Cardiovascular Events According to Age. J Am Geriatr Soc [Internet]. 2017 [cited 2019 Jun 8];65(5):989–94. Available from: https://onlinelibrary.wiley.com/doi/pdf/10.1111/jgs.14714</w:t>
      </w:r>
    </w:p>
    <w:p w14:paraId="243F7459"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17. </w:t>
      </w:r>
      <w:r w:rsidRPr="00F34287">
        <w:rPr>
          <w:noProof/>
          <w:color w:val="000000" w:themeColor="text1"/>
          <w:sz w:val="22"/>
        </w:rPr>
        <w:tab/>
        <w:t>Woodward M, Webster R, Murakami Y, Barzi F, Lam T-HH, Fang X, et al. The association between resting heart rate, cardiovascular disease and mortality: Evidence from 112,680 men and women in 12 cohorts. Eur J Prev Cardiol [Internet]. 2014 Jun 20 [cited 2019 Jun 10];21(6):719–26. Available from: http://www.ncbi.nlm.nih.gov/pubmed/22718796</w:t>
      </w:r>
    </w:p>
    <w:p w14:paraId="315F30EB"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18. </w:t>
      </w:r>
      <w:r w:rsidRPr="00F34287">
        <w:rPr>
          <w:noProof/>
          <w:color w:val="000000" w:themeColor="text1"/>
          <w:sz w:val="22"/>
        </w:rPr>
        <w:tab/>
        <w:t>Kannel WB, Kannel C, Paffenbarger Jr RS. Heart rate and cardiovascular mortality: The Framingham study. Am Heart J [Internet]. 1987 Jun [cited 2019 Jun 10];113(6):1489–94. Available from: http://www.ncbi.nlm.nih.gov/pubmed/3591616</w:t>
      </w:r>
    </w:p>
    <w:p w14:paraId="2BE47A81"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19. </w:t>
      </w:r>
      <w:r w:rsidRPr="00F34287">
        <w:rPr>
          <w:noProof/>
          <w:color w:val="000000" w:themeColor="text1"/>
          <w:sz w:val="22"/>
        </w:rPr>
        <w:tab/>
        <w:t>Littlejohns TJ, Sudlow C, Allen NE, Collins R. UK Biobank: Opportunities for cardiovascular research. Eur Heart J [Internet]. 2019 Apr 7 [cited 2019 Oct 3];40(14):1158–66. Available from: http://www.ncbi.nlm.nih.gov/pubmed/28531320</w:t>
      </w:r>
    </w:p>
    <w:p w14:paraId="773C81DC"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20. </w:t>
      </w:r>
      <w:r w:rsidRPr="00F34287">
        <w:rPr>
          <w:noProof/>
          <w:color w:val="000000" w:themeColor="text1"/>
          <w:sz w:val="22"/>
        </w:rPr>
        <w:tab/>
        <w:t>Raisi-Estabragh Z, Petersen SE. Cardiovascular research highlights from the UK Biobank: opportunities and challenges. Cardiovasc Res [Internet]. 2019 Nov 28 [cited 2019 Dec 13]; Available from: https://academic.oup.com/cardiovascres/advance-article/doi/10.1093/cvr/cvz294/5645361</w:t>
      </w:r>
    </w:p>
    <w:p w14:paraId="674ED90E"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21. </w:t>
      </w:r>
      <w:r w:rsidRPr="00F34287">
        <w:rPr>
          <w:noProof/>
          <w:color w:val="000000" w:themeColor="text1"/>
          <w:sz w:val="22"/>
        </w:rPr>
        <w:tab/>
        <w:t>Craig CL, Marshall AL, Sjöström M, Bauman AE, Booth ML, Ainsworth BE, et al. International physical activity questionnaire: 12-country reliability and validity. Med Sci Sports Exerc [Internet]. 2003 Aug [cited 2019 Oct 16];35(8):1381–95. Available from: http://www.ncbi.nlm.nih.gov/pubmed/12900694</w:t>
      </w:r>
    </w:p>
    <w:p w14:paraId="56E9E78B"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lastRenderedPageBreak/>
        <w:t xml:space="preserve">22. </w:t>
      </w:r>
      <w:r w:rsidRPr="00F34287">
        <w:rPr>
          <w:noProof/>
          <w:color w:val="000000" w:themeColor="text1"/>
          <w:sz w:val="22"/>
        </w:rPr>
        <w:tab/>
        <w:t>UK Biobank Blood Pressure [Internet]. 2011 [cited 2019 Jun 10]. Available from: http://biobank.ndph.ox.ac.uk/showcase/showcase/docs/Bloodpressure.pdf</w:t>
      </w:r>
    </w:p>
    <w:p w14:paraId="6664AA31"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23. </w:t>
      </w:r>
      <w:r w:rsidRPr="00F34287">
        <w:rPr>
          <w:noProof/>
          <w:color w:val="000000" w:themeColor="text1"/>
          <w:sz w:val="22"/>
        </w:rPr>
        <w:tab/>
        <w:t>Schnier C, Bush K, Nolan J, Sudlow C. Definitions of Acute Myocardial Infarction and Main Myocardial Infarction Pathological Types UK Biobank Phase 1 Outcomes Adjudication Documentation prepared by : On behalf of UK Biobank Outcome Adjudication Group Definitions of Acute Myocardial Infarction. 2017;(August). Available from: http://biobank.ndph.ox.ac.uk/showcase/showcase/docs/alg_outcome_mi.pdf</w:t>
      </w:r>
    </w:p>
    <w:p w14:paraId="3EE20CD1"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24. </w:t>
      </w:r>
      <w:r w:rsidRPr="00F34287">
        <w:rPr>
          <w:noProof/>
          <w:color w:val="000000" w:themeColor="text1"/>
          <w:sz w:val="22"/>
        </w:rPr>
        <w:tab/>
        <w:t>Fine JP, Gray RJ. A Proportional Hazards Model for the Subdistribution of a Competing Risk. J Am Stat Assoc [Internet]. 1999 Jun [cited 2019 Jul 22];94(446):496–509. Available from: http://www.tandfonline.com/doi/abs/10.1080/01621459.1999.10474144</w:t>
      </w:r>
    </w:p>
    <w:p w14:paraId="011280CD"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25. </w:t>
      </w:r>
      <w:r w:rsidRPr="00F34287">
        <w:rPr>
          <w:noProof/>
          <w:color w:val="000000" w:themeColor="text1"/>
          <w:sz w:val="22"/>
        </w:rPr>
        <w:tab/>
        <w:t>Hsia J, Larson JC, Ockene JK, Sarto GE, Allison MA, Hendrix SL, et al. Resting heart rate as a low tech predictor of coronary events in women: Prospective cohort study. BMJ [Internet]. 2009 [cited 2019 Jun 9];338(7694):577–9. Available from: http://www.bmj.com/</w:t>
      </w:r>
    </w:p>
    <w:p w14:paraId="3DE3E7E7"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26. </w:t>
      </w:r>
      <w:r w:rsidRPr="00F34287">
        <w:rPr>
          <w:noProof/>
          <w:color w:val="000000" w:themeColor="text1"/>
          <w:sz w:val="22"/>
        </w:rPr>
        <w:tab/>
        <w:t>Cooney MT, Vartiainen E, Laakitainen T, Juolevi A, Dudina A, Graham IM. Elevated resting heart rate is an independent risk factor for cardiovascular disease in healthy men and women. Am Heart J [Internet]. 2010 Apr 1 [cited 2019 Jun 8];159(4):612-619.e3. Available from: https://www.sciencedirect.com/science/article/pii/S0002870310000694?via%3Dihub</w:t>
      </w:r>
    </w:p>
    <w:p w14:paraId="6B4461EE"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27. </w:t>
      </w:r>
      <w:r w:rsidRPr="00F34287">
        <w:rPr>
          <w:noProof/>
          <w:color w:val="000000" w:themeColor="text1"/>
          <w:sz w:val="22"/>
        </w:rPr>
        <w:tab/>
        <w:t>Seviiri M, Lynch BM, Hodge AM, Yang Y, Liew D, English DR, et al. Resting heart rate, temporal changes in resting heart rate, and overall and cause-specific mortality. Heart [Internet]. 2018 Jul 1 [cited 2019 Jul 24];104(13):1076–85. Available from: http://www.ncbi.nlm.nih.gov/pubmed/29269380</w:t>
      </w:r>
    </w:p>
    <w:p w14:paraId="396DEB09"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28. </w:t>
      </w:r>
      <w:r w:rsidRPr="00F34287">
        <w:rPr>
          <w:noProof/>
          <w:color w:val="000000" w:themeColor="text1"/>
          <w:sz w:val="22"/>
        </w:rPr>
        <w:tab/>
        <w:t>Palatini P. Elevated Heart Rate in Cardiovascular Diseases: A Target for Treatment? Prog Cardiovasc Dis [Internet]. 2009 Jul 1 [cited 2019 Jun 8];52(1):46–60. Available from: http://www.ncbi.nlm.nih.gov/pubmed/19615493</w:t>
      </w:r>
    </w:p>
    <w:p w14:paraId="48DE909C"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29. </w:t>
      </w:r>
      <w:r w:rsidRPr="00F34287">
        <w:rPr>
          <w:noProof/>
          <w:color w:val="000000" w:themeColor="text1"/>
          <w:sz w:val="22"/>
        </w:rPr>
        <w:tab/>
        <w:t>Fox K, Borer JS, Camm AJ, Danchin N, Ferrari R, Lopez Sendon JL, et al. Resting Heart Rate in Cardiovascular Disease. J Am Coll Cardiol [Internet]. 2007 Aug 28 [cited 2019 Jun 8];50(9):823–30. Available from: https://www.sciencedirect.com/science/article/pii/S0735109707018232?via%3Dihub</w:t>
      </w:r>
    </w:p>
    <w:p w14:paraId="1D5E906F"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lastRenderedPageBreak/>
        <w:t xml:space="preserve">30. </w:t>
      </w:r>
      <w:r w:rsidRPr="00F34287">
        <w:rPr>
          <w:noProof/>
          <w:color w:val="000000" w:themeColor="text1"/>
          <w:sz w:val="22"/>
        </w:rPr>
        <w:tab/>
        <w:t>Palatini P. Heart rate and the cardiometabolic risk. Curr Hypertens Rep [Internet]. 2013 [cited 2019 Jun 8];15(3):253–9. Available from: https://link.springer.com/content/pdf/10.1007%2Fs11906-013-0342-7.pdf</w:t>
      </w:r>
    </w:p>
    <w:p w14:paraId="4FD7AB0B"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31. </w:t>
      </w:r>
      <w:r w:rsidRPr="00F34287">
        <w:rPr>
          <w:noProof/>
          <w:color w:val="000000" w:themeColor="text1"/>
          <w:sz w:val="22"/>
        </w:rPr>
        <w:tab/>
        <w:t>Reil J-C, Böhm M. The role of heart rate in the development of cardiovascular disease. Clin Res Cardiol [Internet]. 2007 Sep 27 [cited 2019 Jun 10];96(9):585–92. Available from: http://www.ncbi.nlm.nih.gov/pubmed/17593316</w:t>
      </w:r>
    </w:p>
    <w:p w14:paraId="1FC9B218" w14:textId="77777777" w:rsidR="00DF2FAB" w:rsidRPr="00F34287" w:rsidRDefault="00DF2FAB" w:rsidP="00DF2FAB">
      <w:pPr>
        <w:widowControl w:val="0"/>
        <w:autoSpaceDE w:val="0"/>
        <w:autoSpaceDN w:val="0"/>
        <w:adjustRightInd w:val="0"/>
        <w:spacing w:line="480" w:lineRule="auto"/>
        <w:ind w:left="640" w:hanging="640"/>
        <w:rPr>
          <w:noProof/>
          <w:color w:val="000000" w:themeColor="text1"/>
          <w:sz w:val="22"/>
        </w:rPr>
      </w:pPr>
      <w:r w:rsidRPr="00F34287">
        <w:rPr>
          <w:noProof/>
          <w:color w:val="000000" w:themeColor="text1"/>
          <w:sz w:val="22"/>
        </w:rPr>
        <w:t xml:space="preserve">32. </w:t>
      </w:r>
      <w:r w:rsidRPr="00F34287">
        <w:rPr>
          <w:noProof/>
          <w:color w:val="000000" w:themeColor="text1"/>
          <w:sz w:val="22"/>
        </w:rPr>
        <w:tab/>
        <w:t>Nanchen D, Stott DJ, Gussekloo J, Mooijaart SP, Westendorp RGJ, Jukema JW, et al. Resting heart rate and incident heart failure and cardiovascular mortality in older adults: role of inflammation and endothelial dysfunction: the PROSPER study. Eur J Heart Fail [Internet]. 2013 May [cited 2019 Jun 10];15(5):581–8. Available from: http://doi.wiley.com/10.1093/eurjhf/hfs195</w:t>
      </w:r>
    </w:p>
    <w:p w14:paraId="1397C138" w14:textId="17C2082E" w:rsidR="003B1439" w:rsidRPr="00F34287" w:rsidRDefault="00781BDE" w:rsidP="00DF2FAB">
      <w:pPr>
        <w:widowControl w:val="0"/>
        <w:autoSpaceDE w:val="0"/>
        <w:autoSpaceDN w:val="0"/>
        <w:adjustRightInd w:val="0"/>
        <w:spacing w:line="480" w:lineRule="auto"/>
        <w:ind w:left="640" w:hanging="640"/>
        <w:rPr>
          <w:b/>
          <w:bCs/>
          <w:color w:val="000000" w:themeColor="text1"/>
          <w:sz w:val="22"/>
          <w:szCs w:val="22"/>
        </w:rPr>
      </w:pPr>
      <w:r w:rsidRPr="00F34287">
        <w:rPr>
          <w:color w:val="000000" w:themeColor="text1"/>
          <w:sz w:val="22"/>
          <w:szCs w:val="22"/>
        </w:rPr>
        <w:fldChar w:fldCharType="end"/>
      </w:r>
    </w:p>
    <w:p w14:paraId="51371195" w14:textId="66976204" w:rsidR="00C70691" w:rsidRPr="00F34287" w:rsidRDefault="00C70691" w:rsidP="00BA3555">
      <w:pPr>
        <w:spacing w:line="480" w:lineRule="auto"/>
        <w:rPr>
          <w:b/>
          <w:bCs/>
          <w:color w:val="000000" w:themeColor="text1"/>
          <w:sz w:val="36"/>
          <w:szCs w:val="36"/>
        </w:rPr>
      </w:pPr>
      <w:r w:rsidRPr="00F34287">
        <w:rPr>
          <w:b/>
          <w:bCs/>
          <w:color w:val="000000" w:themeColor="text1"/>
          <w:sz w:val="36"/>
          <w:szCs w:val="36"/>
        </w:rPr>
        <w:t>Supporting information</w:t>
      </w:r>
    </w:p>
    <w:p w14:paraId="58982A37" w14:textId="072EBADC" w:rsidR="00C70691" w:rsidRPr="00F34287" w:rsidRDefault="00C70691" w:rsidP="00E0400A">
      <w:pPr>
        <w:spacing w:line="480" w:lineRule="auto"/>
        <w:rPr>
          <w:b/>
          <w:color w:val="000000" w:themeColor="text1"/>
          <w:sz w:val="22"/>
          <w:szCs w:val="22"/>
        </w:rPr>
      </w:pPr>
      <w:r w:rsidRPr="00F34287">
        <w:rPr>
          <w:b/>
          <w:bCs/>
          <w:color w:val="000000" w:themeColor="text1"/>
          <w:sz w:val="22"/>
          <w:szCs w:val="22"/>
        </w:rPr>
        <w:t xml:space="preserve">S1 Table. </w:t>
      </w:r>
      <w:r w:rsidRPr="00F34287">
        <w:rPr>
          <w:b/>
          <w:color w:val="000000" w:themeColor="text1"/>
          <w:sz w:val="22"/>
          <w:szCs w:val="22"/>
        </w:rPr>
        <w:t>Full list of rate-modifying medications identified from self to report and included in the fully adjusted model</w:t>
      </w:r>
    </w:p>
    <w:p w14:paraId="0027D339" w14:textId="37687601" w:rsidR="00E0400A" w:rsidRPr="00F34287" w:rsidRDefault="00E0400A" w:rsidP="00E0400A">
      <w:pPr>
        <w:spacing w:line="480" w:lineRule="auto"/>
        <w:rPr>
          <w:b/>
          <w:bCs/>
          <w:color w:val="000000" w:themeColor="text1"/>
          <w:sz w:val="22"/>
          <w:szCs w:val="22"/>
        </w:rPr>
      </w:pPr>
      <w:r w:rsidRPr="00F34287">
        <w:rPr>
          <w:b/>
          <w:color w:val="000000" w:themeColor="text1"/>
          <w:sz w:val="22"/>
          <w:szCs w:val="22"/>
        </w:rPr>
        <w:t xml:space="preserve">S2 Table. </w:t>
      </w:r>
      <w:r w:rsidRPr="00F34287">
        <w:rPr>
          <w:b/>
          <w:bCs/>
          <w:color w:val="000000" w:themeColor="text1"/>
          <w:sz w:val="22"/>
          <w:szCs w:val="22"/>
        </w:rPr>
        <w:t xml:space="preserve">Baseline participant characteristics by quartile of resting heart rate </w:t>
      </w:r>
    </w:p>
    <w:p w14:paraId="3D83D2D0" w14:textId="0BD223CF" w:rsidR="00E0400A" w:rsidRPr="00F34287" w:rsidRDefault="00E0400A" w:rsidP="00BC7A25">
      <w:pPr>
        <w:spacing w:line="480" w:lineRule="auto"/>
        <w:rPr>
          <w:b/>
          <w:bCs/>
          <w:color w:val="000000" w:themeColor="text1"/>
          <w:sz w:val="22"/>
          <w:szCs w:val="22"/>
          <w:vertAlign w:val="superscript"/>
        </w:rPr>
      </w:pPr>
      <w:r w:rsidRPr="00F34287">
        <w:rPr>
          <w:b/>
          <w:bCs/>
          <w:color w:val="000000" w:themeColor="text1"/>
          <w:sz w:val="22"/>
          <w:szCs w:val="22"/>
        </w:rPr>
        <w:t>S3 Table. Cox proportional hazard models and sub-distribution hazard models for all resting heart rate-outcome relationships (systolic blood pressure as covariate)</w:t>
      </w:r>
      <w:r w:rsidRPr="00F34287">
        <w:rPr>
          <w:b/>
          <w:bCs/>
          <w:color w:val="000000" w:themeColor="text1"/>
          <w:sz w:val="22"/>
          <w:szCs w:val="22"/>
          <w:vertAlign w:val="superscript"/>
        </w:rPr>
        <w:t xml:space="preserve"> †</w:t>
      </w:r>
      <w:r w:rsidRPr="00F34287">
        <w:rPr>
          <w:color w:val="000000" w:themeColor="text1"/>
          <w:sz w:val="22"/>
          <w:szCs w:val="22"/>
        </w:rPr>
        <w:t xml:space="preserve">Results are hazard ratio (95% confidence interval) for all-cause mortality and sub-distribution hazard ratio (95% confidence interval) for all other outcomes per 10 beat per minute increase in resting heart rate. Significance level is p-value &lt;0.0008. Those with prevalent MI have been excluded from analysis of incident AMI and fatal AMI. </w:t>
      </w:r>
      <w:r w:rsidRPr="00F34287">
        <w:rPr>
          <w:bCs/>
          <w:color w:val="000000" w:themeColor="text1"/>
          <w:sz w:val="22"/>
          <w:szCs w:val="22"/>
          <w:vertAlign w:val="superscript"/>
        </w:rPr>
        <w:t>*</w:t>
      </w:r>
      <w:r w:rsidRPr="00F34287">
        <w:rPr>
          <w:bCs/>
          <w:color w:val="000000" w:themeColor="text1"/>
          <w:sz w:val="22"/>
          <w:szCs w:val="22"/>
        </w:rPr>
        <w:t xml:space="preserve"> CVD risk factors </w:t>
      </w:r>
      <w:proofErr w:type="gramStart"/>
      <w:r w:rsidRPr="00F34287">
        <w:rPr>
          <w:bCs/>
          <w:color w:val="000000" w:themeColor="text1"/>
          <w:sz w:val="22"/>
          <w:szCs w:val="22"/>
        </w:rPr>
        <w:t>include:</w:t>
      </w:r>
      <w:proofErr w:type="gramEnd"/>
      <w:r w:rsidRPr="00F34287">
        <w:rPr>
          <w:bCs/>
          <w:color w:val="000000" w:themeColor="text1"/>
          <w:sz w:val="22"/>
          <w:szCs w:val="22"/>
        </w:rPr>
        <w:t xml:space="preserve"> diabetes, systolic blood pressure, hypercholesterolaemia, smoking, BMI, Townsend deprivation index. </w:t>
      </w:r>
      <w:r w:rsidRPr="00F34287">
        <w:rPr>
          <w:bCs/>
          <w:color w:val="000000" w:themeColor="text1"/>
          <w:sz w:val="22"/>
          <w:szCs w:val="22"/>
          <w:vertAlign w:val="superscript"/>
        </w:rPr>
        <w:t>**</w:t>
      </w:r>
      <w:r w:rsidRPr="00F34287">
        <w:rPr>
          <w:bCs/>
          <w:color w:val="000000" w:themeColor="text1"/>
          <w:sz w:val="22"/>
          <w:szCs w:val="22"/>
        </w:rPr>
        <w:t xml:space="preserve">rate modifying medications include: betablockers, non-dihydropyridine calcium channel blockers, oral nitrates, digoxin, flecainide, amiodarone. </w:t>
      </w:r>
      <w:r w:rsidRPr="00F34287">
        <w:rPr>
          <w:color w:val="000000" w:themeColor="text1"/>
          <w:sz w:val="22"/>
          <w:szCs w:val="22"/>
        </w:rPr>
        <w:t>AMI: acute myocardial infarction; BMI: body mass index; CVD: cardiovascular disease; IHD: ischaemic heart disease</w:t>
      </w:r>
    </w:p>
    <w:p w14:paraId="62AB182D" w14:textId="713B4A4D" w:rsidR="00C70691" w:rsidRPr="00F34287" w:rsidRDefault="00C70691" w:rsidP="00E0400A">
      <w:pPr>
        <w:spacing w:line="480" w:lineRule="auto"/>
        <w:rPr>
          <w:color w:val="000000" w:themeColor="text1"/>
          <w:sz w:val="22"/>
          <w:szCs w:val="22"/>
        </w:rPr>
      </w:pPr>
      <w:r w:rsidRPr="00F34287">
        <w:rPr>
          <w:b/>
          <w:color w:val="000000" w:themeColor="text1"/>
          <w:sz w:val="22"/>
          <w:szCs w:val="22"/>
        </w:rPr>
        <w:lastRenderedPageBreak/>
        <w:t>S</w:t>
      </w:r>
      <w:r w:rsidR="00E0400A" w:rsidRPr="00F34287">
        <w:rPr>
          <w:b/>
          <w:color w:val="000000" w:themeColor="text1"/>
          <w:sz w:val="22"/>
          <w:szCs w:val="22"/>
        </w:rPr>
        <w:t>4</w:t>
      </w:r>
      <w:r w:rsidRPr="00F34287">
        <w:rPr>
          <w:b/>
          <w:color w:val="000000" w:themeColor="text1"/>
          <w:sz w:val="22"/>
          <w:szCs w:val="22"/>
        </w:rPr>
        <w:t xml:space="preserve"> Table. </w:t>
      </w:r>
      <w:r w:rsidRPr="00F34287">
        <w:rPr>
          <w:b/>
          <w:bCs/>
          <w:color w:val="000000" w:themeColor="text1"/>
          <w:sz w:val="22"/>
          <w:szCs w:val="22"/>
        </w:rPr>
        <w:t xml:space="preserve">Testing for non-linearity of RHR effect on all outcomes in men and women. </w:t>
      </w:r>
      <w:r w:rsidRPr="00F34287">
        <w:rPr>
          <w:color w:val="000000" w:themeColor="text1"/>
          <w:sz w:val="22"/>
          <w:szCs w:val="22"/>
          <w:vertAlign w:val="superscript"/>
        </w:rPr>
        <w:t>*</w:t>
      </w:r>
      <w:r w:rsidRPr="00F34287">
        <w:rPr>
          <w:color w:val="000000" w:themeColor="text1"/>
          <w:sz w:val="22"/>
          <w:szCs w:val="22"/>
        </w:rPr>
        <w:t xml:space="preserve">Results are from the fully adjusted model, including following covariates: age, </w:t>
      </w:r>
      <w:r w:rsidRPr="00F34287">
        <w:rPr>
          <w:bCs/>
          <w:color w:val="000000" w:themeColor="text1"/>
          <w:sz w:val="22"/>
          <w:szCs w:val="22"/>
        </w:rPr>
        <w:t>diabetes, hypertension, hypercholesterolaemia, smoking, BMI, Townsend deprivation index, and rate modifying medications (betablockers, non-dihydropyridine calcium channel blockers, oral nitrates, digoxin, flecainide, amiodarone). AMI: acute myocardial infarction; CVD: cardiovascular disease; IHD: ischaemic heart disease</w:t>
      </w:r>
    </w:p>
    <w:p w14:paraId="406D505B" w14:textId="127854D6" w:rsidR="00D25C92" w:rsidRDefault="00D25C92" w:rsidP="00BA3555">
      <w:pPr>
        <w:spacing w:line="480" w:lineRule="auto"/>
        <w:rPr>
          <w:color w:val="000000" w:themeColor="text1"/>
          <w:sz w:val="22"/>
          <w:szCs w:val="22"/>
        </w:rPr>
      </w:pPr>
    </w:p>
    <w:p w14:paraId="2D5B476C" w14:textId="171D9819" w:rsidR="007C0421" w:rsidRDefault="007C0421" w:rsidP="00BA3555">
      <w:pPr>
        <w:spacing w:line="480" w:lineRule="auto"/>
        <w:rPr>
          <w:color w:val="000000" w:themeColor="text1"/>
          <w:sz w:val="22"/>
          <w:szCs w:val="22"/>
        </w:rPr>
      </w:pPr>
    </w:p>
    <w:p w14:paraId="6560AB01" w14:textId="23B83093" w:rsidR="007C0421" w:rsidRDefault="007C0421" w:rsidP="00BA3555">
      <w:pPr>
        <w:spacing w:line="480" w:lineRule="auto"/>
        <w:rPr>
          <w:color w:val="000000" w:themeColor="text1"/>
          <w:sz w:val="22"/>
          <w:szCs w:val="22"/>
        </w:rPr>
      </w:pPr>
    </w:p>
    <w:p w14:paraId="6C2C3511" w14:textId="22DD78E1" w:rsidR="007C0421" w:rsidRDefault="007C0421" w:rsidP="00BA3555">
      <w:pPr>
        <w:spacing w:line="480" w:lineRule="auto"/>
        <w:rPr>
          <w:color w:val="000000" w:themeColor="text1"/>
          <w:sz w:val="22"/>
          <w:szCs w:val="22"/>
        </w:rPr>
      </w:pPr>
    </w:p>
    <w:p w14:paraId="25731C3E" w14:textId="1B055D7E" w:rsidR="007C0421" w:rsidRDefault="007C0421" w:rsidP="00BA3555">
      <w:pPr>
        <w:spacing w:line="480" w:lineRule="auto"/>
        <w:rPr>
          <w:color w:val="000000" w:themeColor="text1"/>
          <w:sz w:val="22"/>
          <w:szCs w:val="22"/>
        </w:rPr>
      </w:pPr>
    </w:p>
    <w:p w14:paraId="37E06FDC" w14:textId="22A9A16C" w:rsidR="007C0421" w:rsidRDefault="007C0421" w:rsidP="00BA3555">
      <w:pPr>
        <w:spacing w:line="480" w:lineRule="auto"/>
        <w:rPr>
          <w:color w:val="000000" w:themeColor="text1"/>
          <w:sz w:val="22"/>
          <w:szCs w:val="22"/>
        </w:rPr>
      </w:pPr>
    </w:p>
    <w:p w14:paraId="60A26089" w14:textId="64F35EBF" w:rsidR="007C0421" w:rsidRDefault="007C0421" w:rsidP="00BA3555">
      <w:pPr>
        <w:spacing w:line="480" w:lineRule="auto"/>
        <w:rPr>
          <w:color w:val="000000" w:themeColor="text1"/>
          <w:sz w:val="22"/>
          <w:szCs w:val="22"/>
        </w:rPr>
      </w:pPr>
    </w:p>
    <w:p w14:paraId="6786BEFE" w14:textId="6EB6C61A" w:rsidR="007C0421" w:rsidRDefault="007C0421" w:rsidP="00BA3555">
      <w:pPr>
        <w:spacing w:line="480" w:lineRule="auto"/>
        <w:rPr>
          <w:color w:val="000000" w:themeColor="text1"/>
          <w:sz w:val="22"/>
          <w:szCs w:val="22"/>
        </w:rPr>
      </w:pPr>
    </w:p>
    <w:p w14:paraId="74DAD644" w14:textId="36BCF25A" w:rsidR="007C0421" w:rsidRDefault="007C0421" w:rsidP="00BA3555">
      <w:pPr>
        <w:spacing w:line="480" w:lineRule="auto"/>
        <w:rPr>
          <w:color w:val="000000" w:themeColor="text1"/>
          <w:sz w:val="22"/>
          <w:szCs w:val="22"/>
        </w:rPr>
      </w:pPr>
    </w:p>
    <w:p w14:paraId="09AA360C" w14:textId="658FB8EF" w:rsidR="007C0421" w:rsidRDefault="007C0421" w:rsidP="00BA3555">
      <w:pPr>
        <w:spacing w:line="480" w:lineRule="auto"/>
        <w:rPr>
          <w:color w:val="000000" w:themeColor="text1"/>
          <w:sz w:val="22"/>
          <w:szCs w:val="22"/>
        </w:rPr>
      </w:pPr>
    </w:p>
    <w:p w14:paraId="55B69000" w14:textId="0FEE49BD" w:rsidR="007C0421" w:rsidRDefault="007C0421" w:rsidP="00BA3555">
      <w:pPr>
        <w:spacing w:line="480" w:lineRule="auto"/>
        <w:rPr>
          <w:color w:val="000000" w:themeColor="text1"/>
          <w:sz w:val="22"/>
          <w:szCs w:val="22"/>
        </w:rPr>
      </w:pPr>
    </w:p>
    <w:p w14:paraId="438F8657" w14:textId="1CED284A" w:rsidR="007C0421" w:rsidRDefault="007C0421" w:rsidP="00BA3555">
      <w:pPr>
        <w:spacing w:line="480" w:lineRule="auto"/>
        <w:rPr>
          <w:color w:val="000000" w:themeColor="text1"/>
          <w:sz w:val="22"/>
          <w:szCs w:val="22"/>
        </w:rPr>
      </w:pPr>
    </w:p>
    <w:p w14:paraId="512F54FB" w14:textId="0329E9E8" w:rsidR="007C0421" w:rsidRDefault="007C0421" w:rsidP="00BA3555">
      <w:pPr>
        <w:spacing w:line="480" w:lineRule="auto"/>
        <w:rPr>
          <w:color w:val="000000" w:themeColor="text1"/>
          <w:sz w:val="22"/>
          <w:szCs w:val="22"/>
        </w:rPr>
      </w:pPr>
    </w:p>
    <w:p w14:paraId="79FF18B5" w14:textId="27C82DDB" w:rsidR="007C0421" w:rsidRDefault="007C0421" w:rsidP="00BA3555">
      <w:pPr>
        <w:spacing w:line="480" w:lineRule="auto"/>
        <w:rPr>
          <w:color w:val="000000" w:themeColor="text1"/>
          <w:sz w:val="22"/>
          <w:szCs w:val="22"/>
        </w:rPr>
      </w:pPr>
    </w:p>
    <w:p w14:paraId="4593E048" w14:textId="0D68F689" w:rsidR="007C0421" w:rsidRDefault="007C0421" w:rsidP="00BA3555">
      <w:pPr>
        <w:spacing w:line="480" w:lineRule="auto"/>
        <w:rPr>
          <w:color w:val="000000" w:themeColor="text1"/>
          <w:sz w:val="22"/>
          <w:szCs w:val="22"/>
        </w:rPr>
      </w:pPr>
    </w:p>
    <w:p w14:paraId="0EC68BC3" w14:textId="11F37710" w:rsidR="007C0421" w:rsidRDefault="007C0421" w:rsidP="00BA3555">
      <w:pPr>
        <w:spacing w:line="480" w:lineRule="auto"/>
        <w:rPr>
          <w:color w:val="000000" w:themeColor="text1"/>
          <w:sz w:val="22"/>
          <w:szCs w:val="22"/>
        </w:rPr>
      </w:pPr>
    </w:p>
    <w:p w14:paraId="442B63CC" w14:textId="6A5B6F25" w:rsidR="007C0421" w:rsidRDefault="007C0421" w:rsidP="00BA3555">
      <w:pPr>
        <w:spacing w:line="480" w:lineRule="auto"/>
        <w:rPr>
          <w:color w:val="000000" w:themeColor="text1"/>
          <w:sz w:val="22"/>
          <w:szCs w:val="22"/>
        </w:rPr>
      </w:pPr>
    </w:p>
    <w:p w14:paraId="50C3C372" w14:textId="0C0F2CF0" w:rsidR="007C0421" w:rsidRDefault="007C0421" w:rsidP="00BA3555">
      <w:pPr>
        <w:spacing w:line="480" w:lineRule="auto"/>
        <w:rPr>
          <w:color w:val="000000" w:themeColor="text1"/>
          <w:sz w:val="22"/>
          <w:szCs w:val="22"/>
        </w:rPr>
      </w:pPr>
    </w:p>
    <w:p w14:paraId="3D3BB310" w14:textId="59FC314D" w:rsidR="007C0421" w:rsidRDefault="007C0421" w:rsidP="00BA3555">
      <w:pPr>
        <w:spacing w:line="480" w:lineRule="auto"/>
        <w:rPr>
          <w:color w:val="000000" w:themeColor="text1"/>
          <w:sz w:val="22"/>
          <w:szCs w:val="22"/>
        </w:rPr>
      </w:pPr>
    </w:p>
    <w:p w14:paraId="3AFC3CBA" w14:textId="219173B2" w:rsidR="007C0421" w:rsidRDefault="007C0421" w:rsidP="00BA3555">
      <w:pPr>
        <w:spacing w:line="480" w:lineRule="auto"/>
        <w:rPr>
          <w:color w:val="000000" w:themeColor="text1"/>
          <w:sz w:val="22"/>
          <w:szCs w:val="22"/>
        </w:rPr>
      </w:pPr>
    </w:p>
    <w:p w14:paraId="6410251D" w14:textId="78BD92DC" w:rsidR="007C0421" w:rsidRDefault="007C0421" w:rsidP="00BA3555">
      <w:pPr>
        <w:spacing w:line="480" w:lineRule="auto"/>
        <w:rPr>
          <w:color w:val="000000" w:themeColor="text1"/>
          <w:sz w:val="22"/>
          <w:szCs w:val="22"/>
        </w:rPr>
      </w:pPr>
    </w:p>
    <w:p w14:paraId="1BB7ED99" w14:textId="4332A7A2" w:rsidR="007C0421" w:rsidRDefault="007C0421" w:rsidP="00BA3555">
      <w:pPr>
        <w:spacing w:line="480" w:lineRule="auto"/>
        <w:rPr>
          <w:color w:val="000000" w:themeColor="text1"/>
          <w:sz w:val="22"/>
          <w:szCs w:val="22"/>
        </w:rPr>
      </w:pPr>
    </w:p>
    <w:p w14:paraId="0955D5F6" w14:textId="256A31FF" w:rsidR="007C0421" w:rsidRDefault="007C0421" w:rsidP="00BA3555">
      <w:pPr>
        <w:spacing w:line="480" w:lineRule="auto"/>
        <w:rPr>
          <w:color w:val="000000" w:themeColor="text1"/>
          <w:sz w:val="22"/>
          <w:szCs w:val="22"/>
        </w:rPr>
      </w:pPr>
    </w:p>
    <w:p w14:paraId="760CDB73" w14:textId="769E4BE3" w:rsidR="007C0421" w:rsidRPr="00F34287" w:rsidRDefault="007C0421" w:rsidP="00BA3555">
      <w:pPr>
        <w:spacing w:line="480" w:lineRule="auto"/>
        <w:rPr>
          <w:color w:val="000000" w:themeColor="text1"/>
          <w:sz w:val="22"/>
          <w:szCs w:val="22"/>
        </w:rPr>
      </w:pPr>
      <w:r>
        <w:rPr>
          <w:noProof/>
          <w:color w:val="000000" w:themeColor="text1"/>
          <w:sz w:val="22"/>
          <w:szCs w:val="22"/>
        </w:rPr>
        <w:drawing>
          <wp:inline distT="0" distB="0" distL="0" distR="0" wp14:anchorId="31D23F06" wp14:editId="4E6B27C9">
            <wp:extent cx="5626100" cy="494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plosone.tif"/>
                    <pic:cNvPicPr/>
                  </pic:nvPicPr>
                  <pic:blipFill>
                    <a:blip r:embed="rId11">
                      <a:extLst>
                        <a:ext uri="{28A0092B-C50C-407E-A947-70E740481C1C}">
                          <a14:useLocalDpi xmlns:a14="http://schemas.microsoft.com/office/drawing/2010/main" val="0"/>
                        </a:ext>
                      </a:extLst>
                    </a:blip>
                    <a:stretch>
                      <a:fillRect/>
                    </a:stretch>
                  </pic:blipFill>
                  <pic:spPr>
                    <a:xfrm>
                      <a:off x="0" y="0"/>
                      <a:ext cx="5626100" cy="4940300"/>
                    </a:xfrm>
                    <a:prstGeom prst="rect">
                      <a:avLst/>
                    </a:prstGeom>
                  </pic:spPr>
                </pic:pic>
              </a:graphicData>
            </a:graphic>
          </wp:inline>
        </w:drawing>
      </w:r>
    </w:p>
    <w:sectPr w:rsidR="007C0421" w:rsidRPr="00F34287" w:rsidSect="00042435">
      <w:pgSz w:w="11900" w:h="16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6ED8B" w14:textId="77777777" w:rsidR="00A84554" w:rsidRDefault="00A84554" w:rsidP="00413E01">
      <w:r>
        <w:separator/>
      </w:r>
    </w:p>
  </w:endnote>
  <w:endnote w:type="continuationSeparator" w:id="0">
    <w:p w14:paraId="387693FA" w14:textId="77777777" w:rsidR="00A84554" w:rsidRDefault="00A84554" w:rsidP="00413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TT46dcae81">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0465158"/>
      <w:docPartObj>
        <w:docPartGallery w:val="Page Numbers (Bottom of Page)"/>
        <w:docPartUnique/>
      </w:docPartObj>
    </w:sdtPr>
    <w:sdtEndPr>
      <w:rPr>
        <w:rStyle w:val="PageNumber"/>
      </w:rPr>
    </w:sdtEndPr>
    <w:sdtContent>
      <w:p w14:paraId="639FBFFD" w14:textId="30BCD140" w:rsidR="0057217D" w:rsidRDefault="0057217D" w:rsidP="00B27C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1577BF" w14:textId="77777777" w:rsidR="0057217D" w:rsidRDefault="0057217D" w:rsidP="00413E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0288779"/>
      <w:docPartObj>
        <w:docPartGallery w:val="Page Numbers (Bottom of Page)"/>
        <w:docPartUnique/>
      </w:docPartObj>
    </w:sdtPr>
    <w:sdtEndPr>
      <w:rPr>
        <w:rStyle w:val="PageNumber"/>
        <w:sz w:val="22"/>
        <w:szCs w:val="22"/>
      </w:rPr>
    </w:sdtEndPr>
    <w:sdtContent>
      <w:p w14:paraId="30A6AAA4" w14:textId="5CC87B27" w:rsidR="0057217D" w:rsidRPr="00413E01" w:rsidRDefault="0057217D" w:rsidP="00B27C54">
        <w:pPr>
          <w:pStyle w:val="Footer"/>
          <w:framePr w:wrap="none" w:vAnchor="text" w:hAnchor="margin" w:xAlign="right" w:y="1"/>
          <w:rPr>
            <w:rStyle w:val="PageNumbe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9508261" w14:textId="77777777" w:rsidR="0057217D" w:rsidRDefault="0057217D" w:rsidP="00413E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D893" w14:textId="77777777" w:rsidR="00A84554" w:rsidRDefault="00A84554" w:rsidP="00413E01">
      <w:r>
        <w:separator/>
      </w:r>
    </w:p>
  </w:footnote>
  <w:footnote w:type="continuationSeparator" w:id="0">
    <w:p w14:paraId="2D993FBE" w14:textId="77777777" w:rsidR="00A84554" w:rsidRDefault="00A84554" w:rsidP="00413E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098B"/>
    <w:multiLevelType w:val="multilevel"/>
    <w:tmpl w:val="BA2C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522C5"/>
    <w:multiLevelType w:val="hybridMultilevel"/>
    <w:tmpl w:val="4F4807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B1A07"/>
    <w:multiLevelType w:val="hybridMultilevel"/>
    <w:tmpl w:val="71C4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65336"/>
    <w:multiLevelType w:val="hybridMultilevel"/>
    <w:tmpl w:val="1CFA1D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486A8C"/>
    <w:multiLevelType w:val="hybridMultilevel"/>
    <w:tmpl w:val="34388F0A"/>
    <w:lvl w:ilvl="0" w:tplc="9B1E5382">
      <w:numFmt w:val="bullet"/>
      <w:lvlText w:val="-"/>
      <w:lvlJc w:val="left"/>
      <w:pPr>
        <w:ind w:left="720" w:hanging="360"/>
      </w:pPr>
      <w:rPr>
        <w:rFonts w:ascii="Times New Roman" w:eastAsiaTheme="minorHAns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A61C9"/>
    <w:multiLevelType w:val="hybridMultilevel"/>
    <w:tmpl w:val="981626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804B54"/>
    <w:multiLevelType w:val="hybridMultilevel"/>
    <w:tmpl w:val="DB6A16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473DCC"/>
    <w:multiLevelType w:val="hybridMultilevel"/>
    <w:tmpl w:val="DBEEEE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A3551B5-B986-42F7-AD67-3E543862CD8D}"/>
    <w:docVar w:name="dgnword-eventsink" w:val="360232648"/>
  </w:docVars>
  <w:rsids>
    <w:rsidRoot w:val="006C23A3"/>
    <w:rsid w:val="0000038F"/>
    <w:rsid w:val="0000229F"/>
    <w:rsid w:val="000031C5"/>
    <w:rsid w:val="00010C22"/>
    <w:rsid w:val="00012FC8"/>
    <w:rsid w:val="00025546"/>
    <w:rsid w:val="000255F4"/>
    <w:rsid w:val="00031B71"/>
    <w:rsid w:val="000331CC"/>
    <w:rsid w:val="0003626E"/>
    <w:rsid w:val="00042435"/>
    <w:rsid w:val="000459DF"/>
    <w:rsid w:val="00047ECA"/>
    <w:rsid w:val="000543F9"/>
    <w:rsid w:val="00055E07"/>
    <w:rsid w:val="000606C3"/>
    <w:rsid w:val="000608B4"/>
    <w:rsid w:val="00064625"/>
    <w:rsid w:val="00064D64"/>
    <w:rsid w:val="00065954"/>
    <w:rsid w:val="00067F1E"/>
    <w:rsid w:val="00077EB7"/>
    <w:rsid w:val="00080A20"/>
    <w:rsid w:val="00083E64"/>
    <w:rsid w:val="000A291F"/>
    <w:rsid w:val="000A2C21"/>
    <w:rsid w:val="000A4FCE"/>
    <w:rsid w:val="000A5055"/>
    <w:rsid w:val="000A591E"/>
    <w:rsid w:val="000B0509"/>
    <w:rsid w:val="000B1267"/>
    <w:rsid w:val="000B162A"/>
    <w:rsid w:val="000B47D3"/>
    <w:rsid w:val="000B4D26"/>
    <w:rsid w:val="000B52E1"/>
    <w:rsid w:val="000B788C"/>
    <w:rsid w:val="000C19FD"/>
    <w:rsid w:val="000C69FE"/>
    <w:rsid w:val="000C70B3"/>
    <w:rsid w:val="000D260B"/>
    <w:rsid w:val="000D7F34"/>
    <w:rsid w:val="000E1800"/>
    <w:rsid w:val="000E664B"/>
    <w:rsid w:val="00100A13"/>
    <w:rsid w:val="001037FA"/>
    <w:rsid w:val="001061CC"/>
    <w:rsid w:val="00113DA0"/>
    <w:rsid w:val="00117769"/>
    <w:rsid w:val="00123231"/>
    <w:rsid w:val="00124366"/>
    <w:rsid w:val="001256FF"/>
    <w:rsid w:val="0013234C"/>
    <w:rsid w:val="001354F9"/>
    <w:rsid w:val="001369B0"/>
    <w:rsid w:val="00137CB1"/>
    <w:rsid w:val="00141791"/>
    <w:rsid w:val="00145C0B"/>
    <w:rsid w:val="00150AF4"/>
    <w:rsid w:val="00156703"/>
    <w:rsid w:val="00157CB5"/>
    <w:rsid w:val="00160DDF"/>
    <w:rsid w:val="00161006"/>
    <w:rsid w:val="001724B6"/>
    <w:rsid w:val="00176F4B"/>
    <w:rsid w:val="0018118D"/>
    <w:rsid w:val="00181EC7"/>
    <w:rsid w:val="001823C9"/>
    <w:rsid w:val="00183165"/>
    <w:rsid w:val="00186DC3"/>
    <w:rsid w:val="00193FAC"/>
    <w:rsid w:val="00195870"/>
    <w:rsid w:val="001A231C"/>
    <w:rsid w:val="001A23FB"/>
    <w:rsid w:val="001A2EA2"/>
    <w:rsid w:val="001A616A"/>
    <w:rsid w:val="001B22BE"/>
    <w:rsid w:val="001B3B8B"/>
    <w:rsid w:val="001B5DA0"/>
    <w:rsid w:val="001B6EAE"/>
    <w:rsid w:val="001C03FD"/>
    <w:rsid w:val="001C3327"/>
    <w:rsid w:val="001D0148"/>
    <w:rsid w:val="001D59F8"/>
    <w:rsid w:val="001E3F26"/>
    <w:rsid w:val="001E4A1F"/>
    <w:rsid w:val="001F1180"/>
    <w:rsid w:val="001F2622"/>
    <w:rsid w:val="001F4684"/>
    <w:rsid w:val="00202A09"/>
    <w:rsid w:val="0020497C"/>
    <w:rsid w:val="002050C6"/>
    <w:rsid w:val="002057DA"/>
    <w:rsid w:val="00205B75"/>
    <w:rsid w:val="002064A9"/>
    <w:rsid w:val="002216E9"/>
    <w:rsid w:val="00223CAE"/>
    <w:rsid w:val="00223EF2"/>
    <w:rsid w:val="002259C6"/>
    <w:rsid w:val="002316FD"/>
    <w:rsid w:val="00233E39"/>
    <w:rsid w:val="00236A20"/>
    <w:rsid w:val="0023756F"/>
    <w:rsid w:val="002409F8"/>
    <w:rsid w:val="002437B6"/>
    <w:rsid w:val="0024479F"/>
    <w:rsid w:val="002549BC"/>
    <w:rsid w:val="00256C22"/>
    <w:rsid w:val="002639BE"/>
    <w:rsid w:val="00263C5D"/>
    <w:rsid w:val="002640A3"/>
    <w:rsid w:val="00265123"/>
    <w:rsid w:val="00266867"/>
    <w:rsid w:val="00267D08"/>
    <w:rsid w:val="002738B4"/>
    <w:rsid w:val="0027453D"/>
    <w:rsid w:val="00275BFC"/>
    <w:rsid w:val="00275D96"/>
    <w:rsid w:val="00280E58"/>
    <w:rsid w:val="002859A6"/>
    <w:rsid w:val="00287BDD"/>
    <w:rsid w:val="0029454C"/>
    <w:rsid w:val="002951C8"/>
    <w:rsid w:val="0029752F"/>
    <w:rsid w:val="00297EE0"/>
    <w:rsid w:val="002A0070"/>
    <w:rsid w:val="002B51A5"/>
    <w:rsid w:val="002B5318"/>
    <w:rsid w:val="002C74ED"/>
    <w:rsid w:val="002C7ED7"/>
    <w:rsid w:val="002D17C0"/>
    <w:rsid w:val="002E1448"/>
    <w:rsid w:val="002F517C"/>
    <w:rsid w:val="00300EEE"/>
    <w:rsid w:val="00302373"/>
    <w:rsid w:val="003205E0"/>
    <w:rsid w:val="0032157D"/>
    <w:rsid w:val="00322DFC"/>
    <w:rsid w:val="0032527C"/>
    <w:rsid w:val="00326602"/>
    <w:rsid w:val="00331833"/>
    <w:rsid w:val="00342C50"/>
    <w:rsid w:val="0034426B"/>
    <w:rsid w:val="0034544B"/>
    <w:rsid w:val="00347E5A"/>
    <w:rsid w:val="0035151E"/>
    <w:rsid w:val="003520A0"/>
    <w:rsid w:val="00352F39"/>
    <w:rsid w:val="00357178"/>
    <w:rsid w:val="003631BD"/>
    <w:rsid w:val="00370C6A"/>
    <w:rsid w:val="003720ED"/>
    <w:rsid w:val="00372388"/>
    <w:rsid w:val="00383577"/>
    <w:rsid w:val="00387C6E"/>
    <w:rsid w:val="003908DF"/>
    <w:rsid w:val="0039264A"/>
    <w:rsid w:val="00393483"/>
    <w:rsid w:val="0039621A"/>
    <w:rsid w:val="003A1453"/>
    <w:rsid w:val="003A2FED"/>
    <w:rsid w:val="003A3C61"/>
    <w:rsid w:val="003A76C8"/>
    <w:rsid w:val="003B01BC"/>
    <w:rsid w:val="003B1439"/>
    <w:rsid w:val="003C19FC"/>
    <w:rsid w:val="003C58DA"/>
    <w:rsid w:val="003D65B4"/>
    <w:rsid w:val="003D6DA4"/>
    <w:rsid w:val="003D7792"/>
    <w:rsid w:val="003E2C9B"/>
    <w:rsid w:val="003F408E"/>
    <w:rsid w:val="003F455C"/>
    <w:rsid w:val="003F4A56"/>
    <w:rsid w:val="003F7255"/>
    <w:rsid w:val="00413BE5"/>
    <w:rsid w:val="00413E01"/>
    <w:rsid w:val="00414245"/>
    <w:rsid w:val="00415134"/>
    <w:rsid w:val="00415145"/>
    <w:rsid w:val="00415FA0"/>
    <w:rsid w:val="00420398"/>
    <w:rsid w:val="00423314"/>
    <w:rsid w:val="00427F83"/>
    <w:rsid w:val="00432F63"/>
    <w:rsid w:val="0045175E"/>
    <w:rsid w:val="0045255F"/>
    <w:rsid w:val="00453ABE"/>
    <w:rsid w:val="00461F29"/>
    <w:rsid w:val="00462EF4"/>
    <w:rsid w:val="004667E6"/>
    <w:rsid w:val="00467232"/>
    <w:rsid w:val="00471D71"/>
    <w:rsid w:val="00472BF3"/>
    <w:rsid w:val="0047590C"/>
    <w:rsid w:val="0048092F"/>
    <w:rsid w:val="00480D8B"/>
    <w:rsid w:val="004823C5"/>
    <w:rsid w:val="004876F2"/>
    <w:rsid w:val="00491A3A"/>
    <w:rsid w:val="00491B02"/>
    <w:rsid w:val="004A518D"/>
    <w:rsid w:val="004A72FC"/>
    <w:rsid w:val="004B1B6B"/>
    <w:rsid w:val="004B4A00"/>
    <w:rsid w:val="004B4D24"/>
    <w:rsid w:val="004B62A7"/>
    <w:rsid w:val="004B73FB"/>
    <w:rsid w:val="004D221F"/>
    <w:rsid w:val="004D24C3"/>
    <w:rsid w:val="004D3657"/>
    <w:rsid w:val="004D4585"/>
    <w:rsid w:val="004E051E"/>
    <w:rsid w:val="004E0789"/>
    <w:rsid w:val="004E0792"/>
    <w:rsid w:val="004E079D"/>
    <w:rsid w:val="004E2894"/>
    <w:rsid w:val="004E37A1"/>
    <w:rsid w:val="004E7B71"/>
    <w:rsid w:val="004F0484"/>
    <w:rsid w:val="004F49CD"/>
    <w:rsid w:val="005000E8"/>
    <w:rsid w:val="005056A4"/>
    <w:rsid w:val="0050670C"/>
    <w:rsid w:val="00507BBB"/>
    <w:rsid w:val="00510250"/>
    <w:rsid w:val="00510425"/>
    <w:rsid w:val="00512232"/>
    <w:rsid w:val="00512451"/>
    <w:rsid w:val="00515144"/>
    <w:rsid w:val="005216DC"/>
    <w:rsid w:val="00521B01"/>
    <w:rsid w:val="0052211B"/>
    <w:rsid w:val="005233F7"/>
    <w:rsid w:val="00526037"/>
    <w:rsid w:val="00526C42"/>
    <w:rsid w:val="00526E06"/>
    <w:rsid w:val="00530436"/>
    <w:rsid w:val="00531487"/>
    <w:rsid w:val="00534EF1"/>
    <w:rsid w:val="005403F0"/>
    <w:rsid w:val="005428FD"/>
    <w:rsid w:val="005467E8"/>
    <w:rsid w:val="005503C0"/>
    <w:rsid w:val="00554269"/>
    <w:rsid w:val="00554383"/>
    <w:rsid w:val="00554DAB"/>
    <w:rsid w:val="0055559A"/>
    <w:rsid w:val="0056299C"/>
    <w:rsid w:val="00563F1E"/>
    <w:rsid w:val="00565199"/>
    <w:rsid w:val="0056640F"/>
    <w:rsid w:val="00566799"/>
    <w:rsid w:val="00571C21"/>
    <w:rsid w:val="0057217D"/>
    <w:rsid w:val="005728D2"/>
    <w:rsid w:val="0057325A"/>
    <w:rsid w:val="00575260"/>
    <w:rsid w:val="00581096"/>
    <w:rsid w:val="005856AD"/>
    <w:rsid w:val="005A23F2"/>
    <w:rsid w:val="005A2C9D"/>
    <w:rsid w:val="005B0ACF"/>
    <w:rsid w:val="005B6EB6"/>
    <w:rsid w:val="005C5C72"/>
    <w:rsid w:val="005C5FB9"/>
    <w:rsid w:val="005C61B2"/>
    <w:rsid w:val="005C62C6"/>
    <w:rsid w:val="005C6A1A"/>
    <w:rsid w:val="005D1021"/>
    <w:rsid w:val="005D1DD5"/>
    <w:rsid w:val="005F3D35"/>
    <w:rsid w:val="006018B9"/>
    <w:rsid w:val="00603845"/>
    <w:rsid w:val="00604CBE"/>
    <w:rsid w:val="00606607"/>
    <w:rsid w:val="006076C6"/>
    <w:rsid w:val="00611866"/>
    <w:rsid w:val="00612AB2"/>
    <w:rsid w:val="00613E0C"/>
    <w:rsid w:val="0062131F"/>
    <w:rsid w:val="0062144C"/>
    <w:rsid w:val="00621481"/>
    <w:rsid w:val="006215EA"/>
    <w:rsid w:val="0062578F"/>
    <w:rsid w:val="00631A8B"/>
    <w:rsid w:val="00634CD6"/>
    <w:rsid w:val="006411CF"/>
    <w:rsid w:val="00644E19"/>
    <w:rsid w:val="00646372"/>
    <w:rsid w:val="00646967"/>
    <w:rsid w:val="00647FED"/>
    <w:rsid w:val="006509EA"/>
    <w:rsid w:val="00651DF6"/>
    <w:rsid w:val="00653027"/>
    <w:rsid w:val="006535D3"/>
    <w:rsid w:val="00654E6B"/>
    <w:rsid w:val="006555C4"/>
    <w:rsid w:val="00660CC5"/>
    <w:rsid w:val="0066125F"/>
    <w:rsid w:val="006638A1"/>
    <w:rsid w:val="0066686A"/>
    <w:rsid w:val="006743F1"/>
    <w:rsid w:val="006747A3"/>
    <w:rsid w:val="00674974"/>
    <w:rsid w:val="006755C9"/>
    <w:rsid w:val="00677092"/>
    <w:rsid w:val="00680044"/>
    <w:rsid w:val="006822A7"/>
    <w:rsid w:val="00690DF2"/>
    <w:rsid w:val="00693505"/>
    <w:rsid w:val="00695E90"/>
    <w:rsid w:val="00696091"/>
    <w:rsid w:val="006A0B6A"/>
    <w:rsid w:val="006B21F4"/>
    <w:rsid w:val="006B68A9"/>
    <w:rsid w:val="006B7307"/>
    <w:rsid w:val="006C1B23"/>
    <w:rsid w:val="006C23A3"/>
    <w:rsid w:val="006C27D5"/>
    <w:rsid w:val="006C32CE"/>
    <w:rsid w:val="006C3C2E"/>
    <w:rsid w:val="006D0933"/>
    <w:rsid w:val="006D2F68"/>
    <w:rsid w:val="006D6C5D"/>
    <w:rsid w:val="006E0CA0"/>
    <w:rsid w:val="006E2EAA"/>
    <w:rsid w:val="006E39C2"/>
    <w:rsid w:val="006E6860"/>
    <w:rsid w:val="006F36CE"/>
    <w:rsid w:val="006F47BB"/>
    <w:rsid w:val="006F4946"/>
    <w:rsid w:val="006F7FFE"/>
    <w:rsid w:val="007027FB"/>
    <w:rsid w:val="00703641"/>
    <w:rsid w:val="0070448E"/>
    <w:rsid w:val="00710045"/>
    <w:rsid w:val="00711079"/>
    <w:rsid w:val="0071478B"/>
    <w:rsid w:val="0071553B"/>
    <w:rsid w:val="0071612F"/>
    <w:rsid w:val="0071792D"/>
    <w:rsid w:val="00717D03"/>
    <w:rsid w:val="0072190F"/>
    <w:rsid w:val="00721EE5"/>
    <w:rsid w:val="00723D12"/>
    <w:rsid w:val="007339D4"/>
    <w:rsid w:val="00740B74"/>
    <w:rsid w:val="00745DB0"/>
    <w:rsid w:val="0075234A"/>
    <w:rsid w:val="00752B78"/>
    <w:rsid w:val="00753AB8"/>
    <w:rsid w:val="00756F6D"/>
    <w:rsid w:val="00761220"/>
    <w:rsid w:val="00762D4A"/>
    <w:rsid w:val="00764CAA"/>
    <w:rsid w:val="00766C5C"/>
    <w:rsid w:val="00767EB3"/>
    <w:rsid w:val="00770E6B"/>
    <w:rsid w:val="00774008"/>
    <w:rsid w:val="00775D55"/>
    <w:rsid w:val="007814A4"/>
    <w:rsid w:val="00781830"/>
    <w:rsid w:val="00781BDE"/>
    <w:rsid w:val="00787114"/>
    <w:rsid w:val="00790B04"/>
    <w:rsid w:val="00793E81"/>
    <w:rsid w:val="007A0718"/>
    <w:rsid w:val="007B0107"/>
    <w:rsid w:val="007B28E6"/>
    <w:rsid w:val="007B2C91"/>
    <w:rsid w:val="007B3D50"/>
    <w:rsid w:val="007C0421"/>
    <w:rsid w:val="007C0F4A"/>
    <w:rsid w:val="007C5809"/>
    <w:rsid w:val="007D2A21"/>
    <w:rsid w:val="007E49DC"/>
    <w:rsid w:val="007E53ED"/>
    <w:rsid w:val="007F1AAB"/>
    <w:rsid w:val="008019C9"/>
    <w:rsid w:val="00802BBE"/>
    <w:rsid w:val="00805172"/>
    <w:rsid w:val="00807DE2"/>
    <w:rsid w:val="00813301"/>
    <w:rsid w:val="00823120"/>
    <w:rsid w:val="00824FE2"/>
    <w:rsid w:val="008304C8"/>
    <w:rsid w:val="008335CB"/>
    <w:rsid w:val="008356A7"/>
    <w:rsid w:val="008361AF"/>
    <w:rsid w:val="00837485"/>
    <w:rsid w:val="008374BF"/>
    <w:rsid w:val="008401D1"/>
    <w:rsid w:val="0084401A"/>
    <w:rsid w:val="0084485B"/>
    <w:rsid w:val="00851520"/>
    <w:rsid w:val="008553AD"/>
    <w:rsid w:val="008614B6"/>
    <w:rsid w:val="008638F3"/>
    <w:rsid w:val="008640C2"/>
    <w:rsid w:val="00864BC5"/>
    <w:rsid w:val="00864C83"/>
    <w:rsid w:val="008668A5"/>
    <w:rsid w:val="00867105"/>
    <w:rsid w:val="00867248"/>
    <w:rsid w:val="008706F5"/>
    <w:rsid w:val="008721B8"/>
    <w:rsid w:val="00876B9C"/>
    <w:rsid w:val="0088357A"/>
    <w:rsid w:val="00886942"/>
    <w:rsid w:val="00886AE7"/>
    <w:rsid w:val="008873CC"/>
    <w:rsid w:val="00891588"/>
    <w:rsid w:val="008B0DD7"/>
    <w:rsid w:val="008B1958"/>
    <w:rsid w:val="008B6095"/>
    <w:rsid w:val="008C49A5"/>
    <w:rsid w:val="008D094A"/>
    <w:rsid w:val="008D56B5"/>
    <w:rsid w:val="008F34CD"/>
    <w:rsid w:val="008F3E6E"/>
    <w:rsid w:val="008F60D3"/>
    <w:rsid w:val="008F7079"/>
    <w:rsid w:val="00900F56"/>
    <w:rsid w:val="00902120"/>
    <w:rsid w:val="00903EC9"/>
    <w:rsid w:val="00904215"/>
    <w:rsid w:val="00904E66"/>
    <w:rsid w:val="00906110"/>
    <w:rsid w:val="00910A60"/>
    <w:rsid w:val="00910EAA"/>
    <w:rsid w:val="0091244B"/>
    <w:rsid w:val="0092562D"/>
    <w:rsid w:val="00927E51"/>
    <w:rsid w:val="00930C5D"/>
    <w:rsid w:val="009335C5"/>
    <w:rsid w:val="00933B3B"/>
    <w:rsid w:val="00941AAD"/>
    <w:rsid w:val="00943CC2"/>
    <w:rsid w:val="00945BD0"/>
    <w:rsid w:val="00946679"/>
    <w:rsid w:val="0095134D"/>
    <w:rsid w:val="009549C0"/>
    <w:rsid w:val="009560B0"/>
    <w:rsid w:val="009637D4"/>
    <w:rsid w:val="0096554D"/>
    <w:rsid w:val="00965A1C"/>
    <w:rsid w:val="0097072E"/>
    <w:rsid w:val="009733B2"/>
    <w:rsid w:val="00980E92"/>
    <w:rsid w:val="009840D1"/>
    <w:rsid w:val="0098504A"/>
    <w:rsid w:val="00986153"/>
    <w:rsid w:val="009912A7"/>
    <w:rsid w:val="0099622F"/>
    <w:rsid w:val="009A01A4"/>
    <w:rsid w:val="009A1DA7"/>
    <w:rsid w:val="009A5F68"/>
    <w:rsid w:val="009A6D18"/>
    <w:rsid w:val="009B6278"/>
    <w:rsid w:val="009C5A5A"/>
    <w:rsid w:val="009C5D4D"/>
    <w:rsid w:val="009D14DD"/>
    <w:rsid w:val="009D318B"/>
    <w:rsid w:val="009D5D48"/>
    <w:rsid w:val="009E6AA3"/>
    <w:rsid w:val="009F4503"/>
    <w:rsid w:val="009F7F4E"/>
    <w:rsid w:val="00A01ED3"/>
    <w:rsid w:val="00A209A6"/>
    <w:rsid w:val="00A20B68"/>
    <w:rsid w:val="00A23275"/>
    <w:rsid w:val="00A23EA2"/>
    <w:rsid w:val="00A26985"/>
    <w:rsid w:val="00A40080"/>
    <w:rsid w:val="00A427FD"/>
    <w:rsid w:val="00A50E68"/>
    <w:rsid w:val="00A56542"/>
    <w:rsid w:val="00A57627"/>
    <w:rsid w:val="00A652DE"/>
    <w:rsid w:val="00A72209"/>
    <w:rsid w:val="00A73BA4"/>
    <w:rsid w:val="00A75037"/>
    <w:rsid w:val="00A84554"/>
    <w:rsid w:val="00A86B68"/>
    <w:rsid w:val="00A93B67"/>
    <w:rsid w:val="00A95266"/>
    <w:rsid w:val="00A966F8"/>
    <w:rsid w:val="00A97B5E"/>
    <w:rsid w:val="00AA0436"/>
    <w:rsid w:val="00AB3B29"/>
    <w:rsid w:val="00AB3CDA"/>
    <w:rsid w:val="00AB532F"/>
    <w:rsid w:val="00AB5BA4"/>
    <w:rsid w:val="00AB7F89"/>
    <w:rsid w:val="00AC1644"/>
    <w:rsid w:val="00AC37EC"/>
    <w:rsid w:val="00AC385C"/>
    <w:rsid w:val="00AC519D"/>
    <w:rsid w:val="00AC5D3D"/>
    <w:rsid w:val="00AD4939"/>
    <w:rsid w:val="00AD65BC"/>
    <w:rsid w:val="00AD6B59"/>
    <w:rsid w:val="00AE0340"/>
    <w:rsid w:val="00AE116F"/>
    <w:rsid w:val="00AE225C"/>
    <w:rsid w:val="00AE45BA"/>
    <w:rsid w:val="00AE69C2"/>
    <w:rsid w:val="00AF1627"/>
    <w:rsid w:val="00AF29F7"/>
    <w:rsid w:val="00AF3D3B"/>
    <w:rsid w:val="00AF4CE8"/>
    <w:rsid w:val="00AF5812"/>
    <w:rsid w:val="00AF63F5"/>
    <w:rsid w:val="00B00D56"/>
    <w:rsid w:val="00B00E2B"/>
    <w:rsid w:val="00B01D1C"/>
    <w:rsid w:val="00B06239"/>
    <w:rsid w:val="00B07738"/>
    <w:rsid w:val="00B10CC9"/>
    <w:rsid w:val="00B2416A"/>
    <w:rsid w:val="00B27C54"/>
    <w:rsid w:val="00B30022"/>
    <w:rsid w:val="00B353A2"/>
    <w:rsid w:val="00B37774"/>
    <w:rsid w:val="00B37B4D"/>
    <w:rsid w:val="00B42F54"/>
    <w:rsid w:val="00B436C4"/>
    <w:rsid w:val="00B47413"/>
    <w:rsid w:val="00B47DB4"/>
    <w:rsid w:val="00B51B30"/>
    <w:rsid w:val="00B52524"/>
    <w:rsid w:val="00B525C3"/>
    <w:rsid w:val="00B527DF"/>
    <w:rsid w:val="00B5482D"/>
    <w:rsid w:val="00B62E66"/>
    <w:rsid w:val="00B6324C"/>
    <w:rsid w:val="00B63789"/>
    <w:rsid w:val="00B71009"/>
    <w:rsid w:val="00B72374"/>
    <w:rsid w:val="00B7332C"/>
    <w:rsid w:val="00B754B1"/>
    <w:rsid w:val="00B777B2"/>
    <w:rsid w:val="00B833A2"/>
    <w:rsid w:val="00B851E3"/>
    <w:rsid w:val="00B85FD1"/>
    <w:rsid w:val="00B87B99"/>
    <w:rsid w:val="00B91A9A"/>
    <w:rsid w:val="00B96A7A"/>
    <w:rsid w:val="00BA1725"/>
    <w:rsid w:val="00BA3555"/>
    <w:rsid w:val="00BA7EA4"/>
    <w:rsid w:val="00BB2A10"/>
    <w:rsid w:val="00BB2E91"/>
    <w:rsid w:val="00BB56D8"/>
    <w:rsid w:val="00BB6A88"/>
    <w:rsid w:val="00BB7E10"/>
    <w:rsid w:val="00BC5489"/>
    <w:rsid w:val="00BC581E"/>
    <w:rsid w:val="00BC6B3B"/>
    <w:rsid w:val="00BC7A25"/>
    <w:rsid w:val="00BD05D9"/>
    <w:rsid w:val="00BD066B"/>
    <w:rsid w:val="00BD1BDE"/>
    <w:rsid w:val="00BD5A07"/>
    <w:rsid w:val="00BD7528"/>
    <w:rsid w:val="00BE5C53"/>
    <w:rsid w:val="00BF4F33"/>
    <w:rsid w:val="00BF7186"/>
    <w:rsid w:val="00C005F7"/>
    <w:rsid w:val="00C04431"/>
    <w:rsid w:val="00C052FA"/>
    <w:rsid w:val="00C07BB6"/>
    <w:rsid w:val="00C07F88"/>
    <w:rsid w:val="00C109AA"/>
    <w:rsid w:val="00C16929"/>
    <w:rsid w:val="00C2344D"/>
    <w:rsid w:val="00C26D61"/>
    <w:rsid w:val="00C26EAD"/>
    <w:rsid w:val="00C322C9"/>
    <w:rsid w:val="00C34763"/>
    <w:rsid w:val="00C37AFF"/>
    <w:rsid w:val="00C414AE"/>
    <w:rsid w:val="00C4350A"/>
    <w:rsid w:val="00C43B41"/>
    <w:rsid w:val="00C441CC"/>
    <w:rsid w:val="00C451C0"/>
    <w:rsid w:val="00C45228"/>
    <w:rsid w:val="00C54BB5"/>
    <w:rsid w:val="00C55D3D"/>
    <w:rsid w:val="00C56C76"/>
    <w:rsid w:val="00C641B3"/>
    <w:rsid w:val="00C67EB5"/>
    <w:rsid w:val="00C70338"/>
    <w:rsid w:val="00C70691"/>
    <w:rsid w:val="00C70EF1"/>
    <w:rsid w:val="00C82363"/>
    <w:rsid w:val="00C840CE"/>
    <w:rsid w:val="00C90411"/>
    <w:rsid w:val="00C92856"/>
    <w:rsid w:val="00C92BEF"/>
    <w:rsid w:val="00C96A95"/>
    <w:rsid w:val="00CA295F"/>
    <w:rsid w:val="00CA2C8C"/>
    <w:rsid w:val="00CA416D"/>
    <w:rsid w:val="00CB33CF"/>
    <w:rsid w:val="00CC007B"/>
    <w:rsid w:val="00CC1EAA"/>
    <w:rsid w:val="00CC4144"/>
    <w:rsid w:val="00CC619E"/>
    <w:rsid w:val="00CD5B8F"/>
    <w:rsid w:val="00CE210D"/>
    <w:rsid w:val="00CE2845"/>
    <w:rsid w:val="00CE4629"/>
    <w:rsid w:val="00CE6E6B"/>
    <w:rsid w:val="00CF0627"/>
    <w:rsid w:val="00CF0D24"/>
    <w:rsid w:val="00CF3E40"/>
    <w:rsid w:val="00CF5A67"/>
    <w:rsid w:val="00CF6C50"/>
    <w:rsid w:val="00CF77E1"/>
    <w:rsid w:val="00CF7EF2"/>
    <w:rsid w:val="00D07578"/>
    <w:rsid w:val="00D07FB3"/>
    <w:rsid w:val="00D12AF4"/>
    <w:rsid w:val="00D20105"/>
    <w:rsid w:val="00D21169"/>
    <w:rsid w:val="00D25571"/>
    <w:rsid w:val="00D25C92"/>
    <w:rsid w:val="00D2700B"/>
    <w:rsid w:val="00D270AD"/>
    <w:rsid w:val="00D34A48"/>
    <w:rsid w:val="00D36A2D"/>
    <w:rsid w:val="00D37948"/>
    <w:rsid w:val="00D537E0"/>
    <w:rsid w:val="00D61625"/>
    <w:rsid w:val="00D639E6"/>
    <w:rsid w:val="00D7380F"/>
    <w:rsid w:val="00D76732"/>
    <w:rsid w:val="00D77193"/>
    <w:rsid w:val="00D843D8"/>
    <w:rsid w:val="00D8494A"/>
    <w:rsid w:val="00D93B55"/>
    <w:rsid w:val="00DA05B8"/>
    <w:rsid w:val="00DA28CE"/>
    <w:rsid w:val="00DA3A5F"/>
    <w:rsid w:val="00DA5C0C"/>
    <w:rsid w:val="00DB1AF9"/>
    <w:rsid w:val="00DB1E44"/>
    <w:rsid w:val="00DD4606"/>
    <w:rsid w:val="00DD5D6B"/>
    <w:rsid w:val="00DD790C"/>
    <w:rsid w:val="00DE4BFA"/>
    <w:rsid w:val="00DE731D"/>
    <w:rsid w:val="00DF2FAB"/>
    <w:rsid w:val="00DF3791"/>
    <w:rsid w:val="00DF3C1E"/>
    <w:rsid w:val="00DF6A3C"/>
    <w:rsid w:val="00DF78FD"/>
    <w:rsid w:val="00E0400A"/>
    <w:rsid w:val="00E12CAB"/>
    <w:rsid w:val="00E25BFB"/>
    <w:rsid w:val="00E26575"/>
    <w:rsid w:val="00E26C68"/>
    <w:rsid w:val="00E31725"/>
    <w:rsid w:val="00E338D3"/>
    <w:rsid w:val="00E33C62"/>
    <w:rsid w:val="00E34186"/>
    <w:rsid w:val="00E40263"/>
    <w:rsid w:val="00E42DF7"/>
    <w:rsid w:val="00E4621A"/>
    <w:rsid w:val="00E477DA"/>
    <w:rsid w:val="00E50B54"/>
    <w:rsid w:val="00E53707"/>
    <w:rsid w:val="00E57511"/>
    <w:rsid w:val="00E70334"/>
    <w:rsid w:val="00E71AAA"/>
    <w:rsid w:val="00E7666D"/>
    <w:rsid w:val="00E87063"/>
    <w:rsid w:val="00E90A93"/>
    <w:rsid w:val="00E9401D"/>
    <w:rsid w:val="00E9785B"/>
    <w:rsid w:val="00EA53F0"/>
    <w:rsid w:val="00EC5BC4"/>
    <w:rsid w:val="00EC677D"/>
    <w:rsid w:val="00ED0709"/>
    <w:rsid w:val="00ED2A8A"/>
    <w:rsid w:val="00ED5772"/>
    <w:rsid w:val="00EE12AD"/>
    <w:rsid w:val="00EE219A"/>
    <w:rsid w:val="00EE67D8"/>
    <w:rsid w:val="00EF1420"/>
    <w:rsid w:val="00EF3C8A"/>
    <w:rsid w:val="00F00176"/>
    <w:rsid w:val="00F00336"/>
    <w:rsid w:val="00F01AB5"/>
    <w:rsid w:val="00F028BF"/>
    <w:rsid w:val="00F034CA"/>
    <w:rsid w:val="00F03BB9"/>
    <w:rsid w:val="00F1304D"/>
    <w:rsid w:val="00F13D79"/>
    <w:rsid w:val="00F1693C"/>
    <w:rsid w:val="00F20F71"/>
    <w:rsid w:val="00F20FAF"/>
    <w:rsid w:val="00F27557"/>
    <w:rsid w:val="00F3056A"/>
    <w:rsid w:val="00F305A4"/>
    <w:rsid w:val="00F3320E"/>
    <w:rsid w:val="00F34110"/>
    <w:rsid w:val="00F34287"/>
    <w:rsid w:val="00F35372"/>
    <w:rsid w:val="00F35490"/>
    <w:rsid w:val="00F35ED1"/>
    <w:rsid w:val="00F37306"/>
    <w:rsid w:val="00F37AC8"/>
    <w:rsid w:val="00F37DD0"/>
    <w:rsid w:val="00F40B04"/>
    <w:rsid w:val="00F45FBA"/>
    <w:rsid w:val="00F52155"/>
    <w:rsid w:val="00F5693E"/>
    <w:rsid w:val="00F617F3"/>
    <w:rsid w:val="00F62F3D"/>
    <w:rsid w:val="00F65C36"/>
    <w:rsid w:val="00F66BD5"/>
    <w:rsid w:val="00F728E1"/>
    <w:rsid w:val="00F76A7F"/>
    <w:rsid w:val="00F83B92"/>
    <w:rsid w:val="00F848BB"/>
    <w:rsid w:val="00F86969"/>
    <w:rsid w:val="00F870D3"/>
    <w:rsid w:val="00F95D3E"/>
    <w:rsid w:val="00F971B3"/>
    <w:rsid w:val="00FA355B"/>
    <w:rsid w:val="00FA4D3D"/>
    <w:rsid w:val="00FA69D9"/>
    <w:rsid w:val="00FA6C2C"/>
    <w:rsid w:val="00FB7379"/>
    <w:rsid w:val="00FD17CE"/>
    <w:rsid w:val="00FD2119"/>
    <w:rsid w:val="00FD26C9"/>
    <w:rsid w:val="00FE0EB7"/>
    <w:rsid w:val="00FE3CEE"/>
    <w:rsid w:val="00FE5AC1"/>
    <w:rsid w:val="00FF1A4A"/>
    <w:rsid w:val="00FF22A4"/>
    <w:rsid w:val="00FF2747"/>
    <w:rsid w:val="00FF4491"/>
    <w:rsid w:val="00FF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8794E"/>
  <w14:defaultImageDpi w14:val="32767"/>
  <w15:docId w15:val="{187338CF-1D13-3E4D-ABE1-A9195218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6EAE"/>
    <w:rPr>
      <w:rFonts w:ascii="Times New Roman" w:eastAsia="Times New Roman" w:hAnsi="Times New Roman" w:cs="Times New Roman"/>
      <w:lang w:eastAsia="en-GB"/>
    </w:rPr>
  </w:style>
  <w:style w:type="paragraph" w:styleId="Heading3">
    <w:name w:val="heading 3"/>
    <w:basedOn w:val="Normal"/>
    <w:link w:val="Heading3Char"/>
    <w:uiPriority w:val="9"/>
    <w:qFormat/>
    <w:rsid w:val="005D1021"/>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unhideWhenUsed/>
    <w:qFormat/>
    <w:rsid w:val="005728D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C23A3"/>
  </w:style>
  <w:style w:type="paragraph" w:styleId="NormalWeb">
    <w:name w:val="Normal (Web)"/>
    <w:basedOn w:val="Normal"/>
    <w:uiPriority w:val="99"/>
    <w:unhideWhenUsed/>
    <w:rsid w:val="006B21F4"/>
    <w:pPr>
      <w:spacing w:before="100" w:beforeAutospacing="1" w:after="100" w:afterAutospacing="1"/>
    </w:pPr>
    <w:rPr>
      <w:lang w:eastAsia="en-US"/>
    </w:rPr>
  </w:style>
  <w:style w:type="character" w:styleId="Hyperlink">
    <w:name w:val="Hyperlink"/>
    <w:basedOn w:val="DefaultParagraphFont"/>
    <w:uiPriority w:val="99"/>
    <w:unhideWhenUsed/>
    <w:rsid w:val="001D59F8"/>
    <w:rPr>
      <w:color w:val="0000FF"/>
      <w:u w:val="single"/>
    </w:rPr>
  </w:style>
  <w:style w:type="table" w:styleId="TableGrid">
    <w:name w:val="Table Grid"/>
    <w:basedOn w:val="TableNormal"/>
    <w:uiPriority w:val="59"/>
    <w:rsid w:val="00EF14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2451"/>
    <w:rPr>
      <w:color w:val="808080"/>
    </w:rPr>
  </w:style>
  <w:style w:type="paragraph" w:styleId="ListParagraph">
    <w:name w:val="List Paragraph"/>
    <w:basedOn w:val="Normal"/>
    <w:uiPriority w:val="34"/>
    <w:qFormat/>
    <w:rsid w:val="00AC519D"/>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B525C3"/>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B525C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B0ACF"/>
    <w:rPr>
      <w:sz w:val="16"/>
      <w:szCs w:val="16"/>
    </w:rPr>
  </w:style>
  <w:style w:type="paragraph" w:styleId="CommentText">
    <w:name w:val="annotation text"/>
    <w:basedOn w:val="Normal"/>
    <w:link w:val="CommentTextChar"/>
    <w:uiPriority w:val="99"/>
    <w:semiHidden/>
    <w:unhideWhenUsed/>
    <w:rsid w:val="005B0AC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B0ACF"/>
    <w:rPr>
      <w:sz w:val="20"/>
      <w:szCs w:val="20"/>
    </w:rPr>
  </w:style>
  <w:style w:type="paragraph" w:styleId="CommentSubject">
    <w:name w:val="annotation subject"/>
    <w:basedOn w:val="CommentText"/>
    <w:next w:val="CommentText"/>
    <w:link w:val="CommentSubjectChar"/>
    <w:uiPriority w:val="99"/>
    <w:semiHidden/>
    <w:unhideWhenUsed/>
    <w:rsid w:val="005B0ACF"/>
    <w:rPr>
      <w:b/>
      <w:bCs/>
    </w:rPr>
  </w:style>
  <w:style w:type="character" w:customStyle="1" w:styleId="CommentSubjectChar">
    <w:name w:val="Comment Subject Char"/>
    <w:basedOn w:val="CommentTextChar"/>
    <w:link w:val="CommentSubject"/>
    <w:uiPriority w:val="99"/>
    <w:semiHidden/>
    <w:rsid w:val="005B0ACF"/>
    <w:rPr>
      <w:b/>
      <w:bCs/>
      <w:sz w:val="20"/>
      <w:szCs w:val="20"/>
    </w:rPr>
  </w:style>
  <w:style w:type="paragraph" w:styleId="Revision">
    <w:name w:val="Revision"/>
    <w:hidden/>
    <w:uiPriority w:val="99"/>
    <w:semiHidden/>
    <w:rsid w:val="00677092"/>
    <w:rPr>
      <w:rFonts w:ascii="Times New Roman" w:eastAsia="Times New Roman" w:hAnsi="Times New Roman" w:cs="Times New Roman"/>
    </w:rPr>
  </w:style>
  <w:style w:type="character" w:styleId="Strong">
    <w:name w:val="Strong"/>
    <w:basedOn w:val="DefaultParagraphFont"/>
    <w:uiPriority w:val="22"/>
    <w:qFormat/>
    <w:rsid w:val="00B72374"/>
    <w:rPr>
      <w:b/>
      <w:bCs/>
    </w:rPr>
  </w:style>
  <w:style w:type="character" w:styleId="Emphasis">
    <w:name w:val="Emphasis"/>
    <w:basedOn w:val="DefaultParagraphFont"/>
    <w:uiPriority w:val="20"/>
    <w:qFormat/>
    <w:rsid w:val="00B72374"/>
    <w:rPr>
      <w:i/>
      <w:iCs/>
    </w:rPr>
  </w:style>
  <w:style w:type="paragraph" w:customStyle="1" w:styleId="i4a-back-to-top">
    <w:name w:val="i4a-back-to-top"/>
    <w:basedOn w:val="Normal"/>
    <w:rsid w:val="00B72374"/>
    <w:pPr>
      <w:spacing w:before="100" w:beforeAutospacing="1" w:after="100" w:afterAutospacing="1"/>
    </w:pPr>
  </w:style>
  <w:style w:type="character" w:customStyle="1" w:styleId="Heading3Char">
    <w:name w:val="Heading 3 Char"/>
    <w:basedOn w:val="DefaultParagraphFont"/>
    <w:link w:val="Heading3"/>
    <w:uiPriority w:val="9"/>
    <w:rsid w:val="005D1021"/>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5728D2"/>
    <w:rPr>
      <w:rFonts w:asciiTheme="majorHAnsi" w:eastAsiaTheme="majorEastAsia" w:hAnsiTheme="majorHAnsi" w:cstheme="majorBidi"/>
      <w:color w:val="2F5496" w:themeColor="accent1" w:themeShade="BF"/>
      <w:lang w:eastAsia="en-GB"/>
    </w:rPr>
  </w:style>
  <w:style w:type="character" w:styleId="FollowedHyperlink">
    <w:name w:val="FollowedHyperlink"/>
    <w:basedOn w:val="DefaultParagraphFont"/>
    <w:uiPriority w:val="99"/>
    <w:semiHidden/>
    <w:unhideWhenUsed/>
    <w:rsid w:val="005728D2"/>
    <w:rPr>
      <w:color w:val="954F72" w:themeColor="followedHyperlink"/>
      <w:u w:val="single"/>
    </w:rPr>
  </w:style>
  <w:style w:type="character" w:customStyle="1" w:styleId="UnresolvedMention1">
    <w:name w:val="Unresolved Mention1"/>
    <w:basedOn w:val="DefaultParagraphFont"/>
    <w:uiPriority w:val="99"/>
    <w:semiHidden/>
    <w:unhideWhenUsed/>
    <w:rsid w:val="005728D2"/>
    <w:rPr>
      <w:color w:val="605E5C"/>
      <w:shd w:val="clear" w:color="auto" w:fill="E1DFDD"/>
    </w:rPr>
  </w:style>
  <w:style w:type="paragraph" w:styleId="Footer">
    <w:name w:val="footer"/>
    <w:basedOn w:val="Normal"/>
    <w:link w:val="FooterChar"/>
    <w:uiPriority w:val="99"/>
    <w:unhideWhenUsed/>
    <w:rsid w:val="00413E01"/>
    <w:pPr>
      <w:tabs>
        <w:tab w:val="center" w:pos="4513"/>
        <w:tab w:val="right" w:pos="9026"/>
      </w:tabs>
    </w:pPr>
  </w:style>
  <w:style w:type="character" w:customStyle="1" w:styleId="FooterChar">
    <w:name w:val="Footer Char"/>
    <w:basedOn w:val="DefaultParagraphFont"/>
    <w:link w:val="Footer"/>
    <w:uiPriority w:val="99"/>
    <w:rsid w:val="00413E0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13E01"/>
  </w:style>
  <w:style w:type="paragraph" w:styleId="Header">
    <w:name w:val="header"/>
    <w:basedOn w:val="Normal"/>
    <w:link w:val="HeaderChar"/>
    <w:uiPriority w:val="99"/>
    <w:unhideWhenUsed/>
    <w:rsid w:val="00413E01"/>
    <w:pPr>
      <w:tabs>
        <w:tab w:val="center" w:pos="4513"/>
        <w:tab w:val="right" w:pos="9026"/>
      </w:tabs>
    </w:pPr>
  </w:style>
  <w:style w:type="character" w:customStyle="1" w:styleId="HeaderChar">
    <w:name w:val="Header Char"/>
    <w:basedOn w:val="DefaultParagraphFont"/>
    <w:link w:val="Header"/>
    <w:uiPriority w:val="99"/>
    <w:rsid w:val="00413E01"/>
    <w:rPr>
      <w:rFonts w:ascii="Times New Roman" w:eastAsia="Times New Roman" w:hAnsi="Times New Roman" w:cs="Times New Roman"/>
      <w:lang w:eastAsia="en-GB"/>
    </w:rPr>
  </w:style>
  <w:style w:type="paragraph" w:styleId="BodyText">
    <w:name w:val="Body Text"/>
    <w:basedOn w:val="Normal"/>
    <w:link w:val="BodyTextChar"/>
    <w:uiPriority w:val="1"/>
    <w:qFormat/>
    <w:rsid w:val="00413E01"/>
    <w:pPr>
      <w:widowControl w:val="0"/>
      <w:autoSpaceDE w:val="0"/>
      <w:autoSpaceDN w:val="0"/>
    </w:pPr>
    <w:rPr>
      <w:sz w:val="22"/>
      <w:szCs w:val="22"/>
      <w:lang w:val="en-US" w:eastAsia="en-US" w:bidi="en-US"/>
    </w:rPr>
  </w:style>
  <w:style w:type="character" w:customStyle="1" w:styleId="BodyTextChar">
    <w:name w:val="Body Text Char"/>
    <w:basedOn w:val="DefaultParagraphFont"/>
    <w:link w:val="BodyText"/>
    <w:uiPriority w:val="1"/>
    <w:rsid w:val="00413E01"/>
    <w:rPr>
      <w:rFonts w:ascii="Times New Roman" w:eastAsia="Times New Roman" w:hAnsi="Times New Roman" w:cs="Times New Roman"/>
      <w:sz w:val="22"/>
      <w:szCs w:val="22"/>
      <w:lang w:val="en-US" w:bidi="en-US"/>
    </w:rPr>
  </w:style>
  <w:style w:type="table" w:customStyle="1" w:styleId="TableGridLight1">
    <w:name w:val="Table Grid Light1"/>
    <w:basedOn w:val="TableNormal"/>
    <w:uiPriority w:val="40"/>
    <w:rsid w:val="003B14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51">
    <w:name w:val="Grid Table 1 Light - Accent 51"/>
    <w:basedOn w:val="TableNormal"/>
    <w:uiPriority w:val="46"/>
    <w:rsid w:val="003B143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510">
    <w:name w:val="Grid Table 1 Light - Accent 51"/>
    <w:basedOn w:val="TableNormal"/>
    <w:uiPriority w:val="46"/>
    <w:rsid w:val="003B143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required">
    <w:name w:val="required"/>
    <w:basedOn w:val="DefaultParagraphFont"/>
    <w:rsid w:val="00A95266"/>
  </w:style>
  <w:style w:type="character" w:styleId="LineNumber">
    <w:name w:val="line number"/>
    <w:basedOn w:val="DefaultParagraphFont"/>
    <w:uiPriority w:val="99"/>
    <w:semiHidden/>
    <w:unhideWhenUsed/>
    <w:rsid w:val="00042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4593">
      <w:bodyDiv w:val="1"/>
      <w:marLeft w:val="0"/>
      <w:marRight w:val="0"/>
      <w:marTop w:val="0"/>
      <w:marBottom w:val="0"/>
      <w:divBdr>
        <w:top w:val="none" w:sz="0" w:space="0" w:color="auto"/>
        <w:left w:val="none" w:sz="0" w:space="0" w:color="auto"/>
        <w:bottom w:val="none" w:sz="0" w:space="0" w:color="auto"/>
        <w:right w:val="none" w:sz="0" w:space="0" w:color="auto"/>
      </w:divBdr>
    </w:div>
    <w:div w:id="90584914">
      <w:bodyDiv w:val="1"/>
      <w:marLeft w:val="0"/>
      <w:marRight w:val="0"/>
      <w:marTop w:val="0"/>
      <w:marBottom w:val="0"/>
      <w:divBdr>
        <w:top w:val="none" w:sz="0" w:space="0" w:color="auto"/>
        <w:left w:val="none" w:sz="0" w:space="0" w:color="auto"/>
        <w:bottom w:val="none" w:sz="0" w:space="0" w:color="auto"/>
        <w:right w:val="none" w:sz="0" w:space="0" w:color="auto"/>
      </w:divBdr>
      <w:divsChild>
        <w:div w:id="1398893185">
          <w:marLeft w:val="0"/>
          <w:marRight w:val="0"/>
          <w:marTop w:val="0"/>
          <w:marBottom w:val="0"/>
          <w:divBdr>
            <w:top w:val="none" w:sz="0" w:space="0" w:color="auto"/>
            <w:left w:val="none" w:sz="0" w:space="0" w:color="auto"/>
            <w:bottom w:val="none" w:sz="0" w:space="0" w:color="auto"/>
            <w:right w:val="none" w:sz="0" w:space="0" w:color="auto"/>
          </w:divBdr>
          <w:divsChild>
            <w:div w:id="1012682649">
              <w:marLeft w:val="0"/>
              <w:marRight w:val="0"/>
              <w:marTop w:val="0"/>
              <w:marBottom w:val="0"/>
              <w:divBdr>
                <w:top w:val="none" w:sz="0" w:space="0" w:color="auto"/>
                <w:left w:val="none" w:sz="0" w:space="0" w:color="auto"/>
                <w:bottom w:val="none" w:sz="0" w:space="0" w:color="auto"/>
                <w:right w:val="none" w:sz="0" w:space="0" w:color="auto"/>
              </w:divBdr>
              <w:divsChild>
                <w:div w:id="14884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5614">
      <w:bodyDiv w:val="1"/>
      <w:marLeft w:val="0"/>
      <w:marRight w:val="0"/>
      <w:marTop w:val="0"/>
      <w:marBottom w:val="0"/>
      <w:divBdr>
        <w:top w:val="none" w:sz="0" w:space="0" w:color="auto"/>
        <w:left w:val="none" w:sz="0" w:space="0" w:color="auto"/>
        <w:bottom w:val="none" w:sz="0" w:space="0" w:color="auto"/>
        <w:right w:val="none" w:sz="0" w:space="0" w:color="auto"/>
      </w:divBdr>
    </w:div>
    <w:div w:id="271284358">
      <w:bodyDiv w:val="1"/>
      <w:marLeft w:val="0"/>
      <w:marRight w:val="0"/>
      <w:marTop w:val="0"/>
      <w:marBottom w:val="0"/>
      <w:divBdr>
        <w:top w:val="none" w:sz="0" w:space="0" w:color="auto"/>
        <w:left w:val="none" w:sz="0" w:space="0" w:color="auto"/>
        <w:bottom w:val="none" w:sz="0" w:space="0" w:color="auto"/>
        <w:right w:val="none" w:sz="0" w:space="0" w:color="auto"/>
      </w:divBdr>
    </w:div>
    <w:div w:id="291790245">
      <w:bodyDiv w:val="1"/>
      <w:marLeft w:val="0"/>
      <w:marRight w:val="0"/>
      <w:marTop w:val="0"/>
      <w:marBottom w:val="0"/>
      <w:divBdr>
        <w:top w:val="none" w:sz="0" w:space="0" w:color="auto"/>
        <w:left w:val="none" w:sz="0" w:space="0" w:color="auto"/>
        <w:bottom w:val="none" w:sz="0" w:space="0" w:color="auto"/>
        <w:right w:val="none" w:sz="0" w:space="0" w:color="auto"/>
      </w:divBdr>
    </w:div>
    <w:div w:id="314841130">
      <w:bodyDiv w:val="1"/>
      <w:marLeft w:val="0"/>
      <w:marRight w:val="0"/>
      <w:marTop w:val="0"/>
      <w:marBottom w:val="0"/>
      <w:divBdr>
        <w:top w:val="none" w:sz="0" w:space="0" w:color="auto"/>
        <w:left w:val="none" w:sz="0" w:space="0" w:color="auto"/>
        <w:bottom w:val="none" w:sz="0" w:space="0" w:color="auto"/>
        <w:right w:val="none" w:sz="0" w:space="0" w:color="auto"/>
      </w:divBdr>
      <w:divsChild>
        <w:div w:id="208885490">
          <w:marLeft w:val="0"/>
          <w:marRight w:val="0"/>
          <w:marTop w:val="0"/>
          <w:marBottom w:val="0"/>
          <w:divBdr>
            <w:top w:val="none" w:sz="0" w:space="0" w:color="auto"/>
            <w:left w:val="none" w:sz="0" w:space="0" w:color="auto"/>
            <w:bottom w:val="none" w:sz="0" w:space="0" w:color="auto"/>
            <w:right w:val="none" w:sz="0" w:space="0" w:color="auto"/>
          </w:divBdr>
          <w:divsChild>
            <w:div w:id="1257058217">
              <w:marLeft w:val="0"/>
              <w:marRight w:val="0"/>
              <w:marTop w:val="0"/>
              <w:marBottom w:val="0"/>
              <w:divBdr>
                <w:top w:val="none" w:sz="0" w:space="0" w:color="auto"/>
                <w:left w:val="none" w:sz="0" w:space="0" w:color="auto"/>
                <w:bottom w:val="none" w:sz="0" w:space="0" w:color="auto"/>
                <w:right w:val="none" w:sz="0" w:space="0" w:color="auto"/>
              </w:divBdr>
              <w:divsChild>
                <w:div w:id="12653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5744">
      <w:bodyDiv w:val="1"/>
      <w:marLeft w:val="0"/>
      <w:marRight w:val="0"/>
      <w:marTop w:val="0"/>
      <w:marBottom w:val="0"/>
      <w:divBdr>
        <w:top w:val="none" w:sz="0" w:space="0" w:color="auto"/>
        <w:left w:val="none" w:sz="0" w:space="0" w:color="auto"/>
        <w:bottom w:val="none" w:sz="0" w:space="0" w:color="auto"/>
        <w:right w:val="none" w:sz="0" w:space="0" w:color="auto"/>
      </w:divBdr>
    </w:div>
    <w:div w:id="338851645">
      <w:bodyDiv w:val="1"/>
      <w:marLeft w:val="0"/>
      <w:marRight w:val="0"/>
      <w:marTop w:val="0"/>
      <w:marBottom w:val="0"/>
      <w:divBdr>
        <w:top w:val="none" w:sz="0" w:space="0" w:color="auto"/>
        <w:left w:val="none" w:sz="0" w:space="0" w:color="auto"/>
        <w:bottom w:val="none" w:sz="0" w:space="0" w:color="auto"/>
        <w:right w:val="none" w:sz="0" w:space="0" w:color="auto"/>
      </w:divBdr>
    </w:div>
    <w:div w:id="519245794">
      <w:bodyDiv w:val="1"/>
      <w:marLeft w:val="0"/>
      <w:marRight w:val="0"/>
      <w:marTop w:val="0"/>
      <w:marBottom w:val="0"/>
      <w:divBdr>
        <w:top w:val="none" w:sz="0" w:space="0" w:color="auto"/>
        <w:left w:val="none" w:sz="0" w:space="0" w:color="auto"/>
        <w:bottom w:val="none" w:sz="0" w:space="0" w:color="auto"/>
        <w:right w:val="none" w:sz="0" w:space="0" w:color="auto"/>
      </w:divBdr>
    </w:div>
    <w:div w:id="576134200">
      <w:bodyDiv w:val="1"/>
      <w:marLeft w:val="0"/>
      <w:marRight w:val="0"/>
      <w:marTop w:val="0"/>
      <w:marBottom w:val="0"/>
      <w:divBdr>
        <w:top w:val="none" w:sz="0" w:space="0" w:color="auto"/>
        <w:left w:val="none" w:sz="0" w:space="0" w:color="auto"/>
        <w:bottom w:val="none" w:sz="0" w:space="0" w:color="auto"/>
        <w:right w:val="none" w:sz="0" w:space="0" w:color="auto"/>
      </w:divBdr>
    </w:div>
    <w:div w:id="584415980">
      <w:bodyDiv w:val="1"/>
      <w:marLeft w:val="0"/>
      <w:marRight w:val="0"/>
      <w:marTop w:val="0"/>
      <w:marBottom w:val="0"/>
      <w:divBdr>
        <w:top w:val="none" w:sz="0" w:space="0" w:color="auto"/>
        <w:left w:val="none" w:sz="0" w:space="0" w:color="auto"/>
        <w:bottom w:val="none" w:sz="0" w:space="0" w:color="auto"/>
        <w:right w:val="none" w:sz="0" w:space="0" w:color="auto"/>
      </w:divBdr>
    </w:div>
    <w:div w:id="622461455">
      <w:bodyDiv w:val="1"/>
      <w:marLeft w:val="0"/>
      <w:marRight w:val="0"/>
      <w:marTop w:val="0"/>
      <w:marBottom w:val="0"/>
      <w:divBdr>
        <w:top w:val="none" w:sz="0" w:space="0" w:color="auto"/>
        <w:left w:val="none" w:sz="0" w:space="0" w:color="auto"/>
        <w:bottom w:val="none" w:sz="0" w:space="0" w:color="auto"/>
        <w:right w:val="none" w:sz="0" w:space="0" w:color="auto"/>
      </w:divBdr>
    </w:div>
    <w:div w:id="686447851">
      <w:bodyDiv w:val="1"/>
      <w:marLeft w:val="0"/>
      <w:marRight w:val="0"/>
      <w:marTop w:val="0"/>
      <w:marBottom w:val="0"/>
      <w:divBdr>
        <w:top w:val="none" w:sz="0" w:space="0" w:color="auto"/>
        <w:left w:val="none" w:sz="0" w:space="0" w:color="auto"/>
        <w:bottom w:val="none" w:sz="0" w:space="0" w:color="auto"/>
        <w:right w:val="none" w:sz="0" w:space="0" w:color="auto"/>
      </w:divBdr>
      <w:divsChild>
        <w:div w:id="1134057532">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719287508">
      <w:bodyDiv w:val="1"/>
      <w:marLeft w:val="0"/>
      <w:marRight w:val="0"/>
      <w:marTop w:val="0"/>
      <w:marBottom w:val="0"/>
      <w:divBdr>
        <w:top w:val="none" w:sz="0" w:space="0" w:color="auto"/>
        <w:left w:val="none" w:sz="0" w:space="0" w:color="auto"/>
        <w:bottom w:val="none" w:sz="0" w:space="0" w:color="auto"/>
        <w:right w:val="none" w:sz="0" w:space="0" w:color="auto"/>
      </w:divBdr>
    </w:div>
    <w:div w:id="735200730">
      <w:bodyDiv w:val="1"/>
      <w:marLeft w:val="0"/>
      <w:marRight w:val="0"/>
      <w:marTop w:val="0"/>
      <w:marBottom w:val="0"/>
      <w:divBdr>
        <w:top w:val="none" w:sz="0" w:space="0" w:color="auto"/>
        <w:left w:val="none" w:sz="0" w:space="0" w:color="auto"/>
        <w:bottom w:val="none" w:sz="0" w:space="0" w:color="auto"/>
        <w:right w:val="none" w:sz="0" w:space="0" w:color="auto"/>
      </w:divBdr>
    </w:div>
    <w:div w:id="737554229">
      <w:bodyDiv w:val="1"/>
      <w:marLeft w:val="0"/>
      <w:marRight w:val="0"/>
      <w:marTop w:val="0"/>
      <w:marBottom w:val="0"/>
      <w:divBdr>
        <w:top w:val="none" w:sz="0" w:space="0" w:color="auto"/>
        <w:left w:val="none" w:sz="0" w:space="0" w:color="auto"/>
        <w:bottom w:val="none" w:sz="0" w:space="0" w:color="auto"/>
        <w:right w:val="none" w:sz="0" w:space="0" w:color="auto"/>
      </w:divBdr>
    </w:div>
    <w:div w:id="745149893">
      <w:bodyDiv w:val="1"/>
      <w:marLeft w:val="0"/>
      <w:marRight w:val="0"/>
      <w:marTop w:val="0"/>
      <w:marBottom w:val="0"/>
      <w:divBdr>
        <w:top w:val="none" w:sz="0" w:space="0" w:color="auto"/>
        <w:left w:val="none" w:sz="0" w:space="0" w:color="auto"/>
        <w:bottom w:val="none" w:sz="0" w:space="0" w:color="auto"/>
        <w:right w:val="none" w:sz="0" w:space="0" w:color="auto"/>
      </w:divBdr>
    </w:div>
    <w:div w:id="823396873">
      <w:bodyDiv w:val="1"/>
      <w:marLeft w:val="0"/>
      <w:marRight w:val="0"/>
      <w:marTop w:val="0"/>
      <w:marBottom w:val="0"/>
      <w:divBdr>
        <w:top w:val="none" w:sz="0" w:space="0" w:color="auto"/>
        <w:left w:val="none" w:sz="0" w:space="0" w:color="auto"/>
        <w:bottom w:val="none" w:sz="0" w:space="0" w:color="auto"/>
        <w:right w:val="none" w:sz="0" w:space="0" w:color="auto"/>
      </w:divBdr>
    </w:div>
    <w:div w:id="834801373">
      <w:bodyDiv w:val="1"/>
      <w:marLeft w:val="0"/>
      <w:marRight w:val="0"/>
      <w:marTop w:val="0"/>
      <w:marBottom w:val="0"/>
      <w:divBdr>
        <w:top w:val="none" w:sz="0" w:space="0" w:color="auto"/>
        <w:left w:val="none" w:sz="0" w:space="0" w:color="auto"/>
        <w:bottom w:val="none" w:sz="0" w:space="0" w:color="auto"/>
        <w:right w:val="none" w:sz="0" w:space="0" w:color="auto"/>
      </w:divBdr>
    </w:div>
    <w:div w:id="859855247">
      <w:bodyDiv w:val="1"/>
      <w:marLeft w:val="0"/>
      <w:marRight w:val="0"/>
      <w:marTop w:val="0"/>
      <w:marBottom w:val="0"/>
      <w:divBdr>
        <w:top w:val="none" w:sz="0" w:space="0" w:color="auto"/>
        <w:left w:val="none" w:sz="0" w:space="0" w:color="auto"/>
        <w:bottom w:val="none" w:sz="0" w:space="0" w:color="auto"/>
        <w:right w:val="none" w:sz="0" w:space="0" w:color="auto"/>
      </w:divBdr>
    </w:div>
    <w:div w:id="868421739">
      <w:bodyDiv w:val="1"/>
      <w:marLeft w:val="0"/>
      <w:marRight w:val="0"/>
      <w:marTop w:val="0"/>
      <w:marBottom w:val="0"/>
      <w:divBdr>
        <w:top w:val="none" w:sz="0" w:space="0" w:color="auto"/>
        <w:left w:val="none" w:sz="0" w:space="0" w:color="auto"/>
        <w:bottom w:val="none" w:sz="0" w:space="0" w:color="auto"/>
        <w:right w:val="none" w:sz="0" w:space="0" w:color="auto"/>
      </w:divBdr>
      <w:divsChild>
        <w:div w:id="1093206404">
          <w:marLeft w:val="0"/>
          <w:marRight w:val="0"/>
          <w:marTop w:val="0"/>
          <w:marBottom w:val="0"/>
          <w:divBdr>
            <w:top w:val="none" w:sz="0" w:space="0" w:color="auto"/>
            <w:left w:val="none" w:sz="0" w:space="0" w:color="auto"/>
            <w:bottom w:val="none" w:sz="0" w:space="0" w:color="auto"/>
            <w:right w:val="none" w:sz="0" w:space="0" w:color="auto"/>
          </w:divBdr>
          <w:divsChild>
            <w:div w:id="670527995">
              <w:marLeft w:val="0"/>
              <w:marRight w:val="0"/>
              <w:marTop w:val="0"/>
              <w:marBottom w:val="0"/>
              <w:divBdr>
                <w:top w:val="none" w:sz="0" w:space="0" w:color="auto"/>
                <w:left w:val="none" w:sz="0" w:space="0" w:color="auto"/>
                <w:bottom w:val="none" w:sz="0" w:space="0" w:color="auto"/>
                <w:right w:val="none" w:sz="0" w:space="0" w:color="auto"/>
              </w:divBdr>
              <w:divsChild>
                <w:div w:id="3271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7904">
      <w:bodyDiv w:val="1"/>
      <w:marLeft w:val="0"/>
      <w:marRight w:val="0"/>
      <w:marTop w:val="0"/>
      <w:marBottom w:val="0"/>
      <w:divBdr>
        <w:top w:val="none" w:sz="0" w:space="0" w:color="auto"/>
        <w:left w:val="none" w:sz="0" w:space="0" w:color="auto"/>
        <w:bottom w:val="none" w:sz="0" w:space="0" w:color="auto"/>
        <w:right w:val="none" w:sz="0" w:space="0" w:color="auto"/>
      </w:divBdr>
    </w:div>
    <w:div w:id="899248752">
      <w:bodyDiv w:val="1"/>
      <w:marLeft w:val="0"/>
      <w:marRight w:val="0"/>
      <w:marTop w:val="0"/>
      <w:marBottom w:val="0"/>
      <w:divBdr>
        <w:top w:val="none" w:sz="0" w:space="0" w:color="auto"/>
        <w:left w:val="none" w:sz="0" w:space="0" w:color="auto"/>
        <w:bottom w:val="none" w:sz="0" w:space="0" w:color="auto"/>
        <w:right w:val="none" w:sz="0" w:space="0" w:color="auto"/>
      </w:divBdr>
      <w:divsChild>
        <w:div w:id="1983077490">
          <w:marLeft w:val="0"/>
          <w:marRight w:val="0"/>
          <w:marTop w:val="0"/>
          <w:marBottom w:val="0"/>
          <w:divBdr>
            <w:top w:val="none" w:sz="0" w:space="0" w:color="auto"/>
            <w:left w:val="none" w:sz="0" w:space="0" w:color="auto"/>
            <w:bottom w:val="none" w:sz="0" w:space="0" w:color="auto"/>
            <w:right w:val="none" w:sz="0" w:space="0" w:color="auto"/>
          </w:divBdr>
          <w:divsChild>
            <w:div w:id="290212248">
              <w:marLeft w:val="0"/>
              <w:marRight w:val="0"/>
              <w:marTop w:val="0"/>
              <w:marBottom w:val="0"/>
              <w:divBdr>
                <w:top w:val="none" w:sz="0" w:space="0" w:color="auto"/>
                <w:left w:val="none" w:sz="0" w:space="0" w:color="auto"/>
                <w:bottom w:val="none" w:sz="0" w:space="0" w:color="auto"/>
                <w:right w:val="none" w:sz="0" w:space="0" w:color="auto"/>
              </w:divBdr>
              <w:divsChild>
                <w:div w:id="1166897654">
                  <w:marLeft w:val="0"/>
                  <w:marRight w:val="0"/>
                  <w:marTop w:val="0"/>
                  <w:marBottom w:val="0"/>
                  <w:divBdr>
                    <w:top w:val="none" w:sz="0" w:space="0" w:color="auto"/>
                    <w:left w:val="none" w:sz="0" w:space="0" w:color="auto"/>
                    <w:bottom w:val="none" w:sz="0" w:space="0" w:color="auto"/>
                    <w:right w:val="none" w:sz="0" w:space="0" w:color="auto"/>
                  </w:divBdr>
                  <w:divsChild>
                    <w:div w:id="1590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94875">
      <w:bodyDiv w:val="1"/>
      <w:marLeft w:val="0"/>
      <w:marRight w:val="0"/>
      <w:marTop w:val="0"/>
      <w:marBottom w:val="0"/>
      <w:divBdr>
        <w:top w:val="none" w:sz="0" w:space="0" w:color="auto"/>
        <w:left w:val="none" w:sz="0" w:space="0" w:color="auto"/>
        <w:bottom w:val="none" w:sz="0" w:space="0" w:color="auto"/>
        <w:right w:val="none" w:sz="0" w:space="0" w:color="auto"/>
      </w:divBdr>
      <w:divsChild>
        <w:div w:id="249435439">
          <w:marLeft w:val="0"/>
          <w:marRight w:val="0"/>
          <w:marTop w:val="0"/>
          <w:marBottom w:val="0"/>
          <w:divBdr>
            <w:top w:val="none" w:sz="0" w:space="0" w:color="auto"/>
            <w:left w:val="none" w:sz="0" w:space="0" w:color="auto"/>
            <w:bottom w:val="none" w:sz="0" w:space="0" w:color="auto"/>
            <w:right w:val="none" w:sz="0" w:space="0" w:color="auto"/>
          </w:divBdr>
          <w:divsChild>
            <w:div w:id="1885942091">
              <w:marLeft w:val="0"/>
              <w:marRight w:val="0"/>
              <w:marTop w:val="0"/>
              <w:marBottom w:val="0"/>
              <w:divBdr>
                <w:top w:val="none" w:sz="0" w:space="0" w:color="auto"/>
                <w:left w:val="none" w:sz="0" w:space="0" w:color="auto"/>
                <w:bottom w:val="none" w:sz="0" w:space="0" w:color="auto"/>
                <w:right w:val="none" w:sz="0" w:space="0" w:color="auto"/>
              </w:divBdr>
              <w:divsChild>
                <w:div w:id="15410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5038">
      <w:bodyDiv w:val="1"/>
      <w:marLeft w:val="0"/>
      <w:marRight w:val="0"/>
      <w:marTop w:val="0"/>
      <w:marBottom w:val="0"/>
      <w:divBdr>
        <w:top w:val="none" w:sz="0" w:space="0" w:color="auto"/>
        <w:left w:val="none" w:sz="0" w:space="0" w:color="auto"/>
        <w:bottom w:val="none" w:sz="0" w:space="0" w:color="auto"/>
        <w:right w:val="none" w:sz="0" w:space="0" w:color="auto"/>
      </w:divBdr>
      <w:divsChild>
        <w:div w:id="1190221031">
          <w:marLeft w:val="0"/>
          <w:marRight w:val="0"/>
          <w:marTop w:val="0"/>
          <w:marBottom w:val="0"/>
          <w:divBdr>
            <w:top w:val="none" w:sz="0" w:space="0" w:color="auto"/>
            <w:left w:val="none" w:sz="0" w:space="0" w:color="auto"/>
            <w:bottom w:val="none" w:sz="0" w:space="0" w:color="auto"/>
            <w:right w:val="none" w:sz="0" w:space="0" w:color="auto"/>
          </w:divBdr>
          <w:divsChild>
            <w:div w:id="177503069">
              <w:marLeft w:val="0"/>
              <w:marRight w:val="0"/>
              <w:marTop w:val="0"/>
              <w:marBottom w:val="0"/>
              <w:divBdr>
                <w:top w:val="none" w:sz="0" w:space="0" w:color="auto"/>
                <w:left w:val="none" w:sz="0" w:space="0" w:color="auto"/>
                <w:bottom w:val="none" w:sz="0" w:space="0" w:color="auto"/>
                <w:right w:val="none" w:sz="0" w:space="0" w:color="auto"/>
              </w:divBdr>
              <w:divsChild>
                <w:div w:id="221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02339">
      <w:bodyDiv w:val="1"/>
      <w:marLeft w:val="0"/>
      <w:marRight w:val="0"/>
      <w:marTop w:val="0"/>
      <w:marBottom w:val="0"/>
      <w:divBdr>
        <w:top w:val="none" w:sz="0" w:space="0" w:color="auto"/>
        <w:left w:val="none" w:sz="0" w:space="0" w:color="auto"/>
        <w:bottom w:val="none" w:sz="0" w:space="0" w:color="auto"/>
        <w:right w:val="none" w:sz="0" w:space="0" w:color="auto"/>
      </w:divBdr>
      <w:divsChild>
        <w:div w:id="1981617068">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1033312266">
      <w:bodyDiv w:val="1"/>
      <w:marLeft w:val="0"/>
      <w:marRight w:val="0"/>
      <w:marTop w:val="0"/>
      <w:marBottom w:val="0"/>
      <w:divBdr>
        <w:top w:val="none" w:sz="0" w:space="0" w:color="auto"/>
        <w:left w:val="none" w:sz="0" w:space="0" w:color="auto"/>
        <w:bottom w:val="none" w:sz="0" w:space="0" w:color="auto"/>
        <w:right w:val="none" w:sz="0" w:space="0" w:color="auto"/>
      </w:divBdr>
    </w:div>
    <w:div w:id="1133214819">
      <w:bodyDiv w:val="1"/>
      <w:marLeft w:val="0"/>
      <w:marRight w:val="0"/>
      <w:marTop w:val="0"/>
      <w:marBottom w:val="0"/>
      <w:divBdr>
        <w:top w:val="none" w:sz="0" w:space="0" w:color="auto"/>
        <w:left w:val="none" w:sz="0" w:space="0" w:color="auto"/>
        <w:bottom w:val="none" w:sz="0" w:space="0" w:color="auto"/>
        <w:right w:val="none" w:sz="0" w:space="0" w:color="auto"/>
      </w:divBdr>
    </w:div>
    <w:div w:id="1134787611">
      <w:bodyDiv w:val="1"/>
      <w:marLeft w:val="0"/>
      <w:marRight w:val="0"/>
      <w:marTop w:val="0"/>
      <w:marBottom w:val="0"/>
      <w:divBdr>
        <w:top w:val="none" w:sz="0" w:space="0" w:color="auto"/>
        <w:left w:val="none" w:sz="0" w:space="0" w:color="auto"/>
        <w:bottom w:val="none" w:sz="0" w:space="0" w:color="auto"/>
        <w:right w:val="none" w:sz="0" w:space="0" w:color="auto"/>
      </w:divBdr>
    </w:div>
    <w:div w:id="1144618422">
      <w:bodyDiv w:val="1"/>
      <w:marLeft w:val="0"/>
      <w:marRight w:val="0"/>
      <w:marTop w:val="0"/>
      <w:marBottom w:val="0"/>
      <w:divBdr>
        <w:top w:val="none" w:sz="0" w:space="0" w:color="auto"/>
        <w:left w:val="none" w:sz="0" w:space="0" w:color="auto"/>
        <w:bottom w:val="none" w:sz="0" w:space="0" w:color="auto"/>
        <w:right w:val="none" w:sz="0" w:space="0" w:color="auto"/>
      </w:divBdr>
    </w:div>
    <w:div w:id="1174760443">
      <w:bodyDiv w:val="1"/>
      <w:marLeft w:val="0"/>
      <w:marRight w:val="0"/>
      <w:marTop w:val="0"/>
      <w:marBottom w:val="0"/>
      <w:divBdr>
        <w:top w:val="none" w:sz="0" w:space="0" w:color="auto"/>
        <w:left w:val="none" w:sz="0" w:space="0" w:color="auto"/>
        <w:bottom w:val="none" w:sz="0" w:space="0" w:color="auto"/>
        <w:right w:val="none" w:sz="0" w:space="0" w:color="auto"/>
      </w:divBdr>
    </w:div>
    <w:div w:id="1195458360">
      <w:bodyDiv w:val="1"/>
      <w:marLeft w:val="0"/>
      <w:marRight w:val="0"/>
      <w:marTop w:val="0"/>
      <w:marBottom w:val="0"/>
      <w:divBdr>
        <w:top w:val="none" w:sz="0" w:space="0" w:color="auto"/>
        <w:left w:val="none" w:sz="0" w:space="0" w:color="auto"/>
        <w:bottom w:val="none" w:sz="0" w:space="0" w:color="auto"/>
        <w:right w:val="none" w:sz="0" w:space="0" w:color="auto"/>
      </w:divBdr>
    </w:div>
    <w:div w:id="1226720244">
      <w:bodyDiv w:val="1"/>
      <w:marLeft w:val="0"/>
      <w:marRight w:val="0"/>
      <w:marTop w:val="0"/>
      <w:marBottom w:val="0"/>
      <w:divBdr>
        <w:top w:val="none" w:sz="0" w:space="0" w:color="auto"/>
        <w:left w:val="none" w:sz="0" w:space="0" w:color="auto"/>
        <w:bottom w:val="none" w:sz="0" w:space="0" w:color="auto"/>
        <w:right w:val="none" w:sz="0" w:space="0" w:color="auto"/>
      </w:divBdr>
    </w:div>
    <w:div w:id="1230075537">
      <w:bodyDiv w:val="1"/>
      <w:marLeft w:val="0"/>
      <w:marRight w:val="0"/>
      <w:marTop w:val="0"/>
      <w:marBottom w:val="0"/>
      <w:divBdr>
        <w:top w:val="none" w:sz="0" w:space="0" w:color="auto"/>
        <w:left w:val="none" w:sz="0" w:space="0" w:color="auto"/>
        <w:bottom w:val="none" w:sz="0" w:space="0" w:color="auto"/>
        <w:right w:val="none" w:sz="0" w:space="0" w:color="auto"/>
      </w:divBdr>
    </w:div>
    <w:div w:id="1250653381">
      <w:bodyDiv w:val="1"/>
      <w:marLeft w:val="0"/>
      <w:marRight w:val="0"/>
      <w:marTop w:val="0"/>
      <w:marBottom w:val="0"/>
      <w:divBdr>
        <w:top w:val="none" w:sz="0" w:space="0" w:color="auto"/>
        <w:left w:val="none" w:sz="0" w:space="0" w:color="auto"/>
        <w:bottom w:val="none" w:sz="0" w:space="0" w:color="auto"/>
        <w:right w:val="none" w:sz="0" w:space="0" w:color="auto"/>
      </w:divBdr>
    </w:div>
    <w:div w:id="1252474230">
      <w:bodyDiv w:val="1"/>
      <w:marLeft w:val="0"/>
      <w:marRight w:val="0"/>
      <w:marTop w:val="0"/>
      <w:marBottom w:val="0"/>
      <w:divBdr>
        <w:top w:val="none" w:sz="0" w:space="0" w:color="auto"/>
        <w:left w:val="none" w:sz="0" w:space="0" w:color="auto"/>
        <w:bottom w:val="none" w:sz="0" w:space="0" w:color="auto"/>
        <w:right w:val="none" w:sz="0" w:space="0" w:color="auto"/>
      </w:divBdr>
    </w:div>
    <w:div w:id="1290625708">
      <w:bodyDiv w:val="1"/>
      <w:marLeft w:val="0"/>
      <w:marRight w:val="0"/>
      <w:marTop w:val="0"/>
      <w:marBottom w:val="0"/>
      <w:divBdr>
        <w:top w:val="none" w:sz="0" w:space="0" w:color="auto"/>
        <w:left w:val="none" w:sz="0" w:space="0" w:color="auto"/>
        <w:bottom w:val="none" w:sz="0" w:space="0" w:color="auto"/>
        <w:right w:val="none" w:sz="0" w:space="0" w:color="auto"/>
      </w:divBdr>
    </w:div>
    <w:div w:id="1312708101">
      <w:bodyDiv w:val="1"/>
      <w:marLeft w:val="0"/>
      <w:marRight w:val="0"/>
      <w:marTop w:val="0"/>
      <w:marBottom w:val="0"/>
      <w:divBdr>
        <w:top w:val="none" w:sz="0" w:space="0" w:color="auto"/>
        <w:left w:val="none" w:sz="0" w:space="0" w:color="auto"/>
        <w:bottom w:val="none" w:sz="0" w:space="0" w:color="auto"/>
        <w:right w:val="none" w:sz="0" w:space="0" w:color="auto"/>
      </w:divBdr>
    </w:div>
    <w:div w:id="1319992677">
      <w:bodyDiv w:val="1"/>
      <w:marLeft w:val="0"/>
      <w:marRight w:val="0"/>
      <w:marTop w:val="0"/>
      <w:marBottom w:val="0"/>
      <w:divBdr>
        <w:top w:val="none" w:sz="0" w:space="0" w:color="auto"/>
        <w:left w:val="none" w:sz="0" w:space="0" w:color="auto"/>
        <w:bottom w:val="none" w:sz="0" w:space="0" w:color="auto"/>
        <w:right w:val="none" w:sz="0" w:space="0" w:color="auto"/>
      </w:divBdr>
    </w:div>
    <w:div w:id="1321927955">
      <w:bodyDiv w:val="1"/>
      <w:marLeft w:val="0"/>
      <w:marRight w:val="0"/>
      <w:marTop w:val="0"/>
      <w:marBottom w:val="0"/>
      <w:divBdr>
        <w:top w:val="none" w:sz="0" w:space="0" w:color="auto"/>
        <w:left w:val="none" w:sz="0" w:space="0" w:color="auto"/>
        <w:bottom w:val="none" w:sz="0" w:space="0" w:color="auto"/>
        <w:right w:val="none" w:sz="0" w:space="0" w:color="auto"/>
      </w:divBdr>
    </w:div>
    <w:div w:id="1334606064">
      <w:bodyDiv w:val="1"/>
      <w:marLeft w:val="0"/>
      <w:marRight w:val="0"/>
      <w:marTop w:val="0"/>
      <w:marBottom w:val="0"/>
      <w:divBdr>
        <w:top w:val="none" w:sz="0" w:space="0" w:color="auto"/>
        <w:left w:val="none" w:sz="0" w:space="0" w:color="auto"/>
        <w:bottom w:val="none" w:sz="0" w:space="0" w:color="auto"/>
        <w:right w:val="none" w:sz="0" w:space="0" w:color="auto"/>
      </w:divBdr>
    </w:div>
    <w:div w:id="1368066244">
      <w:bodyDiv w:val="1"/>
      <w:marLeft w:val="0"/>
      <w:marRight w:val="0"/>
      <w:marTop w:val="0"/>
      <w:marBottom w:val="0"/>
      <w:divBdr>
        <w:top w:val="none" w:sz="0" w:space="0" w:color="auto"/>
        <w:left w:val="none" w:sz="0" w:space="0" w:color="auto"/>
        <w:bottom w:val="none" w:sz="0" w:space="0" w:color="auto"/>
        <w:right w:val="none" w:sz="0" w:space="0" w:color="auto"/>
      </w:divBdr>
    </w:div>
    <w:div w:id="1386566148">
      <w:bodyDiv w:val="1"/>
      <w:marLeft w:val="0"/>
      <w:marRight w:val="0"/>
      <w:marTop w:val="0"/>
      <w:marBottom w:val="0"/>
      <w:divBdr>
        <w:top w:val="none" w:sz="0" w:space="0" w:color="auto"/>
        <w:left w:val="none" w:sz="0" w:space="0" w:color="auto"/>
        <w:bottom w:val="none" w:sz="0" w:space="0" w:color="auto"/>
        <w:right w:val="none" w:sz="0" w:space="0" w:color="auto"/>
      </w:divBdr>
    </w:div>
    <w:div w:id="1460224247">
      <w:bodyDiv w:val="1"/>
      <w:marLeft w:val="0"/>
      <w:marRight w:val="0"/>
      <w:marTop w:val="0"/>
      <w:marBottom w:val="0"/>
      <w:divBdr>
        <w:top w:val="none" w:sz="0" w:space="0" w:color="auto"/>
        <w:left w:val="none" w:sz="0" w:space="0" w:color="auto"/>
        <w:bottom w:val="none" w:sz="0" w:space="0" w:color="auto"/>
        <w:right w:val="none" w:sz="0" w:space="0" w:color="auto"/>
      </w:divBdr>
      <w:divsChild>
        <w:div w:id="1237588709">
          <w:marLeft w:val="0"/>
          <w:marRight w:val="0"/>
          <w:marTop w:val="0"/>
          <w:marBottom w:val="0"/>
          <w:divBdr>
            <w:top w:val="none" w:sz="0" w:space="0" w:color="auto"/>
            <w:left w:val="none" w:sz="0" w:space="0" w:color="auto"/>
            <w:bottom w:val="none" w:sz="0" w:space="0" w:color="auto"/>
            <w:right w:val="none" w:sz="0" w:space="0" w:color="auto"/>
          </w:divBdr>
          <w:divsChild>
            <w:div w:id="1075739111">
              <w:marLeft w:val="0"/>
              <w:marRight w:val="0"/>
              <w:marTop w:val="0"/>
              <w:marBottom w:val="0"/>
              <w:divBdr>
                <w:top w:val="none" w:sz="0" w:space="0" w:color="auto"/>
                <w:left w:val="none" w:sz="0" w:space="0" w:color="auto"/>
                <w:bottom w:val="none" w:sz="0" w:space="0" w:color="auto"/>
                <w:right w:val="none" w:sz="0" w:space="0" w:color="auto"/>
              </w:divBdr>
              <w:divsChild>
                <w:div w:id="9110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29211">
      <w:bodyDiv w:val="1"/>
      <w:marLeft w:val="0"/>
      <w:marRight w:val="0"/>
      <w:marTop w:val="0"/>
      <w:marBottom w:val="0"/>
      <w:divBdr>
        <w:top w:val="none" w:sz="0" w:space="0" w:color="auto"/>
        <w:left w:val="none" w:sz="0" w:space="0" w:color="auto"/>
        <w:bottom w:val="none" w:sz="0" w:space="0" w:color="auto"/>
        <w:right w:val="none" w:sz="0" w:space="0" w:color="auto"/>
      </w:divBdr>
    </w:div>
    <w:div w:id="1779645015">
      <w:bodyDiv w:val="1"/>
      <w:marLeft w:val="0"/>
      <w:marRight w:val="0"/>
      <w:marTop w:val="0"/>
      <w:marBottom w:val="0"/>
      <w:divBdr>
        <w:top w:val="none" w:sz="0" w:space="0" w:color="auto"/>
        <w:left w:val="none" w:sz="0" w:space="0" w:color="auto"/>
        <w:bottom w:val="none" w:sz="0" w:space="0" w:color="auto"/>
        <w:right w:val="none" w:sz="0" w:space="0" w:color="auto"/>
      </w:divBdr>
      <w:divsChild>
        <w:div w:id="2036301162">
          <w:marLeft w:val="0"/>
          <w:marRight w:val="0"/>
          <w:marTop w:val="0"/>
          <w:marBottom w:val="0"/>
          <w:divBdr>
            <w:top w:val="none" w:sz="0" w:space="0" w:color="auto"/>
            <w:left w:val="none" w:sz="0" w:space="0" w:color="auto"/>
            <w:bottom w:val="none" w:sz="0" w:space="0" w:color="auto"/>
            <w:right w:val="none" w:sz="0" w:space="0" w:color="auto"/>
          </w:divBdr>
          <w:divsChild>
            <w:div w:id="1863976303">
              <w:marLeft w:val="0"/>
              <w:marRight w:val="0"/>
              <w:marTop w:val="0"/>
              <w:marBottom w:val="0"/>
              <w:divBdr>
                <w:top w:val="none" w:sz="0" w:space="0" w:color="auto"/>
                <w:left w:val="none" w:sz="0" w:space="0" w:color="auto"/>
                <w:bottom w:val="none" w:sz="0" w:space="0" w:color="auto"/>
                <w:right w:val="none" w:sz="0" w:space="0" w:color="auto"/>
              </w:divBdr>
              <w:divsChild>
                <w:div w:id="200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4280">
      <w:bodyDiv w:val="1"/>
      <w:marLeft w:val="0"/>
      <w:marRight w:val="0"/>
      <w:marTop w:val="0"/>
      <w:marBottom w:val="0"/>
      <w:divBdr>
        <w:top w:val="none" w:sz="0" w:space="0" w:color="auto"/>
        <w:left w:val="none" w:sz="0" w:space="0" w:color="auto"/>
        <w:bottom w:val="none" w:sz="0" w:space="0" w:color="auto"/>
        <w:right w:val="none" w:sz="0" w:space="0" w:color="auto"/>
      </w:divBdr>
    </w:div>
    <w:div w:id="1904869774">
      <w:bodyDiv w:val="1"/>
      <w:marLeft w:val="0"/>
      <w:marRight w:val="0"/>
      <w:marTop w:val="0"/>
      <w:marBottom w:val="0"/>
      <w:divBdr>
        <w:top w:val="none" w:sz="0" w:space="0" w:color="auto"/>
        <w:left w:val="none" w:sz="0" w:space="0" w:color="auto"/>
        <w:bottom w:val="none" w:sz="0" w:space="0" w:color="auto"/>
        <w:right w:val="none" w:sz="0" w:space="0" w:color="auto"/>
      </w:divBdr>
    </w:div>
    <w:div w:id="1977761092">
      <w:bodyDiv w:val="1"/>
      <w:marLeft w:val="0"/>
      <w:marRight w:val="0"/>
      <w:marTop w:val="0"/>
      <w:marBottom w:val="0"/>
      <w:divBdr>
        <w:top w:val="none" w:sz="0" w:space="0" w:color="auto"/>
        <w:left w:val="none" w:sz="0" w:space="0" w:color="auto"/>
        <w:bottom w:val="none" w:sz="0" w:space="0" w:color="auto"/>
        <w:right w:val="none" w:sz="0" w:space="0" w:color="auto"/>
      </w:divBdr>
    </w:div>
    <w:div w:id="2004161564">
      <w:bodyDiv w:val="1"/>
      <w:marLeft w:val="0"/>
      <w:marRight w:val="0"/>
      <w:marTop w:val="0"/>
      <w:marBottom w:val="0"/>
      <w:divBdr>
        <w:top w:val="none" w:sz="0" w:space="0" w:color="auto"/>
        <w:left w:val="none" w:sz="0" w:space="0" w:color="auto"/>
        <w:bottom w:val="none" w:sz="0" w:space="0" w:color="auto"/>
        <w:right w:val="none" w:sz="0" w:space="0" w:color="auto"/>
      </w:divBdr>
    </w:div>
    <w:div w:id="2040887640">
      <w:bodyDiv w:val="1"/>
      <w:marLeft w:val="0"/>
      <w:marRight w:val="0"/>
      <w:marTop w:val="0"/>
      <w:marBottom w:val="0"/>
      <w:divBdr>
        <w:top w:val="none" w:sz="0" w:space="0" w:color="auto"/>
        <w:left w:val="none" w:sz="0" w:space="0" w:color="auto"/>
        <w:bottom w:val="none" w:sz="0" w:space="0" w:color="auto"/>
        <w:right w:val="none" w:sz="0" w:space="0" w:color="auto"/>
      </w:divBdr>
    </w:div>
    <w:div w:id="2047216099">
      <w:bodyDiv w:val="1"/>
      <w:marLeft w:val="0"/>
      <w:marRight w:val="0"/>
      <w:marTop w:val="0"/>
      <w:marBottom w:val="0"/>
      <w:divBdr>
        <w:top w:val="none" w:sz="0" w:space="0" w:color="auto"/>
        <w:left w:val="none" w:sz="0" w:space="0" w:color="auto"/>
        <w:bottom w:val="none" w:sz="0" w:space="0" w:color="auto"/>
        <w:right w:val="none" w:sz="0" w:space="0" w:color="auto"/>
      </w:divBdr>
      <w:divsChild>
        <w:div w:id="1426271935">
          <w:marLeft w:val="0"/>
          <w:marRight w:val="0"/>
          <w:marTop w:val="0"/>
          <w:marBottom w:val="0"/>
          <w:divBdr>
            <w:top w:val="none" w:sz="0" w:space="0" w:color="auto"/>
            <w:left w:val="none" w:sz="0" w:space="0" w:color="auto"/>
            <w:bottom w:val="none" w:sz="0" w:space="0" w:color="auto"/>
            <w:right w:val="none" w:sz="0" w:space="0" w:color="auto"/>
          </w:divBdr>
          <w:divsChild>
            <w:div w:id="131798960">
              <w:marLeft w:val="0"/>
              <w:marRight w:val="0"/>
              <w:marTop w:val="0"/>
              <w:marBottom w:val="0"/>
              <w:divBdr>
                <w:top w:val="none" w:sz="0" w:space="0" w:color="auto"/>
                <w:left w:val="none" w:sz="0" w:space="0" w:color="auto"/>
                <w:bottom w:val="none" w:sz="0" w:space="0" w:color="auto"/>
                <w:right w:val="none" w:sz="0" w:space="0" w:color="auto"/>
              </w:divBdr>
              <w:divsChild>
                <w:div w:id="5817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4440">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project.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F37E3CC-DB05-40D9-AF5E-5181B422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51045</Words>
  <Characters>290962</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Raisi-Estabragh</dc:creator>
  <cp:lastModifiedBy>Drake K.A.</cp:lastModifiedBy>
  <cp:revision>2</cp:revision>
  <dcterms:created xsi:type="dcterms:W3CDTF">2020-05-18T11:57:00Z</dcterms:created>
  <dcterms:modified xsi:type="dcterms:W3CDTF">2020-05-18T11:57:00Z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http://www.zotero.org/styles/european-heart-journal-cardiovascular-imaging</vt:lpwstr>
  </property>
  <property fmtid="{D5CDD505-2E9C-101B-9397-08002B2CF9AE}" pid="15" name="Mendeley Recent Style Name 6_1">
    <vt:lpwstr>European Heart Journal - Cardiovascular Imaging</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937765fd-da0f-3dac-8008-8e44c038a03f</vt:lpwstr>
  </property>
  <property fmtid="{D5CDD505-2E9C-101B-9397-08002B2CF9AE}" pid="24" name="Mendeley Citation Style_1">
    <vt:lpwstr>http://www.zotero.org/styles/vancouver</vt:lpwstr>
  </property>
</Properties>
</file>