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ACB" w:rsidRDefault="00465ACB" w:rsidP="000A47C5">
      <w:pPr>
        <w:pStyle w:val="Articletitle"/>
      </w:pPr>
      <w:bookmarkStart w:id="0" w:name="_GoBack"/>
      <w:bookmarkEnd w:id="0"/>
      <w:r w:rsidRPr="000966AD">
        <w:t xml:space="preserve">Estimating costs and benefits of stroke management: A population-based simulation model </w:t>
      </w:r>
    </w:p>
    <w:p w:rsidR="00465ACB" w:rsidRPr="00473EFE" w:rsidRDefault="00465ACB" w:rsidP="000A47C5">
      <w:pPr>
        <w:rPr>
          <w:sz w:val="20"/>
          <w:szCs w:val="20"/>
        </w:rPr>
      </w:pPr>
    </w:p>
    <w:p w:rsidR="00465ACB" w:rsidRPr="00CF48DD" w:rsidRDefault="00465ACB" w:rsidP="000A47C5">
      <w:pPr>
        <w:pStyle w:val="Authornames"/>
      </w:pPr>
      <w:r w:rsidRPr="00CF48DD">
        <w:t>Steffen Bayer</w:t>
      </w:r>
      <w:r w:rsidRPr="00CF48DD">
        <w:rPr>
          <w:vertAlign w:val="superscript"/>
        </w:rPr>
        <w:t>1</w:t>
      </w:r>
      <w:r w:rsidRPr="00CF48DD">
        <w:t>, Kirsten Eom</w:t>
      </w:r>
      <w:r w:rsidRPr="00CF48DD">
        <w:rPr>
          <w:vertAlign w:val="superscript"/>
        </w:rPr>
        <w:t>2</w:t>
      </w:r>
      <w:r w:rsidRPr="00CF48DD">
        <w:t>, Nirmali Sivapragasam</w:t>
      </w:r>
      <w:r w:rsidRPr="00CF48DD">
        <w:rPr>
          <w:vertAlign w:val="superscript"/>
        </w:rPr>
        <w:t>3</w:t>
      </w:r>
      <w:r w:rsidRPr="00CF48DD">
        <w:t>, Deidre A. De Silva</w:t>
      </w:r>
      <w:r w:rsidRPr="00CF48DD">
        <w:rPr>
          <w:vertAlign w:val="superscript"/>
        </w:rPr>
        <w:t>4</w:t>
      </w:r>
      <w:r w:rsidRPr="00CF48DD">
        <w:t>, Gerald Choon-Huat Koh</w:t>
      </w:r>
      <w:r w:rsidRPr="00CF48DD">
        <w:rPr>
          <w:vertAlign w:val="superscript"/>
        </w:rPr>
        <w:t>5</w:t>
      </w:r>
      <w:r w:rsidRPr="00CF48DD">
        <w:t>, Kelvin Bry</w:t>
      </w:r>
      <w:r>
        <w:t>an Tan</w:t>
      </w:r>
      <w:r w:rsidRPr="00CF48DD">
        <w:rPr>
          <w:vertAlign w:val="superscript"/>
        </w:rPr>
        <w:t>5,6</w:t>
      </w:r>
      <w:r w:rsidRPr="00CF48DD">
        <w:t>, John P. Ansah</w:t>
      </w:r>
      <w:r w:rsidRPr="00CF48DD">
        <w:rPr>
          <w:vertAlign w:val="superscript"/>
        </w:rPr>
        <w:t>3</w:t>
      </w:r>
      <w:r>
        <w:t>, David B. Matchar</w:t>
      </w:r>
      <w:r w:rsidRPr="00CF48DD">
        <w:rPr>
          <w:vertAlign w:val="superscript"/>
        </w:rPr>
        <w:t>3,</w:t>
      </w:r>
      <w:r>
        <w:rPr>
          <w:vertAlign w:val="superscript"/>
        </w:rPr>
        <w:t>7</w:t>
      </w:r>
    </w:p>
    <w:p w:rsidR="00465ACB" w:rsidRPr="00CF48DD" w:rsidRDefault="00465ACB" w:rsidP="000A47C5">
      <w:pPr>
        <w:rPr>
          <w:sz w:val="20"/>
          <w:szCs w:val="20"/>
        </w:rPr>
      </w:pPr>
    </w:p>
    <w:p w:rsidR="00465ACB" w:rsidRPr="00CF48DD" w:rsidRDefault="00465ACB" w:rsidP="000A47C5">
      <w:pPr>
        <w:pStyle w:val="Affiliation"/>
      </w:pPr>
      <w:r w:rsidRPr="00CF48DD">
        <w:t>1 Southampton Business School, University of Southampton, UK</w:t>
      </w:r>
    </w:p>
    <w:p w:rsidR="00465ACB" w:rsidRPr="00CF48DD" w:rsidRDefault="00465ACB" w:rsidP="000A47C5">
      <w:pPr>
        <w:pStyle w:val="Affiliation"/>
      </w:pPr>
      <w:r w:rsidRPr="00CF48DD">
        <w:t xml:space="preserve">2 </w:t>
      </w:r>
      <w:r>
        <w:t xml:space="preserve">Department of Health Policy and Management, </w:t>
      </w:r>
      <w:r w:rsidRPr="00CF48DD">
        <w:t>Graduate School of Public Health, University of Pittsburgh, PA, USA</w:t>
      </w:r>
    </w:p>
    <w:p w:rsidR="00465ACB" w:rsidRPr="00CF48DD" w:rsidRDefault="00465ACB" w:rsidP="000A47C5">
      <w:pPr>
        <w:pStyle w:val="Affiliation"/>
      </w:pPr>
      <w:r w:rsidRPr="00CF48DD">
        <w:t>3 Program in Health Services &amp; Systems Research, Duke-NUS Medical School, Singapore</w:t>
      </w:r>
    </w:p>
    <w:p w:rsidR="00465ACB" w:rsidRPr="00CF48DD" w:rsidRDefault="00465ACB" w:rsidP="000A47C5">
      <w:pPr>
        <w:pStyle w:val="Affiliation"/>
      </w:pPr>
      <w:r w:rsidRPr="00CF48DD">
        <w:t>4 Department of Neurology, Singapore General Hospital, National Neuroscience Institute, Singapore</w:t>
      </w:r>
    </w:p>
    <w:p w:rsidR="00465ACB" w:rsidRPr="00CF48DD" w:rsidRDefault="00465ACB" w:rsidP="000A47C5">
      <w:pPr>
        <w:pStyle w:val="Affiliation"/>
      </w:pPr>
      <w:r w:rsidRPr="00CF48DD">
        <w:t>5 Saw Swee Hock School of Public Health, National University of Singapore, Singapore</w:t>
      </w:r>
    </w:p>
    <w:p w:rsidR="00465ACB" w:rsidRPr="00CF48DD" w:rsidRDefault="00465ACB" w:rsidP="000A47C5">
      <w:pPr>
        <w:pStyle w:val="Affiliation"/>
      </w:pPr>
      <w:r w:rsidRPr="00CF48DD">
        <w:t>6 Policy Research and Economics Office, Ministry of Health, Singapore</w:t>
      </w:r>
    </w:p>
    <w:p w:rsidR="00465ACB" w:rsidRPr="00CF48DD" w:rsidRDefault="00465ACB" w:rsidP="000A47C5">
      <w:pPr>
        <w:pStyle w:val="Affiliation"/>
      </w:pPr>
      <w:r w:rsidRPr="00CF48DD">
        <w:t>7 Department of Medicine, Duke Medical School, Durham, NC, USA</w:t>
      </w:r>
    </w:p>
    <w:p w:rsidR="00465ACB" w:rsidRDefault="00465ACB" w:rsidP="000A47C5">
      <w:pPr>
        <w:rPr>
          <w:sz w:val="20"/>
          <w:szCs w:val="20"/>
        </w:rPr>
      </w:pPr>
    </w:p>
    <w:p w:rsidR="00465ACB" w:rsidRPr="00CF48DD" w:rsidRDefault="00465ACB" w:rsidP="000A47C5">
      <w:pPr>
        <w:rPr>
          <w:sz w:val="20"/>
          <w:szCs w:val="20"/>
        </w:rPr>
      </w:pPr>
    </w:p>
    <w:p w:rsidR="00465ACB" w:rsidRPr="00CF48DD" w:rsidRDefault="00465ACB" w:rsidP="000A47C5">
      <w:pPr>
        <w:pStyle w:val="Correspondencedetails"/>
      </w:pPr>
      <w:r w:rsidRPr="00CF48DD">
        <w:t xml:space="preserve">Corresponding Author: </w:t>
      </w:r>
      <w:r>
        <w:t>Steffen Bayer</w:t>
      </w:r>
    </w:p>
    <w:p w:rsidR="00465ACB" w:rsidRDefault="00465ACB" w:rsidP="000A47C5">
      <w:pPr>
        <w:pStyle w:val="Correspondencedetails"/>
      </w:pPr>
      <w:r w:rsidRPr="00473EFE">
        <w:t>Southampton Business School</w:t>
      </w:r>
      <w:r>
        <w:t xml:space="preserve">, University of Southampton, </w:t>
      </w:r>
      <w:r w:rsidRPr="00473EFE">
        <w:t>Highfield Campus</w:t>
      </w:r>
      <w:r>
        <w:t xml:space="preserve">, </w:t>
      </w:r>
      <w:r w:rsidRPr="00473EFE">
        <w:t>Southampton SO17 1BJ</w:t>
      </w:r>
      <w:r>
        <w:t xml:space="preserve">, UK; </w:t>
      </w:r>
      <w:hyperlink r:id="rId7" w:history="1">
        <w:r w:rsidRPr="008439B4">
          <w:rPr>
            <w:rStyle w:val="Hyperlink"/>
            <w:sz w:val="20"/>
            <w:szCs w:val="20"/>
          </w:rPr>
          <w:t>s.c.bayer@soton.ac.uk</w:t>
        </w:r>
      </w:hyperlink>
    </w:p>
    <w:p w:rsidR="00465ACB" w:rsidRDefault="00465ACB" w:rsidP="000A47C5">
      <w:pPr>
        <w:rPr>
          <w:sz w:val="20"/>
          <w:szCs w:val="20"/>
        </w:rPr>
      </w:pPr>
    </w:p>
    <w:p w:rsidR="00465ACB" w:rsidRDefault="00465ACB">
      <w:pPr>
        <w:spacing w:line="240" w:lineRule="auto"/>
        <w:rPr>
          <w:b/>
          <w:sz w:val="28"/>
        </w:rPr>
      </w:pPr>
      <w:r>
        <w:br w:type="page"/>
      </w:r>
    </w:p>
    <w:p w:rsidR="00465ACB" w:rsidRDefault="00465ACB" w:rsidP="000A47C5">
      <w:pPr>
        <w:pStyle w:val="Articletitle"/>
      </w:pPr>
      <w:r w:rsidRPr="000966AD">
        <w:lastRenderedPageBreak/>
        <w:t xml:space="preserve">Estimating costs and benefits of stroke management: A population-based simulation model </w:t>
      </w:r>
    </w:p>
    <w:p w:rsidR="00465ACB" w:rsidRPr="007C1EBE" w:rsidRDefault="00465ACB" w:rsidP="000A47C5">
      <w:pPr>
        <w:pStyle w:val="Abstract"/>
      </w:pPr>
      <w:r>
        <w:t xml:space="preserve">The paper demonstrates how a system dynamics approach can support strategic planning of health care services and can in particular help to balance cost-effectiveness considerations with budget impact considerations when assessing a comprehensive package </w:t>
      </w:r>
      <w:r w:rsidRPr="007C1EBE">
        <w:t>of stroke care interventions in Singapore</w:t>
      </w:r>
      <w:r>
        <w:t xml:space="preserve">. </w:t>
      </w:r>
      <w:r w:rsidRPr="007C1EBE">
        <w:t xml:space="preserve">A population-level system dynamics model is used to investigate 12 intervention scenarios based on six stroke interventions (a public information campaign, thrombolysis, endovascular therapy, acute stroke unit (ASU), out-of-hospital rehabilitation, and secondary prevention). Primary outcomes included cumulative discounted costs and quality-adjusted life years (QALYs) gained, as well as cumulative </w:t>
      </w:r>
      <w:r>
        <w:t xml:space="preserve">net monetary benefit </w:t>
      </w:r>
      <w:r w:rsidRPr="007C1EBE">
        <w:t xml:space="preserve">by 2030. </w:t>
      </w:r>
      <w:r>
        <w:t xml:space="preserve"> </w:t>
      </w:r>
      <w:r w:rsidRPr="007C1EBE">
        <w:t xml:space="preserve">All intervention scenarios result in an increase in </w:t>
      </w:r>
      <w:r>
        <w:t>net monetary benefit</w:t>
      </w:r>
      <w:r w:rsidRPr="007C1EBE">
        <w:t xml:space="preserve"> by 2030; much of these gains were realized through improved post-acute care. Findings highlight the importance of coordination of care, and affirms the economic value of current stroke interventions.</w:t>
      </w:r>
    </w:p>
    <w:p w:rsidR="00465ACB" w:rsidRDefault="00465ACB" w:rsidP="000A47C5">
      <w:pPr>
        <w:pStyle w:val="Abstract"/>
      </w:pPr>
    </w:p>
    <w:p w:rsidR="00465ACB" w:rsidRPr="00CF48DD" w:rsidRDefault="00465ACB" w:rsidP="000A47C5">
      <w:pPr>
        <w:rPr>
          <w:sz w:val="20"/>
          <w:szCs w:val="20"/>
        </w:rPr>
      </w:pPr>
    </w:p>
    <w:p w:rsidR="00465ACB" w:rsidRPr="00CF48DD" w:rsidRDefault="00465ACB" w:rsidP="000A47C5">
      <w:pPr>
        <w:pStyle w:val="Keywords0"/>
      </w:pPr>
      <w:r w:rsidRPr="00CF48DD">
        <w:t xml:space="preserve">Key words: </w:t>
      </w:r>
      <w:r>
        <w:t>System Dynamics, Stroke, Health Systems</w:t>
      </w:r>
    </w:p>
    <w:p w:rsidR="00465ACB" w:rsidRDefault="00465ACB" w:rsidP="000A47C5">
      <w:pPr>
        <w:pStyle w:val="Abstract"/>
        <w:rPr>
          <w:rFonts w:eastAsiaTheme="majorEastAsia"/>
          <w:sz w:val="20"/>
          <w:szCs w:val="20"/>
        </w:rPr>
      </w:pPr>
      <w:r>
        <w:rPr>
          <w:b/>
          <w:sz w:val="20"/>
          <w:szCs w:val="20"/>
        </w:rPr>
        <w:br w:type="page"/>
      </w:r>
    </w:p>
    <w:p w:rsidR="00465ACB" w:rsidRPr="007C1EBE" w:rsidRDefault="00465ACB" w:rsidP="000A47C5">
      <w:pPr>
        <w:pStyle w:val="Heading1"/>
      </w:pPr>
      <w:r w:rsidRPr="007C1EBE">
        <w:lastRenderedPageBreak/>
        <w:t>Introduction</w:t>
      </w:r>
    </w:p>
    <w:p w:rsidR="00465ACB" w:rsidRDefault="00465ACB" w:rsidP="000A47C5">
      <w:pPr>
        <w:pStyle w:val="Heading4Paragraph"/>
      </w:pPr>
      <w:r w:rsidRPr="007C1EBE">
        <w:t>Stroke survivors with moderate to severe disability require long-term medical and social care, imposing financial and emotional burdens on patients and their families, as well as the health system. Furthermore, healthcare interventions often involve situations that are dynamically complex, characterized by long delays between cause and effect (e.g., high early costs in the short run may yield cost savings in the long term) and subject to competing interests and limited resources</w:t>
      </w:r>
      <w:r>
        <w:t xml:space="preserve"> </w:t>
      </w:r>
      <w:r>
        <w:rPr>
          <w:noProof/>
        </w:rPr>
        <w:t>(Homer &amp; Hirsch, 2006)</w:t>
      </w:r>
      <w:r>
        <w:t>.</w:t>
      </w:r>
      <w:r w:rsidRPr="007C1EBE">
        <w:t xml:space="preserve"> With a rapidly aging population, it is necessary to prioritize high-value clinical interventions and implement supportive policies to optimize the use of available resources to improve patients’ health outcomes.</w:t>
      </w:r>
      <w:r>
        <w:t xml:space="preserve"> Strategic planning of care services requires an understanding of the budget impact over time arising from implementing combinations of care options. Cost-effectiveness considerations alone without consideration of cost as well as benefits over time do not provide a comprehensive picture as affordability is not taken into account and the availability of resources is not ensured. Simulation modelling of strategic choices promises therefore to provide useful insights for health policy complementing standard health economics assessments focusing on cost-effectiveness. This</w:t>
      </w:r>
      <w:r w:rsidRPr="007C1EBE">
        <w:t xml:space="preserve"> paper </w:t>
      </w:r>
      <w:r>
        <w:t>uses</w:t>
      </w:r>
      <w:r w:rsidRPr="007C1EBE">
        <w:t xml:space="preserve"> simulation modelling to evaluate an extensive set of evidence-based options targeting various aspects of care across the stroke continuum in improving stroke care and informing strategic planning and practice. </w:t>
      </w:r>
    </w:p>
    <w:p w:rsidR="00465ACB" w:rsidRDefault="00465ACB" w:rsidP="000A47C5">
      <w:pPr>
        <w:pStyle w:val="Heading4Paragraph"/>
      </w:pPr>
      <w:r>
        <w:t xml:space="preserve">Most of the literature on stroke focuses on particular interventions. The </w:t>
      </w:r>
      <w:r w:rsidRPr="007C1EBE">
        <w:t>literature on clinical trials</w:t>
      </w:r>
      <w:r>
        <w:t xml:space="preserve"> </w:t>
      </w:r>
      <w:r>
        <w:rPr>
          <w:noProof/>
        </w:rPr>
        <w:t>(Berkhemer et al., 2015; Hacke et al., 2008)</w:t>
      </w:r>
      <w:r w:rsidRPr="007C1EBE">
        <w:t xml:space="preserve"> </w:t>
      </w:r>
      <w:r>
        <w:t>and</w:t>
      </w:r>
      <w:r w:rsidRPr="007C1EBE">
        <w:t xml:space="preserve"> economic evaluations</w:t>
      </w:r>
      <w:r>
        <w:t xml:space="preserve"> </w:t>
      </w:r>
      <w:r>
        <w:rPr>
          <w:noProof/>
        </w:rPr>
        <w:t>(Saka, Serra, Samyshkin, McGuire, &amp; Wolfe, 2009)</w:t>
      </w:r>
      <w:r w:rsidRPr="007C1EBE">
        <w:t xml:space="preserve"> typically consider one intervention at a time in a particular context</w:t>
      </w:r>
      <w:r>
        <w:t>. Similarly, the OR and simulation on stroke mostly investigates specific interventions; literature taking into the whole breadth of hyper-acute, acute and long-term as well as preventative care for people who have suffered a stroke  is less common (</w:t>
      </w:r>
      <w:r>
        <w:rPr>
          <w:noProof/>
        </w:rPr>
        <w:t xml:space="preserve">Esensoy &amp; </w:t>
      </w:r>
      <w:r>
        <w:rPr>
          <w:noProof/>
        </w:rPr>
        <w:lastRenderedPageBreak/>
        <w:t>Carter, 2018).</w:t>
      </w:r>
      <w:r>
        <w:t xml:space="preserve"> The simulation literature on stroke care mainly comprises studies using discrete event simulation models to study specific interventions in the acute phase of stroke treatment (mostly thrombolysis to dissolve blood clots in the brain; e.g. Monks et al., 2012). There is also a substantive amount of work using Markov modelling to establish the cost-effectiveness of different medications to prevent strokes </w:t>
      </w:r>
      <w:r>
        <w:rPr>
          <w:noProof/>
        </w:rPr>
        <w:t>(Kansal et al., 2012)</w:t>
      </w:r>
      <w:r>
        <w:t xml:space="preserve">. </w:t>
      </w:r>
    </w:p>
    <w:p w:rsidR="00465ACB" w:rsidRPr="00B970B7" w:rsidRDefault="00465ACB" w:rsidP="000A47C5">
      <w:pPr>
        <w:pStyle w:val="Heading4Paragraph"/>
      </w:pPr>
      <w:r>
        <w:t>O</w:t>
      </w:r>
      <w:r w:rsidRPr="007C1EBE">
        <w:t xml:space="preserve">ur SD model, informed by previous modeling work undertaken to support </w:t>
      </w:r>
      <w:bookmarkStart w:id="1" w:name="_Hlk519460281"/>
      <w:r w:rsidRPr="007C1EBE">
        <w:t xml:space="preserve">strategic planning to reduce the burden of stroke among veterans in the U.S. </w:t>
      </w:r>
      <w:r>
        <w:rPr>
          <w:noProof/>
        </w:rPr>
        <w:t>(Lich et al., 2014)</w:t>
      </w:r>
      <w:r w:rsidRPr="007C1EBE">
        <w:t xml:space="preserve">, </w:t>
      </w:r>
      <w:bookmarkEnd w:id="1"/>
      <w:r w:rsidRPr="007C1EBE">
        <w:t xml:space="preserve">allowed us to evaluate the social-level impact of interventions, singly and in plausible combinations, tailored to a nationwide country-level (i.e. the Singapore health system and population). Key variables of interest are epidemiological outcomes, cumulative care volumes, costs, and functional outcomes (measured in terms of quality-adjusted life years (QALYs)) from 2015 to 2030. </w:t>
      </w:r>
      <w:r>
        <w:t>When planning the improvement of stroke care, different time scales are important: both the hyperacute care during the first few hours after the onset of stroke as well as the long-term care of stroke suffers has to be considered.</w:t>
      </w:r>
    </w:p>
    <w:p w:rsidR="00465ACB" w:rsidRPr="007C1EBE" w:rsidRDefault="00465ACB" w:rsidP="000A47C5">
      <w:pPr>
        <w:pStyle w:val="Heading1"/>
      </w:pPr>
      <w:r>
        <w:t>Literature Review</w:t>
      </w:r>
    </w:p>
    <w:p w:rsidR="00465ACB" w:rsidRDefault="00465ACB" w:rsidP="000A47C5">
      <w:pPr>
        <w:pStyle w:val="Paragraph"/>
      </w:pPr>
      <w:r>
        <w:t>Stroke</w:t>
      </w:r>
      <w:r w:rsidR="002978E1">
        <w:t xml:space="preserve"> has a major impact on human health throughout the world in terms of </w:t>
      </w:r>
      <w:r w:rsidR="002978E1" w:rsidRPr="002978E1">
        <w:t>terms of deaths, years lived with disability, and years of life lost (GBD 2016 Stroke Collaborators, 2019; Gorelick, 2019) as well as cost (Rajsic et. al.</w:t>
      </w:r>
      <w:r w:rsidR="002978E1">
        <w:t xml:space="preserve">, 2019) and </w:t>
      </w:r>
      <w:r>
        <w:t xml:space="preserve"> has received significant attention from simulation modellers. While a </w:t>
      </w:r>
      <w:r w:rsidR="006224C1">
        <w:t xml:space="preserve">relative smaller </w:t>
      </w:r>
      <w:r>
        <w:t xml:space="preserve">number of studies has used Markov Models to examine the cost-effectiveness of treatments to manage stroke risk factors, in particular arterial fibrillation </w:t>
      </w:r>
      <w:r>
        <w:rPr>
          <w:noProof/>
        </w:rPr>
        <w:t>(Davidson, Husberg, Janzon, Oldgren, &amp; Levin, 2013; Matchar, Samsa, &amp; Liu, 2005; P. W. Sullivan, Arant, Ellis, &amp; Ulrich, 2006)</w:t>
      </w:r>
      <w:r>
        <w:t xml:space="preserve"> </w:t>
      </w:r>
      <w:r w:rsidR="006224C1">
        <w:t xml:space="preserve">most </w:t>
      </w:r>
      <w:r>
        <w:t xml:space="preserve">of the work has studied pathways and </w:t>
      </w:r>
      <w:r w:rsidRPr="009822C4">
        <w:t xml:space="preserve">care processes for acute stroke care. </w:t>
      </w:r>
      <w:r>
        <w:t xml:space="preserve"> </w:t>
      </w:r>
    </w:p>
    <w:p w:rsidR="00465ACB" w:rsidRDefault="00465ACB" w:rsidP="000A47C5">
      <w:pPr>
        <w:pStyle w:val="Paragraph"/>
      </w:pPr>
      <w:r w:rsidRPr="009822C4">
        <w:lastRenderedPageBreak/>
        <w:t xml:space="preserve">Typically, this work </w:t>
      </w:r>
      <w:r w:rsidR="006224C1">
        <w:t xml:space="preserve">on pathways and care processes </w:t>
      </w:r>
      <w:r w:rsidRPr="009822C4">
        <w:t xml:space="preserve">employs a </w:t>
      </w:r>
      <w:r w:rsidRPr="0020073C">
        <w:t xml:space="preserve">discrete event simulation approach. The application of DES in stroke care spans the whole acute part of the care pathway from analysing measures to reduce the time between stroke onset and arrival in hospital </w:t>
      </w:r>
      <w:r>
        <w:rPr>
          <w:noProof/>
        </w:rPr>
        <w:t>(Churilov et al., 2013)</w:t>
      </w:r>
      <w:r w:rsidRPr="0020073C">
        <w:t xml:space="preserve">, measures to reduce in hospital delays </w:t>
      </w:r>
      <w:r>
        <w:rPr>
          <w:noProof/>
        </w:rPr>
        <w:t>(Monks, Pitt, Stein, &amp; James, 2012)</w:t>
      </w:r>
      <w:r>
        <w:t xml:space="preserve"> </w:t>
      </w:r>
      <w:r w:rsidRPr="0020073C">
        <w:t xml:space="preserve">to understanding problems around delayed discharges </w:t>
      </w:r>
      <w:r>
        <w:rPr>
          <w:noProof/>
        </w:rPr>
        <w:t>(McClean, Barton, Garg, &amp; Fullerton, 2011)</w:t>
      </w:r>
      <w:r w:rsidRPr="0020073C">
        <w:t xml:space="preserve">. </w:t>
      </w:r>
    </w:p>
    <w:p w:rsidR="00465ACB" w:rsidRDefault="00465ACB" w:rsidP="000A47C5">
      <w:pPr>
        <w:pStyle w:val="Paragraph"/>
      </w:pPr>
      <w:r>
        <w:t xml:space="preserve">A particular interest has been the analyses of the impact of thrombolysis as well as factors preventing the use of this highly time-sensitive treatment that can only be given in a very tight time window after the onset of stroke. Stahl et al. (2003) investigated </w:t>
      </w:r>
      <w:r w:rsidRPr="0020073C">
        <w:t>the cost-effectiveness of guidelines to reduce hospital processing times in order to increase tPA rates</w:t>
      </w:r>
      <w:r>
        <w:t xml:space="preserve">. Monks et al. (2012) used a DES model to show the increase in the benefit for patients which can be achieved by reduced in-hospital delays and extension of the treatment window. Further DES studies have investigated pre- or in hospital delays preventing the administration of thrombolysis </w:t>
      </w:r>
      <w:r>
        <w:rPr>
          <w:noProof/>
          <w:lang w:val="fr-FR"/>
        </w:rPr>
        <w:t>(Churilov, et al., 2013; Lahr, van der Zee, Vroomen, Luijckx, &amp; Buskens, 2013; Uzun Jacobson, Bayer, Barlow, Dennis, &amp; MacLeod, 2015)</w:t>
      </w:r>
      <w:r w:rsidR="000A47C5">
        <w:rPr>
          <w:noProof/>
          <w:lang w:val="fr-FR"/>
        </w:rPr>
        <w:t>.</w:t>
      </w:r>
      <w:r w:rsidRPr="00D406A8">
        <w:t xml:space="preserve"> </w:t>
      </w:r>
      <w:r w:rsidRPr="009B25BB">
        <w:t xml:space="preserve">Other </w:t>
      </w:r>
      <w:r>
        <w:t xml:space="preserve">studies have analysed the cost-effectiveness of thrombolysis using DES combined with a phase-type distribution approach to understand length of stay </w:t>
      </w:r>
      <w:r>
        <w:rPr>
          <w:noProof/>
        </w:rPr>
        <w:t>(Gillespie et al., 2016)</w:t>
      </w:r>
      <w:r w:rsidR="000A47C5">
        <w:rPr>
          <w:noProof/>
        </w:rPr>
        <w:t>.</w:t>
      </w:r>
    </w:p>
    <w:p w:rsidR="00465ACB" w:rsidRDefault="00465ACB" w:rsidP="000A47C5">
      <w:pPr>
        <w:pStyle w:val="Paragraph"/>
      </w:pPr>
      <w:r w:rsidRPr="006E6EE6">
        <w:t xml:space="preserve">Mar et al. </w:t>
      </w:r>
      <w:r>
        <w:rPr>
          <w:noProof/>
        </w:rPr>
        <w:t>(Mar, Arrospide, &amp; Comas, 2010)</w:t>
      </w:r>
      <w:r w:rsidRPr="00251B43">
        <w:t xml:space="preserve"> conducted a budget impact analysis of the introduction of thrombolysis using a DES model. Their analysis showed how in terms of budget impact the cost </w:t>
      </w:r>
      <w:r>
        <w:t xml:space="preserve">of thrombolysis </w:t>
      </w:r>
      <w:r w:rsidRPr="00251B43">
        <w:t xml:space="preserve">would </w:t>
      </w:r>
      <w:r>
        <w:t xml:space="preserve">initially </w:t>
      </w:r>
      <w:r w:rsidRPr="00251B43">
        <w:t xml:space="preserve">outweigh the financial benefits </w:t>
      </w:r>
      <w:r>
        <w:t>and would only after six</w:t>
      </w:r>
      <w:r w:rsidRPr="00251B43">
        <w:t xml:space="preserve"> years</w:t>
      </w:r>
      <w:r>
        <w:t xml:space="preserve"> f</w:t>
      </w:r>
      <w:r w:rsidRPr="00251B43">
        <w:t>inancially beneficial due to the avoided long-term cost of dependency for patient who had been successfully treated with thrombolysis. Their analysis does not consider any other interventions</w:t>
      </w:r>
      <w:r>
        <w:t xml:space="preserve">. </w:t>
      </w:r>
      <w:r w:rsidRPr="0020073C">
        <w:t>Discrete event simulation has previously</w:t>
      </w:r>
      <w:r>
        <w:t xml:space="preserve"> also</w:t>
      </w:r>
      <w:r w:rsidRPr="0020073C">
        <w:t xml:space="preserve"> been employed for high level models of the overall stroke pathway </w:t>
      </w:r>
      <w:r>
        <w:rPr>
          <w:noProof/>
        </w:rPr>
        <w:t xml:space="preserve">(Bayer, Petsoulas, Cox, </w:t>
      </w:r>
      <w:r>
        <w:rPr>
          <w:noProof/>
        </w:rPr>
        <w:lastRenderedPageBreak/>
        <w:t>Honeyman, &amp; Barlow, 2010; Cordeaux, Hughes, &amp; Elder, 2011)</w:t>
      </w:r>
      <w:r>
        <w:t>.</w:t>
      </w:r>
    </w:p>
    <w:p w:rsidR="00465ACB" w:rsidRDefault="00465ACB" w:rsidP="000A47C5">
      <w:pPr>
        <w:pStyle w:val="Paragraph"/>
      </w:pPr>
      <w:r>
        <w:t>Although system dynamics has been widely used in health care settings to study many strategic policy and planning questions (Atkinson et al., 2015) the use of system dynamics in the area of stroke care is limited. Esen</w:t>
      </w:r>
      <w:r w:rsidR="006224C1">
        <w:t>s</w:t>
      </w:r>
      <w:r>
        <w:t xml:space="preserve">oy and Carter </w:t>
      </w:r>
      <w:r>
        <w:rPr>
          <w:noProof/>
        </w:rPr>
        <w:t>(Esensoy &amp; Carter, 2018)</w:t>
      </w:r>
      <w:r w:rsidRPr="00A05254">
        <w:t xml:space="preserve"> have used system dynamics to develop a whole-system patient flow model for stroke patients. They investigate the routes </w:t>
      </w:r>
      <w:r>
        <w:t xml:space="preserve">of </w:t>
      </w:r>
      <w:r w:rsidRPr="00A05254">
        <w:t xml:space="preserve">different types of patients through the system and consider the relevant capacities in the system. Lich </w:t>
      </w:r>
      <w:r>
        <w:t>and colleagues</w:t>
      </w:r>
      <w:r w:rsidRPr="00A05254">
        <w:t xml:space="preserve"> </w:t>
      </w:r>
      <w:r>
        <w:rPr>
          <w:noProof/>
        </w:rPr>
        <w:t>(Lich, et al., 2014)</w:t>
      </w:r>
      <w:r>
        <w:t xml:space="preserve"> reported on the use of a comprehensive system dynamics model to compare the effectiveness of different stroke interventions. This comparison used Numbers Needed to Treat per Quality Adjusted Life Year gained as comparator measure, but did not consider the cost of different interventions. Both these system dynamics studies were carried out to inform decision makers planning stroke care service across a comprehensive healthcare system (the province of Ontario and the US Veterans’ administration respectively). </w:t>
      </w:r>
    </w:p>
    <w:p w:rsidR="00465ACB" w:rsidRPr="00903B29" w:rsidRDefault="00465ACB" w:rsidP="000A47C5">
      <w:pPr>
        <w:pStyle w:val="Heading1"/>
      </w:pPr>
      <w:r w:rsidRPr="00CE5D93">
        <w:t>Case Study</w:t>
      </w:r>
    </w:p>
    <w:p w:rsidR="00465ACB" w:rsidRPr="00347468" w:rsidRDefault="00465ACB" w:rsidP="000A47C5">
      <w:pPr>
        <w:pStyle w:val="Heading2"/>
      </w:pPr>
      <w:r w:rsidRPr="00347468">
        <w:t>Stroke and treatments for stroke patients</w:t>
      </w:r>
    </w:p>
    <w:p w:rsidR="00465ACB" w:rsidRDefault="00465ACB" w:rsidP="000A47C5">
      <w:pPr>
        <w:pStyle w:val="Paragraph"/>
      </w:pPr>
      <w:r>
        <w:t xml:space="preserve">Stroke can be the consequence of a blood clot in the brain (ischemic stroke) or of a bleed (haemorrhagic stroke); both of which reduce the blood supply to parts of the brain. Effective hyper-acute therapies to reduce the likely level of long-term disability exist for ischemic stroke, but not for haemorrhagic stroke for which these interventions would be dangerous. It is crucial to distinguish between these types of stroke based on a brain scan very quickly since the dissolution of the blood clot with medication (thrombolysis; tPA) </w:t>
      </w:r>
      <w:r>
        <w:rPr>
          <w:noProof/>
        </w:rPr>
        <w:t>(Jauch EC, 2013)</w:t>
      </w:r>
      <w:r>
        <w:t xml:space="preserve"> or the mechanical removal of the blood clot (endovascular therapy; EVT) </w:t>
      </w:r>
      <w:r>
        <w:rPr>
          <w:noProof/>
        </w:rPr>
        <w:t>(Powers WJ &amp; Council, 2015)</w:t>
      </w:r>
      <w:r>
        <w:t xml:space="preserve"> can only be carried out with acceptable risk within a short period of time after the onset of the stroke (4.5 hours for thrombolysis, 6 hours for endovascular therapy). Delays </w:t>
      </w:r>
      <w:r>
        <w:lastRenderedPageBreak/>
        <w:t xml:space="preserve">in seeking care or in-hospital delays can make patients ineligible for treatment. Rehabilitation after the acute phase can reduce the level of disability for stroke survivors </w:t>
      </w:r>
      <w:r>
        <w:rPr>
          <w:noProof/>
        </w:rPr>
        <w:t>(Winstein CJ, 2016)</w:t>
      </w:r>
      <w:r w:rsidR="000A47C5">
        <w:rPr>
          <w:noProof/>
        </w:rPr>
        <w:t>.</w:t>
      </w:r>
      <w:r>
        <w:t xml:space="preserve"> Survivors of stroke are at a high risk for further strokes; secondary prevention of further strokes due to the control of risk factors such as high-blood pressure, arterial fibrillation and high cholesterol is therefore also important </w:t>
      </w:r>
      <w:r>
        <w:rPr>
          <w:noProof/>
        </w:rPr>
        <w:t>(Kernan WN, 2014)</w:t>
      </w:r>
      <w:r w:rsidR="000A47C5">
        <w:rPr>
          <w:noProof/>
        </w:rPr>
        <w:t>.</w:t>
      </w:r>
    </w:p>
    <w:p w:rsidR="00465ACB" w:rsidRPr="007C1EBE" w:rsidRDefault="00465ACB" w:rsidP="000A47C5">
      <w:pPr>
        <w:pStyle w:val="Paragraph"/>
      </w:pPr>
      <w:r w:rsidRPr="007C1EBE">
        <w:t>One intervention of particular interest is the evaluation of treating patients in an acute stroke unit (ASU)</w:t>
      </w:r>
      <w:r>
        <w:t xml:space="preserve">. </w:t>
      </w:r>
      <w:r w:rsidRPr="007C1EBE">
        <w:t>An ASU</w:t>
      </w:r>
      <w:r>
        <w:t xml:space="preserve"> </w:t>
      </w:r>
      <w:r w:rsidRPr="007C1EBE">
        <w:t>is a designated area or ward where acute stroke patients are treated by a multi-disciplinary team including nurses, physiotherapists, dietitians, and patient educations</w:t>
      </w:r>
      <w:r>
        <w:t xml:space="preserve"> </w:t>
      </w:r>
      <w:r>
        <w:rPr>
          <w:noProof/>
        </w:rPr>
        <w:t>(Ministry of Health of Singapore, 2009)</w:t>
      </w:r>
      <w:r>
        <w:t>.</w:t>
      </w:r>
      <w:r w:rsidRPr="007C1EBE">
        <w:t xml:space="preserve"> Meta-analyses of trials comparing the management of acute stroke patients in a specialized ward with a general medical ward have shown that treatment in an ASU have been associated with a reduction in mortality, disability and institutionalization through better coordination of acute care, as well as, in some cases, post-acute rehabilitation and secondary prevention management </w:t>
      </w:r>
      <w:r>
        <w:rPr>
          <w:noProof/>
        </w:rPr>
        <w:t>(Claesson, Gosman-Hedstrom, Johannesson, Fagerberg, &amp; Blomstrand, 2000; Launois et al., 2004; Saka, et al., 2009; Te Ao, Brown, Feigin, &amp; Anderson, 2012)</w:t>
      </w:r>
      <w:r w:rsidR="000A47C5">
        <w:rPr>
          <w:noProof/>
        </w:rPr>
        <w:t>.</w:t>
      </w:r>
      <w:r w:rsidRPr="0020073C">
        <w:t xml:space="preserve"> However, as mentioned previously, most trials typically evaluate such treatments as standalone interventions; in reality, patients are administered a package of interventions, each of which can have synergistic and inter-related impacts on health and cost outcomes. </w:t>
      </w:r>
      <w:r w:rsidRPr="007C1EBE">
        <w:t>As such, our model evaluates the impact of treatment in a stroke unit alone (termed here ASU) and in combination with other interventions which would be naturally promoted through an ASU (termed here Comprehensive Acute Stroke Unit (CASU).</w:t>
      </w:r>
    </w:p>
    <w:p w:rsidR="00465ACB" w:rsidRPr="0087206A" w:rsidRDefault="00465ACB" w:rsidP="000A47C5">
      <w:pPr>
        <w:pStyle w:val="Heading2"/>
      </w:pPr>
      <w:r w:rsidRPr="0087206A">
        <w:t>Modelling context and approach</w:t>
      </w:r>
    </w:p>
    <w:p w:rsidR="00E67F36" w:rsidRDefault="00465ACB" w:rsidP="000A47C5">
      <w:pPr>
        <w:pStyle w:val="Paragraph"/>
      </w:pPr>
      <w:r w:rsidRPr="007C1EBE">
        <w:t xml:space="preserve">In response to the growing burden of stroke in Singapore, the Stroke Services Improvement (SSI) team was set up by the Ministry of Health (MOH) in October 2014, with the mandate of </w:t>
      </w:r>
      <w:r w:rsidRPr="007C1EBE">
        <w:lastRenderedPageBreak/>
        <w:t xml:space="preserve">improving stroke care on a national level in Singapore. </w:t>
      </w:r>
      <w:r>
        <w:t xml:space="preserve">We </w:t>
      </w:r>
      <w:r w:rsidRPr="007C1EBE">
        <w:t xml:space="preserve">collaborated with the SSI, as well as clinicians and other academic experts, in developing a population-level systems dynamics (SD) model to examine the system-wide impact of reorganizing and improving stroke care management in Singapore in relation to health and cost outcomes. </w:t>
      </w:r>
      <w:r w:rsidR="00E67F36">
        <w:t xml:space="preserve"> Throughout the model development the modelling team was in regular dialogue with representatives from the SSI and the MOH. We discussed structural assumptions, parameter estimates, and policy options with stakeholders. Preliminary findings were presented to the stakeholders at several occasions and the modelling team refined the work based on the feedback received.</w:t>
      </w:r>
    </w:p>
    <w:p w:rsidR="00465ACB" w:rsidRDefault="00465ACB" w:rsidP="000A47C5">
      <w:pPr>
        <w:pStyle w:val="Paragraph"/>
      </w:pPr>
      <w:r w:rsidRPr="0020073C">
        <w:t>The concern of the stakeholders in Singapore</w:t>
      </w:r>
      <w:r>
        <w:t xml:space="preserve">, the Ministry of Health and the Stroke Services Improvement Initiative, </w:t>
      </w:r>
      <w:r w:rsidRPr="0020073C">
        <w:t>was broader than just the acute part of the care journey and was not focused on the details of care provision for individual patients</w:t>
      </w:r>
      <w:r>
        <w:t>. I</w:t>
      </w:r>
      <w:r w:rsidRPr="0020073C">
        <w:t>nstead the concern</w:t>
      </w:r>
      <w:r>
        <w:t>s were</w:t>
      </w:r>
      <w:r w:rsidRPr="0020073C">
        <w:t xml:space="preserve"> of a more strategic nature</w:t>
      </w:r>
      <w:r>
        <w:t xml:space="preserve">. Of interest was the </w:t>
      </w:r>
      <w:r w:rsidRPr="0020073C">
        <w:t>resource allocation for health and long-ter</w:t>
      </w:r>
      <w:r>
        <w:t>m care services for all stroke sufferers across the healthcare system</w:t>
      </w:r>
      <w:r w:rsidRPr="0020073C">
        <w:t xml:space="preserve">. We </w:t>
      </w:r>
      <w:r>
        <w:t xml:space="preserve">have chosen </w:t>
      </w:r>
      <w:r w:rsidRPr="0020073C">
        <w:t xml:space="preserve">a system dynamics approach </w:t>
      </w:r>
      <w:r>
        <w:t xml:space="preserve">over a DES approach since system dynamics is </w:t>
      </w:r>
      <w:r w:rsidRPr="0020073C">
        <w:t xml:space="preserve">particularly suitable for high-level problems where factors such as the cumulative effect of the probabilistic delays or individual patient level differences are not of significance. </w:t>
      </w:r>
      <w:r>
        <w:t>In this work we could draw on p</w:t>
      </w:r>
      <w:r w:rsidRPr="0020073C">
        <w:t xml:space="preserve">rior work </w:t>
      </w:r>
      <w:r>
        <w:t xml:space="preserve">that </w:t>
      </w:r>
      <w:r w:rsidRPr="0020073C">
        <w:t>ha</w:t>
      </w:r>
      <w:r>
        <w:t>d</w:t>
      </w:r>
      <w:r w:rsidRPr="0020073C">
        <w:t xml:space="preserve"> been conducted using a system dynamics approach to support strategic planning to reduce the burden of stroke among veterans in the</w:t>
      </w:r>
      <w:r w:rsidRPr="008A2EAA">
        <w:rPr>
          <w:sz w:val="22"/>
          <w:szCs w:val="22"/>
        </w:rPr>
        <w:t xml:space="preserve"> U.S.</w:t>
      </w:r>
      <w:r w:rsidRPr="007C1EBE">
        <w:t xml:space="preserve"> </w:t>
      </w:r>
      <w:r>
        <w:rPr>
          <w:noProof/>
        </w:rPr>
        <w:t>(Lich, et al., 2014)</w:t>
      </w:r>
      <w:r>
        <w:t xml:space="preserve">. </w:t>
      </w:r>
    </w:p>
    <w:p w:rsidR="00465ACB" w:rsidRPr="008957B1" w:rsidRDefault="00465ACB" w:rsidP="000A47C5">
      <w:pPr>
        <w:pStyle w:val="Paragraph"/>
      </w:pPr>
      <w:r w:rsidRPr="008957B1">
        <w:t xml:space="preserve">The interest of our stakeholders in resource allocation across the system </w:t>
      </w:r>
      <w:r>
        <w:t>was different from what could be addressed in</w:t>
      </w:r>
      <w:r w:rsidRPr="008957B1">
        <w:t xml:space="preserve"> typical health economic </w:t>
      </w:r>
      <w:r>
        <w:t>analyses</w:t>
      </w:r>
      <w:r w:rsidRPr="008957B1">
        <w:t xml:space="preserve"> of cost-effectiveness for a closed treatment cohort. </w:t>
      </w:r>
      <w:r>
        <w:t>W</w:t>
      </w:r>
      <w:r w:rsidRPr="008957B1">
        <w:t xml:space="preserve">e opted for an open cohort approach as is recommend </w:t>
      </w:r>
      <w:r>
        <w:t xml:space="preserve">for budget impact analysis </w:t>
      </w:r>
      <w:r>
        <w:rPr>
          <w:noProof/>
        </w:rPr>
        <w:t>(S. D. Sullivan et al., 2014)</w:t>
      </w:r>
      <w:r>
        <w:t xml:space="preserve">. </w:t>
      </w:r>
      <w:r w:rsidRPr="008957B1">
        <w:t>This allowed us to examine resource use (and care volumes) which would be experienced by Singapore under alternative stroke policy options</w:t>
      </w:r>
      <w:r>
        <w:t xml:space="preserve"> over the coming years</w:t>
      </w:r>
      <w:r w:rsidRPr="008957B1">
        <w:t xml:space="preserve">. </w:t>
      </w:r>
      <w:r>
        <w:t xml:space="preserve">We also took a wide scope and included a large range of </w:t>
      </w:r>
      <w:r>
        <w:lastRenderedPageBreak/>
        <w:t xml:space="preserve">relevant services and intervention since </w:t>
      </w:r>
      <w:r w:rsidRPr="008957B1">
        <w:t xml:space="preserve">this allows for a consistent the evaluation of technologies across the whole pathway and especially also for the knock-on effects between interventions </w:t>
      </w:r>
      <w:r>
        <w:rPr>
          <w:noProof/>
        </w:rPr>
        <w:t>(Pilgrim et al., 2009)</w:t>
      </w:r>
      <w:r w:rsidRPr="008957B1">
        <w:t xml:space="preserve">. </w:t>
      </w:r>
    </w:p>
    <w:p w:rsidR="00465ACB" w:rsidRPr="007C1EBE" w:rsidRDefault="00465ACB" w:rsidP="000A47C5">
      <w:pPr>
        <w:pStyle w:val="Heading1"/>
      </w:pPr>
      <w:r w:rsidRPr="007C1EBE">
        <w:t>Model</w:t>
      </w:r>
      <w:r>
        <w:t xml:space="preserve"> Development</w:t>
      </w:r>
    </w:p>
    <w:p w:rsidR="00465ACB" w:rsidRDefault="00465ACB" w:rsidP="000A47C5">
      <w:pPr>
        <w:pStyle w:val="Paragraph"/>
      </w:pPr>
      <w:r w:rsidRPr="007C1EBE">
        <w:t>We developed an age-</w:t>
      </w:r>
      <w:r w:rsidR="00B95AA9">
        <w:t xml:space="preserve"> and sex- </w:t>
      </w:r>
      <w:r w:rsidRPr="007C1EBE">
        <w:t xml:space="preserve">structured, population-level SD stroke model for Singaporeans and permanent residents (PRs). The simulation period was from 2015 to 2030 </w:t>
      </w:r>
      <w:r w:rsidR="00C812B7">
        <w:t xml:space="preserve">reflecting the time horizon the decision makers were interested. We used </w:t>
      </w:r>
      <w:r w:rsidRPr="007C1EBE">
        <w:t>a two-year ramp-up period to implement various packages of interventions aimed at individuals with acute stroke</w:t>
      </w:r>
      <w:r w:rsidR="00C812B7">
        <w:t xml:space="preserve"> based on an estimate how long it would take to change clinical practice.</w:t>
      </w:r>
      <w:r w:rsidRPr="007C1EBE">
        <w:t xml:space="preserve">. The SD model simulates the transition of stroke patients and survivors (stocks), stratified by </w:t>
      </w:r>
      <w:r>
        <w:t>a system of stroke specific disability categories</w:t>
      </w:r>
      <w:r w:rsidRPr="00196A28">
        <w:t xml:space="preserve"> </w:t>
      </w:r>
      <w:r w:rsidRPr="007C1EBE">
        <w:t>via flows over time</w:t>
      </w:r>
      <w:r>
        <w:t>. These categories describe the degree of long-term disability of stroke suffer</w:t>
      </w:r>
      <w:r w:rsidR="000A47C5">
        <w:t>s</w:t>
      </w:r>
      <w:r>
        <w:t xml:space="preserve"> and a</w:t>
      </w:r>
      <w:r w:rsidR="000A47C5">
        <w:t>re</w:t>
      </w:r>
      <w:r>
        <w:t xml:space="preserve"> based on the commonly used modified Rankin Scale (</w:t>
      </w:r>
      <w:r w:rsidRPr="007C1EBE">
        <w:t>mRS</w:t>
      </w:r>
      <w:r>
        <w:t>)</w:t>
      </w:r>
      <w:r w:rsidRPr="007C1EBE">
        <w:t>. Once Singaporeans and</w:t>
      </w:r>
      <w:r>
        <w:t xml:space="preserve"> Singapore</w:t>
      </w:r>
      <w:r w:rsidRPr="007C1EBE">
        <w:t xml:space="preserve"> </w:t>
      </w:r>
      <w:r>
        <w:t>permanent residents (</w:t>
      </w:r>
      <w:r w:rsidRPr="007C1EBE">
        <w:t>PRs</w:t>
      </w:r>
      <w:r>
        <w:t>)</w:t>
      </w:r>
      <w:r w:rsidRPr="007C1EBE">
        <w:t xml:space="preserve"> experience their first stroke</w:t>
      </w:r>
      <w:r w:rsidR="00B95AA9">
        <w:t xml:space="preserve"> (calculated based on age and gender specific incidence rates)</w:t>
      </w:r>
      <w:r w:rsidRPr="007C1EBE">
        <w:t xml:space="preserve">, they enter a stock of First Stroke Patients. Some patients die due to stroke-attributable or non-stroke-attributable causes within the first 90 days of the onset of stroke while some survive. These first stroke survivors are accumulated in </w:t>
      </w:r>
      <w:r>
        <w:t xml:space="preserve">the stock </w:t>
      </w:r>
      <w:r w:rsidRPr="007C1EBE">
        <w:t>Stroke Survivors, which account</w:t>
      </w:r>
      <w:r>
        <w:t>s</w:t>
      </w:r>
      <w:r w:rsidRPr="007C1EBE">
        <w:t xml:space="preserve"> for the individuals with a history of stroke in the community. If these stroke survivors have a recurrent stroke, they enter the stock, Recurrent Stroke Patients among Stroke Survivors; those who survive within 90 days from their most recent stroke move back into Stroke Survivors (</w:t>
      </w:r>
      <w:r>
        <w:t xml:space="preserve">again </w:t>
      </w:r>
      <w:r w:rsidRPr="007C1EBE">
        <w:t>stratified by mRS group). The model simulates the effect of different intervention scenarios on the risk of death or a recurrent stroke, and the distribution of stroke survivors by mRS group (Figure</w:t>
      </w:r>
      <w:r>
        <w:t>s</w:t>
      </w:r>
      <w:r w:rsidRPr="007C1EBE">
        <w:t xml:space="preserve"> 1</w:t>
      </w:r>
      <w:r>
        <w:t>A and 1B</w:t>
      </w:r>
      <w:r w:rsidRPr="007C1EBE">
        <w:t>).</w:t>
      </w:r>
    </w:p>
    <w:p w:rsidR="00465ACB" w:rsidRDefault="00465ACB" w:rsidP="000A47C5">
      <w:pPr>
        <w:pStyle w:val="Newparagraph"/>
      </w:pPr>
    </w:p>
    <w:p w:rsidR="00465ACB" w:rsidRDefault="00465ACB" w:rsidP="000A47C5">
      <w:pPr>
        <w:pStyle w:val="Newparagraph"/>
        <w:jc w:val="center"/>
        <w:rPr>
          <w:i/>
        </w:rPr>
      </w:pPr>
      <w:r w:rsidRPr="00122C42">
        <w:rPr>
          <w:i/>
        </w:rPr>
        <w:lastRenderedPageBreak/>
        <w:t>Figures 1A and 2 about here</w:t>
      </w:r>
    </w:p>
    <w:p w:rsidR="00465ACB" w:rsidRPr="00122C42" w:rsidRDefault="00465ACB" w:rsidP="000A47C5">
      <w:pPr>
        <w:pStyle w:val="Newparagraph"/>
        <w:jc w:val="center"/>
        <w:rPr>
          <w:i/>
        </w:rPr>
      </w:pPr>
    </w:p>
    <w:p w:rsidR="00465ACB" w:rsidRDefault="00465ACB" w:rsidP="000A47C5">
      <w:pPr>
        <w:pStyle w:val="Paragraph"/>
      </w:pPr>
      <w:r w:rsidRPr="007C1EBE">
        <w:t>Vensim DSS was used for model construction, parameterization, calibration, and evaluation</w:t>
      </w:r>
      <w:r>
        <w:t xml:space="preserve"> </w:t>
      </w:r>
      <w:r>
        <w:rPr>
          <w:noProof/>
        </w:rPr>
        <w:t>(Ventana Systems, 2015)</w:t>
      </w:r>
      <w:r>
        <w:t>. The model was structured in a number of modules (table 1).</w:t>
      </w:r>
      <w:r w:rsidRPr="00ED2D87">
        <w:t xml:space="preserve"> </w:t>
      </w:r>
      <w:r>
        <w:t>See in the appendix the data sources for the model.</w:t>
      </w:r>
    </w:p>
    <w:p w:rsidR="00465ACB" w:rsidRDefault="00465ACB" w:rsidP="000A47C5">
      <w:pPr>
        <w:pStyle w:val="Newparagraph"/>
        <w:ind w:firstLine="0"/>
      </w:pPr>
    </w:p>
    <w:p w:rsidR="00465ACB" w:rsidRDefault="00465ACB" w:rsidP="000A47C5">
      <w:pPr>
        <w:pStyle w:val="Newparagraph"/>
        <w:ind w:firstLine="0"/>
      </w:pPr>
    </w:p>
    <w:p w:rsidR="00465ACB" w:rsidRDefault="00465ACB" w:rsidP="000A47C5">
      <w:pPr>
        <w:pStyle w:val="Newparagraph"/>
        <w:ind w:firstLine="0"/>
        <w:jc w:val="center"/>
        <w:rPr>
          <w:i/>
        </w:rPr>
      </w:pPr>
      <w:r w:rsidRPr="00ED2D87">
        <w:rPr>
          <w:i/>
        </w:rPr>
        <w:t>Table 1 about here 1</w:t>
      </w:r>
    </w:p>
    <w:p w:rsidR="002978E1" w:rsidRDefault="002978E1" w:rsidP="000A47C5">
      <w:pPr>
        <w:pStyle w:val="Newparagraph"/>
        <w:ind w:firstLine="0"/>
        <w:jc w:val="center"/>
        <w:rPr>
          <w:i/>
        </w:rPr>
      </w:pPr>
    </w:p>
    <w:p w:rsidR="002978E1" w:rsidRPr="00ED2D87" w:rsidRDefault="002978E1" w:rsidP="005F2A0B">
      <w:pPr>
        <w:pStyle w:val="Newparagraph"/>
        <w:ind w:firstLine="0"/>
        <w:rPr>
          <w:i/>
        </w:rPr>
      </w:pPr>
      <w:r>
        <w:t>The starting point of our modelling efforts, the simulation of the age and gender specific incidences and deaths from first strokes based on a population model, was calibrated against data from the local stroke registry. The modelling team then reviewed the relevant literature on the management of stroke. Choices about which interventions to include as well as local clinical practice where discussed with the local stakeholders. For each intervention we build model equations reflecting the impact on mortality rate and disability which were calibrated against the effects seen in clinical trials. We assumed an additive effect of combined interventions (e.g. thrombolysis and rehab). The model was then calibrated against local historical data for secondary stroke and reviewed by the stakeholders.</w:t>
      </w:r>
    </w:p>
    <w:p w:rsidR="00465ACB" w:rsidRPr="007C1EBE" w:rsidRDefault="00465ACB" w:rsidP="000A47C5">
      <w:pPr>
        <w:pStyle w:val="Heading2"/>
      </w:pPr>
      <w:r w:rsidRPr="007C1EBE">
        <w:t>Stroke Interventions</w:t>
      </w:r>
    </w:p>
    <w:p w:rsidR="00465ACB" w:rsidRPr="007C1EBE" w:rsidRDefault="00465ACB" w:rsidP="000A47C5">
      <w:pPr>
        <w:pStyle w:val="Paragraph"/>
      </w:pPr>
      <w:r w:rsidRPr="007C1EBE">
        <w:t xml:space="preserve">We considered six different interventions to improve stroke care: a public information campaign to raise awareness of stroke symptoms and urgency, thrombolysis with tissue plasminogen activator (tPA), endovascular therapy (EVT), treatment in an ASU, out-of-hospital rehabilitation, and secondary prevention. </w:t>
      </w:r>
    </w:p>
    <w:p w:rsidR="00465ACB" w:rsidRDefault="00465ACB" w:rsidP="000A47C5">
      <w:pPr>
        <w:pStyle w:val="Paragraph"/>
      </w:pPr>
      <w:r w:rsidRPr="007C1EBE">
        <w:lastRenderedPageBreak/>
        <w:t>Efficacy of each stroke care intervention and its associated cost was estimated from various sources, including literature reviews, primary and secondary data, and expert opinion</w:t>
      </w:r>
      <w:r>
        <w:t>.</w:t>
      </w:r>
      <w:r w:rsidRPr="007C1EBE">
        <w:t xml:space="preserve"> </w:t>
      </w:r>
      <w:r>
        <w:t>For each intervention, we estimated the effect of the intervention on the distribution of disability.</w:t>
      </w:r>
    </w:p>
    <w:p w:rsidR="00465ACB" w:rsidRDefault="00465ACB" w:rsidP="000A47C5">
      <w:pPr>
        <w:pStyle w:val="Paragraph"/>
      </w:pPr>
      <w:r w:rsidRPr="007C1EBE">
        <w:t>The public campaign was projected to increase the proportion of patients arriving at hospital within 210 min from the onset of stroke by 3% and between 210 and 300 min from the onset of stroke by 1%, based on results from a study of the effect of raising stroke awareness in Canada</w:t>
      </w:r>
      <w:r>
        <w:t xml:space="preserve"> </w:t>
      </w:r>
      <w:r>
        <w:rPr>
          <w:noProof/>
        </w:rPr>
        <w:t>(Hodgson, Lindsay, &amp; Rubini, 2007)</w:t>
      </w:r>
      <w:r>
        <w:t>.</w:t>
      </w:r>
      <w:r w:rsidRPr="007C1EBE">
        <w:t xml:space="preserve"> </w:t>
      </w:r>
    </w:p>
    <w:p w:rsidR="00465ACB" w:rsidRPr="00CF48DD" w:rsidRDefault="00465ACB" w:rsidP="000A47C5">
      <w:pPr>
        <w:pStyle w:val="Paragraph"/>
      </w:pPr>
      <w:r w:rsidRPr="007C1EBE">
        <w:t>The impact of tPA, EVT and out-of-hospital rehabilitation on functional outcome of stroke patients, was measured using the modified Rankin Scale (mRS)</w:t>
      </w:r>
      <w:r w:rsidR="00640338">
        <w:t xml:space="preserve"> </w:t>
      </w:r>
      <w:r>
        <w:rPr>
          <w:noProof/>
        </w:rPr>
        <w:t>(Berkhemer, et al., 2015; Hacke, et al., 2008; Koh et al., 2014a; The National Institute of Neurological Disorders and Stroke rt-PA Stroke Study Group, 1995)</w:t>
      </w:r>
      <w:r w:rsidRPr="007C1EBE">
        <w:t xml:space="preserve"> </w:t>
      </w:r>
      <w:r>
        <w:t xml:space="preserve">We conceptualised these interventions as shifts in the expected long-term disability for stroke survivors (expressed as mRS; see appendix tables A2-A4). Based on the literature and discussion with medical experts we took into account that the effect of interventions would depend on the severity of the stroke (which correlates with the likely long-term disability outcome in absence of an interventions). The combination of interventions can then be understood as repeated shifts of the expected long-term disability. This approach allowed </w:t>
      </w:r>
      <w:r w:rsidR="000A47C5">
        <w:t xml:space="preserve">to </w:t>
      </w:r>
      <w:r>
        <w:t>use data from randomised controlled trials to parameterise individual interventions (by selecting parameters which minimise the mean squared deviation between the long-term disability distribution of shifted control group and the long-term disability distribution of the intervention group in the trial). We have chosen this approach since data for the effect of combined interventions is not available.</w:t>
      </w:r>
    </w:p>
    <w:p w:rsidR="00465ACB" w:rsidRPr="00CF48DD" w:rsidRDefault="00465ACB" w:rsidP="000A47C5">
      <w:pPr>
        <w:pStyle w:val="Paragraph"/>
      </w:pPr>
      <w:r w:rsidRPr="007C1EBE">
        <w:t>Treatment in an ASU was projected to reduce mortality risk due to stroke by 13%</w:t>
      </w:r>
      <w:r>
        <w:rPr>
          <w:noProof/>
        </w:rPr>
        <w:t>(Sun, Paulus, Eyssen, Maervoet, &amp; Saka, 2013)</w:t>
      </w:r>
      <w:r w:rsidRPr="007C1EBE">
        <w:t xml:space="preserve">, while secondary prevention (including antihypertensive medication, anticoagulants, antiplatelet, and statin) was projected  to reduce </w:t>
      </w:r>
      <w:r w:rsidRPr="007C1EBE">
        <w:lastRenderedPageBreak/>
        <w:t>stroke survivors’ risk of recurrent stroke by 75%, based on extant literature</w:t>
      </w:r>
      <w:r>
        <w:t xml:space="preserve"> </w:t>
      </w:r>
      <w:r>
        <w:rPr>
          <w:noProof/>
        </w:rPr>
        <w:t>(Hackam &amp; Spence, 2007)</w:t>
      </w:r>
      <w:r>
        <w:t>.</w:t>
      </w:r>
      <w:r w:rsidRPr="007C1EBE">
        <w:t xml:space="preserve"> </w:t>
      </w:r>
    </w:p>
    <w:p w:rsidR="00465ACB" w:rsidRDefault="00465ACB" w:rsidP="000A47C5">
      <w:pPr>
        <w:pStyle w:val="Heading2"/>
      </w:pPr>
      <w:r>
        <w:t>Stroke care interventions: current and desired level of care</w:t>
      </w:r>
    </w:p>
    <w:p w:rsidR="00465ACB" w:rsidRDefault="00465ACB" w:rsidP="000A47C5">
      <w:pPr>
        <w:pStyle w:val="Paragraph"/>
      </w:pPr>
      <w:r w:rsidRPr="007C1EBE">
        <w:t>The current proportion of eligible patients receiving tPA or EVT was derived from published reports of the Singapore Stroke Registry between 2006 and 2012</w:t>
      </w:r>
      <w:r>
        <w:t xml:space="preserve"> </w:t>
      </w:r>
      <w:r>
        <w:rPr>
          <w:noProof/>
        </w:rPr>
        <w:t>(National Registry of Disease Office, 2014)</w:t>
      </w:r>
      <w:r>
        <w:t>.</w:t>
      </w:r>
      <w:r w:rsidRPr="007C1EBE">
        <w:t xml:space="preserve"> The Registry was also used to estimate the number of stroke patients who have been admitted to ASU between July and September 2014 for at least one night</w:t>
      </w:r>
      <w:r>
        <w:t xml:space="preserve"> </w:t>
      </w:r>
      <w:r>
        <w:rPr>
          <w:noProof/>
        </w:rPr>
        <w:t>(National Registry of Disease Office, 2014)</w:t>
      </w:r>
      <w:r>
        <w:t>.</w:t>
      </w:r>
      <w:r w:rsidRPr="007C1EBE">
        <w:t xml:space="preserve"> Local estimates of the current proportion of eligible patients receiving out-of-hospital rehabilitation (home or day rehabilitation centres) was calculated as the proportion of referred stroke patients attending at least one out-of-hospital rehabilitation session within 90 days from the date of discharge</w:t>
      </w:r>
      <w:r>
        <w:t xml:space="preserve"> </w:t>
      </w:r>
      <w:r>
        <w:rPr>
          <w:noProof/>
        </w:rPr>
        <w:t>(Agency for Integrated Care, 2015)</w:t>
      </w:r>
      <w:r>
        <w:t>.</w:t>
      </w:r>
      <w:r w:rsidRPr="007C1EBE">
        <w:t xml:space="preserve"> </w:t>
      </w:r>
    </w:p>
    <w:p w:rsidR="00465ACB" w:rsidRDefault="00465ACB" w:rsidP="000A47C5">
      <w:pPr>
        <w:pStyle w:val="Paragraph"/>
      </w:pPr>
      <w:r w:rsidRPr="007C1EBE">
        <w:t>The</w:t>
      </w:r>
      <w:r>
        <w:t xml:space="preserve"> SSI team then identified </w:t>
      </w:r>
      <w:r w:rsidRPr="007C1EBE">
        <w:t>performance targets under a plausible improvement regimen</w:t>
      </w:r>
      <w:r>
        <w:t>. (see table 2).</w:t>
      </w:r>
    </w:p>
    <w:p w:rsidR="00465ACB" w:rsidRPr="00ED2D87" w:rsidRDefault="00465ACB" w:rsidP="000A47C5">
      <w:pPr>
        <w:pStyle w:val="Paragraph"/>
        <w:jc w:val="center"/>
        <w:rPr>
          <w:i/>
        </w:rPr>
      </w:pPr>
      <w:r w:rsidRPr="00ED2D87">
        <w:rPr>
          <w:i/>
        </w:rPr>
        <w:t>Table 2 about here</w:t>
      </w:r>
    </w:p>
    <w:p w:rsidR="00465ACB" w:rsidRPr="007C1EBE" w:rsidRDefault="00465ACB" w:rsidP="000A47C5">
      <w:pPr>
        <w:pStyle w:val="Heading2"/>
      </w:pPr>
      <w:r w:rsidRPr="007C1EBE">
        <w:t>Outcome Measures</w:t>
      </w:r>
    </w:p>
    <w:p w:rsidR="00465ACB" w:rsidRPr="007C1EBE" w:rsidRDefault="00B95AA9" w:rsidP="000A47C5">
      <w:pPr>
        <w:pStyle w:val="Paragraph"/>
      </w:pPr>
      <w:r>
        <w:t xml:space="preserve">Our work took a health perspective and focused on health related outcomes and costs. </w:t>
      </w:r>
      <w:r w:rsidR="00465ACB" w:rsidRPr="007C1EBE">
        <w:t>Primary outcome measures used to compare the impact of each intervention scenario were cumulative discounted costs (measured in SGD), cumulative quality-adjusted life years (QALYs) gained</w:t>
      </w:r>
      <w:r w:rsidR="00465ACB">
        <w:t xml:space="preserve"> </w:t>
      </w:r>
      <w:r w:rsidR="00640338">
        <w:t xml:space="preserve">based on a mapping of long-term disability measured in mRS to </w:t>
      </w:r>
      <w:r w:rsidR="00C812B7">
        <w:t>quality of life</w:t>
      </w:r>
      <w:r w:rsidR="00640338">
        <w:t xml:space="preserve"> </w:t>
      </w:r>
      <w:r w:rsidR="00465ACB">
        <w:rPr>
          <w:noProof/>
        </w:rPr>
        <w:t>(Rivero-Arias et al., 2010)</w:t>
      </w:r>
      <w:r w:rsidR="00465ACB" w:rsidRPr="007C1EBE">
        <w:t>, and cumulative net monetary benefit</w:t>
      </w:r>
      <w:r w:rsidR="00465ACB">
        <w:t xml:space="preserve">. </w:t>
      </w:r>
      <w:r w:rsidR="00465ACB" w:rsidRPr="007C1EBE">
        <w:t>Costs and QALYs were discounted at 3% per annum. N</w:t>
      </w:r>
      <w:r w:rsidR="00465ACB">
        <w:t>et monetary benefit</w:t>
      </w:r>
      <w:r w:rsidR="00465ACB" w:rsidRPr="007C1EBE">
        <w:t xml:space="preserve"> were calculated as the difference between cumulative monetary value of QALYs gained and cumulative costs between the status quo </w:t>
      </w:r>
      <w:r w:rsidR="00465ACB" w:rsidRPr="007C1EBE">
        <w:lastRenderedPageBreak/>
        <w:t>and each intervention scenario</w:t>
      </w:r>
      <w:r w:rsidR="00465ACB">
        <w:rPr>
          <w:noProof/>
        </w:rPr>
        <w:t>(Hartwell, Jones, Baxter, &amp; Shepherd, 2011)</w:t>
      </w:r>
      <w:r w:rsidR="00465ACB" w:rsidRPr="007C1EBE">
        <w:t xml:space="preserve">; </w:t>
      </w:r>
      <w:r w:rsidR="00C812B7">
        <w:t xml:space="preserve">in absence of an official cost-effectiveness threshold for Singapore we used the </w:t>
      </w:r>
      <w:r w:rsidR="00465ACB" w:rsidRPr="007C1EBE">
        <w:t>gross domestic product per capita, SGD 70,000, to represent the approximate willingness-to-pay threshold for 1 QALY gained</w:t>
      </w:r>
      <w:r w:rsidR="00465ACB">
        <w:t xml:space="preserve"> </w:t>
      </w:r>
      <w:r w:rsidR="00465ACB">
        <w:rPr>
          <w:noProof/>
        </w:rPr>
        <w:t>(World Health Organization, 2003)</w:t>
      </w:r>
      <w:r w:rsidR="00465ACB">
        <w:t>.</w:t>
      </w:r>
      <w:r w:rsidR="00465ACB" w:rsidRPr="007C1EBE">
        <w:t xml:space="preserve"> </w:t>
      </w:r>
    </w:p>
    <w:p w:rsidR="00465ACB" w:rsidRPr="007C1EBE" w:rsidRDefault="00465ACB" w:rsidP="000A47C5">
      <w:pPr>
        <w:pStyle w:val="Paragraph"/>
      </w:pPr>
      <w:r w:rsidRPr="007C1EBE">
        <w:t>Secondary outcome measures included the number of first and recurrent stroke episodes and corresponding number of fatalities, and difference in cumulative care volumes between status quo and each intervention scenario by 2030.</w:t>
      </w:r>
    </w:p>
    <w:p w:rsidR="00465ACB" w:rsidRPr="007C1EBE" w:rsidRDefault="00465ACB" w:rsidP="000A47C5">
      <w:pPr>
        <w:pStyle w:val="Heading2"/>
      </w:pPr>
      <w:r w:rsidRPr="007C1EBE">
        <w:t>Model Calibration and Sensitivity Analysis</w:t>
      </w:r>
    </w:p>
    <w:p w:rsidR="0022421D" w:rsidRDefault="00465ACB" w:rsidP="000A47C5">
      <w:pPr>
        <w:pStyle w:val="Paragraph"/>
      </w:pPr>
      <w:r w:rsidRPr="007C1EBE">
        <w:t>Model parameters regarding stroke epidemiology and the number of patients receiving tPA or EVT were calibrated against data from Singapore Stroke Registry from 2006 to 2013</w:t>
      </w:r>
      <w:r w:rsidR="0022421D" w:rsidRPr="007C1EBE">
        <w:t>.</w:t>
      </w:r>
    </w:p>
    <w:p w:rsidR="0022421D" w:rsidRDefault="0022421D" w:rsidP="005F2A0B">
      <w:pPr>
        <w:pStyle w:val="Paragraph"/>
        <w:rPr>
          <w:rFonts w:ascii="Arial" w:hAnsi="Arial" w:cs="Arial"/>
          <w:color w:val="FF0000"/>
          <w:sz w:val="21"/>
          <w:szCs w:val="21"/>
        </w:rPr>
      </w:pPr>
      <w:r>
        <w:t>In order</w:t>
      </w:r>
      <w:r>
        <w:rPr>
          <w:rFonts w:ascii="Arial" w:hAnsi="Arial" w:cs="Arial"/>
          <w:color w:val="FF0000"/>
          <w:sz w:val="21"/>
          <w:szCs w:val="21"/>
        </w:rPr>
        <w:t xml:space="preserve"> test the robustness of the model against uncertainty in parameter estimates we tested the sensitivity of the model to all parameters using one way sensitivity analysis</w:t>
      </w:r>
      <w:r w:rsidR="00624ADE">
        <w:rPr>
          <w:rFonts w:ascii="Arial" w:hAnsi="Arial" w:cs="Arial"/>
          <w:color w:val="FF0000"/>
          <w:sz w:val="21"/>
          <w:szCs w:val="21"/>
        </w:rPr>
        <w:t xml:space="preserve"> (see also appendix tables B1 and B2)</w:t>
      </w:r>
      <w:r>
        <w:rPr>
          <w:rFonts w:ascii="Arial" w:hAnsi="Arial" w:cs="Arial"/>
          <w:color w:val="FF0000"/>
          <w:sz w:val="21"/>
          <w:szCs w:val="21"/>
        </w:rPr>
        <w:t xml:space="preserve">. We examine clinical outcomes (number of stroke survivors by disability as well as fatalities from first and secondary stroke) as well as cost. </w:t>
      </w:r>
    </w:p>
    <w:p w:rsidR="00465ACB" w:rsidRDefault="0022421D" w:rsidP="005F2A0B">
      <w:r>
        <w:rPr>
          <w:rFonts w:ascii="Arial" w:hAnsi="Arial" w:cs="Arial"/>
          <w:color w:val="FF0000"/>
          <w:sz w:val="21"/>
          <w:szCs w:val="21"/>
        </w:rPr>
        <w:t xml:space="preserve">Since the interventions are likely to have synergistic effects (e.g. the awareness campaign increases the effectiveness of an expansion in thrombolysis provision) we additionally </w:t>
      </w:r>
      <w:r w:rsidR="00465ACB" w:rsidRPr="007C1EBE">
        <w:t>conducted multivariate probabilistic sensitivity analyses in which parameters characterizing all the stroke interventions were varied</w:t>
      </w:r>
      <w:r>
        <w:rPr>
          <w:rFonts w:ascii="Arial" w:hAnsi="Arial" w:cs="Arial"/>
          <w:color w:val="FF0000"/>
          <w:sz w:val="21"/>
          <w:szCs w:val="21"/>
        </w:rPr>
        <w:t xml:space="preserve"> in order to understand the combined effect of uncertainty in interventions.</w:t>
      </w:r>
      <w:r w:rsidR="00465ACB" w:rsidRPr="007C1EBE">
        <w:t>. Parameters were varied by ±10%, assuming a random uniform distribution. The model was run for 1000 simulations per variable for one-way sensitivity analyses and 10,000 simulations for probabilistic sensitivity analyses, respectively</w:t>
      </w:r>
      <w:r w:rsidR="00465ACB">
        <w:t>. The sensitivity analysis supports the robustness of the model</w:t>
      </w:r>
      <w:r w:rsidR="00465ACB" w:rsidRPr="007C1EBE">
        <w:t xml:space="preserve">. </w:t>
      </w:r>
    </w:p>
    <w:p w:rsidR="00465ACB" w:rsidRDefault="00465ACB" w:rsidP="000A47C5">
      <w:pPr>
        <w:pStyle w:val="Heading1"/>
      </w:pPr>
      <w:r w:rsidRPr="007C1EBE">
        <w:lastRenderedPageBreak/>
        <w:t>Results</w:t>
      </w:r>
    </w:p>
    <w:p w:rsidR="00465ACB" w:rsidRDefault="00465ACB" w:rsidP="000A47C5">
      <w:pPr>
        <w:pStyle w:val="Paragraph"/>
      </w:pPr>
      <w:r>
        <w:t xml:space="preserve">We simulated </w:t>
      </w:r>
      <w:r w:rsidRPr="007C1EBE">
        <w:t xml:space="preserve">12 different intervention scenarios </w:t>
      </w:r>
      <w:r>
        <w:t xml:space="preserve">(table 3) </w:t>
      </w:r>
      <w:r w:rsidRPr="007C1EBE">
        <w:t xml:space="preserve">based on </w:t>
      </w:r>
      <w:r>
        <w:t xml:space="preserve">the </w:t>
      </w:r>
      <w:r w:rsidRPr="007C1EBE">
        <w:t>six different stroke interventions singly or in plausible combinations.</w:t>
      </w:r>
    </w:p>
    <w:p w:rsidR="00465ACB" w:rsidRPr="00ED2D87" w:rsidRDefault="00465ACB" w:rsidP="000A47C5">
      <w:pPr>
        <w:pStyle w:val="Newparagraph"/>
        <w:jc w:val="center"/>
        <w:rPr>
          <w:i/>
        </w:rPr>
      </w:pPr>
      <w:r w:rsidRPr="00ED2D87">
        <w:rPr>
          <w:i/>
        </w:rPr>
        <w:t>Table 3 about here</w:t>
      </w:r>
    </w:p>
    <w:p w:rsidR="00465ACB" w:rsidRDefault="00465ACB" w:rsidP="000A47C5">
      <w:pPr>
        <w:spacing w:line="240" w:lineRule="auto"/>
        <w:rPr>
          <w:sz w:val="20"/>
          <w:szCs w:val="20"/>
        </w:rPr>
      </w:pPr>
    </w:p>
    <w:p w:rsidR="00465ACB" w:rsidRPr="007C1EBE" w:rsidRDefault="00465ACB" w:rsidP="000A47C5">
      <w:pPr>
        <w:pStyle w:val="Heading2"/>
      </w:pPr>
      <w:r w:rsidRPr="007C1EBE">
        <w:t>Stroke Epidemiology from 2015 to 2030</w:t>
      </w:r>
    </w:p>
    <w:p w:rsidR="00465ACB" w:rsidRPr="007C1EBE" w:rsidRDefault="00465ACB" w:rsidP="000A47C5">
      <w:pPr>
        <w:pStyle w:val="Paragraph"/>
      </w:pPr>
      <w:r w:rsidRPr="007C1EBE">
        <w:t>At baseline, the annual number of first stroke episodes is projected to grow by almost 70% from 5,596 in 2015 to 9,446 in 2030 (Figure 2A), while the number recurrent stroke episodes is projected to rise by 80%, all factors remaining unchanged (Figure 2C). Intervention scenarios that include secondary prevention result in 9,918 (or 18%) fewer cumulative recurrent stroke episodes by 2030, compared to baseline (Figure 2C).</w:t>
      </w:r>
    </w:p>
    <w:p w:rsidR="00465ACB" w:rsidRPr="007C1EBE" w:rsidRDefault="00465ACB" w:rsidP="000A47C5">
      <w:pPr>
        <w:pStyle w:val="Paragraph"/>
      </w:pPr>
      <w:r w:rsidRPr="007C1EBE">
        <w:t xml:space="preserve">In terms of mortality, the number of first and recurrent stroke-related fatalities is projected to rise by more than 80% from 975 in 2015 to 1,785 in 2030, at baseline levels.  However, we found that providing a care package combining treatment in an ASU with post-acute care (out-of-hospital rehabilitation and secondary prevention) (referred to in this paper as a “comprehensive ASU” [CASU]) resulted in the lowest number of stroke fatalities by 2030 compared to the status quo (a cumulative reduction of 2,141 stroke fatalities or 10% from the status quo); this is due to the reduced risk of a recurrent stroke episode (by secondary prevention), and corresponding mortality (through treatment in an ASU) (Figure 2B and 2D).  </w:t>
      </w:r>
    </w:p>
    <w:p w:rsidR="00465ACB" w:rsidRPr="00122C42" w:rsidRDefault="00465ACB" w:rsidP="000A47C5">
      <w:pPr>
        <w:pStyle w:val="Paragraph"/>
        <w:jc w:val="center"/>
        <w:rPr>
          <w:i/>
        </w:rPr>
      </w:pPr>
      <w:r w:rsidRPr="00122C42">
        <w:rPr>
          <w:i/>
          <w:noProof/>
        </w:rPr>
        <w:t>Figures 2A-2B about here</w:t>
      </w:r>
    </w:p>
    <w:p w:rsidR="00465ACB" w:rsidRPr="007C1EBE" w:rsidRDefault="00465ACB" w:rsidP="000A47C5">
      <w:pPr>
        <w:pStyle w:val="Heading2"/>
      </w:pPr>
      <w:r w:rsidRPr="007C1EBE">
        <w:t>Differences in Cumulative Care Volumes by 2030</w:t>
      </w:r>
    </w:p>
    <w:p w:rsidR="00465ACB" w:rsidRPr="007C1EBE" w:rsidRDefault="00465ACB" w:rsidP="000A47C5">
      <w:pPr>
        <w:pStyle w:val="Paragraph"/>
      </w:pPr>
      <w:r w:rsidRPr="007C1EBE">
        <w:t xml:space="preserve">Under the status quo, 9,989 episodes received only tPA, 1,154 episodes received only EVT and 216 episodes received both, cumulatively by 2030. 107,453 stroke episodes were treated </w:t>
      </w:r>
      <w:r w:rsidRPr="007C1EBE">
        <w:lastRenderedPageBreak/>
        <w:t xml:space="preserve">in an ASU, while 64,152 stroke episodes receiving out-of-hospital rehabilitation, cumulatively by 2030, at baseline. The number of stroke survivors under secondary prevention was 37, 515 </w:t>
      </w:r>
      <w:r>
        <w:t>by 2030.</w:t>
      </w:r>
    </w:p>
    <w:p w:rsidR="00465ACB" w:rsidRPr="007C1EBE" w:rsidRDefault="00465ACB" w:rsidP="000A47C5">
      <w:pPr>
        <w:pStyle w:val="Paragraph"/>
      </w:pPr>
      <w:r w:rsidRPr="007C1EBE">
        <w:t xml:space="preserve">Promotion of hyper-acute interventions, tPA and EVT, led to an approximate 11,267 (or almost 100%) increase in numbers treated with either or both, cumulatively by 2030, compared to baseline; combining hyper-acute interventions with a public information campaign led to a 14, 060 (or 127%) increase in numbers treated with acute care by 2030 compared to baseline, due the latter’s impact on reducing onset-to-door time. </w:t>
      </w:r>
    </w:p>
    <w:p w:rsidR="00465ACB" w:rsidRPr="007C1EBE" w:rsidRDefault="00465ACB" w:rsidP="000A47C5">
      <w:pPr>
        <w:pStyle w:val="Paragraph"/>
      </w:pPr>
      <w:r w:rsidRPr="007C1EBE">
        <w:t xml:space="preserve">In addition to, and as a result of, improving functional outcomes, implementing hyper-acute interventions reduced patients requiring post-acute rehabilitation and long-term care; for example, increasing the proportion of patients receiving tPA and EVT, all other interventions left unchanged, reduced the cumulative number of stroke incidences requiring rehabilitation by 230 by 2030 </w:t>
      </w:r>
      <w:r>
        <w:t>.</w:t>
      </w:r>
    </w:p>
    <w:p w:rsidR="00465ACB" w:rsidRPr="007C1EBE" w:rsidRDefault="00465ACB" w:rsidP="000A47C5">
      <w:pPr>
        <w:pStyle w:val="Paragraph"/>
      </w:pPr>
      <w:r w:rsidRPr="007C1EBE">
        <w:t xml:space="preserve">Promotion of secondary prevention, holding all other interventions at baseline levels, led to an approximate 650 (or 6%) reduction in patients requiring tPA and/or EVT by 2030,  and 3,392 (or 5%) reduction in patients requiring rehabilitation; this is due to the favorable impact secondary prevention had on the likelihood of a recurrent stroke. </w:t>
      </w:r>
    </w:p>
    <w:p w:rsidR="00465ACB" w:rsidRPr="007C1EBE" w:rsidRDefault="00465ACB" w:rsidP="000A47C5">
      <w:pPr>
        <w:pStyle w:val="Heading2"/>
      </w:pPr>
      <w:r w:rsidRPr="007C1EBE">
        <w:t>Differences in Cumulative Discounted Costs from 2015 to 2030</w:t>
      </w:r>
    </w:p>
    <w:p w:rsidR="00465ACB" w:rsidRDefault="00465ACB" w:rsidP="000A47C5">
      <w:pPr>
        <w:pStyle w:val="Paragraph"/>
      </w:pPr>
      <w:r w:rsidRPr="007C1EBE">
        <w:t xml:space="preserve">Based on the care volumes above, the additional implementation costs of each intervention compared to status quo were measured between 2015 and 2030. Increasing the proportion of eligible patients receiving acute care (tPA and EVT) resulted in a cumulative cost increase of SGD 22 million (or 0.3%) compared to the status quo. In fact, improving the proportion of eligible strokes receiving tPA (holding all other interventions constant) resulted in an actual </w:t>
      </w:r>
      <w:r w:rsidRPr="007C1EBE">
        <w:lastRenderedPageBreak/>
        <w:t xml:space="preserve">savings in costs of SGD 1 million, compared to baseline; this is because increasing the proportion of stroke patients receiving tPA improves functional outcomes in the simulated population, thereby reducing post-acute-care costs, particularly long-term care. Increasing the proportion of those treated in a CASU (inclusive of rehabilitation and secondary prevention) resulted in a cumulative increase of SGD 305 million (or 4%) compared to the status quo. All six interventions combined resulted in a cumulative cost increase of approximately SGD 336 million (or 5%) in comparison to status quo by 2030 (Figure 3A). </w:t>
      </w:r>
    </w:p>
    <w:p w:rsidR="00465ACB" w:rsidRDefault="00465ACB" w:rsidP="000A47C5">
      <w:pPr>
        <w:pStyle w:val="Paragraph"/>
      </w:pPr>
    </w:p>
    <w:p w:rsidR="00465ACB" w:rsidRDefault="00465ACB" w:rsidP="000A47C5">
      <w:pPr>
        <w:pStyle w:val="Newparagraph"/>
      </w:pPr>
    </w:p>
    <w:p w:rsidR="00465ACB" w:rsidRPr="00122C42" w:rsidRDefault="00465ACB" w:rsidP="000A47C5">
      <w:pPr>
        <w:pStyle w:val="Newparagraph"/>
        <w:jc w:val="center"/>
        <w:rPr>
          <w:i/>
        </w:rPr>
      </w:pPr>
      <w:r w:rsidRPr="00122C42">
        <w:rPr>
          <w:i/>
        </w:rPr>
        <w:t>Figures 3A and 3B about here</w:t>
      </w:r>
    </w:p>
    <w:p w:rsidR="00465ACB" w:rsidRDefault="00465ACB" w:rsidP="000A47C5">
      <w:pPr>
        <w:pStyle w:val="Newparagraph"/>
        <w:ind w:firstLine="0"/>
      </w:pPr>
    </w:p>
    <w:p w:rsidR="00465ACB" w:rsidRPr="00D107E5" w:rsidRDefault="00465ACB" w:rsidP="000A47C5">
      <w:pPr>
        <w:pStyle w:val="Newparagraph"/>
      </w:pPr>
    </w:p>
    <w:p w:rsidR="00465ACB" w:rsidRPr="007C1EBE" w:rsidRDefault="00465ACB" w:rsidP="000A47C5">
      <w:pPr>
        <w:pStyle w:val="Heading2"/>
      </w:pPr>
      <w:r w:rsidRPr="007C1EBE">
        <w:t>Cumulative Discounted QALYs gained in 2030</w:t>
      </w:r>
    </w:p>
    <w:p w:rsidR="00465ACB" w:rsidRPr="007C1EBE" w:rsidRDefault="00465ACB" w:rsidP="000A47C5">
      <w:pPr>
        <w:pStyle w:val="Paragraph"/>
      </w:pPr>
      <w:r w:rsidRPr="007C1EBE">
        <w:t xml:space="preserve">When considering single interventions only, promoting secondary prevention resulted in the highest QALYs gained (3,893 or 0.7%), closely followed by rehabilitation (3,760). Combining the increased proportion of eligible strokes receiving hyper-acute treatment (tPA and EVT) with a public information campaign resulted in a higher number of QALYs gained (compared to status quo) (2,121) compared with the sum of implementing these interventions individually (1,941) (Figure 3B), illustrating a synergistic effect. Increasing the proportion of those treated in a CASU resulted in a cumulative gain of 7,381 QALYs (or 1.3%) compared to the status quo. As expected, the intervention scenario in which all of the six stroke interventions are included resulted in the highest gain in QALYs (9, 411 or 2%) from the status quo. </w:t>
      </w:r>
    </w:p>
    <w:p w:rsidR="00465ACB" w:rsidRPr="007C1EBE" w:rsidRDefault="00465ACB" w:rsidP="000A47C5">
      <w:pPr>
        <w:pStyle w:val="Heading2"/>
      </w:pPr>
      <w:r w:rsidRPr="007C1EBE">
        <w:lastRenderedPageBreak/>
        <w:t>Difference in Cumulative Net Monetary Benefit between Each Intervention Scenario and Status Quo in 2030</w:t>
      </w:r>
    </w:p>
    <w:p w:rsidR="00465ACB" w:rsidRDefault="00465ACB" w:rsidP="000A47C5">
      <w:pPr>
        <w:pStyle w:val="Paragraph"/>
      </w:pPr>
      <w:r w:rsidRPr="007C1EBE">
        <w:t xml:space="preserve">Each QALY gained was valued at 1 times gross domestic product (GDP) per capita (SGD 70,000) based on recommendations to assign the value of 1 to 3 times GDP per capita </w:t>
      </w:r>
      <w:r>
        <w:rPr>
          <w:noProof/>
        </w:rPr>
        <w:t>(World Health Organization, 2002)</w:t>
      </w:r>
      <w:r w:rsidRPr="007C1EBE">
        <w:t xml:space="preserve">, to estimate the cumulative net monetary benefit from these interventions until 2030. While in the short-term, ramp-up of interventions led to initial net monetary loss compared to the status quo, within a 15-year timeframe, all interventions resulted in a positive cumulative </w:t>
      </w:r>
      <w:r>
        <w:t>net monetary benefit</w:t>
      </w:r>
      <w:r w:rsidRPr="007C1EBE">
        <w:t xml:space="preserve">, compared to the status quo. This finding is understandable, given time delays between costs incurred and full benefits realized.  As expected, in 2030, the intervention scenario with all six interventions combined had the highest </w:t>
      </w:r>
      <w:r>
        <w:t>net monetary</w:t>
      </w:r>
      <w:r w:rsidRPr="007C1EBE">
        <w:t xml:space="preserve"> (SGD 323 million). As a single intervention strategy, post-acute care, namely rehabilitation, followed by secondary prevention, had the highest gain in </w:t>
      </w:r>
      <w:r>
        <w:t>net monetary benefit</w:t>
      </w:r>
      <w:r w:rsidRPr="007C1EBE">
        <w:t xml:space="preserve"> by 2030 (SGD 227 million and SGD 180 million, respectively), compared to hyper-acute interventions such as tPA and EVT; this is an important finding as it reaffirms the value of a CASU in providing not only acute service, but also improved coordination of post-acute care. (Figure 4).</w:t>
      </w:r>
    </w:p>
    <w:p w:rsidR="00465ACB" w:rsidRDefault="00465ACB" w:rsidP="000A47C5">
      <w:pPr>
        <w:pStyle w:val="Newparagraph"/>
      </w:pPr>
    </w:p>
    <w:p w:rsidR="00465ACB" w:rsidRPr="00122C42" w:rsidRDefault="00465ACB" w:rsidP="000A47C5">
      <w:pPr>
        <w:pStyle w:val="Newparagraph"/>
        <w:jc w:val="center"/>
        <w:rPr>
          <w:i/>
        </w:rPr>
      </w:pPr>
      <w:r w:rsidRPr="00122C42">
        <w:rPr>
          <w:i/>
          <w:noProof/>
        </w:rPr>
        <w:t>Figure 4 about here</w:t>
      </w:r>
    </w:p>
    <w:p w:rsidR="00465ACB" w:rsidRDefault="00465ACB" w:rsidP="000A47C5">
      <w:pPr>
        <w:pStyle w:val="Heading1"/>
      </w:pPr>
      <w:r w:rsidRPr="007C1EBE">
        <w:t>Discussion</w:t>
      </w:r>
    </w:p>
    <w:p w:rsidR="00465ACB" w:rsidRPr="007C1EBE" w:rsidRDefault="00465ACB" w:rsidP="000A47C5">
      <w:pPr>
        <w:pStyle w:val="Paragraph"/>
      </w:pPr>
      <w:r w:rsidRPr="007C1EBE">
        <w:t xml:space="preserve">Our analysis indicates that all interventions combined (public information campaign, increasing the proportion of strokes receiving acute interventions as well as out-of-hospital rehabilitation and secondary prevention), synergistically produced more benefits by 2030 and resulted in the largest </w:t>
      </w:r>
      <w:r>
        <w:t>net monetary</w:t>
      </w:r>
      <w:r w:rsidRPr="007C1EBE">
        <w:t xml:space="preserve"> gain at the end of the simulation period. Furthermore, given that post-acute care, namely rehabilitation, followed by secondary prevention, had the </w:t>
      </w:r>
      <w:r w:rsidRPr="007C1EBE">
        <w:lastRenderedPageBreak/>
        <w:t xml:space="preserve">highest gain in </w:t>
      </w:r>
      <w:r>
        <w:t>net monetary</w:t>
      </w:r>
      <w:r w:rsidRPr="007C1EBE">
        <w:t xml:space="preserve"> by 2030 reaffirms the value of a CASU in providing improved coordination of post-acute care. </w:t>
      </w:r>
    </w:p>
    <w:p w:rsidR="00465ACB" w:rsidRDefault="00465ACB" w:rsidP="000A47C5">
      <w:pPr>
        <w:pStyle w:val="Paragraph"/>
      </w:pPr>
      <w:r w:rsidRPr="007C1EBE">
        <w:t>Among single improvements in stroke care, increasing the number of stroke patients receiving out-of-hospital rehabilitation resulted in the largest gain in net monetary benefit compared to status quo over the 15-year simulation ramp-up period. This is primarily due to the estimated improvement in functional outcome in the long-term. With the exception of tPA, other interventions incurred a net increase in cumulative costs (including long-term care) by 2030</w:t>
      </w:r>
      <w:r w:rsidRPr="007C1EBE" w:rsidDel="002F613D">
        <w:t xml:space="preserve">. </w:t>
      </w:r>
      <w:r w:rsidRPr="007C1EBE">
        <w:t xml:space="preserve">Often clinical interventions can be exclusively available to only a subgroup of stroke patients due to contraindication; for tPA and EVT, the most stringent eligibility criterion is onset-to-door time. Thus, we observed that the intervention scenario in which a public information campaign to raise awareness of stroke symptoms is launched increases the proportion of eligible strokes receiving these acute clinical interventions, thus producing a synergistic effect in the number of QALYs gained than implementing these interventions individually. </w:t>
      </w:r>
    </w:p>
    <w:p w:rsidR="00465ACB" w:rsidRDefault="00465ACB" w:rsidP="000A47C5">
      <w:pPr>
        <w:pStyle w:val="Paragraph"/>
      </w:pPr>
      <w:r w:rsidRPr="007C1EBE">
        <w:t xml:space="preserve">In distinction to conventional cost-effectiveness analyses in which a cohort of individuals is followed over time (a “closed” cohort), this </w:t>
      </w:r>
      <w:r>
        <w:t>modelling approach</w:t>
      </w:r>
      <w:r w:rsidRPr="007C1EBE">
        <w:t xml:space="preserve"> generates estimates of the impact from year to year over the entire </w:t>
      </w:r>
      <w:r>
        <w:t xml:space="preserve">population (an “open” cohort). </w:t>
      </w:r>
      <w:r w:rsidRPr="007C1EBE">
        <w:t xml:space="preserve">This allows an estimate of the year to year impact at the societal level, as well as the cumulative impact over a defined time horizon (here to 2030). For this reason, </w:t>
      </w:r>
      <w:r>
        <w:t>net monetary benefit</w:t>
      </w:r>
      <w:r w:rsidRPr="007C1EBE">
        <w:t xml:space="preserve"> – related to the incremental cost-effectiveness ratio – is the most natural metric for value.  </w:t>
      </w:r>
      <w:r>
        <w:t>This study contributes to the expanding literature, e.g. Kunc and Kazakov (2013),that demonstrates the possible savings in healthcare costs using SD models.</w:t>
      </w:r>
    </w:p>
    <w:p w:rsidR="00465ACB" w:rsidRDefault="00465ACB" w:rsidP="000A47C5">
      <w:pPr>
        <w:pStyle w:val="Paragraph"/>
      </w:pPr>
      <w:r>
        <w:t xml:space="preserve">Methodologically our SD approach to strategic planning of the comprehensive stroke care complements the operational DES simulation studies more prominent in the stroke area and </w:t>
      </w:r>
      <w:r>
        <w:lastRenderedPageBreak/>
        <w:t>the cost-effectiveness studies focused on single interventions and examining closed cohorts. In this project, we had to consider interventions, outcomes and costs as well as take into account very different time scales (minutes and hours in the hyperacute phase to months (rehabilitation) and years (long-term care), different outcomes. Moreover, we knew that implementation of some of the improvements would happen over time.</w:t>
      </w:r>
      <w:r w:rsidRPr="00682484">
        <w:t xml:space="preserve"> </w:t>
      </w:r>
      <w:r>
        <w:t xml:space="preserve">Considerable effort had to be invested in assembling and reconciling the evidence from different sources necessary for an analysis of how the combination of changes in the implementation in the interventions would over time change outcomes. System dynamics modelling allowed us to integrate evidence from the medical literature, local data and expert opinion to enable the analysis of the entire system of care provided for people who have suffered a stroke. It was in particular possible, to arrive at reasoned estimates of the effect combination of interventions even though RCT typically only report on the effect of interventions in isolation. The modelling approach did not only allow the integration of evidence from different sources, but also supported the communication among team and our stakeholders with both medical and administrative and policy responsibilities and backgrounds. </w:t>
      </w:r>
    </w:p>
    <w:p w:rsidR="00465ACB" w:rsidRDefault="00465ACB" w:rsidP="000A47C5">
      <w:pPr>
        <w:pStyle w:val="Heading1"/>
      </w:pPr>
      <w:r>
        <w:t>Conclusions</w:t>
      </w:r>
    </w:p>
    <w:p w:rsidR="00465ACB" w:rsidRPr="007C1EBE" w:rsidRDefault="00465ACB" w:rsidP="000A47C5">
      <w:pPr>
        <w:pStyle w:val="Paragraph"/>
      </w:pPr>
      <w:r w:rsidRPr="007C1EBE">
        <w:t>In our study, we built a model of stroke for Singapore representing the health and cost impact of various interventions to improve stroke care.  As a population-level model, this provides projections of outcomes over time, accounting for dynamic phenomena such as changing demographics. The process of building this simulation model allowed various stakeholders to convene and share their understanding of the current stroke management and exchange ideas for better informed planning. The study findings will inform and improve current stroke services delivery in Singapore.</w:t>
      </w:r>
    </w:p>
    <w:p w:rsidR="00465ACB" w:rsidRPr="007C1EBE" w:rsidRDefault="00465ACB" w:rsidP="000A47C5">
      <w:pPr>
        <w:pStyle w:val="Paragraph"/>
      </w:pPr>
      <w:r w:rsidRPr="007C1EBE">
        <w:t xml:space="preserve">One limitation of the study is the uncertainty of several model parameters due to the lack of </w:t>
      </w:r>
      <w:r w:rsidRPr="007C1EBE">
        <w:lastRenderedPageBreak/>
        <w:t xml:space="preserve">data. We addressed this by determining these parameters through consultation with the SSI team and calibration. We addressed remaining uncertainties through rigorous one-way and probabilistic sensitivity analyses; by varying key parameters within a 10% margin, we demonstrated that conclusions presented in this paper were </w:t>
      </w:r>
      <w:r>
        <w:t>robust to these uncertainties.</w:t>
      </w:r>
    </w:p>
    <w:p w:rsidR="00465ACB" w:rsidRPr="007C1EBE" w:rsidRDefault="00465ACB" w:rsidP="000A47C5">
      <w:pPr>
        <w:pStyle w:val="Paragraph"/>
      </w:pPr>
      <w:r w:rsidRPr="007C1EBE">
        <w:t xml:space="preserve">Another limitation is that intervention costs per episode treated were assumed to remain the same, irrespective of the scale of the intervention; it is likely that increasing the scale of intervention beyond a certain threshold would involve certain fixed or sunk costs (such as the cost of new equipment, purchase of additional land or buildings). The monetary cost of productivity losses among patients and their caregivers were also excluded, as well as costs of associated conditions of stroke such as, vascular dementia, and their morbidities. However, such underestimation of costs may be, to a certain extent, offset by the underestimation of the additional benefits that interventions such as secondary prevention can have on other medical conditions and co-morbidities such as the risk of heart failure, myocardial infarction, and chronic kidney disease. </w:t>
      </w:r>
    </w:p>
    <w:p w:rsidR="00465ACB" w:rsidRDefault="00465ACB" w:rsidP="000A47C5">
      <w:pPr>
        <w:pStyle w:val="Paragraph"/>
      </w:pPr>
      <w:r w:rsidRPr="007C1EBE">
        <w:t xml:space="preserve">The results from this model are being used for stroke services planning in Singapore, and this stroke SD model will be updated periodically to help policymakers with their informed decision-making. This SD model may be utilized by other countries and healthcare providers to explore local specific cost considerations and to assist with healthcare systems planning and projections. </w:t>
      </w:r>
    </w:p>
    <w:p w:rsidR="00465ACB" w:rsidRDefault="00465ACB">
      <w:pPr>
        <w:spacing w:line="240" w:lineRule="auto"/>
        <w:rPr>
          <w:b/>
          <w:sz w:val="20"/>
          <w:szCs w:val="20"/>
        </w:rPr>
      </w:pPr>
    </w:p>
    <w:p w:rsidR="00761D46" w:rsidRDefault="00761D46" w:rsidP="00761D46">
      <w:pPr>
        <w:pStyle w:val="Heading1"/>
      </w:pPr>
      <w:r>
        <w:t>Acknowledgements</w:t>
      </w:r>
    </w:p>
    <w:p w:rsidR="00761D46" w:rsidRPr="00CF48DD" w:rsidRDefault="00761D46" w:rsidP="00761D46">
      <w:pPr>
        <w:pStyle w:val="Acknowledgements"/>
      </w:pPr>
      <w:r w:rsidRPr="00CF48DD">
        <w:t>Preliminary work for this project was carried out by Ms. Yuan Tian whose contribution we appreciate.</w:t>
      </w:r>
      <w:r>
        <w:t xml:space="preserve"> We thank Martin Kunc and Sally Brailsford for providing helpful comments on the draft if this article.</w:t>
      </w:r>
    </w:p>
    <w:p w:rsidR="00761D46" w:rsidRPr="00CF48DD" w:rsidRDefault="00761D46" w:rsidP="00761D46">
      <w:pPr>
        <w:pStyle w:val="Acknowledgements"/>
        <w:rPr>
          <w:sz w:val="20"/>
          <w:szCs w:val="20"/>
        </w:rPr>
      </w:pPr>
    </w:p>
    <w:p w:rsidR="00465ACB" w:rsidRPr="00122C42" w:rsidRDefault="00761D46" w:rsidP="00761D46">
      <w:pPr>
        <w:pStyle w:val="Heading1"/>
      </w:pPr>
      <w:r>
        <w:lastRenderedPageBreak/>
        <w:t>Funding</w:t>
      </w:r>
    </w:p>
    <w:p w:rsidR="00465ACB" w:rsidRDefault="00465ACB" w:rsidP="00761D46">
      <w:pPr>
        <w:pStyle w:val="Acknowledgements"/>
      </w:pPr>
      <w:r w:rsidRPr="00CF48DD">
        <w:t xml:space="preserve">This work was </w:t>
      </w:r>
      <w:r>
        <w:t>supported</w:t>
      </w:r>
      <w:r w:rsidRPr="00CF48DD">
        <w:t xml:space="preserve"> by the Singapore Ministry of Health’s National Medical Research Council under its STaR Award Grant (NMRC|STaR|0005|2009) as part of the project “Establishing a Practical and Theoretical Foundation for Comprehensive and Integrated Community, Policy and Academic Efforts to Impro</w:t>
      </w:r>
      <w:r>
        <w:t>ve Dementia Care in Singapore.”</w:t>
      </w:r>
    </w:p>
    <w:p w:rsidR="00465ACB" w:rsidRDefault="00465ACB" w:rsidP="000A47C5">
      <w:pPr>
        <w:rPr>
          <w:rFonts w:eastAsiaTheme="majorEastAsia"/>
          <w:sz w:val="20"/>
          <w:szCs w:val="20"/>
        </w:rPr>
      </w:pPr>
    </w:p>
    <w:p w:rsidR="00761D46" w:rsidRPr="00122C42" w:rsidRDefault="00761D46" w:rsidP="00761D46">
      <w:pPr>
        <w:pStyle w:val="Heading1"/>
      </w:pPr>
      <w:r>
        <w:t>Disclosure statement</w:t>
      </w:r>
    </w:p>
    <w:p w:rsidR="00761D46" w:rsidRDefault="00761D46" w:rsidP="00761D46">
      <w:pPr>
        <w:pStyle w:val="Acknowledgements"/>
      </w:pPr>
      <w:r w:rsidRPr="00CF48DD">
        <w:t>Dr. Koh owns equity in a private tele-rehabilitation company, T-Rehab Private Limited. The other authors report no conflicts.</w:t>
      </w:r>
    </w:p>
    <w:p w:rsidR="00761D46" w:rsidRPr="00CF48DD" w:rsidRDefault="00761D46" w:rsidP="000A47C5">
      <w:pPr>
        <w:rPr>
          <w:rFonts w:eastAsiaTheme="majorEastAsia"/>
          <w:sz w:val="20"/>
          <w:szCs w:val="20"/>
        </w:rPr>
      </w:pPr>
    </w:p>
    <w:p w:rsidR="00465ACB" w:rsidRDefault="00465ACB">
      <w:pPr>
        <w:spacing w:after="160" w:line="259" w:lineRule="auto"/>
        <w:rPr>
          <w:rFonts w:eastAsiaTheme="majorEastAsia"/>
          <w:sz w:val="20"/>
          <w:szCs w:val="20"/>
        </w:rPr>
      </w:pPr>
      <w:r>
        <w:rPr>
          <w:rFonts w:eastAsiaTheme="majorEastAsia"/>
          <w:sz w:val="20"/>
          <w:szCs w:val="20"/>
        </w:rPr>
        <w:br w:type="page"/>
      </w:r>
    </w:p>
    <w:p w:rsidR="00465ACB" w:rsidRPr="007C1EBE" w:rsidRDefault="00465ACB" w:rsidP="000A47C5">
      <w:pPr>
        <w:pStyle w:val="Heading1"/>
        <w:ind w:left="432"/>
      </w:pPr>
      <w:r w:rsidRPr="007C1EBE">
        <w:lastRenderedPageBreak/>
        <w:t>References</w:t>
      </w:r>
    </w:p>
    <w:p w:rsidR="00465ACB" w:rsidRPr="006D1BE6" w:rsidRDefault="00465ACB" w:rsidP="00465ACB">
      <w:pPr>
        <w:pStyle w:val="References"/>
        <w:rPr>
          <w:noProof/>
        </w:rPr>
      </w:pPr>
      <w:r w:rsidRPr="006D1BE6">
        <w:rPr>
          <w:noProof/>
        </w:rPr>
        <w:t xml:space="preserve">Agency for Integrated Care. (2015). In Knowledge Management Division (Ed.). Singapore </w:t>
      </w:r>
    </w:p>
    <w:p w:rsidR="00465ACB" w:rsidRPr="006D1BE6" w:rsidRDefault="00465ACB" w:rsidP="00465ACB">
      <w:pPr>
        <w:pStyle w:val="References"/>
        <w:rPr>
          <w:noProof/>
        </w:rPr>
      </w:pPr>
      <w:r w:rsidRPr="006D1BE6">
        <w:rPr>
          <w:noProof/>
        </w:rPr>
        <w:t xml:space="preserve">Bayer, S., Petsoulas, C., Cox, B., Honeyman, A., &amp; Barlow, J. (2010). Facilitating stroke care planning through simulation modelling. </w:t>
      </w:r>
      <w:r w:rsidRPr="006D1BE6">
        <w:rPr>
          <w:i/>
          <w:noProof/>
        </w:rPr>
        <w:t>Health Informatics J, 16</w:t>
      </w:r>
      <w:r w:rsidRPr="006D1BE6">
        <w:rPr>
          <w:noProof/>
        </w:rPr>
        <w:t xml:space="preserve">(2), pp. 129-143. doi:10.1177/1460458209361142 Retrieved from </w:t>
      </w:r>
      <w:r w:rsidRPr="00465ACB">
        <w:rPr>
          <w:rFonts w:eastAsiaTheme="majorEastAsia"/>
          <w:noProof/>
        </w:rPr>
        <w:t>https://www.ncbi.nlm.nih.gov/pubmed/20573645</w:t>
      </w:r>
    </w:p>
    <w:p w:rsidR="00465ACB" w:rsidRPr="006D1BE6" w:rsidRDefault="00465ACB" w:rsidP="00465ACB">
      <w:pPr>
        <w:pStyle w:val="References"/>
        <w:rPr>
          <w:noProof/>
        </w:rPr>
      </w:pPr>
      <w:r w:rsidRPr="00375A9D">
        <w:rPr>
          <w:noProof/>
          <w:lang w:val="de-DE"/>
        </w:rPr>
        <w:t xml:space="preserve">Berkhemer, O. A., Fransen, P. S., Beumer, D., van den Berg, L. A., Lingsma, H. F., Yoo, A. J., . . . </w:t>
      </w:r>
      <w:r w:rsidRPr="006D1BE6">
        <w:rPr>
          <w:noProof/>
        </w:rPr>
        <w:t xml:space="preserve">Dippel, D. W. (2015). A randomized trial of intraarterial treatment for acute ischemic stroke. </w:t>
      </w:r>
      <w:r w:rsidRPr="006D1BE6">
        <w:rPr>
          <w:i/>
          <w:noProof/>
        </w:rPr>
        <w:t>N Engl J Med, 372</w:t>
      </w:r>
      <w:r w:rsidRPr="006D1BE6">
        <w:rPr>
          <w:noProof/>
        </w:rPr>
        <w:t xml:space="preserve">(1), pp. 11-20. doi:10.1056/NEJMoa1411587 Retrieved from </w:t>
      </w:r>
      <w:r w:rsidRPr="00465ACB">
        <w:rPr>
          <w:rFonts w:eastAsiaTheme="majorEastAsia"/>
          <w:noProof/>
        </w:rPr>
        <w:t>http://www.nejm.org/doi/pdf/10.1056/NEJMoa1411587</w:t>
      </w:r>
    </w:p>
    <w:p w:rsidR="00465ACB" w:rsidRPr="006D1BE6" w:rsidRDefault="00465ACB" w:rsidP="00465ACB">
      <w:pPr>
        <w:pStyle w:val="References"/>
        <w:rPr>
          <w:noProof/>
        </w:rPr>
      </w:pPr>
      <w:r w:rsidRPr="00761D46">
        <w:rPr>
          <w:noProof/>
          <w:lang w:val="es-ES"/>
        </w:rPr>
        <w:t xml:space="preserve">Chan, A. W. M., Ostbye, T., Malhotra, R., Hu, A.J. (2013). </w:t>
      </w:r>
      <w:r w:rsidRPr="006D1BE6">
        <w:rPr>
          <w:i/>
          <w:noProof/>
        </w:rPr>
        <w:t>Singapore Survey on Informal Caregiving</w:t>
      </w:r>
      <w:r w:rsidRPr="006D1BE6">
        <w:rPr>
          <w:noProof/>
        </w:rPr>
        <w:t xml:space="preserve"> [Data set]. Retrieved </w:t>
      </w:r>
    </w:p>
    <w:p w:rsidR="00465ACB" w:rsidRPr="006D1BE6" w:rsidRDefault="00465ACB" w:rsidP="00465ACB">
      <w:pPr>
        <w:pStyle w:val="References"/>
        <w:rPr>
          <w:noProof/>
        </w:rPr>
      </w:pPr>
      <w:r w:rsidRPr="006D1BE6">
        <w:rPr>
          <w:noProof/>
        </w:rPr>
        <w:t xml:space="preserve">Chan, A. W. M., Wee S.L., Noi G.S. </w:t>
      </w:r>
      <w:r w:rsidRPr="006D1BE6">
        <w:rPr>
          <w:i/>
          <w:noProof/>
        </w:rPr>
        <w:t>A Longitudinal Study of Factors that Influence Use of Long-Term Care Services in Singapore</w:t>
      </w:r>
      <w:r w:rsidRPr="006D1BE6">
        <w:rPr>
          <w:noProof/>
        </w:rPr>
        <w:t xml:space="preserve"> [Data set]. Retrieved </w:t>
      </w:r>
    </w:p>
    <w:p w:rsidR="00465ACB" w:rsidRPr="006D1BE6" w:rsidRDefault="00465ACB" w:rsidP="00465ACB">
      <w:pPr>
        <w:pStyle w:val="References"/>
        <w:rPr>
          <w:noProof/>
        </w:rPr>
      </w:pPr>
      <w:r w:rsidRPr="006D1BE6">
        <w:rPr>
          <w:noProof/>
        </w:rPr>
        <w:t xml:space="preserve">Churilov, L., Fridriksdottir, A., Keshtkaran, M., Mosley, I., Flitman, A., &amp; Dewey, H. M. (2013). Decision support in pre-hospital stroke care operations: A case of using simulation to improve eligibility of acute stroke patients for thrombolysis treatment. </w:t>
      </w:r>
      <w:r w:rsidRPr="006D1BE6">
        <w:rPr>
          <w:i/>
          <w:noProof/>
        </w:rPr>
        <w:t>Computers &amp; Operations Research, 40</w:t>
      </w:r>
      <w:r w:rsidRPr="006D1BE6">
        <w:rPr>
          <w:noProof/>
        </w:rPr>
        <w:t>(9), pp. 2208-2218. doi:</w:t>
      </w:r>
      <w:r w:rsidRPr="00465ACB">
        <w:rPr>
          <w:rFonts w:eastAsiaTheme="majorEastAsia"/>
          <w:noProof/>
        </w:rPr>
        <w:t>https://doi.org/10.1016/j.cor.2012.06.012</w:t>
      </w:r>
      <w:r w:rsidRPr="006D1BE6">
        <w:rPr>
          <w:noProof/>
        </w:rPr>
        <w:t xml:space="preserve"> Retrieved from </w:t>
      </w:r>
      <w:r w:rsidRPr="00465ACB">
        <w:rPr>
          <w:rFonts w:eastAsiaTheme="majorEastAsia"/>
          <w:noProof/>
        </w:rPr>
        <w:t>http://www.sciencedirect.com/science/article/pii/S030505481200144X</w:t>
      </w:r>
    </w:p>
    <w:p w:rsidR="00465ACB" w:rsidRPr="006D1BE6" w:rsidRDefault="00465ACB" w:rsidP="00465ACB">
      <w:pPr>
        <w:pStyle w:val="References"/>
        <w:rPr>
          <w:noProof/>
        </w:rPr>
      </w:pPr>
      <w:r w:rsidRPr="006D1BE6">
        <w:rPr>
          <w:noProof/>
        </w:rPr>
        <w:t xml:space="preserve">Claesson, L., Gosman-Hedstrom, G., Johannesson, M., Fagerberg, B., &amp; Blomstrand, C. (2000). Resource Utilization and Costs of Stroke Unit Care Integrated in a Care Continuum: A 1-Year Controlled, Prospective, Randomized Study in Elderly Patients: The Goteburg 70+ Stroke Study. </w:t>
      </w:r>
      <w:r w:rsidRPr="006D1BE6">
        <w:rPr>
          <w:i/>
          <w:noProof/>
        </w:rPr>
        <w:t>Stroke, 31</w:t>
      </w:r>
      <w:r w:rsidRPr="006D1BE6">
        <w:rPr>
          <w:noProof/>
        </w:rPr>
        <w:t xml:space="preserve">, p 9. </w:t>
      </w:r>
    </w:p>
    <w:p w:rsidR="00465ACB" w:rsidRPr="006D1BE6" w:rsidRDefault="00465ACB" w:rsidP="00465ACB">
      <w:pPr>
        <w:pStyle w:val="References"/>
        <w:rPr>
          <w:noProof/>
        </w:rPr>
      </w:pPr>
      <w:r w:rsidRPr="006D1BE6">
        <w:rPr>
          <w:noProof/>
        </w:rPr>
        <w:t xml:space="preserve">Cordeaux, C., Hughes, A., &amp; Elder, M. (2011). Simulating the impact of change: implementing best practice in stroke care. </w:t>
      </w:r>
      <w:r w:rsidRPr="006D1BE6">
        <w:rPr>
          <w:i/>
          <w:noProof/>
        </w:rPr>
        <w:t>London J Prim Care (Abingdon), 4</w:t>
      </w:r>
      <w:r w:rsidRPr="006D1BE6">
        <w:rPr>
          <w:noProof/>
        </w:rPr>
        <w:t xml:space="preserve">(1), pp. 33-37. Retrieved from </w:t>
      </w:r>
      <w:r w:rsidRPr="00465ACB">
        <w:rPr>
          <w:rFonts w:eastAsiaTheme="majorEastAsia"/>
          <w:noProof/>
        </w:rPr>
        <w:t>https://www.ncbi.nlm.nih.gov/pubmed/25949645</w:t>
      </w:r>
    </w:p>
    <w:p w:rsidR="00465ACB" w:rsidRPr="006D1BE6" w:rsidRDefault="00465ACB" w:rsidP="00465ACB">
      <w:pPr>
        <w:pStyle w:val="References"/>
        <w:rPr>
          <w:noProof/>
        </w:rPr>
      </w:pPr>
      <w:r w:rsidRPr="006D1BE6">
        <w:rPr>
          <w:noProof/>
        </w:rPr>
        <w:t xml:space="preserve">Davidson, T., Husberg, M., Janzon, M., Oldgren, J., &amp; Levin, L. A. (2013). Cost-effectiveness of dabigatran compared with warfarin for patients with atrial fibrillation in Sweden. </w:t>
      </w:r>
      <w:r w:rsidRPr="006D1BE6">
        <w:rPr>
          <w:i/>
          <w:noProof/>
        </w:rPr>
        <w:t>Eur Heart J, 34</w:t>
      </w:r>
      <w:r w:rsidRPr="006D1BE6">
        <w:rPr>
          <w:noProof/>
        </w:rPr>
        <w:t xml:space="preserve">(3), pp. 177-183. doi:10.1093/eurheartj/ehs157 Retrieved from </w:t>
      </w:r>
      <w:r w:rsidRPr="00465ACB">
        <w:rPr>
          <w:rFonts w:eastAsiaTheme="majorEastAsia"/>
          <w:noProof/>
        </w:rPr>
        <w:t>https://www.ncbi.nlm.nih.gov/pubmed/22733833</w:t>
      </w:r>
    </w:p>
    <w:p w:rsidR="00465ACB" w:rsidRPr="006D1BE6" w:rsidRDefault="00465ACB" w:rsidP="00465ACB">
      <w:pPr>
        <w:pStyle w:val="References"/>
        <w:rPr>
          <w:noProof/>
        </w:rPr>
      </w:pPr>
      <w:r w:rsidRPr="00761D46">
        <w:rPr>
          <w:noProof/>
          <w:lang w:val="es-ES"/>
        </w:rPr>
        <w:t xml:space="preserve">Esensoy, A. V., &amp; Carter, M. W. (2018). </w:t>
      </w:r>
      <w:r w:rsidRPr="006D1BE6">
        <w:rPr>
          <w:noProof/>
        </w:rPr>
        <w:t xml:space="preserve">High-fidelity whole-system patient flow modeling to assess health care transformation policies. </w:t>
      </w:r>
      <w:r w:rsidRPr="006D1BE6">
        <w:rPr>
          <w:i/>
          <w:noProof/>
        </w:rPr>
        <w:t xml:space="preserve">European Journal of Operational </w:t>
      </w:r>
      <w:r w:rsidRPr="006D1BE6">
        <w:rPr>
          <w:i/>
          <w:noProof/>
        </w:rPr>
        <w:lastRenderedPageBreak/>
        <w:t>Research, 266</w:t>
      </w:r>
      <w:r w:rsidRPr="006D1BE6">
        <w:rPr>
          <w:noProof/>
        </w:rPr>
        <w:t>(1), pp. 221-237. doi:</w:t>
      </w:r>
      <w:r w:rsidRPr="00465ACB">
        <w:rPr>
          <w:rFonts w:eastAsiaTheme="majorEastAsia"/>
          <w:noProof/>
        </w:rPr>
        <w:t>https://doi.org/10.1016/j.ejor.2017.09.019</w:t>
      </w:r>
      <w:r w:rsidRPr="006D1BE6">
        <w:rPr>
          <w:noProof/>
        </w:rPr>
        <w:t xml:space="preserve"> Retrieved from </w:t>
      </w:r>
      <w:r w:rsidRPr="00465ACB">
        <w:rPr>
          <w:rFonts w:eastAsiaTheme="majorEastAsia"/>
          <w:noProof/>
        </w:rPr>
        <w:t>http://www.sciencedirect.com/science/article/pii/S0377221717308408</w:t>
      </w:r>
    </w:p>
    <w:p w:rsidR="002978E1" w:rsidRPr="002978E1" w:rsidRDefault="002978E1" w:rsidP="002978E1">
      <w:pPr>
        <w:pStyle w:val="References"/>
        <w:rPr>
          <w:noProof/>
        </w:rPr>
      </w:pPr>
      <w:r w:rsidRPr="002978E1">
        <w:rPr>
          <w:noProof/>
        </w:rPr>
        <w:t>GBD 2016 Stroke Collaborators</w:t>
      </w:r>
      <w:r>
        <w:rPr>
          <w:noProof/>
        </w:rPr>
        <w:t xml:space="preserve"> (2019). </w:t>
      </w:r>
      <w:r w:rsidRPr="002978E1">
        <w:rPr>
          <w:noProof/>
        </w:rPr>
        <w:t xml:space="preserve">Global, regional, and national burden of stroke, 1990–2016: a systematic analysis for the Global Burden of Disease Study 2016, </w:t>
      </w:r>
      <w:r w:rsidRPr="002978E1">
        <w:rPr>
          <w:i/>
          <w:noProof/>
        </w:rPr>
        <w:t>The</w:t>
      </w:r>
      <w:r>
        <w:rPr>
          <w:noProof/>
        </w:rPr>
        <w:t xml:space="preserve"> </w:t>
      </w:r>
      <w:r w:rsidRPr="002978E1">
        <w:rPr>
          <w:i/>
          <w:noProof/>
        </w:rPr>
        <w:t>Lancet Neurology</w:t>
      </w:r>
      <w:r w:rsidRPr="002978E1">
        <w:rPr>
          <w:noProof/>
        </w:rPr>
        <w:t xml:space="preserve">, </w:t>
      </w:r>
      <w:r>
        <w:rPr>
          <w:noProof/>
        </w:rPr>
        <w:t>18(5)</w:t>
      </w:r>
      <w:r w:rsidRPr="002978E1">
        <w:rPr>
          <w:noProof/>
        </w:rPr>
        <w:t>,</w:t>
      </w:r>
      <w:r>
        <w:rPr>
          <w:noProof/>
        </w:rPr>
        <w:t xml:space="preserve"> </w:t>
      </w:r>
      <w:r w:rsidRPr="002978E1">
        <w:rPr>
          <w:noProof/>
        </w:rPr>
        <w:t>pp. 439-458</w:t>
      </w:r>
    </w:p>
    <w:p w:rsidR="00465ACB" w:rsidRDefault="00465ACB" w:rsidP="00465ACB">
      <w:pPr>
        <w:pStyle w:val="References"/>
        <w:rPr>
          <w:noProof/>
        </w:rPr>
      </w:pPr>
      <w:r w:rsidRPr="006D1BE6">
        <w:rPr>
          <w:noProof/>
        </w:rPr>
        <w:t xml:space="preserve">Gillespie, J., McClean, S., Garg, L., Barton, M., Scotney, B., &amp; Fullerton, K. (2016). A multi-phase DES modelling framework for patient-centred care. </w:t>
      </w:r>
      <w:r w:rsidRPr="006D1BE6">
        <w:rPr>
          <w:i/>
          <w:noProof/>
        </w:rPr>
        <w:t>Journal of the Operational Research Society, 67</w:t>
      </w:r>
      <w:r w:rsidRPr="006D1BE6">
        <w:rPr>
          <w:noProof/>
        </w:rPr>
        <w:t>(10), pp. 1239-1249. doi:</w:t>
      </w:r>
      <w:r w:rsidRPr="00465ACB">
        <w:rPr>
          <w:rFonts w:eastAsiaTheme="majorEastAsia"/>
          <w:noProof/>
        </w:rPr>
        <w:t>https://doi.org/10.1057/jors.2015.114</w:t>
      </w:r>
      <w:r w:rsidRPr="006D1BE6">
        <w:rPr>
          <w:noProof/>
        </w:rPr>
        <w:t xml:space="preserve"> </w:t>
      </w:r>
    </w:p>
    <w:p w:rsidR="002978E1" w:rsidRDefault="002978E1" w:rsidP="002978E1">
      <w:pPr>
        <w:pStyle w:val="References"/>
        <w:rPr>
          <w:noProof/>
        </w:rPr>
      </w:pPr>
      <w:r>
        <w:rPr>
          <w:noProof/>
        </w:rPr>
        <w:t xml:space="preserve">Gorelick, P.B. (2019) The global burden of stroke: persistent and disabling, </w:t>
      </w:r>
      <w:r w:rsidRPr="002978E1">
        <w:rPr>
          <w:i/>
          <w:noProof/>
        </w:rPr>
        <w:t>The Lancet Neurology</w:t>
      </w:r>
      <w:r>
        <w:rPr>
          <w:noProof/>
        </w:rPr>
        <w:t>, 18(5), pp. 417-418,ISSN 1474-4422, https://doi.org/10.1016/S1474-4422(19)30030-4.</w:t>
      </w:r>
    </w:p>
    <w:p w:rsidR="00465ACB" w:rsidRPr="006D1BE6" w:rsidRDefault="00465ACB" w:rsidP="00465ACB">
      <w:pPr>
        <w:pStyle w:val="References"/>
        <w:rPr>
          <w:noProof/>
        </w:rPr>
      </w:pPr>
      <w:r w:rsidRPr="006D1BE6">
        <w:rPr>
          <w:noProof/>
        </w:rPr>
        <w:t xml:space="preserve">Hackam, D. G., &amp; Spence, J. D. (2007). Combining multiple approaches for the secondary prevention of vascular events after stroke: a quantitative modeling study. </w:t>
      </w:r>
      <w:r w:rsidRPr="006D1BE6">
        <w:rPr>
          <w:i/>
          <w:noProof/>
        </w:rPr>
        <w:t>Stroke, 38</w:t>
      </w:r>
      <w:r w:rsidRPr="006D1BE6">
        <w:rPr>
          <w:noProof/>
        </w:rPr>
        <w:t xml:space="preserve">(6), pp. 1881-1885. doi:10.1161/strokeaha.106.475525 Retrieved from </w:t>
      </w:r>
      <w:r w:rsidRPr="00465ACB">
        <w:rPr>
          <w:rFonts w:eastAsiaTheme="majorEastAsia"/>
          <w:noProof/>
        </w:rPr>
        <w:t>http://stroke.ahajournals.org/content/38/6/1881.full.pdf</w:t>
      </w:r>
    </w:p>
    <w:p w:rsidR="00465ACB" w:rsidRPr="006D1BE6" w:rsidRDefault="00465ACB" w:rsidP="00465ACB">
      <w:pPr>
        <w:pStyle w:val="References"/>
        <w:rPr>
          <w:noProof/>
        </w:rPr>
      </w:pPr>
      <w:r w:rsidRPr="006D1BE6">
        <w:rPr>
          <w:noProof/>
        </w:rPr>
        <w:t xml:space="preserve">Hacke, W., Kaste, M., Bluhmki, E., Brozman, M., Davalos, A., Guidetti, D., . . . Toni, D. (2008). Thrombolysis with alteplase 3 to 4.5 hours after acute ischemic stroke. </w:t>
      </w:r>
      <w:r w:rsidRPr="006D1BE6">
        <w:rPr>
          <w:i/>
          <w:noProof/>
        </w:rPr>
        <w:t>N Engl J Med, 359</w:t>
      </w:r>
      <w:r w:rsidRPr="006D1BE6">
        <w:rPr>
          <w:noProof/>
        </w:rPr>
        <w:t xml:space="preserve">(13), pp. 1317-1329. doi:10.1056/NEJMoa0804656 Retrieved from </w:t>
      </w:r>
      <w:r w:rsidRPr="00465ACB">
        <w:rPr>
          <w:rFonts w:eastAsiaTheme="majorEastAsia"/>
          <w:noProof/>
        </w:rPr>
        <w:t>http://www.nejm.org/doi/pdf/10.1056/NEJMoa0804656</w:t>
      </w:r>
    </w:p>
    <w:p w:rsidR="00465ACB" w:rsidRPr="006D1BE6" w:rsidRDefault="00465ACB" w:rsidP="00465ACB">
      <w:pPr>
        <w:pStyle w:val="References"/>
        <w:rPr>
          <w:noProof/>
        </w:rPr>
      </w:pPr>
      <w:r w:rsidRPr="006D1BE6">
        <w:rPr>
          <w:noProof/>
        </w:rPr>
        <w:t xml:space="preserve">Hartwell, D., Jones, J., Baxter, L., &amp; Shepherd, J. (2011). Peginterferon alfa and ribavirin for chronic hepatitis C in patients eligible for shortened treatment, re-treatment or in HCV/HIV co-infection: a systematic review and economic evaluation. Appendix 8, Net benefit framework. </w:t>
      </w:r>
      <w:r w:rsidRPr="006D1BE6">
        <w:rPr>
          <w:i/>
          <w:noProof/>
        </w:rPr>
        <w:t>Health Technol Assess, 15</w:t>
      </w:r>
      <w:r w:rsidRPr="006D1BE6">
        <w:rPr>
          <w:noProof/>
        </w:rPr>
        <w:t xml:space="preserve">(17), pp. 195-197. doi:10.3310/hta15170 Retrieved from </w:t>
      </w:r>
      <w:r w:rsidRPr="00465ACB">
        <w:rPr>
          <w:rFonts w:eastAsiaTheme="majorEastAsia"/>
          <w:noProof/>
        </w:rPr>
        <w:t>http://www.ncbi.nlm.nih.gov/pubmed/21473834</w:t>
      </w:r>
    </w:p>
    <w:p w:rsidR="00465ACB" w:rsidRPr="006D1BE6" w:rsidRDefault="00465ACB" w:rsidP="00465ACB">
      <w:pPr>
        <w:pStyle w:val="References"/>
        <w:rPr>
          <w:noProof/>
        </w:rPr>
      </w:pPr>
      <w:r w:rsidRPr="006D1BE6">
        <w:rPr>
          <w:noProof/>
        </w:rPr>
        <w:t xml:space="preserve">Hodgson, C., Lindsay, P., &amp; Rubini, F. (2007). Can mass media influence emergency department visits for stroke? </w:t>
      </w:r>
      <w:r w:rsidRPr="006D1BE6">
        <w:rPr>
          <w:i/>
          <w:noProof/>
        </w:rPr>
        <w:t>Stroke, 38</w:t>
      </w:r>
      <w:r w:rsidRPr="006D1BE6">
        <w:rPr>
          <w:noProof/>
        </w:rPr>
        <w:t xml:space="preserve">(7), pp. 2115-2122. doi:10.1161/strokeaha.107.484071 </w:t>
      </w:r>
    </w:p>
    <w:p w:rsidR="00465ACB" w:rsidRPr="006D1BE6" w:rsidRDefault="00465ACB" w:rsidP="00465ACB">
      <w:pPr>
        <w:pStyle w:val="References"/>
        <w:rPr>
          <w:noProof/>
        </w:rPr>
      </w:pPr>
      <w:r w:rsidRPr="006D1BE6">
        <w:rPr>
          <w:noProof/>
        </w:rPr>
        <w:t xml:space="preserve">Homer, J. B., &amp; Hirsch, G. B. (2006). System Dynamics Modeling for Public Health: Background and Opportunities. </w:t>
      </w:r>
      <w:r w:rsidRPr="006D1BE6">
        <w:rPr>
          <w:i/>
          <w:noProof/>
        </w:rPr>
        <w:t>American Journal of Public Health, 96</w:t>
      </w:r>
      <w:r w:rsidRPr="006D1BE6">
        <w:rPr>
          <w:noProof/>
        </w:rPr>
        <w:t xml:space="preserve">(3), pp. 452-458. doi:10.2105/AJPH.2005.062059 Retrieved from </w:t>
      </w:r>
      <w:r w:rsidRPr="00465ACB">
        <w:rPr>
          <w:rFonts w:eastAsiaTheme="majorEastAsia"/>
          <w:noProof/>
        </w:rPr>
        <w:t>http://www.ncbi.nlm.nih.gov/pmc/articles/PMC1470525/pdf/0960452.pdf</w:t>
      </w:r>
    </w:p>
    <w:p w:rsidR="00465ACB" w:rsidRPr="006D1BE6" w:rsidRDefault="00465ACB" w:rsidP="00465ACB">
      <w:pPr>
        <w:pStyle w:val="References"/>
        <w:rPr>
          <w:noProof/>
        </w:rPr>
      </w:pPr>
      <w:r w:rsidRPr="006D1BE6">
        <w:rPr>
          <w:noProof/>
        </w:rPr>
        <w:lastRenderedPageBreak/>
        <w:t xml:space="preserve">Jauch EC, S. J., Adams HP Jr, Bruno A, Connors JJ, Demaerschalk BM, Khatri P, McMullan PW Jr, Qureshi AI, Rosenfield K, Scott PA, Summers DR, Wang DZ, Wintermark M, Yonas H; on behalf of the American Heart Association Stroke Council, Council on Cardiovascular Nursing, Council on Peripheral Vascular Disease, and Council on Clinical Cardiology,. (2013). Guidelines for the early management of patients with acute ischemic stroke: a guideline for healthcare professionals from the American Heart Association/American Stroke Association. </w:t>
      </w:r>
      <w:r w:rsidRPr="006D1BE6">
        <w:rPr>
          <w:i/>
          <w:noProof/>
        </w:rPr>
        <w:t>Stroke, 44</w:t>
      </w:r>
      <w:r w:rsidRPr="006D1BE6">
        <w:rPr>
          <w:noProof/>
        </w:rPr>
        <w:t xml:space="preserve">, pp. 870-947. </w:t>
      </w:r>
    </w:p>
    <w:p w:rsidR="00465ACB" w:rsidRPr="006D1BE6" w:rsidRDefault="00465ACB" w:rsidP="00465ACB">
      <w:pPr>
        <w:pStyle w:val="References"/>
        <w:rPr>
          <w:noProof/>
        </w:rPr>
      </w:pPr>
      <w:r w:rsidRPr="006D1BE6">
        <w:rPr>
          <w:noProof/>
        </w:rPr>
        <w:t xml:space="preserve">Kansal, A. R., Sorensen, S. V., Gani, R., Robinson, P., Pan, F., Plumb, J. M., &amp; Cowie, M. R. (2012). Cost-effectiveness of dabigatran etexilate for the prevention of stroke and systemic embolism in UK patients with atrial fibrillation. </w:t>
      </w:r>
      <w:r w:rsidRPr="006D1BE6">
        <w:rPr>
          <w:i/>
          <w:noProof/>
        </w:rPr>
        <w:t>Heart, 98</w:t>
      </w:r>
      <w:r w:rsidRPr="006D1BE6">
        <w:rPr>
          <w:noProof/>
        </w:rPr>
        <w:t xml:space="preserve">(7), pp. 573-578. doi:10.1136/heartjnl-2011-300646 Retrieved from </w:t>
      </w:r>
      <w:r w:rsidRPr="00465ACB">
        <w:rPr>
          <w:rFonts w:eastAsiaTheme="majorEastAsia"/>
          <w:noProof/>
        </w:rPr>
        <w:t>https://heart.bmj.com/content/heartjnl/98/7/573.full.pdf</w:t>
      </w:r>
    </w:p>
    <w:p w:rsidR="00465ACB" w:rsidRPr="006D1BE6" w:rsidRDefault="00465ACB" w:rsidP="00465ACB">
      <w:pPr>
        <w:pStyle w:val="References"/>
        <w:rPr>
          <w:noProof/>
        </w:rPr>
      </w:pPr>
      <w:r w:rsidRPr="006D1BE6">
        <w:rPr>
          <w:noProof/>
        </w:rPr>
        <w:t xml:space="preserve">Kernan WN, O. B., Black HR, Bravata DM, Chimowitz MI, Ezekowitz MD, Fang MC, Fisher M, Furie KL, Heck DV, Johnston SC, Kasner SE, Kittner SJ, Mitchell PH, Rich MW, Richardson D, Schwamm LH, Wilson JA; on behalf of the American Heart Association Stroke Council, Council on Cardiovascular and Stroke Nursing, Council on Clinical Cardiology, and Council on Peripheral Vascular Disease, . (2014). Guidelines for the prevention of stroke in patients with stroke and transient ischemic attack: a guideline for healthcare professionals from the American Heart Association/American Stroke Association. </w:t>
      </w:r>
      <w:r w:rsidRPr="006D1BE6">
        <w:rPr>
          <w:i/>
          <w:noProof/>
        </w:rPr>
        <w:t>Stroke, 45</w:t>
      </w:r>
      <w:r w:rsidRPr="006D1BE6">
        <w:rPr>
          <w:noProof/>
        </w:rPr>
        <w:t xml:space="preserve">, pp. 2160-2236. </w:t>
      </w:r>
    </w:p>
    <w:p w:rsidR="00465ACB" w:rsidRPr="006D1BE6" w:rsidRDefault="00465ACB" w:rsidP="00465ACB">
      <w:pPr>
        <w:pStyle w:val="References"/>
        <w:rPr>
          <w:noProof/>
        </w:rPr>
      </w:pPr>
      <w:r w:rsidRPr="006D1BE6">
        <w:rPr>
          <w:noProof/>
        </w:rPr>
        <w:t>Koh, G. C. H., Nan, L., Hoening, H., Matchar, D. B., Chan, A. W. M., Finkelstein, E. A., . . . Guo, E. (2014a). The Health, Social and Financial Effects of Care-giving among Primary Caregivers of Elderly Stroke Patients in the First Post-Stroke Year: A Prospective Cohort Study (Ministry of Health Singapore, Trans.).</w:t>
      </w:r>
    </w:p>
    <w:p w:rsidR="00465ACB" w:rsidRPr="00375A9D" w:rsidRDefault="00465ACB" w:rsidP="00465ACB">
      <w:pPr>
        <w:pStyle w:val="References"/>
        <w:rPr>
          <w:noProof/>
          <w:lang w:val="de-DE"/>
        </w:rPr>
      </w:pPr>
      <w:r w:rsidRPr="00375A9D">
        <w:rPr>
          <w:noProof/>
          <w:lang w:val="de-DE"/>
        </w:rPr>
        <w:t xml:space="preserve">Koh, G. C. H., Nan, L., Hoening, H., Matchar, D. B., Chan, A. W. M., Finkelstein, E. A., . . . </w:t>
      </w:r>
      <w:r w:rsidRPr="006D1BE6">
        <w:rPr>
          <w:noProof/>
        </w:rPr>
        <w:t xml:space="preserve">Guo, E. (2014b). </w:t>
      </w:r>
      <w:r w:rsidRPr="006D1BE6">
        <w:rPr>
          <w:i/>
          <w:noProof/>
        </w:rPr>
        <w:t>The Health, Social and Financial Effects of Care-giving among Primary Caregivers of Elderly Stroke Patients in the First Post-Stroke Year: A Prospective Cohort Study</w:t>
      </w:r>
      <w:r w:rsidRPr="006D1BE6">
        <w:rPr>
          <w:noProof/>
        </w:rPr>
        <w:t xml:space="preserve"> [Data set]. </w:t>
      </w:r>
      <w:r w:rsidRPr="00375A9D">
        <w:rPr>
          <w:noProof/>
          <w:lang w:val="de-DE"/>
        </w:rPr>
        <w:t xml:space="preserve">Retrieved </w:t>
      </w:r>
    </w:p>
    <w:p w:rsidR="00465ACB" w:rsidRPr="006D1BE6" w:rsidRDefault="00465ACB" w:rsidP="00465ACB">
      <w:pPr>
        <w:pStyle w:val="References"/>
        <w:rPr>
          <w:noProof/>
        </w:rPr>
      </w:pPr>
      <w:r w:rsidRPr="00375A9D">
        <w:rPr>
          <w:noProof/>
          <w:lang w:val="de-DE"/>
        </w:rPr>
        <w:t xml:space="preserve">Lahr, M. M., van der Zee, D. J., Vroomen, P. C., Luijckx, G. J., &amp; Buskens, E. (2013). </w:t>
      </w:r>
      <w:r w:rsidRPr="006D1BE6">
        <w:rPr>
          <w:noProof/>
        </w:rPr>
        <w:t xml:space="preserve">Thrombolysis in acute ischemic stroke: a simulation study to improve pre- and in-hospital delays in community hospitals. </w:t>
      </w:r>
      <w:r w:rsidRPr="006D1BE6">
        <w:rPr>
          <w:i/>
          <w:noProof/>
        </w:rPr>
        <w:t>PLoS One, 8</w:t>
      </w:r>
      <w:r w:rsidRPr="006D1BE6">
        <w:rPr>
          <w:noProof/>
        </w:rPr>
        <w:t xml:space="preserve">(11), p e79049. doi:10.1371/journal.pone.0079049 Retrieved from </w:t>
      </w:r>
      <w:r w:rsidRPr="00465ACB">
        <w:rPr>
          <w:rFonts w:eastAsiaTheme="majorEastAsia"/>
          <w:noProof/>
        </w:rPr>
        <w:t>https://www.ncbi.nlm.nih.gov/pubmed/24260151</w:t>
      </w:r>
    </w:p>
    <w:p w:rsidR="00465ACB" w:rsidRPr="006D1BE6" w:rsidRDefault="00465ACB" w:rsidP="00465ACB">
      <w:pPr>
        <w:pStyle w:val="References"/>
        <w:rPr>
          <w:noProof/>
        </w:rPr>
      </w:pPr>
      <w:r w:rsidRPr="006D1BE6">
        <w:rPr>
          <w:noProof/>
        </w:rPr>
        <w:lastRenderedPageBreak/>
        <w:t xml:space="preserve">Launois, R., Giroud, M., Megnigbeto, A. C., Le Lay, K., Presente, G., Mahagne, M. H., . . . Gaudin, A. F. (2004). Estimating the Cost-Effectiveness of Stroke Units in France Compared with Conventional Care. </w:t>
      </w:r>
      <w:r w:rsidRPr="006D1BE6">
        <w:rPr>
          <w:i/>
          <w:noProof/>
        </w:rPr>
        <w:t>Stroke, 35</w:t>
      </w:r>
      <w:r w:rsidRPr="006D1BE6">
        <w:rPr>
          <w:noProof/>
        </w:rPr>
        <w:t xml:space="preserve">, p 6. </w:t>
      </w:r>
    </w:p>
    <w:p w:rsidR="00465ACB" w:rsidRPr="00375A9D" w:rsidRDefault="00465ACB" w:rsidP="00465ACB">
      <w:pPr>
        <w:pStyle w:val="References"/>
        <w:rPr>
          <w:noProof/>
          <w:lang w:val="es-ES"/>
        </w:rPr>
      </w:pPr>
      <w:r w:rsidRPr="006D1BE6">
        <w:rPr>
          <w:noProof/>
        </w:rPr>
        <w:t xml:space="preserve">Lich, K. H., Tian, Y., Beadles, C. A., Williams, L. S., Bravata, D. M., Cheng, E. M., . . . Matchar, D. B. (2014). Strategic planning to reduce the burden of stroke among veterans: using simulation modeling to inform decision making. </w:t>
      </w:r>
      <w:r w:rsidRPr="00375A9D">
        <w:rPr>
          <w:i/>
          <w:noProof/>
          <w:lang w:val="es-ES"/>
        </w:rPr>
        <w:t>Stroke, 45</w:t>
      </w:r>
      <w:r w:rsidRPr="00375A9D">
        <w:rPr>
          <w:noProof/>
          <w:lang w:val="es-ES"/>
        </w:rPr>
        <w:t xml:space="preserve">(7), pp. 2078-2084. doi:10.1161/strokeaha.114.004694 </w:t>
      </w:r>
    </w:p>
    <w:p w:rsidR="00465ACB" w:rsidRPr="006D1BE6" w:rsidRDefault="00465ACB" w:rsidP="00465ACB">
      <w:pPr>
        <w:pStyle w:val="References"/>
        <w:rPr>
          <w:noProof/>
        </w:rPr>
      </w:pPr>
      <w:r w:rsidRPr="00375A9D">
        <w:rPr>
          <w:noProof/>
          <w:lang w:val="es-ES"/>
        </w:rPr>
        <w:t xml:space="preserve">Mar, J., Arrospide, A., &amp; Comas, M. (2010). </w:t>
      </w:r>
      <w:r w:rsidRPr="006D1BE6">
        <w:rPr>
          <w:noProof/>
        </w:rPr>
        <w:t xml:space="preserve">Budget impact analysis of thrombolysis for stroke in Spain: a discrete event simulation model. </w:t>
      </w:r>
      <w:r w:rsidRPr="006D1BE6">
        <w:rPr>
          <w:i/>
          <w:noProof/>
        </w:rPr>
        <w:t>Value Health, 13</w:t>
      </w:r>
      <w:r w:rsidRPr="006D1BE6">
        <w:rPr>
          <w:noProof/>
        </w:rPr>
        <w:t xml:space="preserve">(1), pp. 69-76. doi:10.1111/j.1524-4733.2009.00655.x Retrieved from </w:t>
      </w:r>
      <w:r w:rsidRPr="00465ACB">
        <w:rPr>
          <w:rFonts w:eastAsiaTheme="majorEastAsia"/>
          <w:noProof/>
        </w:rPr>
        <w:t>https://www.ncbi.nlm.nih.gov/pubmed/19818059</w:t>
      </w:r>
    </w:p>
    <w:p w:rsidR="00465ACB" w:rsidRPr="006D1BE6" w:rsidRDefault="00465ACB" w:rsidP="00465ACB">
      <w:pPr>
        <w:pStyle w:val="References"/>
        <w:rPr>
          <w:noProof/>
        </w:rPr>
      </w:pPr>
      <w:r w:rsidRPr="006D1BE6">
        <w:rPr>
          <w:noProof/>
        </w:rPr>
        <w:t xml:space="preserve">Matchar, D. B., Samsa, G. P., &amp; Liu, S. (2005). Cost-effectiveness of antiplatelet agents in secondary stroke prevention: the limits of certainty. </w:t>
      </w:r>
      <w:r w:rsidRPr="006D1BE6">
        <w:rPr>
          <w:i/>
          <w:noProof/>
        </w:rPr>
        <w:t>Value Health, 8</w:t>
      </w:r>
      <w:r w:rsidRPr="006D1BE6">
        <w:rPr>
          <w:noProof/>
        </w:rPr>
        <w:t xml:space="preserve">(5), pp. 572-580. doi:10.1111/j.1524-4733.2005.00050.x Retrieved from </w:t>
      </w:r>
      <w:r w:rsidRPr="00465ACB">
        <w:rPr>
          <w:rFonts w:eastAsiaTheme="majorEastAsia"/>
          <w:noProof/>
        </w:rPr>
        <w:t>https://www.ncbi.nlm.nih.gov/pubmed/16176495</w:t>
      </w:r>
    </w:p>
    <w:p w:rsidR="00465ACB" w:rsidRPr="006D1BE6" w:rsidRDefault="00465ACB" w:rsidP="00465ACB">
      <w:pPr>
        <w:pStyle w:val="References"/>
        <w:rPr>
          <w:noProof/>
        </w:rPr>
      </w:pPr>
      <w:r w:rsidRPr="006D1BE6">
        <w:rPr>
          <w:noProof/>
        </w:rPr>
        <w:t xml:space="preserve">McClean, S., Barton, M., Garg, L., &amp; Fullerton, K. (2011). A modeling framework that combines markov models and discrete-event simulation for stroke patient care. </w:t>
      </w:r>
      <w:r w:rsidRPr="006D1BE6">
        <w:rPr>
          <w:i/>
          <w:noProof/>
        </w:rPr>
        <w:t>ACM Trans. Model. Comput. Simul., 21</w:t>
      </w:r>
      <w:r w:rsidRPr="006D1BE6">
        <w:rPr>
          <w:noProof/>
        </w:rPr>
        <w:t xml:space="preserve">(4), pp. 1-26. doi:10.1145/2000494.2000498 </w:t>
      </w:r>
    </w:p>
    <w:p w:rsidR="00465ACB" w:rsidRPr="006D1BE6" w:rsidRDefault="00465ACB" w:rsidP="00465ACB">
      <w:pPr>
        <w:pStyle w:val="References"/>
        <w:rPr>
          <w:noProof/>
        </w:rPr>
      </w:pPr>
      <w:r w:rsidRPr="006D1BE6">
        <w:rPr>
          <w:noProof/>
        </w:rPr>
        <w:t xml:space="preserve">Ministry of Health of Singapore. (2009). </w:t>
      </w:r>
      <w:r w:rsidRPr="006D1BE6">
        <w:rPr>
          <w:i/>
          <w:noProof/>
        </w:rPr>
        <w:t>MOH Clinical Practice Guidelines: Stroke and Transient Ischaemic Attacks</w:t>
      </w:r>
      <w:r w:rsidRPr="006D1BE6">
        <w:rPr>
          <w:noProof/>
        </w:rPr>
        <w:t>.</w:t>
      </w:r>
    </w:p>
    <w:p w:rsidR="00465ACB" w:rsidRPr="006D1BE6" w:rsidRDefault="00465ACB" w:rsidP="00465ACB">
      <w:pPr>
        <w:pStyle w:val="References"/>
        <w:rPr>
          <w:noProof/>
        </w:rPr>
      </w:pPr>
      <w:r w:rsidRPr="00375A9D">
        <w:rPr>
          <w:noProof/>
          <w:lang w:val="de-DE"/>
        </w:rPr>
        <w:t xml:space="preserve">Monks, T., Pitt, M., Stein, K., &amp; James, M. (2012). </w:t>
      </w:r>
      <w:r w:rsidRPr="006D1BE6">
        <w:rPr>
          <w:noProof/>
        </w:rPr>
        <w:t xml:space="preserve">Maximizing the population benefit from thrombolysis in acute ischemic stroke: a modeling study of in-hospital delays. </w:t>
      </w:r>
      <w:r w:rsidRPr="006D1BE6">
        <w:rPr>
          <w:i/>
          <w:noProof/>
        </w:rPr>
        <w:t>Stroke, 43</w:t>
      </w:r>
      <w:r w:rsidRPr="006D1BE6">
        <w:rPr>
          <w:noProof/>
        </w:rPr>
        <w:t xml:space="preserve">(10), pp. 2706-2711. doi:10.1161/STROKEAHA.112.663187 Retrieved from </w:t>
      </w:r>
      <w:r w:rsidRPr="00465ACB">
        <w:rPr>
          <w:rFonts w:eastAsiaTheme="majorEastAsia"/>
          <w:noProof/>
        </w:rPr>
        <w:t>https://www.ncbi.nlm.nih.gov/pubmed/22895996</w:t>
      </w:r>
    </w:p>
    <w:p w:rsidR="00465ACB" w:rsidRPr="006D1BE6" w:rsidRDefault="00465ACB" w:rsidP="00465ACB">
      <w:pPr>
        <w:pStyle w:val="References"/>
        <w:rPr>
          <w:noProof/>
        </w:rPr>
      </w:pPr>
      <w:r w:rsidRPr="006D1BE6">
        <w:rPr>
          <w:noProof/>
        </w:rPr>
        <w:t>National Registry of Disease Office. (2014). Singapore Stroke Registry 2006-2013.</w:t>
      </w:r>
    </w:p>
    <w:p w:rsidR="00465ACB" w:rsidRPr="006D1BE6" w:rsidRDefault="00465ACB" w:rsidP="00465ACB">
      <w:pPr>
        <w:pStyle w:val="References"/>
        <w:rPr>
          <w:noProof/>
        </w:rPr>
      </w:pPr>
      <w:r w:rsidRPr="006D1BE6">
        <w:rPr>
          <w:noProof/>
        </w:rPr>
        <w:t xml:space="preserve">Pilgrim, H., Tappenden, P., Chilcott, J., Bending, M., Trueman, P., Shorthouse, A., &amp; Tappenden, J. (2009). The Costs and Benefits of Bowel Cancer Service Developments Using Discrete Event Simulation. </w:t>
      </w:r>
      <w:r w:rsidRPr="006D1BE6">
        <w:rPr>
          <w:i/>
          <w:noProof/>
        </w:rPr>
        <w:t>The Journal of the Operational Research Society, 60</w:t>
      </w:r>
      <w:r w:rsidRPr="006D1BE6">
        <w:rPr>
          <w:noProof/>
        </w:rPr>
        <w:t xml:space="preserve">(10), pp. 1305-1314. Retrieved from </w:t>
      </w:r>
      <w:r w:rsidRPr="00465ACB">
        <w:rPr>
          <w:rFonts w:eastAsiaTheme="majorEastAsia"/>
          <w:noProof/>
        </w:rPr>
        <w:t>http://www.jstor.org/stable/40295691</w:t>
      </w:r>
    </w:p>
    <w:p w:rsidR="00465ACB" w:rsidRPr="006D1BE6" w:rsidRDefault="00465ACB" w:rsidP="00465ACB">
      <w:pPr>
        <w:pStyle w:val="References"/>
        <w:rPr>
          <w:noProof/>
        </w:rPr>
      </w:pPr>
      <w:r w:rsidRPr="006D1BE6">
        <w:rPr>
          <w:noProof/>
        </w:rPr>
        <w:t xml:space="preserve">Powers WJ, D. C., Biller J, Coffey CS, Hoh BL, Jauch EC, Johnston KC, Johnston SC, Khalessi AA, Kidwell CS, Meschia JF, Ovbiagele B, Yavagal DR; on behalf of the American Heart Association Stroke, &amp; Council. (2015). 2015 American Heart Association/American Stroke Association focused update of the 2013 guidelines for </w:t>
      </w:r>
      <w:r w:rsidRPr="006D1BE6">
        <w:rPr>
          <w:noProof/>
        </w:rPr>
        <w:lastRenderedPageBreak/>
        <w:t xml:space="preserve">the early management of patients with acute ischemic stroke regarding endovascular treatment: a guideline for healthcare professionals from the American Heart Association/American Stroke Association. </w:t>
      </w:r>
      <w:r w:rsidRPr="006D1BE6">
        <w:rPr>
          <w:i/>
          <w:noProof/>
        </w:rPr>
        <w:t>Stroke, 46</w:t>
      </w:r>
      <w:r w:rsidRPr="006D1BE6">
        <w:rPr>
          <w:noProof/>
        </w:rPr>
        <w:t xml:space="preserve">, pp. 3020-3035. </w:t>
      </w:r>
    </w:p>
    <w:p w:rsidR="002978E1" w:rsidRDefault="002978E1" w:rsidP="00465ACB">
      <w:pPr>
        <w:pStyle w:val="References"/>
        <w:rPr>
          <w:noProof/>
        </w:rPr>
      </w:pPr>
      <w:r w:rsidRPr="002978E1">
        <w:rPr>
          <w:noProof/>
        </w:rPr>
        <w:t xml:space="preserve">Rajsic, S., Gothe, H., Borba, H.H. et al. </w:t>
      </w:r>
      <w:r>
        <w:rPr>
          <w:noProof/>
        </w:rPr>
        <w:t xml:space="preserve">(2019), </w:t>
      </w:r>
      <w:r w:rsidRPr="002978E1">
        <w:rPr>
          <w:noProof/>
        </w:rPr>
        <w:t>Economic burden of stroke: a systematic review on post-stroke care. Eur</w:t>
      </w:r>
      <w:r>
        <w:rPr>
          <w:noProof/>
        </w:rPr>
        <w:t>opean</w:t>
      </w:r>
      <w:r w:rsidRPr="002978E1">
        <w:rPr>
          <w:noProof/>
        </w:rPr>
        <w:t xml:space="preserve"> J</w:t>
      </w:r>
      <w:r>
        <w:rPr>
          <w:noProof/>
        </w:rPr>
        <w:t>ournal of</w:t>
      </w:r>
      <w:r w:rsidRPr="002978E1">
        <w:rPr>
          <w:noProof/>
        </w:rPr>
        <w:t xml:space="preserve"> Health Econ</w:t>
      </w:r>
      <w:r>
        <w:rPr>
          <w:noProof/>
        </w:rPr>
        <w:t xml:space="preserve">omics 20, pp. 107–134. </w:t>
      </w:r>
      <w:r w:rsidRPr="002978E1">
        <w:rPr>
          <w:noProof/>
        </w:rPr>
        <w:t>https://doi.org/10.1007/s10198-018-0984-0</w:t>
      </w:r>
    </w:p>
    <w:p w:rsidR="00465ACB" w:rsidRPr="006D1BE6" w:rsidRDefault="00465ACB" w:rsidP="00465ACB">
      <w:pPr>
        <w:pStyle w:val="References"/>
        <w:rPr>
          <w:noProof/>
        </w:rPr>
      </w:pPr>
      <w:r w:rsidRPr="006D1BE6">
        <w:rPr>
          <w:noProof/>
        </w:rPr>
        <w:t xml:space="preserve">Rivero-Arias, O., Ouellet, M., Gray, A., Wolstenholme, J., Rothwell, P. M., &amp; Luengo-Fernandez, R. (2010). Mapping the modified Rankin scale (mRS) measurement into the generic EuroQol (EQ-5D) health outcome. </w:t>
      </w:r>
      <w:r w:rsidRPr="006D1BE6">
        <w:rPr>
          <w:i/>
          <w:noProof/>
        </w:rPr>
        <w:t>Med Decis Making, 30</w:t>
      </w:r>
      <w:r w:rsidRPr="006D1BE6">
        <w:rPr>
          <w:noProof/>
        </w:rPr>
        <w:t xml:space="preserve">(3), pp. 341-354. doi:10.1177/0272989x09349961 Retrieved from </w:t>
      </w:r>
      <w:r w:rsidRPr="00465ACB">
        <w:rPr>
          <w:rFonts w:eastAsiaTheme="majorEastAsia"/>
          <w:noProof/>
        </w:rPr>
        <w:t>http://mdm.sagepub.com/content/30/3/341</w:t>
      </w:r>
    </w:p>
    <w:p w:rsidR="00465ACB" w:rsidRPr="006D1BE6" w:rsidRDefault="00465ACB" w:rsidP="00465ACB">
      <w:pPr>
        <w:pStyle w:val="References"/>
        <w:rPr>
          <w:noProof/>
        </w:rPr>
      </w:pPr>
      <w:r w:rsidRPr="006D1BE6">
        <w:rPr>
          <w:noProof/>
        </w:rPr>
        <w:t xml:space="preserve">Saka, O., Serra, V., Samyshkin, Y., McGuire, A., &amp; Wolfe, C. C. (2009). Cost-effectiveness of stroke unit care followed by early supported discharge. </w:t>
      </w:r>
      <w:r w:rsidRPr="006D1BE6">
        <w:rPr>
          <w:i/>
          <w:noProof/>
        </w:rPr>
        <w:t>Stroke, 40</w:t>
      </w:r>
      <w:r w:rsidRPr="006D1BE6">
        <w:rPr>
          <w:noProof/>
        </w:rPr>
        <w:t xml:space="preserve">(1), pp. 24-29. doi:10.1161/STROKEAHA.108.518043 Retrieved from </w:t>
      </w:r>
      <w:r w:rsidRPr="00465ACB">
        <w:rPr>
          <w:rFonts w:eastAsiaTheme="majorEastAsia"/>
          <w:noProof/>
        </w:rPr>
        <w:t>http://www.ncbi.nlm.nih.gov/pubmed/19008473</w:t>
      </w:r>
    </w:p>
    <w:p w:rsidR="00465ACB" w:rsidRPr="006D1BE6" w:rsidRDefault="00465ACB" w:rsidP="00465ACB">
      <w:pPr>
        <w:pStyle w:val="References"/>
        <w:rPr>
          <w:noProof/>
        </w:rPr>
      </w:pPr>
      <w:r w:rsidRPr="00465ACB">
        <w:rPr>
          <w:rFonts w:eastAsiaTheme="majorEastAsia"/>
          <w:noProof/>
        </w:rPr>
        <w:t>http://stroke.ahajournals.org/content/40/1/24.full.pdf</w:t>
      </w:r>
    </w:p>
    <w:p w:rsidR="00465ACB" w:rsidRPr="006D1BE6" w:rsidRDefault="00465ACB" w:rsidP="00465ACB">
      <w:pPr>
        <w:pStyle w:val="References"/>
        <w:rPr>
          <w:noProof/>
        </w:rPr>
      </w:pPr>
      <w:r w:rsidRPr="006D1BE6">
        <w:rPr>
          <w:noProof/>
        </w:rPr>
        <w:t xml:space="preserve">Sullivan, P. W., Arant, T. W., Ellis, S. L., &amp; Ulrich, H. (2006). The cost effectiveness of anticoagulation management services for patients with atrial fibrillation and at high risk of stroke in the US. </w:t>
      </w:r>
      <w:r w:rsidRPr="006D1BE6">
        <w:rPr>
          <w:i/>
          <w:noProof/>
        </w:rPr>
        <w:t>Pharmacoeconomics, 24</w:t>
      </w:r>
      <w:r w:rsidRPr="006D1BE6">
        <w:rPr>
          <w:noProof/>
        </w:rPr>
        <w:t xml:space="preserve">(10), pp. 1021-1033. doi:10.2165/00019053-200624100-00009 Retrieved from </w:t>
      </w:r>
      <w:r w:rsidRPr="00465ACB">
        <w:rPr>
          <w:rFonts w:eastAsiaTheme="majorEastAsia"/>
          <w:noProof/>
        </w:rPr>
        <w:t>https://www.ncbi.nlm.nih.gov/pubmed/17002484</w:t>
      </w:r>
    </w:p>
    <w:p w:rsidR="00465ACB" w:rsidRPr="006D1BE6" w:rsidRDefault="00465ACB" w:rsidP="00465ACB">
      <w:pPr>
        <w:pStyle w:val="References"/>
        <w:rPr>
          <w:noProof/>
        </w:rPr>
      </w:pPr>
      <w:r w:rsidRPr="006D1BE6">
        <w:rPr>
          <w:noProof/>
        </w:rPr>
        <w:t xml:space="preserve">Sullivan, S. D., Mauskopf, J. A., Augustovski, F., Jaime Caro, J., Lee, K. M., Minchin, M., . . . Shau, W. Y. (2014). Budget impact analysis-principles of good practice: report of the ISPOR 2012 Budget Impact Analysis Good Practice II Task Force. </w:t>
      </w:r>
      <w:r w:rsidRPr="006D1BE6">
        <w:rPr>
          <w:i/>
          <w:noProof/>
        </w:rPr>
        <w:t>Value Health, 17</w:t>
      </w:r>
      <w:r w:rsidRPr="006D1BE6">
        <w:rPr>
          <w:noProof/>
        </w:rPr>
        <w:t xml:space="preserve">(1), pp. 5-14. doi:10.1016/j.jval.2013.08.2291 Retrieved from </w:t>
      </w:r>
      <w:r w:rsidRPr="00465ACB">
        <w:rPr>
          <w:rFonts w:eastAsiaTheme="majorEastAsia"/>
          <w:noProof/>
        </w:rPr>
        <w:t>https://www.ncbi.nlm.nih.gov/pubmed/24438712</w:t>
      </w:r>
    </w:p>
    <w:p w:rsidR="00465ACB" w:rsidRPr="006D1BE6" w:rsidRDefault="00465ACB" w:rsidP="00465ACB">
      <w:pPr>
        <w:pStyle w:val="References"/>
        <w:rPr>
          <w:noProof/>
        </w:rPr>
      </w:pPr>
      <w:r w:rsidRPr="00761D46">
        <w:rPr>
          <w:noProof/>
          <w:lang w:val="de-DE"/>
        </w:rPr>
        <w:t xml:space="preserve">Sun, Y., Paulus, D., Eyssen, M., Maervoet, J., &amp; Saka, O. (2013). </w:t>
      </w:r>
      <w:r w:rsidRPr="006D1BE6">
        <w:rPr>
          <w:noProof/>
        </w:rPr>
        <w:t xml:space="preserve">A systematic review and meta-analysis of acute stroke unit care: What's beyond the statistical significance? </w:t>
      </w:r>
      <w:r w:rsidRPr="006D1BE6">
        <w:rPr>
          <w:i/>
          <w:noProof/>
        </w:rPr>
        <w:t>BMC Medical Research Methodology, 13</w:t>
      </w:r>
      <w:r w:rsidRPr="006D1BE6">
        <w:rPr>
          <w:noProof/>
        </w:rPr>
        <w:t>(132)</w:t>
      </w:r>
    </w:p>
    <w:p w:rsidR="00465ACB" w:rsidRPr="006D1BE6" w:rsidRDefault="00465ACB" w:rsidP="00465ACB">
      <w:pPr>
        <w:pStyle w:val="References"/>
        <w:rPr>
          <w:noProof/>
        </w:rPr>
      </w:pPr>
      <w:r w:rsidRPr="006D1BE6">
        <w:rPr>
          <w:noProof/>
        </w:rPr>
        <w:t xml:space="preserve">Te Ao, B., Brown, P., Feigin, V., &amp; Anderson, C. (2012). Are stroke units cost effective? Evidence from a New Zealand stroke incidence and population-based study. </w:t>
      </w:r>
      <w:r w:rsidRPr="006D1BE6">
        <w:rPr>
          <w:i/>
          <w:noProof/>
        </w:rPr>
        <w:t>International Journal of Stroke, 7</w:t>
      </w:r>
      <w:r w:rsidRPr="006D1BE6">
        <w:rPr>
          <w:noProof/>
        </w:rPr>
        <w:t xml:space="preserve">, p 8. </w:t>
      </w:r>
    </w:p>
    <w:p w:rsidR="00465ACB" w:rsidRPr="006D1BE6" w:rsidRDefault="00465ACB" w:rsidP="00465ACB">
      <w:pPr>
        <w:pStyle w:val="References"/>
        <w:rPr>
          <w:noProof/>
        </w:rPr>
      </w:pPr>
      <w:r w:rsidRPr="006D1BE6">
        <w:rPr>
          <w:noProof/>
        </w:rPr>
        <w:lastRenderedPageBreak/>
        <w:t xml:space="preserve">The National Institute of Neurological Disorders and Stroke rt-PA Stroke Study Group. (1995). Tissue plasminogen activator for acute ischemic stroke. The National Institute of Neurological Disorders and Stroke rt-PA Stroke Study Group. </w:t>
      </w:r>
      <w:r w:rsidRPr="006D1BE6">
        <w:rPr>
          <w:i/>
          <w:noProof/>
        </w:rPr>
        <w:t>N Engl J Med, 333</w:t>
      </w:r>
      <w:r w:rsidRPr="006D1BE6">
        <w:rPr>
          <w:noProof/>
        </w:rPr>
        <w:t xml:space="preserve">(24), pp. 1581-1587. doi:10.1056/nejm199512143332401 Retrieved from </w:t>
      </w:r>
      <w:r w:rsidRPr="00465ACB">
        <w:rPr>
          <w:rFonts w:eastAsiaTheme="majorEastAsia"/>
          <w:noProof/>
        </w:rPr>
        <w:t>http://www.nejm.org/doi/pdf/10.1056/NEJM199512143332401</w:t>
      </w:r>
    </w:p>
    <w:p w:rsidR="00465ACB" w:rsidRPr="006D1BE6" w:rsidRDefault="00465ACB" w:rsidP="00465ACB">
      <w:pPr>
        <w:pStyle w:val="References"/>
        <w:rPr>
          <w:noProof/>
        </w:rPr>
      </w:pPr>
      <w:r w:rsidRPr="006D1BE6">
        <w:rPr>
          <w:noProof/>
        </w:rPr>
        <w:t xml:space="preserve">Uzun Jacobson, E., Bayer, S., Barlow, J., Dennis, M., &amp; MacLeod, M. J. (2015). The scope for improvement in hyper-acute stroke care in Scotland. </w:t>
      </w:r>
      <w:r w:rsidRPr="006D1BE6">
        <w:rPr>
          <w:i/>
          <w:noProof/>
        </w:rPr>
        <w:t>Operations Research for Health Care, 6</w:t>
      </w:r>
      <w:r w:rsidRPr="006D1BE6">
        <w:rPr>
          <w:noProof/>
        </w:rPr>
        <w:t>, pp. 50-60. doi:</w:t>
      </w:r>
      <w:r w:rsidRPr="00465ACB">
        <w:rPr>
          <w:rFonts w:eastAsiaTheme="majorEastAsia"/>
          <w:noProof/>
        </w:rPr>
        <w:t>https://doi.org/10.1016/j.orhc.2015.09.003</w:t>
      </w:r>
      <w:r w:rsidRPr="006D1BE6">
        <w:rPr>
          <w:noProof/>
        </w:rPr>
        <w:t xml:space="preserve"> Retrieved from </w:t>
      </w:r>
      <w:r w:rsidRPr="00465ACB">
        <w:rPr>
          <w:rFonts w:eastAsiaTheme="majorEastAsia"/>
          <w:noProof/>
        </w:rPr>
        <w:t>http://www.sciencedirect.com/science/article/pii/S2211692314200543</w:t>
      </w:r>
    </w:p>
    <w:p w:rsidR="00465ACB" w:rsidRPr="00761D46" w:rsidRDefault="00465ACB" w:rsidP="00465ACB">
      <w:pPr>
        <w:pStyle w:val="References"/>
        <w:rPr>
          <w:noProof/>
        </w:rPr>
      </w:pPr>
      <w:r w:rsidRPr="006D1BE6">
        <w:rPr>
          <w:noProof/>
        </w:rPr>
        <w:t xml:space="preserve">Ventana Systems, I. (2015). </w:t>
      </w:r>
      <w:r w:rsidRPr="00761D46">
        <w:rPr>
          <w:noProof/>
        </w:rPr>
        <w:t xml:space="preserve">Vensim DSS (Version 6.3). Harvard, MA. </w:t>
      </w:r>
    </w:p>
    <w:p w:rsidR="00465ACB" w:rsidRPr="006D1BE6" w:rsidRDefault="00465ACB" w:rsidP="00465ACB">
      <w:pPr>
        <w:pStyle w:val="References"/>
        <w:rPr>
          <w:noProof/>
        </w:rPr>
      </w:pPr>
      <w:r w:rsidRPr="006D1BE6">
        <w:rPr>
          <w:noProof/>
        </w:rPr>
        <w:t xml:space="preserve">Winstein CJ, S. J., Arena R, Bates B, Cherney LR, Cramer SC, Deruyter F, Eng JJ, Fisher B, Harvey RL, Lang CE, MacKay-Lyons M, Ottenbacher KJ, Pugh S, Reeves MJ, Richards LG, Stiers W, Zorowitz RD; on behalf of the American Heart Association Stroke Council, Council on Cardiovascular and Stroke Nursing, Council on Clinical Cardiology, and Council on Quality of Care and Outcomes Research, . (2016). Guidelines for adult stroke rehabilitation and recovery: a guideline for healthcare professionals from the American Heart Association/American Stroke Association. </w:t>
      </w:r>
      <w:r w:rsidRPr="006D1BE6">
        <w:rPr>
          <w:i/>
          <w:noProof/>
        </w:rPr>
        <w:t>Stroke, 47</w:t>
      </w:r>
      <w:r w:rsidRPr="006D1BE6">
        <w:rPr>
          <w:noProof/>
        </w:rPr>
        <w:t xml:space="preserve">(e98-e169)doi:10.1161/STR.0000000000000098 </w:t>
      </w:r>
    </w:p>
    <w:p w:rsidR="00465ACB" w:rsidRPr="006D1BE6" w:rsidRDefault="00465ACB" w:rsidP="00465ACB">
      <w:pPr>
        <w:pStyle w:val="References"/>
        <w:rPr>
          <w:noProof/>
        </w:rPr>
      </w:pPr>
      <w:r w:rsidRPr="006D1BE6">
        <w:rPr>
          <w:noProof/>
        </w:rPr>
        <w:t xml:space="preserve">World Health Organization. (2002). </w:t>
      </w:r>
      <w:r w:rsidRPr="006D1BE6">
        <w:rPr>
          <w:i/>
          <w:noProof/>
        </w:rPr>
        <w:t>The World Health Report 2002: Reducing Risks, Promoting Healthy Life</w:t>
      </w:r>
      <w:r w:rsidRPr="006D1BE6">
        <w:rPr>
          <w:noProof/>
        </w:rPr>
        <w:t xml:space="preserve">. </w:t>
      </w:r>
    </w:p>
    <w:p w:rsidR="00465ACB" w:rsidRPr="006D1BE6" w:rsidRDefault="00465ACB" w:rsidP="00465ACB">
      <w:pPr>
        <w:pStyle w:val="References"/>
        <w:rPr>
          <w:noProof/>
        </w:rPr>
      </w:pPr>
      <w:r w:rsidRPr="006D1BE6">
        <w:rPr>
          <w:noProof/>
        </w:rPr>
        <w:t xml:space="preserve">World Health Organization. (2003). </w:t>
      </w:r>
      <w:r w:rsidRPr="006D1BE6">
        <w:rPr>
          <w:i/>
          <w:noProof/>
        </w:rPr>
        <w:t>WHO Guide to Cost-Effectiveness Analysis</w:t>
      </w:r>
      <w:r w:rsidRPr="006D1BE6">
        <w:rPr>
          <w:noProof/>
        </w:rPr>
        <w:t xml:space="preserve"> Geneva, Switzerland: WHO publications.</w:t>
      </w:r>
    </w:p>
    <w:p w:rsidR="00465ACB" w:rsidRPr="008960EA" w:rsidRDefault="00465ACB" w:rsidP="000A47C5">
      <w:pPr>
        <w:pStyle w:val="References"/>
      </w:pPr>
    </w:p>
    <w:p w:rsidR="00465ACB" w:rsidRDefault="00465ACB">
      <w:pPr>
        <w:spacing w:line="240" w:lineRule="auto"/>
      </w:pPr>
      <w:r>
        <w:br w:type="page"/>
      </w:r>
    </w:p>
    <w:p w:rsidR="00465ACB" w:rsidRDefault="00465ACB" w:rsidP="000A47C5">
      <w:pPr>
        <w:pStyle w:val="Heading1"/>
        <w:ind w:left="432"/>
      </w:pPr>
      <w:r>
        <w:lastRenderedPageBreak/>
        <w:t>Appendix</w:t>
      </w:r>
    </w:p>
    <w:p w:rsidR="00465ACB" w:rsidRPr="007C1EBE" w:rsidDel="00304A13" w:rsidRDefault="00465ACB" w:rsidP="005F2A0B">
      <w:pPr>
        <w:pStyle w:val="Heading1"/>
        <w:numPr>
          <w:ilvl w:val="0"/>
          <w:numId w:val="32"/>
        </w:numPr>
        <w:rPr>
          <w:i/>
        </w:rPr>
      </w:pPr>
      <w:r w:rsidRPr="007C1EBE" w:rsidDel="00304A13">
        <w:rPr>
          <w:i/>
        </w:rPr>
        <w:t>Data Sources</w:t>
      </w:r>
    </w:p>
    <w:p w:rsidR="00465ACB" w:rsidDel="00304A13" w:rsidRDefault="00465ACB" w:rsidP="000A47C5">
      <w:pPr>
        <w:pStyle w:val="Paragraph"/>
      </w:pPr>
      <w:r w:rsidRPr="007C1EBE" w:rsidDel="00304A13">
        <w:t>The data used in the model were extracted from the Singapore Stroke Registry</w:t>
      </w:r>
      <w:r w:rsidDel="00304A13">
        <w:t xml:space="preserve"> </w:t>
      </w:r>
      <w:r w:rsidDel="00304A13">
        <w:rPr>
          <w:noProof/>
        </w:rPr>
        <w:t>(National Registry of Disease Office, 2014)</w:t>
      </w:r>
      <w:r w:rsidRPr="007C1EBE" w:rsidDel="00304A13">
        <w:t>, local hospitals and a governmental agency, a local longitudinal survey of stroke pa</w:t>
      </w:r>
      <w:r w:rsidDel="00304A13">
        <w:t>tien</w:t>
      </w:r>
      <w:r>
        <w:t xml:space="preserve">ts (Singapore Stroke Study - S3; </w:t>
      </w:r>
      <w:r w:rsidDel="00304A13">
        <w:rPr>
          <w:noProof/>
        </w:rPr>
        <w:t>Koh, et al., 2014a)</w:t>
      </w:r>
      <w:r w:rsidRPr="007C1EBE" w:rsidDel="00304A13">
        <w:t>, existing literature, and expert opinion. The Registry was used to estimate first and recurrent stroke incidences (and validated against historical data) as well as current levels of acute stroke management (tPA, EVT, and ASU); data from a governmental agency was used for the current utilization of out-of-hospital rehabilitation</w:t>
      </w:r>
      <w:r w:rsidDel="00304A13">
        <w:t xml:space="preserve"> </w:t>
      </w:r>
      <w:r w:rsidDel="00304A13">
        <w:rPr>
          <w:noProof/>
        </w:rPr>
        <w:t>(Agency for Integrated Care, 2015)</w:t>
      </w:r>
      <w:r w:rsidRPr="007C1EBE" w:rsidDel="00304A13">
        <w:t xml:space="preserve">, and data from S3 was used to estimate the current level of secondary prevention management. </w:t>
      </w:r>
    </w:p>
    <w:p w:rsidR="00465ACB" w:rsidRDefault="00465ACB" w:rsidP="000A47C5">
      <w:pPr>
        <w:pStyle w:val="Paragraph"/>
      </w:pPr>
      <w:r w:rsidDel="00304A13">
        <w:t xml:space="preserve">Medical costs was based on local data, literature and expert estimates (see table </w:t>
      </w:r>
      <w:r>
        <w:t>A1</w:t>
      </w:r>
      <w:r w:rsidDel="00304A13">
        <w:t>)</w:t>
      </w:r>
    </w:p>
    <w:p w:rsidR="00465ACB" w:rsidRDefault="00465ACB" w:rsidP="000A47C5">
      <w:pPr>
        <w:pStyle w:val="Newparagraph"/>
        <w:ind w:firstLine="0"/>
      </w:pPr>
    </w:p>
    <w:p w:rsidR="00465ACB" w:rsidRPr="00F251DD" w:rsidDel="00304A13" w:rsidRDefault="00465ACB" w:rsidP="000A47C5">
      <w:pPr>
        <w:pStyle w:val="Tabletitle"/>
      </w:pPr>
      <w:r>
        <w:t xml:space="preserve">Table 1A: </w:t>
      </w:r>
      <w:r w:rsidRPr="00CF48DD" w:rsidDel="00304A13">
        <w:t>Unit Cost Estimates</w:t>
      </w:r>
    </w:p>
    <w:tbl>
      <w:tblPr>
        <w:tblStyle w:val="ListTable21"/>
        <w:tblW w:w="5000" w:type="pct"/>
        <w:tblLook w:val="0620" w:firstRow="1" w:lastRow="0" w:firstColumn="0" w:lastColumn="0" w:noHBand="1" w:noVBand="1"/>
      </w:tblPr>
      <w:tblGrid>
        <w:gridCol w:w="3710"/>
        <w:gridCol w:w="2287"/>
        <w:gridCol w:w="3029"/>
      </w:tblGrid>
      <w:tr w:rsidR="00465ACB" w:rsidRPr="00CF48DD" w:rsidDel="00304A13" w:rsidTr="000A47C5">
        <w:trPr>
          <w:cnfStyle w:val="100000000000" w:firstRow="1" w:lastRow="0" w:firstColumn="0" w:lastColumn="0" w:oddVBand="0" w:evenVBand="0" w:oddHBand="0" w:evenHBand="0" w:firstRowFirstColumn="0" w:firstRowLastColumn="0" w:lastRowFirstColumn="0" w:lastRowLastColumn="0"/>
          <w:trHeight w:val="63"/>
        </w:trPr>
        <w:tc>
          <w:tcPr>
            <w:tcW w:w="2055" w:type="pct"/>
            <w:hideMark/>
          </w:tcPr>
          <w:p w:rsidR="00465ACB" w:rsidRPr="00CF48DD" w:rsidDel="00304A13" w:rsidRDefault="00465ACB" w:rsidP="000A47C5">
            <w:pPr>
              <w:rPr>
                <w:b w:val="0"/>
                <w:sz w:val="20"/>
                <w:szCs w:val="20"/>
              </w:rPr>
            </w:pPr>
          </w:p>
        </w:tc>
        <w:tc>
          <w:tcPr>
            <w:tcW w:w="1267" w:type="pct"/>
            <w:hideMark/>
          </w:tcPr>
          <w:p w:rsidR="00465ACB" w:rsidRPr="00CF48DD" w:rsidDel="00304A13" w:rsidRDefault="00465ACB" w:rsidP="000A47C5">
            <w:pPr>
              <w:rPr>
                <w:b w:val="0"/>
                <w:sz w:val="20"/>
                <w:szCs w:val="20"/>
              </w:rPr>
            </w:pPr>
            <w:r w:rsidRPr="00CF48DD" w:rsidDel="00304A13">
              <w:rPr>
                <w:b w:val="0"/>
                <w:sz w:val="20"/>
                <w:szCs w:val="20"/>
              </w:rPr>
              <w:t>Cost (SGD)</w:t>
            </w:r>
          </w:p>
        </w:tc>
        <w:tc>
          <w:tcPr>
            <w:tcW w:w="1678" w:type="pct"/>
            <w:hideMark/>
          </w:tcPr>
          <w:p w:rsidR="00465ACB" w:rsidRPr="00CF48DD" w:rsidDel="00304A13" w:rsidRDefault="00465ACB" w:rsidP="000A47C5">
            <w:pPr>
              <w:rPr>
                <w:b w:val="0"/>
                <w:sz w:val="20"/>
                <w:szCs w:val="20"/>
              </w:rPr>
            </w:pPr>
            <w:r w:rsidRPr="00CF48DD" w:rsidDel="00304A13">
              <w:rPr>
                <w:b w:val="0"/>
                <w:sz w:val="20"/>
                <w:szCs w:val="20"/>
              </w:rPr>
              <w:t>Source</w:t>
            </w:r>
          </w:p>
        </w:tc>
      </w:tr>
      <w:tr w:rsidR="00465ACB" w:rsidRPr="00CF48DD" w:rsidDel="00304A13" w:rsidTr="000A47C5">
        <w:trPr>
          <w:trHeight w:val="63"/>
        </w:trPr>
        <w:tc>
          <w:tcPr>
            <w:tcW w:w="2055" w:type="pct"/>
            <w:hideMark/>
          </w:tcPr>
          <w:p w:rsidR="00465ACB" w:rsidRPr="00CF48DD" w:rsidDel="00304A13" w:rsidRDefault="00465ACB" w:rsidP="000A47C5">
            <w:pPr>
              <w:rPr>
                <w:sz w:val="20"/>
                <w:szCs w:val="20"/>
              </w:rPr>
            </w:pPr>
            <w:r w:rsidRPr="00CF48DD" w:rsidDel="00304A13">
              <w:rPr>
                <w:sz w:val="20"/>
                <w:szCs w:val="20"/>
              </w:rPr>
              <w:t>Public Campaign</w:t>
            </w:r>
          </w:p>
        </w:tc>
        <w:tc>
          <w:tcPr>
            <w:tcW w:w="1267" w:type="pct"/>
            <w:hideMark/>
          </w:tcPr>
          <w:p w:rsidR="00465ACB" w:rsidRPr="00CF48DD" w:rsidDel="00304A13" w:rsidRDefault="00465ACB" w:rsidP="000A47C5">
            <w:pPr>
              <w:rPr>
                <w:sz w:val="20"/>
                <w:szCs w:val="20"/>
              </w:rPr>
            </w:pPr>
            <w:r w:rsidRPr="00CF48DD" w:rsidDel="00304A13">
              <w:rPr>
                <w:sz w:val="20"/>
                <w:szCs w:val="20"/>
              </w:rPr>
              <w:t>600,000.00 per year</w:t>
            </w:r>
          </w:p>
        </w:tc>
        <w:tc>
          <w:tcPr>
            <w:tcW w:w="1678" w:type="pct"/>
            <w:hideMark/>
          </w:tcPr>
          <w:p w:rsidR="00465ACB" w:rsidRPr="00CF48DD" w:rsidDel="00304A13" w:rsidRDefault="00465ACB" w:rsidP="000A47C5">
            <w:pPr>
              <w:rPr>
                <w:sz w:val="20"/>
                <w:szCs w:val="20"/>
              </w:rPr>
            </w:pPr>
            <w:r w:rsidRPr="00CF48DD" w:rsidDel="00304A13">
              <w:rPr>
                <w:sz w:val="20"/>
                <w:szCs w:val="20"/>
              </w:rPr>
              <w:t>SSI</w:t>
            </w:r>
          </w:p>
        </w:tc>
      </w:tr>
      <w:tr w:rsidR="00465ACB" w:rsidRPr="00CF48DD" w:rsidDel="00304A13" w:rsidTr="000A47C5">
        <w:trPr>
          <w:trHeight w:val="63"/>
        </w:trPr>
        <w:tc>
          <w:tcPr>
            <w:tcW w:w="2055" w:type="pct"/>
            <w:hideMark/>
          </w:tcPr>
          <w:p w:rsidR="00465ACB" w:rsidRPr="00CF48DD" w:rsidDel="00304A13" w:rsidRDefault="00465ACB" w:rsidP="000A47C5">
            <w:pPr>
              <w:rPr>
                <w:sz w:val="20"/>
                <w:szCs w:val="20"/>
              </w:rPr>
            </w:pPr>
            <w:r w:rsidRPr="00CF48DD" w:rsidDel="00304A13">
              <w:rPr>
                <w:sz w:val="20"/>
                <w:szCs w:val="20"/>
              </w:rPr>
              <w:t>Acute care cost without any treatments</w:t>
            </w:r>
          </w:p>
        </w:tc>
        <w:tc>
          <w:tcPr>
            <w:tcW w:w="1267" w:type="pct"/>
            <w:hideMark/>
          </w:tcPr>
          <w:p w:rsidR="00465ACB" w:rsidRPr="00CF48DD" w:rsidDel="00304A13" w:rsidRDefault="00465ACB" w:rsidP="000A47C5">
            <w:pPr>
              <w:rPr>
                <w:sz w:val="20"/>
                <w:szCs w:val="20"/>
              </w:rPr>
            </w:pPr>
            <w:r w:rsidRPr="00CF48DD" w:rsidDel="00304A13">
              <w:rPr>
                <w:sz w:val="20"/>
                <w:szCs w:val="20"/>
              </w:rPr>
              <w:t>4,848.84 per stroke</w:t>
            </w:r>
          </w:p>
        </w:tc>
        <w:tc>
          <w:tcPr>
            <w:tcW w:w="1678" w:type="pct"/>
            <w:hideMark/>
          </w:tcPr>
          <w:p w:rsidR="00465ACB" w:rsidRPr="00CF48DD" w:rsidDel="00304A13" w:rsidRDefault="00465ACB" w:rsidP="000A47C5">
            <w:pPr>
              <w:rPr>
                <w:sz w:val="20"/>
                <w:szCs w:val="20"/>
              </w:rPr>
            </w:pPr>
            <w:r w:rsidRPr="00CF48DD" w:rsidDel="00304A13">
              <w:rPr>
                <w:sz w:val="20"/>
                <w:szCs w:val="20"/>
              </w:rPr>
              <w:t>MOH</w:t>
            </w:r>
          </w:p>
        </w:tc>
      </w:tr>
      <w:tr w:rsidR="00465ACB" w:rsidRPr="00CF48DD" w:rsidDel="00304A13" w:rsidTr="000A47C5">
        <w:trPr>
          <w:trHeight w:val="63"/>
        </w:trPr>
        <w:tc>
          <w:tcPr>
            <w:tcW w:w="2055" w:type="pct"/>
            <w:hideMark/>
          </w:tcPr>
          <w:p w:rsidR="00465ACB" w:rsidRPr="00CF48DD" w:rsidDel="00304A13" w:rsidRDefault="00465ACB" w:rsidP="000A47C5">
            <w:pPr>
              <w:rPr>
                <w:sz w:val="20"/>
                <w:szCs w:val="20"/>
              </w:rPr>
            </w:pPr>
            <w:r w:rsidRPr="00CF48DD" w:rsidDel="00304A13">
              <w:rPr>
                <w:sz w:val="20"/>
                <w:szCs w:val="20"/>
              </w:rPr>
              <w:t>tPA Administration</w:t>
            </w:r>
          </w:p>
        </w:tc>
        <w:tc>
          <w:tcPr>
            <w:tcW w:w="1267" w:type="pct"/>
            <w:hideMark/>
          </w:tcPr>
          <w:p w:rsidR="00465ACB" w:rsidRPr="00CF48DD" w:rsidDel="00304A13" w:rsidRDefault="00465ACB" w:rsidP="000A47C5">
            <w:pPr>
              <w:rPr>
                <w:sz w:val="20"/>
                <w:szCs w:val="20"/>
              </w:rPr>
            </w:pPr>
            <w:r w:rsidRPr="00CF48DD" w:rsidDel="00304A13">
              <w:rPr>
                <w:sz w:val="20"/>
                <w:szCs w:val="20"/>
              </w:rPr>
              <w:t>2,430.00 per stroke</w:t>
            </w:r>
          </w:p>
        </w:tc>
        <w:tc>
          <w:tcPr>
            <w:tcW w:w="1678" w:type="pct"/>
            <w:hideMark/>
          </w:tcPr>
          <w:p w:rsidR="00465ACB" w:rsidRPr="00CF48DD" w:rsidDel="00304A13" w:rsidRDefault="00465ACB" w:rsidP="000A47C5">
            <w:pPr>
              <w:rPr>
                <w:sz w:val="20"/>
                <w:szCs w:val="20"/>
              </w:rPr>
            </w:pPr>
          </w:p>
        </w:tc>
      </w:tr>
      <w:tr w:rsidR="00465ACB" w:rsidRPr="00CF48DD" w:rsidDel="00304A13" w:rsidTr="000A47C5">
        <w:trPr>
          <w:trHeight w:val="63"/>
        </w:trPr>
        <w:tc>
          <w:tcPr>
            <w:tcW w:w="2055" w:type="pct"/>
            <w:hideMark/>
          </w:tcPr>
          <w:p w:rsidR="00465ACB" w:rsidRPr="00CF48DD" w:rsidDel="00304A13" w:rsidRDefault="00465ACB" w:rsidP="000A47C5">
            <w:pPr>
              <w:rPr>
                <w:sz w:val="20"/>
                <w:szCs w:val="20"/>
              </w:rPr>
            </w:pPr>
            <w:r w:rsidRPr="00CF48DD" w:rsidDel="00304A13">
              <w:rPr>
                <w:sz w:val="20"/>
                <w:szCs w:val="20"/>
              </w:rPr>
              <w:t xml:space="preserve">   Drug Cost</w:t>
            </w:r>
          </w:p>
        </w:tc>
        <w:tc>
          <w:tcPr>
            <w:tcW w:w="1267" w:type="pct"/>
            <w:hideMark/>
          </w:tcPr>
          <w:p w:rsidR="00465ACB" w:rsidRPr="00CF48DD" w:rsidDel="00304A13" w:rsidRDefault="00465ACB" w:rsidP="000A47C5">
            <w:pPr>
              <w:rPr>
                <w:sz w:val="20"/>
                <w:szCs w:val="20"/>
              </w:rPr>
            </w:pPr>
            <w:r w:rsidRPr="00CF48DD" w:rsidDel="00304A13">
              <w:rPr>
                <w:sz w:val="20"/>
                <w:szCs w:val="20"/>
              </w:rPr>
              <w:t>1,800.00</w:t>
            </w:r>
          </w:p>
        </w:tc>
        <w:tc>
          <w:tcPr>
            <w:tcW w:w="1678" w:type="pct"/>
            <w:hideMark/>
          </w:tcPr>
          <w:p w:rsidR="00465ACB" w:rsidRPr="00CF48DD" w:rsidDel="00304A13" w:rsidRDefault="00465ACB" w:rsidP="000A47C5">
            <w:pPr>
              <w:rPr>
                <w:sz w:val="20"/>
                <w:szCs w:val="20"/>
              </w:rPr>
            </w:pPr>
            <w:r w:rsidRPr="00CF48DD" w:rsidDel="00304A13">
              <w:rPr>
                <w:sz w:val="20"/>
                <w:szCs w:val="20"/>
              </w:rPr>
              <w:t>SSI</w:t>
            </w:r>
          </w:p>
        </w:tc>
      </w:tr>
      <w:tr w:rsidR="00465ACB" w:rsidRPr="00CF48DD" w:rsidDel="00304A13" w:rsidTr="000A47C5">
        <w:trPr>
          <w:trHeight w:val="113"/>
        </w:trPr>
        <w:tc>
          <w:tcPr>
            <w:tcW w:w="2055" w:type="pct"/>
            <w:hideMark/>
          </w:tcPr>
          <w:p w:rsidR="00465ACB" w:rsidRPr="00CF48DD" w:rsidDel="00304A13" w:rsidRDefault="00465ACB" w:rsidP="000A47C5">
            <w:pPr>
              <w:rPr>
                <w:sz w:val="20"/>
                <w:szCs w:val="20"/>
              </w:rPr>
            </w:pPr>
            <w:r w:rsidRPr="00CF48DD" w:rsidDel="00304A13">
              <w:rPr>
                <w:sz w:val="20"/>
                <w:szCs w:val="20"/>
              </w:rPr>
              <w:t xml:space="preserve">   Additional CT scan</w:t>
            </w:r>
          </w:p>
        </w:tc>
        <w:tc>
          <w:tcPr>
            <w:tcW w:w="1267" w:type="pct"/>
            <w:hideMark/>
          </w:tcPr>
          <w:p w:rsidR="00465ACB" w:rsidRPr="00CF48DD" w:rsidDel="00304A13" w:rsidRDefault="00465ACB" w:rsidP="000A47C5">
            <w:pPr>
              <w:rPr>
                <w:sz w:val="20"/>
                <w:szCs w:val="20"/>
              </w:rPr>
            </w:pPr>
            <w:r w:rsidRPr="00CF48DD" w:rsidDel="00304A13">
              <w:rPr>
                <w:sz w:val="20"/>
                <w:szCs w:val="20"/>
              </w:rPr>
              <w:t>500.00</w:t>
            </w:r>
          </w:p>
        </w:tc>
        <w:tc>
          <w:tcPr>
            <w:tcW w:w="1678" w:type="pct"/>
            <w:hideMark/>
          </w:tcPr>
          <w:p w:rsidR="00465ACB" w:rsidRPr="00CF48DD" w:rsidDel="00304A13" w:rsidRDefault="00465ACB" w:rsidP="000A47C5">
            <w:pPr>
              <w:rPr>
                <w:sz w:val="20"/>
                <w:szCs w:val="20"/>
              </w:rPr>
            </w:pPr>
            <w:r w:rsidRPr="00CF48DD" w:rsidDel="00304A13">
              <w:rPr>
                <w:sz w:val="20"/>
                <w:szCs w:val="20"/>
              </w:rPr>
              <w:t>Local tertiary hospitals</w:t>
            </w:r>
          </w:p>
        </w:tc>
      </w:tr>
      <w:tr w:rsidR="00465ACB" w:rsidRPr="00CF48DD" w:rsidDel="00304A13" w:rsidTr="000A47C5">
        <w:trPr>
          <w:trHeight w:val="468"/>
        </w:trPr>
        <w:tc>
          <w:tcPr>
            <w:tcW w:w="2055" w:type="pct"/>
            <w:hideMark/>
          </w:tcPr>
          <w:p w:rsidR="00465ACB" w:rsidRPr="00CF48DD" w:rsidDel="00304A13" w:rsidRDefault="00465ACB" w:rsidP="000A47C5">
            <w:pPr>
              <w:rPr>
                <w:sz w:val="20"/>
                <w:szCs w:val="20"/>
              </w:rPr>
            </w:pPr>
            <w:r w:rsidRPr="00CF48DD" w:rsidDel="00304A13">
              <w:rPr>
                <w:sz w:val="20"/>
                <w:szCs w:val="20"/>
              </w:rPr>
              <w:t xml:space="preserve">   Monitoring in high dependency unit for </w:t>
            </w:r>
          </w:p>
          <w:p w:rsidR="00465ACB" w:rsidRPr="00CF48DD" w:rsidDel="00304A13" w:rsidRDefault="00465ACB" w:rsidP="000A47C5">
            <w:pPr>
              <w:rPr>
                <w:sz w:val="20"/>
                <w:szCs w:val="20"/>
              </w:rPr>
            </w:pPr>
            <w:r w:rsidRPr="00CF48DD" w:rsidDel="00304A13">
              <w:rPr>
                <w:sz w:val="20"/>
                <w:szCs w:val="20"/>
              </w:rPr>
              <w:t xml:space="preserve">   at least 24 hours</w:t>
            </w:r>
          </w:p>
        </w:tc>
        <w:tc>
          <w:tcPr>
            <w:tcW w:w="1267" w:type="pct"/>
            <w:hideMark/>
          </w:tcPr>
          <w:p w:rsidR="00465ACB" w:rsidRPr="00CF48DD" w:rsidDel="00304A13" w:rsidRDefault="00465ACB" w:rsidP="000A47C5">
            <w:pPr>
              <w:rPr>
                <w:sz w:val="20"/>
                <w:szCs w:val="20"/>
              </w:rPr>
            </w:pPr>
            <w:r w:rsidRPr="00CF48DD" w:rsidDel="00304A13">
              <w:rPr>
                <w:sz w:val="20"/>
                <w:szCs w:val="20"/>
              </w:rPr>
              <w:t>130.00</w:t>
            </w:r>
          </w:p>
        </w:tc>
        <w:tc>
          <w:tcPr>
            <w:tcW w:w="1678" w:type="pct"/>
            <w:hideMark/>
          </w:tcPr>
          <w:p w:rsidR="00465ACB" w:rsidRPr="00CF48DD" w:rsidDel="00304A13" w:rsidRDefault="00465ACB" w:rsidP="000A47C5">
            <w:pPr>
              <w:rPr>
                <w:sz w:val="20"/>
                <w:szCs w:val="20"/>
              </w:rPr>
            </w:pPr>
            <w:r w:rsidRPr="00CF48DD" w:rsidDel="00304A13">
              <w:rPr>
                <w:sz w:val="20"/>
                <w:szCs w:val="20"/>
              </w:rPr>
              <w:t>Local tertiary hospitals</w:t>
            </w:r>
          </w:p>
        </w:tc>
      </w:tr>
      <w:tr w:rsidR="00465ACB" w:rsidRPr="00CF48DD" w:rsidDel="00304A13" w:rsidTr="000A47C5">
        <w:trPr>
          <w:trHeight w:val="129"/>
        </w:trPr>
        <w:tc>
          <w:tcPr>
            <w:tcW w:w="2055" w:type="pct"/>
            <w:hideMark/>
          </w:tcPr>
          <w:p w:rsidR="00465ACB" w:rsidRPr="00CF48DD" w:rsidDel="00304A13" w:rsidRDefault="00465ACB" w:rsidP="000A47C5">
            <w:pPr>
              <w:rPr>
                <w:sz w:val="20"/>
                <w:szCs w:val="20"/>
              </w:rPr>
            </w:pPr>
            <w:r w:rsidRPr="00CF48DD" w:rsidDel="00304A13">
              <w:rPr>
                <w:sz w:val="20"/>
                <w:szCs w:val="20"/>
              </w:rPr>
              <w:t>EVT Administration</w:t>
            </w:r>
          </w:p>
        </w:tc>
        <w:tc>
          <w:tcPr>
            <w:tcW w:w="1267" w:type="pct"/>
            <w:hideMark/>
          </w:tcPr>
          <w:p w:rsidR="00465ACB" w:rsidRPr="00CF48DD" w:rsidDel="00304A13" w:rsidRDefault="00465ACB" w:rsidP="000A47C5">
            <w:pPr>
              <w:rPr>
                <w:sz w:val="20"/>
                <w:szCs w:val="20"/>
              </w:rPr>
            </w:pPr>
            <w:r w:rsidRPr="00CF48DD" w:rsidDel="00304A13">
              <w:rPr>
                <w:sz w:val="20"/>
                <w:szCs w:val="20"/>
              </w:rPr>
              <w:t>15,000.00 per stroke</w:t>
            </w:r>
          </w:p>
        </w:tc>
        <w:tc>
          <w:tcPr>
            <w:tcW w:w="1678" w:type="pct"/>
            <w:hideMark/>
          </w:tcPr>
          <w:p w:rsidR="00465ACB" w:rsidRPr="00CF48DD" w:rsidDel="00304A13" w:rsidRDefault="00465ACB" w:rsidP="000A47C5">
            <w:pPr>
              <w:rPr>
                <w:sz w:val="20"/>
                <w:szCs w:val="20"/>
              </w:rPr>
            </w:pPr>
            <w:r w:rsidRPr="00CF48DD" w:rsidDel="00304A13">
              <w:rPr>
                <w:sz w:val="20"/>
                <w:szCs w:val="20"/>
              </w:rPr>
              <w:t>SSI</w:t>
            </w:r>
          </w:p>
        </w:tc>
      </w:tr>
      <w:tr w:rsidR="00465ACB" w:rsidRPr="00CF48DD" w:rsidDel="00304A13" w:rsidTr="000A47C5">
        <w:trPr>
          <w:trHeight w:val="73"/>
        </w:trPr>
        <w:tc>
          <w:tcPr>
            <w:tcW w:w="2055" w:type="pct"/>
            <w:hideMark/>
          </w:tcPr>
          <w:p w:rsidR="00465ACB" w:rsidRPr="00CF48DD" w:rsidDel="00304A13" w:rsidRDefault="00465ACB" w:rsidP="000A47C5">
            <w:pPr>
              <w:rPr>
                <w:sz w:val="20"/>
                <w:szCs w:val="20"/>
              </w:rPr>
            </w:pPr>
            <w:r w:rsidRPr="00CF48DD" w:rsidDel="00304A13">
              <w:rPr>
                <w:sz w:val="20"/>
                <w:szCs w:val="20"/>
              </w:rPr>
              <w:t>Ratio of ASU to GMW costs</w:t>
            </w:r>
          </w:p>
        </w:tc>
        <w:tc>
          <w:tcPr>
            <w:tcW w:w="1267" w:type="pct"/>
            <w:hideMark/>
          </w:tcPr>
          <w:p w:rsidR="00465ACB" w:rsidRPr="00CF48DD" w:rsidDel="00304A13" w:rsidRDefault="00465ACB" w:rsidP="000A47C5">
            <w:pPr>
              <w:rPr>
                <w:sz w:val="20"/>
                <w:szCs w:val="20"/>
              </w:rPr>
            </w:pPr>
            <w:r w:rsidRPr="00CF48DD" w:rsidDel="00304A13">
              <w:rPr>
                <w:sz w:val="20"/>
                <w:szCs w:val="20"/>
              </w:rPr>
              <w:t>1.20</w:t>
            </w:r>
          </w:p>
        </w:tc>
        <w:tc>
          <w:tcPr>
            <w:tcW w:w="1678" w:type="pct"/>
            <w:hideMark/>
          </w:tcPr>
          <w:p w:rsidR="00465ACB" w:rsidRPr="00CF48DD" w:rsidDel="00304A13" w:rsidRDefault="00465ACB" w:rsidP="000A47C5">
            <w:pPr>
              <w:rPr>
                <w:sz w:val="20"/>
                <w:szCs w:val="20"/>
              </w:rPr>
            </w:pPr>
            <w:r w:rsidDel="00304A13">
              <w:rPr>
                <w:sz w:val="20"/>
                <w:szCs w:val="20"/>
              </w:rPr>
              <w:t xml:space="preserve">Based on review of international literature </w:t>
            </w:r>
            <w:r w:rsidDel="00304A13">
              <w:rPr>
                <w:noProof/>
                <w:sz w:val="20"/>
                <w:szCs w:val="20"/>
              </w:rPr>
              <w:t>(Claesson, et al., 2000; Launois, et al., 2004; Saka, et al., 2009; Te Ao, et al., 2012)</w:t>
            </w:r>
          </w:p>
        </w:tc>
      </w:tr>
      <w:tr w:rsidR="00465ACB" w:rsidRPr="00CF48DD" w:rsidDel="00304A13" w:rsidTr="000A47C5">
        <w:trPr>
          <w:trHeight w:val="410"/>
        </w:trPr>
        <w:tc>
          <w:tcPr>
            <w:tcW w:w="2055" w:type="pct"/>
            <w:hideMark/>
          </w:tcPr>
          <w:p w:rsidR="00465ACB" w:rsidRPr="00CF48DD" w:rsidDel="00304A13" w:rsidRDefault="00465ACB" w:rsidP="000A47C5">
            <w:pPr>
              <w:rPr>
                <w:sz w:val="20"/>
                <w:szCs w:val="20"/>
              </w:rPr>
            </w:pPr>
            <w:r w:rsidRPr="00CF48DD" w:rsidDel="00304A13">
              <w:rPr>
                <w:sz w:val="20"/>
                <w:szCs w:val="20"/>
              </w:rPr>
              <w:lastRenderedPageBreak/>
              <w:t>Out-of-hospital Rehabilitation for 90 days</w:t>
            </w:r>
          </w:p>
        </w:tc>
        <w:tc>
          <w:tcPr>
            <w:tcW w:w="1267" w:type="pct"/>
          </w:tcPr>
          <w:p w:rsidR="00465ACB" w:rsidRPr="00CF48DD" w:rsidDel="00304A13" w:rsidRDefault="00465ACB" w:rsidP="000A47C5">
            <w:pPr>
              <w:rPr>
                <w:sz w:val="20"/>
                <w:szCs w:val="20"/>
              </w:rPr>
            </w:pPr>
          </w:p>
        </w:tc>
        <w:tc>
          <w:tcPr>
            <w:tcW w:w="1678" w:type="pct"/>
            <w:vMerge w:val="restart"/>
            <w:hideMark/>
          </w:tcPr>
          <w:p w:rsidR="00465ACB" w:rsidRPr="00CF48DD" w:rsidDel="00304A13" w:rsidRDefault="00465ACB" w:rsidP="000A47C5">
            <w:pPr>
              <w:rPr>
                <w:sz w:val="20"/>
                <w:szCs w:val="20"/>
              </w:rPr>
            </w:pPr>
            <w:r w:rsidDel="00304A13">
              <w:rPr>
                <w:sz w:val="20"/>
                <w:szCs w:val="20"/>
              </w:rPr>
              <w:t>Expert</w:t>
            </w:r>
            <w:r w:rsidRPr="00CF48DD" w:rsidDel="00304A13">
              <w:rPr>
                <w:sz w:val="20"/>
                <w:szCs w:val="20"/>
              </w:rPr>
              <w:t xml:space="preserve"> Opinion</w:t>
            </w:r>
          </w:p>
        </w:tc>
      </w:tr>
      <w:tr w:rsidR="00465ACB" w:rsidRPr="00CF48DD" w:rsidDel="00304A13" w:rsidTr="000A47C5">
        <w:trPr>
          <w:trHeight w:val="70"/>
        </w:trPr>
        <w:tc>
          <w:tcPr>
            <w:tcW w:w="2055" w:type="pct"/>
            <w:hideMark/>
          </w:tcPr>
          <w:p w:rsidR="00465ACB" w:rsidRPr="00CF48DD" w:rsidDel="00304A13" w:rsidRDefault="00465ACB" w:rsidP="000A47C5">
            <w:pPr>
              <w:rPr>
                <w:sz w:val="20"/>
                <w:szCs w:val="20"/>
              </w:rPr>
            </w:pPr>
            <w:r w:rsidRPr="00CF48DD" w:rsidDel="00304A13">
              <w:rPr>
                <w:sz w:val="20"/>
                <w:szCs w:val="20"/>
              </w:rPr>
              <w:t xml:space="preserve">   mRS0-1</w:t>
            </w:r>
          </w:p>
        </w:tc>
        <w:tc>
          <w:tcPr>
            <w:tcW w:w="1267" w:type="pct"/>
            <w:hideMark/>
          </w:tcPr>
          <w:p w:rsidR="00465ACB" w:rsidRPr="00CF48DD" w:rsidDel="00304A13" w:rsidRDefault="00465ACB" w:rsidP="000A47C5">
            <w:pPr>
              <w:rPr>
                <w:sz w:val="20"/>
                <w:szCs w:val="20"/>
              </w:rPr>
            </w:pPr>
            <w:r w:rsidRPr="00CF48DD" w:rsidDel="00304A13">
              <w:rPr>
                <w:sz w:val="20"/>
                <w:szCs w:val="20"/>
              </w:rPr>
              <w:t>1,960.00</w:t>
            </w:r>
          </w:p>
        </w:tc>
        <w:tc>
          <w:tcPr>
            <w:tcW w:w="1678" w:type="pct"/>
            <w:vMerge/>
            <w:hideMark/>
          </w:tcPr>
          <w:p w:rsidR="00465ACB" w:rsidRPr="00CF48DD" w:rsidDel="00304A13" w:rsidRDefault="00465ACB" w:rsidP="000A47C5">
            <w:pPr>
              <w:rPr>
                <w:sz w:val="20"/>
                <w:szCs w:val="20"/>
              </w:rPr>
            </w:pPr>
          </w:p>
        </w:tc>
      </w:tr>
      <w:tr w:rsidR="00465ACB" w:rsidRPr="00CF48DD" w:rsidDel="00304A13" w:rsidTr="000A47C5">
        <w:trPr>
          <w:trHeight w:val="82"/>
        </w:trPr>
        <w:tc>
          <w:tcPr>
            <w:tcW w:w="2055" w:type="pct"/>
            <w:hideMark/>
          </w:tcPr>
          <w:p w:rsidR="00465ACB" w:rsidRPr="00CF48DD" w:rsidDel="00304A13" w:rsidRDefault="00465ACB" w:rsidP="000A47C5">
            <w:pPr>
              <w:rPr>
                <w:sz w:val="20"/>
                <w:szCs w:val="20"/>
              </w:rPr>
            </w:pPr>
            <w:r w:rsidRPr="00CF48DD" w:rsidDel="00304A13">
              <w:rPr>
                <w:sz w:val="20"/>
                <w:szCs w:val="20"/>
              </w:rPr>
              <w:t xml:space="preserve">   mRS2-3</w:t>
            </w:r>
          </w:p>
        </w:tc>
        <w:tc>
          <w:tcPr>
            <w:tcW w:w="1267" w:type="pct"/>
            <w:hideMark/>
          </w:tcPr>
          <w:p w:rsidR="00465ACB" w:rsidRPr="00CF48DD" w:rsidDel="00304A13" w:rsidRDefault="00465ACB" w:rsidP="000A47C5">
            <w:pPr>
              <w:rPr>
                <w:sz w:val="20"/>
                <w:szCs w:val="20"/>
              </w:rPr>
            </w:pPr>
            <w:r w:rsidRPr="00CF48DD" w:rsidDel="00304A13">
              <w:rPr>
                <w:sz w:val="20"/>
                <w:szCs w:val="20"/>
              </w:rPr>
              <w:t>1,980.00</w:t>
            </w:r>
          </w:p>
        </w:tc>
        <w:tc>
          <w:tcPr>
            <w:tcW w:w="1678" w:type="pct"/>
            <w:vMerge/>
            <w:hideMark/>
          </w:tcPr>
          <w:p w:rsidR="00465ACB" w:rsidRPr="00CF48DD" w:rsidDel="00304A13" w:rsidRDefault="00465ACB" w:rsidP="000A47C5">
            <w:pPr>
              <w:rPr>
                <w:sz w:val="20"/>
                <w:szCs w:val="20"/>
              </w:rPr>
            </w:pPr>
          </w:p>
        </w:tc>
      </w:tr>
      <w:tr w:rsidR="00465ACB" w:rsidRPr="00CF48DD" w:rsidDel="00304A13" w:rsidTr="000A47C5">
        <w:trPr>
          <w:trHeight w:val="109"/>
        </w:trPr>
        <w:tc>
          <w:tcPr>
            <w:tcW w:w="2055" w:type="pct"/>
            <w:hideMark/>
          </w:tcPr>
          <w:p w:rsidR="00465ACB" w:rsidRPr="00CF48DD" w:rsidDel="00304A13" w:rsidRDefault="00465ACB" w:rsidP="000A47C5">
            <w:pPr>
              <w:rPr>
                <w:sz w:val="20"/>
                <w:szCs w:val="20"/>
              </w:rPr>
            </w:pPr>
            <w:r w:rsidRPr="00CF48DD" w:rsidDel="00304A13">
              <w:rPr>
                <w:sz w:val="20"/>
                <w:szCs w:val="20"/>
              </w:rPr>
              <w:t xml:space="preserve">   mRS4</w:t>
            </w:r>
          </w:p>
        </w:tc>
        <w:tc>
          <w:tcPr>
            <w:tcW w:w="1267" w:type="pct"/>
            <w:hideMark/>
          </w:tcPr>
          <w:p w:rsidR="00465ACB" w:rsidRPr="00CF48DD" w:rsidDel="00304A13" w:rsidRDefault="00465ACB" w:rsidP="000A47C5">
            <w:pPr>
              <w:rPr>
                <w:sz w:val="20"/>
                <w:szCs w:val="20"/>
              </w:rPr>
            </w:pPr>
            <w:r w:rsidRPr="00CF48DD" w:rsidDel="00304A13">
              <w:rPr>
                <w:sz w:val="20"/>
                <w:szCs w:val="20"/>
              </w:rPr>
              <w:t>2,000.00</w:t>
            </w:r>
          </w:p>
        </w:tc>
        <w:tc>
          <w:tcPr>
            <w:tcW w:w="1678" w:type="pct"/>
            <w:vMerge/>
            <w:hideMark/>
          </w:tcPr>
          <w:p w:rsidR="00465ACB" w:rsidRPr="00CF48DD" w:rsidDel="00304A13" w:rsidRDefault="00465ACB" w:rsidP="000A47C5">
            <w:pPr>
              <w:rPr>
                <w:sz w:val="20"/>
                <w:szCs w:val="20"/>
              </w:rPr>
            </w:pPr>
          </w:p>
        </w:tc>
      </w:tr>
      <w:tr w:rsidR="00465ACB" w:rsidRPr="00CF48DD" w:rsidDel="00304A13" w:rsidTr="000A47C5">
        <w:trPr>
          <w:trHeight w:val="156"/>
        </w:trPr>
        <w:tc>
          <w:tcPr>
            <w:tcW w:w="2055" w:type="pct"/>
            <w:hideMark/>
          </w:tcPr>
          <w:p w:rsidR="00465ACB" w:rsidRPr="00CF48DD" w:rsidDel="00304A13" w:rsidRDefault="00465ACB" w:rsidP="000A47C5">
            <w:pPr>
              <w:rPr>
                <w:sz w:val="20"/>
                <w:szCs w:val="20"/>
              </w:rPr>
            </w:pPr>
            <w:r w:rsidRPr="00CF48DD" w:rsidDel="00304A13">
              <w:rPr>
                <w:sz w:val="20"/>
                <w:szCs w:val="20"/>
              </w:rPr>
              <w:t xml:space="preserve">   mRS5</w:t>
            </w:r>
          </w:p>
        </w:tc>
        <w:tc>
          <w:tcPr>
            <w:tcW w:w="1267" w:type="pct"/>
            <w:hideMark/>
          </w:tcPr>
          <w:p w:rsidR="00465ACB" w:rsidRPr="00CF48DD" w:rsidDel="00304A13" w:rsidRDefault="00465ACB" w:rsidP="000A47C5">
            <w:pPr>
              <w:rPr>
                <w:sz w:val="20"/>
                <w:szCs w:val="20"/>
              </w:rPr>
            </w:pPr>
            <w:r w:rsidRPr="00CF48DD" w:rsidDel="00304A13">
              <w:rPr>
                <w:sz w:val="20"/>
                <w:szCs w:val="20"/>
              </w:rPr>
              <w:t>2,000.00</w:t>
            </w:r>
          </w:p>
        </w:tc>
        <w:tc>
          <w:tcPr>
            <w:tcW w:w="1678" w:type="pct"/>
            <w:vMerge/>
            <w:hideMark/>
          </w:tcPr>
          <w:p w:rsidR="00465ACB" w:rsidRPr="00CF48DD" w:rsidDel="00304A13" w:rsidRDefault="00465ACB" w:rsidP="000A47C5">
            <w:pPr>
              <w:rPr>
                <w:sz w:val="20"/>
                <w:szCs w:val="20"/>
              </w:rPr>
            </w:pPr>
          </w:p>
        </w:tc>
      </w:tr>
      <w:tr w:rsidR="00465ACB" w:rsidRPr="00CF48DD" w:rsidDel="00304A13" w:rsidTr="000A47C5">
        <w:trPr>
          <w:trHeight w:val="156"/>
        </w:trPr>
        <w:tc>
          <w:tcPr>
            <w:tcW w:w="2055" w:type="pct"/>
          </w:tcPr>
          <w:p w:rsidR="00465ACB" w:rsidRPr="00CF48DD" w:rsidDel="00304A13" w:rsidRDefault="00465ACB" w:rsidP="000A47C5">
            <w:pPr>
              <w:rPr>
                <w:sz w:val="20"/>
                <w:szCs w:val="20"/>
              </w:rPr>
            </w:pPr>
            <w:r w:rsidRPr="00CF48DD" w:rsidDel="00304A13">
              <w:rPr>
                <w:sz w:val="20"/>
                <w:szCs w:val="20"/>
              </w:rPr>
              <w:t>Comprehensive Secondary Prevention</w:t>
            </w:r>
          </w:p>
        </w:tc>
        <w:tc>
          <w:tcPr>
            <w:tcW w:w="1267" w:type="pct"/>
          </w:tcPr>
          <w:p w:rsidR="00465ACB" w:rsidRPr="00CF48DD" w:rsidDel="00304A13" w:rsidRDefault="00465ACB" w:rsidP="000A47C5">
            <w:pPr>
              <w:rPr>
                <w:sz w:val="20"/>
                <w:szCs w:val="20"/>
              </w:rPr>
            </w:pPr>
            <w:r w:rsidRPr="00CF48DD" w:rsidDel="00304A13">
              <w:rPr>
                <w:sz w:val="20"/>
                <w:szCs w:val="20"/>
              </w:rPr>
              <w:t>1,650.64 per year</w:t>
            </w:r>
          </w:p>
        </w:tc>
        <w:tc>
          <w:tcPr>
            <w:tcW w:w="1678" w:type="pct"/>
            <w:vMerge w:val="restart"/>
          </w:tcPr>
          <w:p w:rsidR="00465ACB" w:rsidRPr="00CF48DD" w:rsidDel="00304A13" w:rsidRDefault="00465ACB" w:rsidP="000A47C5">
            <w:pPr>
              <w:rPr>
                <w:sz w:val="20"/>
                <w:szCs w:val="20"/>
              </w:rPr>
            </w:pPr>
            <w:r w:rsidDel="00304A13">
              <w:rPr>
                <w:sz w:val="20"/>
                <w:szCs w:val="20"/>
              </w:rPr>
              <w:t xml:space="preserve">Annual cost for remaining life-time based </w:t>
            </w:r>
            <w:r w:rsidRPr="009D206A" w:rsidDel="00304A13">
              <w:rPr>
                <w:sz w:val="20"/>
                <w:szCs w:val="20"/>
              </w:rPr>
              <w:t xml:space="preserve">on the prevalence of </w:t>
            </w:r>
            <w:r w:rsidDel="00304A13">
              <w:rPr>
                <w:sz w:val="20"/>
                <w:szCs w:val="20"/>
              </w:rPr>
              <w:t xml:space="preserve">main risk factors and </w:t>
            </w:r>
            <w:r w:rsidRPr="009D206A" w:rsidDel="00304A13">
              <w:rPr>
                <w:sz w:val="20"/>
                <w:szCs w:val="20"/>
              </w:rPr>
              <w:t>local</w:t>
            </w:r>
            <w:r w:rsidDel="00304A13">
              <w:rPr>
                <w:sz w:val="20"/>
                <w:szCs w:val="20"/>
              </w:rPr>
              <w:t xml:space="preserve"> data on the cost of medication.</w:t>
            </w:r>
          </w:p>
        </w:tc>
      </w:tr>
      <w:tr w:rsidR="00465ACB" w:rsidRPr="00CF48DD" w:rsidDel="00304A13" w:rsidTr="000A47C5">
        <w:trPr>
          <w:trHeight w:val="80"/>
        </w:trPr>
        <w:tc>
          <w:tcPr>
            <w:tcW w:w="2055" w:type="pct"/>
          </w:tcPr>
          <w:p w:rsidR="00465ACB" w:rsidRPr="00CF48DD" w:rsidDel="00304A13" w:rsidRDefault="00465ACB" w:rsidP="000A47C5">
            <w:pPr>
              <w:rPr>
                <w:sz w:val="20"/>
                <w:szCs w:val="20"/>
              </w:rPr>
            </w:pPr>
            <w:r w:rsidRPr="00CF48DD" w:rsidDel="00304A13">
              <w:rPr>
                <w:sz w:val="20"/>
                <w:szCs w:val="20"/>
              </w:rPr>
              <w:t xml:space="preserve">   Hypertension</w:t>
            </w:r>
          </w:p>
        </w:tc>
        <w:tc>
          <w:tcPr>
            <w:tcW w:w="1267" w:type="pct"/>
          </w:tcPr>
          <w:p w:rsidR="00465ACB" w:rsidRPr="00CF48DD" w:rsidDel="00304A13" w:rsidRDefault="00465ACB" w:rsidP="000A47C5">
            <w:pPr>
              <w:rPr>
                <w:sz w:val="20"/>
                <w:szCs w:val="20"/>
              </w:rPr>
            </w:pPr>
            <w:r w:rsidRPr="00CF48DD" w:rsidDel="00304A13">
              <w:rPr>
                <w:sz w:val="20"/>
                <w:szCs w:val="20"/>
              </w:rPr>
              <w:t>2.60 per day</w:t>
            </w:r>
          </w:p>
        </w:tc>
        <w:tc>
          <w:tcPr>
            <w:tcW w:w="1678" w:type="pct"/>
            <w:vMerge/>
          </w:tcPr>
          <w:p w:rsidR="00465ACB" w:rsidRPr="00CF48DD" w:rsidDel="00304A13" w:rsidRDefault="00465ACB" w:rsidP="000A47C5">
            <w:pPr>
              <w:rPr>
                <w:sz w:val="20"/>
                <w:szCs w:val="20"/>
              </w:rPr>
            </w:pPr>
          </w:p>
        </w:tc>
      </w:tr>
      <w:tr w:rsidR="00465ACB" w:rsidRPr="00CF48DD" w:rsidDel="00304A13" w:rsidTr="000A47C5">
        <w:trPr>
          <w:trHeight w:val="156"/>
        </w:trPr>
        <w:tc>
          <w:tcPr>
            <w:tcW w:w="2055" w:type="pct"/>
          </w:tcPr>
          <w:p w:rsidR="00465ACB" w:rsidRPr="00CF48DD" w:rsidDel="00304A13" w:rsidRDefault="00465ACB" w:rsidP="000A47C5">
            <w:pPr>
              <w:rPr>
                <w:sz w:val="20"/>
                <w:szCs w:val="20"/>
              </w:rPr>
            </w:pPr>
            <w:r w:rsidRPr="00CF48DD" w:rsidDel="00304A13">
              <w:rPr>
                <w:sz w:val="20"/>
                <w:szCs w:val="20"/>
              </w:rPr>
              <w:t xml:space="preserve">   Hyperlipidemia</w:t>
            </w:r>
          </w:p>
        </w:tc>
        <w:tc>
          <w:tcPr>
            <w:tcW w:w="1267" w:type="pct"/>
          </w:tcPr>
          <w:p w:rsidR="00465ACB" w:rsidRPr="00CF48DD" w:rsidDel="00304A13" w:rsidRDefault="00465ACB" w:rsidP="000A47C5">
            <w:pPr>
              <w:rPr>
                <w:sz w:val="20"/>
                <w:szCs w:val="20"/>
              </w:rPr>
            </w:pPr>
            <w:r w:rsidRPr="00CF48DD" w:rsidDel="00304A13">
              <w:rPr>
                <w:sz w:val="20"/>
                <w:szCs w:val="20"/>
              </w:rPr>
              <w:t>485.00 per year</w:t>
            </w:r>
          </w:p>
        </w:tc>
        <w:tc>
          <w:tcPr>
            <w:tcW w:w="1678" w:type="pct"/>
            <w:vMerge/>
          </w:tcPr>
          <w:p w:rsidR="00465ACB" w:rsidRPr="00CF48DD" w:rsidDel="00304A13" w:rsidRDefault="00465ACB" w:rsidP="000A47C5">
            <w:pPr>
              <w:rPr>
                <w:sz w:val="20"/>
                <w:szCs w:val="20"/>
              </w:rPr>
            </w:pPr>
          </w:p>
        </w:tc>
      </w:tr>
      <w:tr w:rsidR="00465ACB" w:rsidRPr="00CF48DD" w:rsidDel="00304A13" w:rsidTr="000A47C5">
        <w:trPr>
          <w:trHeight w:val="156"/>
        </w:trPr>
        <w:tc>
          <w:tcPr>
            <w:tcW w:w="2055" w:type="pct"/>
          </w:tcPr>
          <w:p w:rsidR="00465ACB" w:rsidRPr="00CF48DD" w:rsidDel="00304A13" w:rsidRDefault="00465ACB" w:rsidP="000A47C5">
            <w:pPr>
              <w:rPr>
                <w:sz w:val="20"/>
                <w:szCs w:val="20"/>
              </w:rPr>
            </w:pPr>
            <w:r w:rsidRPr="00CF48DD" w:rsidDel="00304A13">
              <w:rPr>
                <w:sz w:val="20"/>
                <w:szCs w:val="20"/>
              </w:rPr>
              <w:t xml:space="preserve">   Atrial Fibrillation</w:t>
            </w:r>
          </w:p>
        </w:tc>
        <w:tc>
          <w:tcPr>
            <w:tcW w:w="1267" w:type="pct"/>
          </w:tcPr>
          <w:p w:rsidR="00465ACB" w:rsidRPr="00CF48DD" w:rsidDel="00304A13" w:rsidRDefault="00465ACB" w:rsidP="000A47C5">
            <w:pPr>
              <w:rPr>
                <w:sz w:val="20"/>
                <w:szCs w:val="20"/>
              </w:rPr>
            </w:pPr>
            <w:r w:rsidRPr="00CF48DD" w:rsidDel="00304A13">
              <w:rPr>
                <w:sz w:val="20"/>
                <w:szCs w:val="20"/>
              </w:rPr>
              <w:t>12.50 per day</w:t>
            </w:r>
          </w:p>
        </w:tc>
        <w:tc>
          <w:tcPr>
            <w:tcW w:w="1678" w:type="pct"/>
            <w:vMerge/>
          </w:tcPr>
          <w:p w:rsidR="00465ACB" w:rsidRPr="00CF48DD" w:rsidDel="00304A13" w:rsidRDefault="00465ACB" w:rsidP="000A47C5">
            <w:pPr>
              <w:rPr>
                <w:sz w:val="20"/>
                <w:szCs w:val="20"/>
              </w:rPr>
            </w:pPr>
          </w:p>
        </w:tc>
      </w:tr>
      <w:tr w:rsidR="00465ACB" w:rsidRPr="00CF48DD" w:rsidDel="00304A13" w:rsidTr="000A47C5">
        <w:trPr>
          <w:trHeight w:val="156"/>
        </w:trPr>
        <w:tc>
          <w:tcPr>
            <w:tcW w:w="2055" w:type="pct"/>
          </w:tcPr>
          <w:p w:rsidR="00465ACB" w:rsidRPr="00CF48DD" w:rsidDel="00304A13" w:rsidRDefault="00465ACB" w:rsidP="000A47C5">
            <w:pPr>
              <w:rPr>
                <w:sz w:val="20"/>
                <w:szCs w:val="20"/>
              </w:rPr>
            </w:pPr>
            <w:r w:rsidRPr="00CF48DD" w:rsidDel="00304A13">
              <w:rPr>
                <w:sz w:val="20"/>
                <w:szCs w:val="20"/>
              </w:rPr>
              <w:t xml:space="preserve">   Aspirin</w:t>
            </w:r>
          </w:p>
        </w:tc>
        <w:tc>
          <w:tcPr>
            <w:tcW w:w="1267" w:type="pct"/>
          </w:tcPr>
          <w:p w:rsidR="00465ACB" w:rsidRPr="00CF48DD" w:rsidDel="00304A13" w:rsidRDefault="00465ACB" w:rsidP="000A47C5">
            <w:pPr>
              <w:rPr>
                <w:sz w:val="20"/>
                <w:szCs w:val="20"/>
              </w:rPr>
            </w:pPr>
            <w:r w:rsidRPr="00CF48DD" w:rsidDel="00304A13">
              <w:rPr>
                <w:sz w:val="20"/>
                <w:szCs w:val="20"/>
              </w:rPr>
              <w:t>18.00 per year</w:t>
            </w:r>
          </w:p>
        </w:tc>
        <w:tc>
          <w:tcPr>
            <w:tcW w:w="1678" w:type="pct"/>
            <w:vMerge/>
          </w:tcPr>
          <w:p w:rsidR="00465ACB" w:rsidRPr="00CF48DD" w:rsidDel="00304A13" w:rsidRDefault="00465ACB" w:rsidP="000A47C5">
            <w:pPr>
              <w:rPr>
                <w:sz w:val="20"/>
                <w:szCs w:val="20"/>
              </w:rPr>
            </w:pPr>
          </w:p>
        </w:tc>
      </w:tr>
      <w:tr w:rsidR="00465ACB" w:rsidRPr="00CF48DD" w:rsidDel="00304A13" w:rsidTr="000A47C5">
        <w:trPr>
          <w:trHeight w:val="80"/>
        </w:trPr>
        <w:tc>
          <w:tcPr>
            <w:tcW w:w="2055" w:type="pct"/>
          </w:tcPr>
          <w:p w:rsidR="00465ACB" w:rsidRPr="00CF48DD" w:rsidDel="00304A13" w:rsidRDefault="00465ACB" w:rsidP="000A47C5">
            <w:pPr>
              <w:rPr>
                <w:sz w:val="20"/>
                <w:szCs w:val="20"/>
              </w:rPr>
            </w:pPr>
            <w:r w:rsidRPr="00CF48DD" w:rsidDel="00304A13">
              <w:rPr>
                <w:sz w:val="20"/>
                <w:szCs w:val="20"/>
              </w:rPr>
              <w:t xml:space="preserve">   GP/Polyclinic Visits</w:t>
            </w:r>
          </w:p>
        </w:tc>
        <w:tc>
          <w:tcPr>
            <w:tcW w:w="1267" w:type="pct"/>
          </w:tcPr>
          <w:p w:rsidR="00465ACB" w:rsidRPr="00CF48DD" w:rsidDel="00304A13" w:rsidRDefault="00465ACB" w:rsidP="000A47C5">
            <w:pPr>
              <w:rPr>
                <w:sz w:val="20"/>
                <w:szCs w:val="20"/>
              </w:rPr>
            </w:pPr>
            <w:r w:rsidRPr="00CF48DD" w:rsidDel="00304A13">
              <w:rPr>
                <w:sz w:val="20"/>
                <w:szCs w:val="20"/>
              </w:rPr>
              <w:t>120.00 per year</w:t>
            </w:r>
          </w:p>
        </w:tc>
        <w:tc>
          <w:tcPr>
            <w:tcW w:w="1678" w:type="pct"/>
            <w:vMerge/>
          </w:tcPr>
          <w:p w:rsidR="00465ACB" w:rsidRPr="00CF48DD" w:rsidDel="00304A13" w:rsidRDefault="00465ACB" w:rsidP="000A47C5">
            <w:pPr>
              <w:rPr>
                <w:sz w:val="20"/>
                <w:szCs w:val="20"/>
              </w:rPr>
            </w:pPr>
          </w:p>
        </w:tc>
      </w:tr>
      <w:tr w:rsidR="00465ACB" w:rsidRPr="00CF48DD" w:rsidDel="00304A13" w:rsidTr="000A47C5">
        <w:trPr>
          <w:trHeight w:val="156"/>
        </w:trPr>
        <w:tc>
          <w:tcPr>
            <w:tcW w:w="2055" w:type="pct"/>
            <w:hideMark/>
          </w:tcPr>
          <w:p w:rsidR="00465ACB" w:rsidRPr="00CF48DD" w:rsidDel="00304A13" w:rsidRDefault="00465ACB" w:rsidP="000A47C5">
            <w:pPr>
              <w:rPr>
                <w:sz w:val="20"/>
                <w:szCs w:val="20"/>
              </w:rPr>
            </w:pPr>
            <w:r w:rsidRPr="00CF48DD" w:rsidDel="00304A13">
              <w:rPr>
                <w:sz w:val="20"/>
                <w:szCs w:val="20"/>
              </w:rPr>
              <w:t>Community Hospital</w:t>
            </w:r>
          </w:p>
        </w:tc>
        <w:tc>
          <w:tcPr>
            <w:tcW w:w="1267" w:type="pct"/>
            <w:hideMark/>
          </w:tcPr>
          <w:p w:rsidR="00465ACB" w:rsidRPr="00CF48DD" w:rsidDel="00304A13" w:rsidRDefault="00465ACB" w:rsidP="000A47C5">
            <w:pPr>
              <w:rPr>
                <w:sz w:val="20"/>
                <w:szCs w:val="20"/>
              </w:rPr>
            </w:pPr>
          </w:p>
        </w:tc>
        <w:tc>
          <w:tcPr>
            <w:tcW w:w="1678" w:type="pct"/>
            <w:vMerge w:val="restart"/>
            <w:hideMark/>
          </w:tcPr>
          <w:p w:rsidR="00465ACB" w:rsidRPr="00CF48DD" w:rsidDel="00304A13" w:rsidRDefault="00465ACB" w:rsidP="000A47C5">
            <w:pPr>
              <w:rPr>
                <w:sz w:val="20"/>
                <w:szCs w:val="20"/>
              </w:rPr>
            </w:pPr>
            <w:r w:rsidDel="00304A13">
              <w:rPr>
                <w:sz w:val="20"/>
                <w:szCs w:val="20"/>
              </w:rPr>
              <w:t>Expert estimates based on expected length of stay.</w:t>
            </w:r>
          </w:p>
        </w:tc>
      </w:tr>
      <w:tr w:rsidR="00465ACB" w:rsidRPr="00CF48DD" w:rsidDel="00304A13" w:rsidTr="000A47C5">
        <w:trPr>
          <w:trHeight w:val="156"/>
        </w:trPr>
        <w:tc>
          <w:tcPr>
            <w:tcW w:w="2055" w:type="pct"/>
            <w:hideMark/>
          </w:tcPr>
          <w:p w:rsidR="00465ACB" w:rsidRPr="00CF48DD" w:rsidDel="00304A13" w:rsidRDefault="00465ACB" w:rsidP="000A47C5">
            <w:pPr>
              <w:rPr>
                <w:sz w:val="20"/>
                <w:szCs w:val="20"/>
              </w:rPr>
            </w:pPr>
            <w:r w:rsidRPr="00CF48DD" w:rsidDel="00304A13">
              <w:rPr>
                <w:sz w:val="20"/>
                <w:szCs w:val="20"/>
              </w:rPr>
              <w:t xml:space="preserve">   mRS0-1</w:t>
            </w:r>
          </w:p>
        </w:tc>
        <w:tc>
          <w:tcPr>
            <w:tcW w:w="1267" w:type="pct"/>
            <w:hideMark/>
          </w:tcPr>
          <w:p w:rsidR="00465ACB" w:rsidRPr="00CF48DD" w:rsidDel="00304A13" w:rsidRDefault="00465ACB" w:rsidP="000A47C5">
            <w:pPr>
              <w:rPr>
                <w:sz w:val="20"/>
                <w:szCs w:val="20"/>
              </w:rPr>
            </w:pPr>
            <w:r w:rsidRPr="00CF48DD" w:rsidDel="00304A13">
              <w:rPr>
                <w:sz w:val="20"/>
                <w:szCs w:val="20"/>
              </w:rPr>
              <w:t>7,056.00 per patient</w:t>
            </w:r>
          </w:p>
        </w:tc>
        <w:tc>
          <w:tcPr>
            <w:tcW w:w="1678" w:type="pct"/>
            <w:vMerge/>
            <w:hideMark/>
          </w:tcPr>
          <w:p w:rsidR="00465ACB" w:rsidRPr="00CF48DD" w:rsidDel="00304A13" w:rsidRDefault="00465ACB" w:rsidP="000A47C5">
            <w:pPr>
              <w:rPr>
                <w:sz w:val="20"/>
                <w:szCs w:val="20"/>
              </w:rPr>
            </w:pPr>
          </w:p>
        </w:tc>
      </w:tr>
      <w:tr w:rsidR="00465ACB" w:rsidRPr="00CF48DD" w:rsidDel="00304A13" w:rsidTr="000A47C5">
        <w:trPr>
          <w:trHeight w:val="156"/>
        </w:trPr>
        <w:tc>
          <w:tcPr>
            <w:tcW w:w="2055" w:type="pct"/>
            <w:hideMark/>
          </w:tcPr>
          <w:p w:rsidR="00465ACB" w:rsidRPr="00CF48DD" w:rsidDel="00304A13" w:rsidRDefault="00465ACB" w:rsidP="000A47C5">
            <w:pPr>
              <w:rPr>
                <w:sz w:val="20"/>
                <w:szCs w:val="20"/>
              </w:rPr>
            </w:pPr>
            <w:r w:rsidRPr="00CF48DD" w:rsidDel="00304A13">
              <w:rPr>
                <w:sz w:val="20"/>
                <w:szCs w:val="20"/>
              </w:rPr>
              <w:t xml:space="preserve">   mRS2-3</w:t>
            </w:r>
          </w:p>
        </w:tc>
        <w:tc>
          <w:tcPr>
            <w:tcW w:w="1267" w:type="pct"/>
            <w:hideMark/>
          </w:tcPr>
          <w:p w:rsidR="00465ACB" w:rsidRPr="00CF48DD" w:rsidDel="00304A13" w:rsidRDefault="00465ACB" w:rsidP="000A47C5">
            <w:pPr>
              <w:rPr>
                <w:sz w:val="20"/>
                <w:szCs w:val="20"/>
              </w:rPr>
            </w:pPr>
            <w:r w:rsidRPr="00CF48DD" w:rsidDel="00304A13">
              <w:rPr>
                <w:sz w:val="20"/>
                <w:szCs w:val="20"/>
              </w:rPr>
              <w:t>10,584.00 per patient</w:t>
            </w:r>
          </w:p>
        </w:tc>
        <w:tc>
          <w:tcPr>
            <w:tcW w:w="1678" w:type="pct"/>
            <w:vMerge/>
            <w:hideMark/>
          </w:tcPr>
          <w:p w:rsidR="00465ACB" w:rsidRPr="00CF48DD" w:rsidDel="00304A13" w:rsidRDefault="00465ACB" w:rsidP="000A47C5">
            <w:pPr>
              <w:rPr>
                <w:sz w:val="20"/>
                <w:szCs w:val="20"/>
              </w:rPr>
            </w:pPr>
          </w:p>
        </w:tc>
      </w:tr>
      <w:tr w:rsidR="00465ACB" w:rsidRPr="00CF48DD" w:rsidDel="00304A13" w:rsidTr="000A47C5">
        <w:trPr>
          <w:trHeight w:val="156"/>
        </w:trPr>
        <w:tc>
          <w:tcPr>
            <w:tcW w:w="2055" w:type="pct"/>
            <w:hideMark/>
          </w:tcPr>
          <w:p w:rsidR="00465ACB" w:rsidRPr="00CF48DD" w:rsidDel="00304A13" w:rsidRDefault="00465ACB" w:rsidP="000A47C5">
            <w:pPr>
              <w:rPr>
                <w:sz w:val="20"/>
                <w:szCs w:val="20"/>
              </w:rPr>
            </w:pPr>
            <w:r w:rsidRPr="00CF48DD" w:rsidDel="00304A13">
              <w:rPr>
                <w:sz w:val="20"/>
                <w:szCs w:val="20"/>
              </w:rPr>
              <w:t xml:space="preserve">   mRS4</w:t>
            </w:r>
          </w:p>
        </w:tc>
        <w:tc>
          <w:tcPr>
            <w:tcW w:w="1267" w:type="pct"/>
            <w:hideMark/>
          </w:tcPr>
          <w:p w:rsidR="00465ACB" w:rsidRPr="00CF48DD" w:rsidDel="00304A13" w:rsidRDefault="00465ACB" w:rsidP="000A47C5">
            <w:pPr>
              <w:rPr>
                <w:sz w:val="20"/>
                <w:szCs w:val="20"/>
              </w:rPr>
            </w:pPr>
            <w:r w:rsidRPr="00CF48DD" w:rsidDel="00304A13">
              <w:rPr>
                <w:sz w:val="20"/>
                <w:szCs w:val="20"/>
              </w:rPr>
              <w:t>14,112.00 per patient</w:t>
            </w:r>
          </w:p>
        </w:tc>
        <w:tc>
          <w:tcPr>
            <w:tcW w:w="1678" w:type="pct"/>
            <w:vMerge/>
            <w:hideMark/>
          </w:tcPr>
          <w:p w:rsidR="00465ACB" w:rsidRPr="00CF48DD" w:rsidDel="00304A13" w:rsidRDefault="00465ACB" w:rsidP="000A47C5">
            <w:pPr>
              <w:rPr>
                <w:sz w:val="20"/>
                <w:szCs w:val="20"/>
              </w:rPr>
            </w:pPr>
          </w:p>
        </w:tc>
      </w:tr>
      <w:tr w:rsidR="00465ACB" w:rsidRPr="00CF48DD" w:rsidDel="00304A13" w:rsidTr="000A47C5">
        <w:trPr>
          <w:trHeight w:val="156"/>
        </w:trPr>
        <w:tc>
          <w:tcPr>
            <w:tcW w:w="2055" w:type="pct"/>
            <w:hideMark/>
          </w:tcPr>
          <w:p w:rsidR="00465ACB" w:rsidRPr="00CF48DD" w:rsidDel="00304A13" w:rsidRDefault="00465ACB" w:rsidP="000A47C5">
            <w:pPr>
              <w:rPr>
                <w:sz w:val="20"/>
                <w:szCs w:val="20"/>
              </w:rPr>
            </w:pPr>
            <w:r w:rsidRPr="00CF48DD" w:rsidDel="00304A13">
              <w:rPr>
                <w:sz w:val="20"/>
                <w:szCs w:val="20"/>
              </w:rPr>
              <w:t xml:space="preserve">   mRS5</w:t>
            </w:r>
          </w:p>
        </w:tc>
        <w:tc>
          <w:tcPr>
            <w:tcW w:w="1267" w:type="pct"/>
            <w:hideMark/>
          </w:tcPr>
          <w:p w:rsidR="00465ACB" w:rsidRPr="00CF48DD" w:rsidDel="00304A13" w:rsidRDefault="00465ACB" w:rsidP="000A47C5">
            <w:pPr>
              <w:rPr>
                <w:sz w:val="20"/>
                <w:szCs w:val="20"/>
              </w:rPr>
            </w:pPr>
            <w:r w:rsidRPr="00CF48DD" w:rsidDel="00304A13">
              <w:rPr>
                <w:sz w:val="20"/>
                <w:szCs w:val="20"/>
              </w:rPr>
              <w:t>14,112.00 per patient</w:t>
            </w:r>
          </w:p>
        </w:tc>
        <w:tc>
          <w:tcPr>
            <w:tcW w:w="1678" w:type="pct"/>
            <w:vMerge/>
            <w:hideMark/>
          </w:tcPr>
          <w:p w:rsidR="00465ACB" w:rsidRPr="00CF48DD" w:rsidDel="00304A13" w:rsidRDefault="00465ACB" w:rsidP="000A47C5">
            <w:pPr>
              <w:rPr>
                <w:sz w:val="20"/>
                <w:szCs w:val="20"/>
              </w:rPr>
            </w:pPr>
          </w:p>
        </w:tc>
      </w:tr>
      <w:tr w:rsidR="00465ACB" w:rsidRPr="00D0118A" w:rsidDel="00304A13" w:rsidTr="000A47C5">
        <w:trPr>
          <w:trHeight w:val="73"/>
        </w:trPr>
        <w:tc>
          <w:tcPr>
            <w:tcW w:w="3322" w:type="pct"/>
            <w:gridSpan w:val="2"/>
            <w:hideMark/>
          </w:tcPr>
          <w:p w:rsidR="00465ACB" w:rsidRPr="00CF48DD" w:rsidDel="00304A13" w:rsidRDefault="00465ACB" w:rsidP="000A47C5">
            <w:pPr>
              <w:rPr>
                <w:sz w:val="20"/>
                <w:szCs w:val="20"/>
              </w:rPr>
            </w:pPr>
            <w:r w:rsidRPr="00CF48DD" w:rsidDel="00304A13">
              <w:rPr>
                <w:kern w:val="24"/>
                <w:sz w:val="20"/>
                <w:szCs w:val="20"/>
              </w:rPr>
              <w:t>Average cost of extended care </w:t>
            </w:r>
          </w:p>
        </w:tc>
        <w:tc>
          <w:tcPr>
            <w:tcW w:w="1678" w:type="pct"/>
            <w:vMerge w:val="restart"/>
            <w:hideMark/>
          </w:tcPr>
          <w:p w:rsidR="00465ACB" w:rsidRPr="00D0118A" w:rsidDel="00304A13" w:rsidRDefault="00465ACB" w:rsidP="000A47C5">
            <w:pPr>
              <w:rPr>
                <w:kern w:val="24"/>
                <w:sz w:val="20"/>
                <w:szCs w:val="20"/>
              </w:rPr>
            </w:pPr>
            <w:r w:rsidDel="00304A13">
              <w:rPr>
                <w:kern w:val="24"/>
                <w:sz w:val="20"/>
                <w:szCs w:val="20"/>
              </w:rPr>
              <w:t xml:space="preserve">Estimates drawing on longitudinal survey of stroke patients </w:t>
            </w:r>
            <w:r>
              <w:rPr>
                <w:noProof/>
                <w:kern w:val="24"/>
                <w:sz w:val="20"/>
                <w:szCs w:val="20"/>
              </w:rPr>
              <w:t>(Koh et al., 2014b)</w:t>
            </w:r>
            <w:r w:rsidRPr="00DC222A" w:rsidDel="00304A13">
              <w:rPr>
                <w:kern w:val="24"/>
                <w:sz w:val="20"/>
                <w:szCs w:val="20"/>
              </w:rPr>
              <w:t xml:space="preserve"> and </w:t>
            </w:r>
            <w:r w:rsidDel="00304A13">
              <w:rPr>
                <w:kern w:val="24"/>
                <w:sz w:val="20"/>
                <w:szCs w:val="20"/>
              </w:rPr>
              <w:t xml:space="preserve">community surveys of elderly people in Singapore </w:t>
            </w:r>
            <w:r w:rsidDel="00304A13">
              <w:rPr>
                <w:noProof/>
                <w:kern w:val="24"/>
                <w:sz w:val="20"/>
                <w:szCs w:val="20"/>
              </w:rPr>
              <w:t>(A. W. M. Chan, Ostbye, T., Malhotra, R., Hu, A.J., 2013; A. W. M. Chan, Wee S.L., Noi G.S.)</w:t>
            </w:r>
          </w:p>
        </w:tc>
      </w:tr>
      <w:tr w:rsidR="00465ACB" w:rsidRPr="00CF48DD" w:rsidTr="000A47C5">
        <w:trPr>
          <w:trHeight w:val="240"/>
        </w:trPr>
        <w:tc>
          <w:tcPr>
            <w:tcW w:w="2055" w:type="pct"/>
          </w:tcPr>
          <w:p w:rsidR="00465ACB" w:rsidRPr="00CF48DD" w:rsidRDefault="00465ACB" w:rsidP="000A47C5">
            <w:pPr>
              <w:rPr>
                <w:sz w:val="20"/>
                <w:szCs w:val="20"/>
              </w:rPr>
            </w:pPr>
            <w:r w:rsidRPr="00D0118A">
              <w:rPr>
                <w:kern w:val="24"/>
                <w:sz w:val="20"/>
                <w:szCs w:val="20"/>
              </w:rPr>
              <w:t xml:space="preserve">   </w:t>
            </w:r>
            <w:r w:rsidRPr="00CF48DD">
              <w:rPr>
                <w:kern w:val="24"/>
                <w:sz w:val="20"/>
                <w:szCs w:val="20"/>
              </w:rPr>
              <w:t>mRS0-1</w:t>
            </w:r>
          </w:p>
        </w:tc>
        <w:tc>
          <w:tcPr>
            <w:tcW w:w="1267" w:type="pct"/>
          </w:tcPr>
          <w:p w:rsidR="00465ACB" w:rsidRPr="00CF48DD" w:rsidRDefault="00465ACB" w:rsidP="000A47C5">
            <w:pPr>
              <w:rPr>
                <w:sz w:val="20"/>
                <w:szCs w:val="20"/>
              </w:rPr>
            </w:pPr>
            <w:r w:rsidRPr="00CF48DD">
              <w:rPr>
                <w:kern w:val="24"/>
                <w:sz w:val="20"/>
                <w:szCs w:val="20"/>
              </w:rPr>
              <w:t>1,797.46 per year</w:t>
            </w:r>
          </w:p>
        </w:tc>
        <w:tc>
          <w:tcPr>
            <w:tcW w:w="1678" w:type="pct"/>
            <w:vMerge/>
            <w:hideMark/>
          </w:tcPr>
          <w:p w:rsidR="00465ACB" w:rsidRPr="00CF48DD" w:rsidRDefault="00465ACB" w:rsidP="000A47C5">
            <w:pPr>
              <w:rPr>
                <w:sz w:val="20"/>
                <w:szCs w:val="20"/>
              </w:rPr>
            </w:pPr>
          </w:p>
        </w:tc>
      </w:tr>
      <w:tr w:rsidR="00465ACB" w:rsidRPr="00CF48DD" w:rsidTr="000A47C5">
        <w:trPr>
          <w:trHeight w:val="240"/>
        </w:trPr>
        <w:tc>
          <w:tcPr>
            <w:tcW w:w="2055" w:type="pct"/>
          </w:tcPr>
          <w:p w:rsidR="00465ACB" w:rsidRPr="00CF48DD" w:rsidRDefault="00465ACB" w:rsidP="000A47C5">
            <w:pPr>
              <w:rPr>
                <w:sz w:val="20"/>
                <w:szCs w:val="20"/>
              </w:rPr>
            </w:pPr>
            <w:r w:rsidRPr="00CF48DD">
              <w:rPr>
                <w:kern w:val="24"/>
                <w:sz w:val="20"/>
                <w:szCs w:val="20"/>
              </w:rPr>
              <w:t xml:space="preserve">   mRS2-3</w:t>
            </w:r>
          </w:p>
        </w:tc>
        <w:tc>
          <w:tcPr>
            <w:tcW w:w="1267" w:type="pct"/>
          </w:tcPr>
          <w:p w:rsidR="00465ACB" w:rsidRPr="00CF48DD" w:rsidRDefault="00465ACB" w:rsidP="000A47C5">
            <w:pPr>
              <w:rPr>
                <w:sz w:val="20"/>
                <w:szCs w:val="20"/>
              </w:rPr>
            </w:pPr>
            <w:r w:rsidRPr="00CF48DD">
              <w:rPr>
                <w:kern w:val="24"/>
                <w:sz w:val="20"/>
                <w:szCs w:val="20"/>
              </w:rPr>
              <w:t>7,708.89 per year</w:t>
            </w:r>
          </w:p>
        </w:tc>
        <w:tc>
          <w:tcPr>
            <w:tcW w:w="1678" w:type="pct"/>
            <w:vMerge/>
            <w:hideMark/>
          </w:tcPr>
          <w:p w:rsidR="00465ACB" w:rsidRPr="00CF48DD" w:rsidRDefault="00465ACB" w:rsidP="000A47C5">
            <w:pPr>
              <w:rPr>
                <w:sz w:val="20"/>
                <w:szCs w:val="20"/>
              </w:rPr>
            </w:pPr>
          </w:p>
        </w:tc>
      </w:tr>
      <w:tr w:rsidR="00465ACB" w:rsidRPr="00CF48DD" w:rsidTr="000A47C5">
        <w:trPr>
          <w:trHeight w:val="240"/>
        </w:trPr>
        <w:tc>
          <w:tcPr>
            <w:tcW w:w="2055" w:type="pct"/>
          </w:tcPr>
          <w:p w:rsidR="00465ACB" w:rsidRPr="00CF48DD" w:rsidRDefault="00465ACB" w:rsidP="000A47C5">
            <w:pPr>
              <w:rPr>
                <w:sz w:val="20"/>
                <w:szCs w:val="20"/>
              </w:rPr>
            </w:pPr>
            <w:r w:rsidRPr="00CF48DD">
              <w:rPr>
                <w:kern w:val="24"/>
                <w:sz w:val="20"/>
                <w:szCs w:val="20"/>
              </w:rPr>
              <w:t xml:space="preserve">   mRS4</w:t>
            </w:r>
          </w:p>
        </w:tc>
        <w:tc>
          <w:tcPr>
            <w:tcW w:w="1267" w:type="pct"/>
          </w:tcPr>
          <w:p w:rsidR="00465ACB" w:rsidRPr="00CF48DD" w:rsidRDefault="00465ACB" w:rsidP="000A47C5">
            <w:pPr>
              <w:rPr>
                <w:sz w:val="20"/>
                <w:szCs w:val="20"/>
              </w:rPr>
            </w:pPr>
            <w:r w:rsidRPr="00CF48DD">
              <w:rPr>
                <w:kern w:val="24"/>
                <w:sz w:val="20"/>
                <w:szCs w:val="20"/>
              </w:rPr>
              <w:t>9,910.85 per year</w:t>
            </w:r>
          </w:p>
        </w:tc>
        <w:tc>
          <w:tcPr>
            <w:tcW w:w="1678" w:type="pct"/>
            <w:vMerge/>
            <w:hideMark/>
          </w:tcPr>
          <w:p w:rsidR="00465ACB" w:rsidRPr="00CF48DD" w:rsidRDefault="00465ACB" w:rsidP="000A47C5">
            <w:pPr>
              <w:rPr>
                <w:sz w:val="20"/>
                <w:szCs w:val="20"/>
              </w:rPr>
            </w:pPr>
          </w:p>
        </w:tc>
      </w:tr>
      <w:tr w:rsidR="00465ACB" w:rsidRPr="00CF48DD" w:rsidTr="000A47C5">
        <w:trPr>
          <w:trHeight w:val="240"/>
        </w:trPr>
        <w:tc>
          <w:tcPr>
            <w:tcW w:w="2055" w:type="pct"/>
          </w:tcPr>
          <w:p w:rsidR="00465ACB" w:rsidRPr="00CF48DD" w:rsidRDefault="00465ACB" w:rsidP="000A47C5">
            <w:pPr>
              <w:rPr>
                <w:sz w:val="20"/>
                <w:szCs w:val="20"/>
              </w:rPr>
            </w:pPr>
            <w:r w:rsidRPr="00CF48DD">
              <w:rPr>
                <w:kern w:val="24"/>
                <w:sz w:val="20"/>
                <w:szCs w:val="20"/>
              </w:rPr>
              <w:t xml:space="preserve">   mRS5</w:t>
            </w:r>
          </w:p>
        </w:tc>
        <w:tc>
          <w:tcPr>
            <w:tcW w:w="1267" w:type="pct"/>
          </w:tcPr>
          <w:p w:rsidR="00465ACB" w:rsidRPr="00CF48DD" w:rsidRDefault="00465ACB" w:rsidP="000A47C5">
            <w:pPr>
              <w:rPr>
                <w:sz w:val="20"/>
                <w:szCs w:val="20"/>
              </w:rPr>
            </w:pPr>
            <w:r w:rsidRPr="00CF48DD">
              <w:rPr>
                <w:kern w:val="24"/>
                <w:sz w:val="20"/>
                <w:szCs w:val="20"/>
              </w:rPr>
              <w:t>23,612.08 per year</w:t>
            </w:r>
          </w:p>
        </w:tc>
        <w:tc>
          <w:tcPr>
            <w:tcW w:w="1678" w:type="pct"/>
            <w:vMerge/>
            <w:hideMark/>
          </w:tcPr>
          <w:p w:rsidR="00465ACB" w:rsidRPr="00CF48DD" w:rsidRDefault="00465ACB" w:rsidP="000A47C5">
            <w:pPr>
              <w:rPr>
                <w:sz w:val="20"/>
                <w:szCs w:val="20"/>
              </w:rPr>
            </w:pPr>
          </w:p>
        </w:tc>
      </w:tr>
    </w:tbl>
    <w:p w:rsidR="00465ACB" w:rsidRPr="003A6613" w:rsidRDefault="00465ACB" w:rsidP="000A47C5">
      <w:pPr>
        <w:pStyle w:val="Heading1"/>
        <w:ind w:left="432"/>
        <w:rPr>
          <w:i/>
        </w:rPr>
      </w:pPr>
      <w:r>
        <w:rPr>
          <w:i/>
        </w:rPr>
        <w:t>Estimates of Efficiency of Stroke Interventions</w:t>
      </w:r>
    </w:p>
    <w:p w:rsidR="00465ACB" w:rsidRPr="00CF48DD" w:rsidRDefault="00465ACB" w:rsidP="000A47C5">
      <w:pPr>
        <w:pStyle w:val="Tabletitle"/>
      </w:pPr>
      <w:r>
        <w:t>Table A2</w:t>
      </w:r>
      <w:r w:rsidRPr="00CF48DD">
        <w:t>. Estimates of Efficacy of tPA on Functional Outcomes</w:t>
      </w:r>
      <w:r>
        <w:t xml:space="preserve"> based on ECASS III trial </w:t>
      </w:r>
      <w:r>
        <w:rPr>
          <w:noProof/>
        </w:rPr>
        <w:t>(Hacke, et al., 2008)</w:t>
      </w:r>
    </w:p>
    <w:tbl>
      <w:tblPr>
        <w:tblStyle w:val="ListTable21"/>
        <w:tblW w:w="4999" w:type="pct"/>
        <w:tblLook w:val="06A0" w:firstRow="1" w:lastRow="0" w:firstColumn="1" w:lastColumn="0" w:noHBand="1" w:noVBand="1"/>
      </w:tblPr>
      <w:tblGrid>
        <w:gridCol w:w="1130"/>
        <w:gridCol w:w="2052"/>
        <w:gridCol w:w="2550"/>
        <w:gridCol w:w="1651"/>
        <w:gridCol w:w="1641"/>
      </w:tblGrid>
      <w:tr w:rsidR="00465ACB" w:rsidRPr="00CF48DD" w:rsidTr="000A47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6" w:type="pct"/>
          </w:tcPr>
          <w:p w:rsidR="00465ACB" w:rsidRPr="00CF48DD" w:rsidRDefault="00465ACB" w:rsidP="000A47C5">
            <w:pPr>
              <w:rPr>
                <w:b w:val="0"/>
                <w:sz w:val="20"/>
                <w:szCs w:val="20"/>
              </w:rPr>
            </w:pPr>
          </w:p>
        </w:tc>
        <w:tc>
          <w:tcPr>
            <w:tcW w:w="1137" w:type="pct"/>
          </w:tcPr>
          <w:p w:rsidR="00465ACB" w:rsidRPr="00CF48DD" w:rsidRDefault="00465ACB" w:rsidP="000A47C5">
            <w:pPr>
              <w:cnfStyle w:val="100000000000" w:firstRow="1" w:lastRow="0" w:firstColumn="0" w:lastColumn="0" w:oddVBand="0" w:evenVBand="0" w:oddHBand="0" w:evenHBand="0" w:firstRowFirstColumn="0" w:firstRowLastColumn="0" w:lastRowFirstColumn="0" w:lastRowLastColumn="0"/>
              <w:rPr>
                <w:b w:val="0"/>
                <w:sz w:val="20"/>
                <w:szCs w:val="20"/>
              </w:rPr>
            </w:pPr>
            <w:r w:rsidRPr="00CF48DD">
              <w:rPr>
                <w:b w:val="0"/>
                <w:sz w:val="20"/>
                <w:szCs w:val="20"/>
              </w:rPr>
              <w:t>ECASS-III Control</w:t>
            </w:r>
          </w:p>
        </w:tc>
        <w:tc>
          <w:tcPr>
            <w:tcW w:w="1413" w:type="pct"/>
          </w:tcPr>
          <w:p w:rsidR="00465ACB" w:rsidRPr="00CF48DD" w:rsidRDefault="00465ACB" w:rsidP="000A47C5">
            <w:pPr>
              <w:cnfStyle w:val="100000000000" w:firstRow="1" w:lastRow="0" w:firstColumn="0" w:lastColumn="0" w:oddVBand="0" w:evenVBand="0" w:oddHBand="0" w:evenHBand="0" w:firstRowFirstColumn="0" w:firstRowLastColumn="0" w:lastRowFirstColumn="0" w:lastRowLastColumn="0"/>
              <w:rPr>
                <w:b w:val="0"/>
                <w:sz w:val="20"/>
                <w:szCs w:val="20"/>
              </w:rPr>
            </w:pPr>
            <w:r w:rsidRPr="00CF48DD">
              <w:rPr>
                <w:b w:val="0"/>
                <w:sz w:val="20"/>
                <w:szCs w:val="20"/>
              </w:rPr>
              <w:t>ECASS-III Intervention</w:t>
            </w:r>
          </w:p>
        </w:tc>
        <w:tc>
          <w:tcPr>
            <w:tcW w:w="915" w:type="pct"/>
          </w:tcPr>
          <w:p w:rsidR="00465ACB" w:rsidRPr="00CF48DD" w:rsidRDefault="00465ACB" w:rsidP="000A47C5">
            <w:pPr>
              <w:cnfStyle w:val="100000000000" w:firstRow="1" w:lastRow="0" w:firstColumn="0" w:lastColumn="0" w:oddVBand="0" w:evenVBand="0" w:oddHBand="0" w:evenHBand="0" w:firstRowFirstColumn="0" w:firstRowLastColumn="0" w:lastRowFirstColumn="0" w:lastRowLastColumn="0"/>
              <w:rPr>
                <w:b w:val="0"/>
                <w:sz w:val="20"/>
                <w:szCs w:val="20"/>
              </w:rPr>
            </w:pPr>
            <w:r>
              <w:rPr>
                <w:b w:val="0"/>
                <w:sz w:val="20"/>
                <w:szCs w:val="20"/>
              </w:rPr>
              <w:t>Simulated disability distribution based on control group</w:t>
            </w:r>
          </w:p>
        </w:tc>
        <w:tc>
          <w:tcPr>
            <w:tcW w:w="909" w:type="pct"/>
          </w:tcPr>
          <w:p w:rsidR="00465ACB" w:rsidRPr="00CF48DD" w:rsidRDefault="00465ACB" w:rsidP="000A47C5">
            <w:pPr>
              <w:cnfStyle w:val="100000000000" w:firstRow="1" w:lastRow="0" w:firstColumn="0" w:lastColumn="0" w:oddVBand="0" w:evenVBand="0" w:oddHBand="0" w:evenHBand="0" w:firstRowFirstColumn="0" w:firstRowLastColumn="0" w:lastRowFirstColumn="0" w:lastRowLastColumn="0"/>
              <w:rPr>
                <w:b w:val="0"/>
                <w:sz w:val="20"/>
                <w:szCs w:val="20"/>
              </w:rPr>
            </w:pPr>
            <w:r w:rsidRPr="00CF48DD">
              <w:rPr>
                <w:b w:val="0"/>
                <w:sz w:val="20"/>
                <w:szCs w:val="20"/>
              </w:rPr>
              <w:t>Squared Error</w:t>
            </w:r>
          </w:p>
        </w:tc>
      </w:tr>
      <w:tr w:rsidR="00465ACB" w:rsidRPr="00CF48DD" w:rsidTr="000A47C5">
        <w:tc>
          <w:tcPr>
            <w:cnfStyle w:val="001000000000" w:firstRow="0" w:lastRow="0" w:firstColumn="1" w:lastColumn="0" w:oddVBand="0" w:evenVBand="0" w:oddHBand="0" w:evenHBand="0" w:firstRowFirstColumn="0" w:firstRowLastColumn="0" w:lastRowFirstColumn="0" w:lastRowLastColumn="0"/>
            <w:tcW w:w="626" w:type="pct"/>
          </w:tcPr>
          <w:p w:rsidR="00465ACB" w:rsidRPr="00CF48DD" w:rsidRDefault="00465ACB" w:rsidP="000A47C5">
            <w:pPr>
              <w:rPr>
                <w:b w:val="0"/>
                <w:sz w:val="20"/>
                <w:szCs w:val="20"/>
              </w:rPr>
            </w:pPr>
            <w:r w:rsidRPr="00CF48DD">
              <w:rPr>
                <w:b w:val="0"/>
                <w:sz w:val="20"/>
                <w:szCs w:val="20"/>
              </w:rPr>
              <w:t>mRS0-1</w:t>
            </w:r>
          </w:p>
        </w:tc>
        <w:tc>
          <w:tcPr>
            <w:tcW w:w="1137"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0.2660</w:t>
            </w:r>
          </w:p>
        </w:tc>
        <w:tc>
          <w:tcPr>
            <w:tcW w:w="1413"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0.4263</w:t>
            </w:r>
          </w:p>
        </w:tc>
        <w:tc>
          <w:tcPr>
            <w:tcW w:w="915"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0.3786</w:t>
            </w:r>
          </w:p>
        </w:tc>
        <w:tc>
          <w:tcPr>
            <w:tcW w:w="909"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bCs/>
                <w:kern w:val="24"/>
                <w:sz w:val="20"/>
                <w:szCs w:val="20"/>
              </w:rPr>
              <w:t>0.0023</w:t>
            </w:r>
          </w:p>
        </w:tc>
      </w:tr>
      <w:tr w:rsidR="00465ACB" w:rsidRPr="00CF48DD" w:rsidTr="000A47C5">
        <w:tc>
          <w:tcPr>
            <w:cnfStyle w:val="001000000000" w:firstRow="0" w:lastRow="0" w:firstColumn="1" w:lastColumn="0" w:oddVBand="0" w:evenVBand="0" w:oddHBand="0" w:evenHBand="0" w:firstRowFirstColumn="0" w:firstRowLastColumn="0" w:lastRowFirstColumn="0" w:lastRowLastColumn="0"/>
            <w:tcW w:w="626" w:type="pct"/>
          </w:tcPr>
          <w:p w:rsidR="00465ACB" w:rsidRPr="00CF48DD" w:rsidRDefault="00465ACB" w:rsidP="000A47C5">
            <w:pPr>
              <w:rPr>
                <w:b w:val="0"/>
                <w:sz w:val="20"/>
                <w:szCs w:val="20"/>
              </w:rPr>
            </w:pPr>
            <w:r w:rsidRPr="00CF48DD">
              <w:rPr>
                <w:b w:val="0"/>
                <w:sz w:val="20"/>
                <w:szCs w:val="20"/>
              </w:rPr>
              <w:t>mRS2-3</w:t>
            </w:r>
          </w:p>
        </w:tc>
        <w:tc>
          <w:tcPr>
            <w:tcW w:w="1137"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0.2628</w:t>
            </w:r>
          </w:p>
        </w:tc>
        <w:tc>
          <w:tcPr>
            <w:tcW w:w="1413"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0.2051</w:t>
            </w:r>
          </w:p>
        </w:tc>
        <w:tc>
          <w:tcPr>
            <w:tcW w:w="915"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0.2354</w:t>
            </w:r>
          </w:p>
        </w:tc>
        <w:tc>
          <w:tcPr>
            <w:tcW w:w="909"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bCs/>
                <w:kern w:val="24"/>
                <w:sz w:val="20"/>
                <w:szCs w:val="20"/>
              </w:rPr>
              <w:t>0.0009</w:t>
            </w:r>
          </w:p>
        </w:tc>
      </w:tr>
      <w:tr w:rsidR="00465ACB" w:rsidRPr="00CF48DD" w:rsidTr="000A47C5">
        <w:tc>
          <w:tcPr>
            <w:cnfStyle w:val="001000000000" w:firstRow="0" w:lastRow="0" w:firstColumn="1" w:lastColumn="0" w:oddVBand="0" w:evenVBand="0" w:oddHBand="0" w:evenHBand="0" w:firstRowFirstColumn="0" w:firstRowLastColumn="0" w:lastRowFirstColumn="0" w:lastRowLastColumn="0"/>
            <w:tcW w:w="626" w:type="pct"/>
          </w:tcPr>
          <w:p w:rsidR="00465ACB" w:rsidRPr="00CF48DD" w:rsidRDefault="00465ACB" w:rsidP="000A47C5">
            <w:pPr>
              <w:rPr>
                <w:b w:val="0"/>
                <w:sz w:val="20"/>
                <w:szCs w:val="20"/>
              </w:rPr>
            </w:pPr>
            <w:r w:rsidRPr="00CF48DD">
              <w:rPr>
                <w:b w:val="0"/>
                <w:sz w:val="20"/>
                <w:szCs w:val="20"/>
              </w:rPr>
              <w:t>mRS4</w:t>
            </w:r>
          </w:p>
        </w:tc>
        <w:tc>
          <w:tcPr>
            <w:tcW w:w="1137"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0.1987</w:t>
            </w:r>
          </w:p>
        </w:tc>
        <w:tc>
          <w:tcPr>
            <w:tcW w:w="1413"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0.1346</w:t>
            </w:r>
          </w:p>
        </w:tc>
        <w:tc>
          <w:tcPr>
            <w:tcW w:w="915"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0.1136</w:t>
            </w:r>
          </w:p>
        </w:tc>
        <w:tc>
          <w:tcPr>
            <w:tcW w:w="909"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bCs/>
                <w:kern w:val="24"/>
                <w:sz w:val="20"/>
                <w:szCs w:val="20"/>
              </w:rPr>
              <w:t>0.0004</w:t>
            </w:r>
          </w:p>
        </w:tc>
      </w:tr>
      <w:tr w:rsidR="00465ACB" w:rsidRPr="00CF48DD" w:rsidTr="000A47C5">
        <w:tc>
          <w:tcPr>
            <w:cnfStyle w:val="001000000000" w:firstRow="0" w:lastRow="0" w:firstColumn="1" w:lastColumn="0" w:oddVBand="0" w:evenVBand="0" w:oddHBand="0" w:evenHBand="0" w:firstRowFirstColumn="0" w:firstRowLastColumn="0" w:lastRowFirstColumn="0" w:lastRowLastColumn="0"/>
            <w:tcW w:w="626" w:type="pct"/>
          </w:tcPr>
          <w:p w:rsidR="00465ACB" w:rsidRPr="00CF48DD" w:rsidRDefault="00465ACB" w:rsidP="000A47C5">
            <w:pPr>
              <w:rPr>
                <w:b w:val="0"/>
                <w:sz w:val="20"/>
                <w:szCs w:val="20"/>
              </w:rPr>
            </w:pPr>
            <w:r w:rsidRPr="00CF48DD">
              <w:rPr>
                <w:b w:val="0"/>
                <w:sz w:val="20"/>
                <w:szCs w:val="20"/>
              </w:rPr>
              <w:t>mRS5</w:t>
            </w:r>
          </w:p>
        </w:tc>
        <w:tc>
          <w:tcPr>
            <w:tcW w:w="1137"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0.2724</w:t>
            </w:r>
          </w:p>
        </w:tc>
        <w:tc>
          <w:tcPr>
            <w:tcW w:w="1413"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0.2340</w:t>
            </w:r>
          </w:p>
        </w:tc>
        <w:tc>
          <w:tcPr>
            <w:tcW w:w="915"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0.2724</w:t>
            </w:r>
          </w:p>
        </w:tc>
        <w:tc>
          <w:tcPr>
            <w:tcW w:w="909"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bCs/>
                <w:kern w:val="24"/>
                <w:sz w:val="20"/>
                <w:szCs w:val="20"/>
              </w:rPr>
              <w:t>0.0015</w:t>
            </w:r>
          </w:p>
        </w:tc>
      </w:tr>
      <w:tr w:rsidR="00465ACB" w:rsidRPr="00CF48DD" w:rsidTr="000A47C5">
        <w:tc>
          <w:tcPr>
            <w:cnfStyle w:val="001000000000" w:firstRow="0" w:lastRow="0" w:firstColumn="1" w:lastColumn="0" w:oddVBand="0" w:evenVBand="0" w:oddHBand="0" w:evenHBand="0" w:firstRowFirstColumn="0" w:firstRowLastColumn="0" w:lastRowFirstColumn="0" w:lastRowLastColumn="0"/>
            <w:tcW w:w="3176" w:type="pct"/>
            <w:gridSpan w:val="3"/>
          </w:tcPr>
          <w:p w:rsidR="00465ACB" w:rsidRPr="00CF48DD" w:rsidRDefault="00465ACB" w:rsidP="000A47C5">
            <w:pPr>
              <w:rPr>
                <w:b w:val="0"/>
                <w:sz w:val="20"/>
                <w:szCs w:val="20"/>
              </w:rPr>
            </w:pPr>
            <w:r w:rsidRPr="00CF48DD">
              <w:rPr>
                <w:b w:val="0"/>
                <w:sz w:val="20"/>
                <w:szCs w:val="20"/>
              </w:rPr>
              <w:t>Efficacy</w:t>
            </w:r>
            <w:r>
              <w:rPr>
                <w:b w:val="0"/>
                <w:sz w:val="20"/>
                <w:szCs w:val="20"/>
              </w:rPr>
              <w:t xml:space="preserve"> for mRS2-3 and mRS4</w:t>
            </w:r>
          </w:p>
        </w:tc>
        <w:tc>
          <w:tcPr>
            <w:tcW w:w="915"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0.4282</w:t>
            </w:r>
          </w:p>
        </w:tc>
        <w:tc>
          <w:tcPr>
            <w:tcW w:w="909"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p>
        </w:tc>
      </w:tr>
    </w:tbl>
    <w:p w:rsidR="00465ACB" w:rsidRPr="00CF48DD" w:rsidRDefault="00465ACB" w:rsidP="000A47C5">
      <w:pPr>
        <w:rPr>
          <w:sz w:val="20"/>
          <w:szCs w:val="20"/>
        </w:rPr>
      </w:pPr>
    </w:p>
    <w:p w:rsidR="00465ACB" w:rsidRDefault="00465ACB" w:rsidP="000A47C5">
      <w:pPr>
        <w:spacing w:after="160" w:line="259" w:lineRule="auto"/>
        <w:rPr>
          <w:sz w:val="20"/>
          <w:szCs w:val="20"/>
        </w:rPr>
      </w:pPr>
    </w:p>
    <w:p w:rsidR="00465ACB" w:rsidRPr="00CF48DD" w:rsidRDefault="00465ACB" w:rsidP="000A47C5">
      <w:pPr>
        <w:pStyle w:val="Tabletitle"/>
      </w:pPr>
      <w:r>
        <w:t>Table A3</w:t>
      </w:r>
      <w:r w:rsidRPr="00CF48DD">
        <w:t>. Estimates of Efficacy of EVT on Functional Outcomes</w:t>
      </w:r>
      <w:r>
        <w:t xml:space="preserve"> based on MR CLEAN trial </w:t>
      </w:r>
      <w:r w:rsidRPr="00CB5C94">
        <w:t>(Berkhemer et al., 2015)</w:t>
      </w:r>
    </w:p>
    <w:tbl>
      <w:tblPr>
        <w:tblStyle w:val="ListTable21"/>
        <w:tblW w:w="5001" w:type="pct"/>
        <w:tblLayout w:type="fixed"/>
        <w:tblLook w:val="06A0" w:firstRow="1" w:lastRow="0" w:firstColumn="1" w:lastColumn="0" w:noHBand="1" w:noVBand="1"/>
      </w:tblPr>
      <w:tblGrid>
        <w:gridCol w:w="1161"/>
        <w:gridCol w:w="2020"/>
        <w:gridCol w:w="2550"/>
        <w:gridCol w:w="1658"/>
        <w:gridCol w:w="1639"/>
      </w:tblGrid>
      <w:tr w:rsidR="00465ACB" w:rsidRPr="00CF48DD" w:rsidTr="000A47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tcPr>
          <w:p w:rsidR="00465ACB" w:rsidRPr="00CF48DD" w:rsidRDefault="00465ACB" w:rsidP="000A47C5">
            <w:pPr>
              <w:rPr>
                <w:b w:val="0"/>
                <w:sz w:val="20"/>
                <w:szCs w:val="20"/>
              </w:rPr>
            </w:pPr>
          </w:p>
        </w:tc>
        <w:tc>
          <w:tcPr>
            <w:tcW w:w="1119" w:type="pct"/>
          </w:tcPr>
          <w:p w:rsidR="00465ACB" w:rsidRPr="00CF48DD" w:rsidRDefault="00465ACB" w:rsidP="000A47C5">
            <w:pPr>
              <w:cnfStyle w:val="100000000000" w:firstRow="1" w:lastRow="0" w:firstColumn="0" w:lastColumn="0" w:oddVBand="0" w:evenVBand="0" w:oddHBand="0" w:evenHBand="0" w:firstRowFirstColumn="0" w:firstRowLastColumn="0" w:lastRowFirstColumn="0" w:lastRowLastColumn="0"/>
              <w:rPr>
                <w:b w:val="0"/>
                <w:sz w:val="20"/>
                <w:szCs w:val="20"/>
              </w:rPr>
            </w:pPr>
            <w:r w:rsidRPr="00CF48DD">
              <w:rPr>
                <w:b w:val="0"/>
                <w:sz w:val="20"/>
                <w:szCs w:val="20"/>
              </w:rPr>
              <w:t>MR CLEAN Control</w:t>
            </w:r>
          </w:p>
        </w:tc>
        <w:tc>
          <w:tcPr>
            <w:tcW w:w="1412" w:type="pct"/>
          </w:tcPr>
          <w:p w:rsidR="00465ACB" w:rsidRPr="00CF48DD" w:rsidRDefault="00465ACB" w:rsidP="000A47C5">
            <w:pPr>
              <w:cnfStyle w:val="100000000000" w:firstRow="1" w:lastRow="0" w:firstColumn="0" w:lastColumn="0" w:oddVBand="0" w:evenVBand="0" w:oddHBand="0" w:evenHBand="0" w:firstRowFirstColumn="0" w:firstRowLastColumn="0" w:lastRowFirstColumn="0" w:lastRowLastColumn="0"/>
              <w:rPr>
                <w:b w:val="0"/>
                <w:sz w:val="20"/>
                <w:szCs w:val="20"/>
              </w:rPr>
            </w:pPr>
            <w:r w:rsidRPr="00CF48DD">
              <w:rPr>
                <w:b w:val="0"/>
                <w:sz w:val="20"/>
                <w:szCs w:val="20"/>
              </w:rPr>
              <w:t>MR CLEAN Intervention</w:t>
            </w:r>
          </w:p>
        </w:tc>
        <w:tc>
          <w:tcPr>
            <w:tcW w:w="918" w:type="pct"/>
          </w:tcPr>
          <w:p w:rsidR="00465ACB" w:rsidRPr="00CF48DD" w:rsidRDefault="00465ACB" w:rsidP="000A47C5">
            <w:pPr>
              <w:cnfStyle w:val="100000000000" w:firstRow="1" w:lastRow="0" w:firstColumn="0" w:lastColumn="0" w:oddVBand="0" w:evenVBand="0" w:oddHBand="0" w:evenHBand="0" w:firstRowFirstColumn="0" w:firstRowLastColumn="0" w:lastRowFirstColumn="0" w:lastRowLastColumn="0"/>
              <w:rPr>
                <w:b w:val="0"/>
                <w:sz w:val="20"/>
                <w:szCs w:val="20"/>
              </w:rPr>
            </w:pPr>
            <w:r>
              <w:rPr>
                <w:b w:val="0"/>
                <w:sz w:val="20"/>
                <w:szCs w:val="20"/>
              </w:rPr>
              <w:t>Simulated disability distribution based on control group</w:t>
            </w:r>
          </w:p>
        </w:tc>
        <w:tc>
          <w:tcPr>
            <w:tcW w:w="908" w:type="pct"/>
          </w:tcPr>
          <w:p w:rsidR="00465ACB" w:rsidRPr="00CF48DD" w:rsidRDefault="00465ACB" w:rsidP="000A47C5">
            <w:pPr>
              <w:cnfStyle w:val="100000000000" w:firstRow="1" w:lastRow="0" w:firstColumn="0" w:lastColumn="0" w:oddVBand="0" w:evenVBand="0" w:oddHBand="0" w:evenHBand="0" w:firstRowFirstColumn="0" w:firstRowLastColumn="0" w:lastRowFirstColumn="0" w:lastRowLastColumn="0"/>
              <w:rPr>
                <w:b w:val="0"/>
                <w:sz w:val="20"/>
                <w:szCs w:val="20"/>
              </w:rPr>
            </w:pPr>
            <w:r w:rsidRPr="00CF48DD">
              <w:rPr>
                <w:b w:val="0"/>
                <w:sz w:val="20"/>
                <w:szCs w:val="20"/>
              </w:rPr>
              <w:t>Squared Error</w:t>
            </w:r>
          </w:p>
        </w:tc>
      </w:tr>
      <w:tr w:rsidR="00465ACB" w:rsidRPr="00CF48DD" w:rsidTr="000A47C5">
        <w:tc>
          <w:tcPr>
            <w:cnfStyle w:val="001000000000" w:firstRow="0" w:lastRow="0" w:firstColumn="1" w:lastColumn="0" w:oddVBand="0" w:evenVBand="0" w:oddHBand="0" w:evenHBand="0" w:firstRowFirstColumn="0" w:firstRowLastColumn="0" w:lastRowFirstColumn="0" w:lastRowLastColumn="0"/>
            <w:tcW w:w="643" w:type="pct"/>
          </w:tcPr>
          <w:p w:rsidR="00465ACB" w:rsidRPr="00CF48DD" w:rsidRDefault="00465ACB" w:rsidP="000A47C5">
            <w:pPr>
              <w:rPr>
                <w:b w:val="0"/>
                <w:sz w:val="20"/>
                <w:szCs w:val="20"/>
              </w:rPr>
            </w:pPr>
            <w:r w:rsidRPr="00CF48DD">
              <w:rPr>
                <w:b w:val="0"/>
                <w:sz w:val="20"/>
                <w:szCs w:val="20"/>
              </w:rPr>
              <w:t>mRS0-1</w:t>
            </w:r>
          </w:p>
        </w:tc>
        <w:tc>
          <w:tcPr>
            <w:tcW w:w="1119"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0.0779</w:t>
            </w:r>
          </w:p>
        </w:tc>
        <w:tc>
          <w:tcPr>
            <w:tcW w:w="1412"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0.1519</w:t>
            </w:r>
          </w:p>
        </w:tc>
        <w:tc>
          <w:tcPr>
            <w:tcW w:w="918"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0.1510</w:t>
            </w:r>
          </w:p>
        </w:tc>
        <w:tc>
          <w:tcPr>
            <w:tcW w:w="908"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bCs/>
                <w:kern w:val="24"/>
                <w:sz w:val="20"/>
                <w:szCs w:val="20"/>
              </w:rPr>
              <w:t>7.98×10</w:t>
            </w:r>
            <w:r w:rsidRPr="00CF48DD">
              <w:rPr>
                <w:bCs/>
                <w:kern w:val="24"/>
                <w:sz w:val="20"/>
                <w:szCs w:val="20"/>
                <w:vertAlign w:val="superscript"/>
              </w:rPr>
              <w:t>-07</w:t>
            </w:r>
          </w:p>
        </w:tc>
      </w:tr>
      <w:tr w:rsidR="00465ACB" w:rsidRPr="00CF48DD" w:rsidTr="000A47C5">
        <w:tc>
          <w:tcPr>
            <w:cnfStyle w:val="001000000000" w:firstRow="0" w:lastRow="0" w:firstColumn="1" w:lastColumn="0" w:oddVBand="0" w:evenVBand="0" w:oddHBand="0" w:evenHBand="0" w:firstRowFirstColumn="0" w:firstRowLastColumn="0" w:lastRowFirstColumn="0" w:lastRowLastColumn="0"/>
            <w:tcW w:w="643" w:type="pct"/>
          </w:tcPr>
          <w:p w:rsidR="00465ACB" w:rsidRPr="00CF48DD" w:rsidRDefault="00465ACB" w:rsidP="000A47C5">
            <w:pPr>
              <w:rPr>
                <w:b w:val="0"/>
                <w:sz w:val="20"/>
                <w:szCs w:val="20"/>
              </w:rPr>
            </w:pPr>
            <w:r w:rsidRPr="00CF48DD">
              <w:rPr>
                <w:b w:val="0"/>
                <w:sz w:val="20"/>
                <w:szCs w:val="20"/>
              </w:rPr>
              <w:t>mRS2-3</w:t>
            </w:r>
          </w:p>
        </w:tc>
        <w:tc>
          <w:tcPr>
            <w:tcW w:w="1119"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0.3745</w:t>
            </w:r>
          </w:p>
        </w:tc>
        <w:tc>
          <w:tcPr>
            <w:tcW w:w="1412"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0.4937</w:t>
            </w:r>
          </w:p>
        </w:tc>
        <w:tc>
          <w:tcPr>
            <w:tcW w:w="918"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0.4928</w:t>
            </w:r>
          </w:p>
        </w:tc>
        <w:tc>
          <w:tcPr>
            <w:tcW w:w="908"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bCs/>
                <w:kern w:val="24"/>
                <w:sz w:val="20"/>
                <w:szCs w:val="20"/>
              </w:rPr>
              <w:t>7.98×10</w:t>
            </w:r>
            <w:r w:rsidRPr="00CF48DD">
              <w:rPr>
                <w:bCs/>
                <w:kern w:val="24"/>
                <w:sz w:val="20"/>
                <w:szCs w:val="20"/>
                <w:vertAlign w:val="superscript"/>
              </w:rPr>
              <w:t>-07</w:t>
            </w:r>
          </w:p>
        </w:tc>
      </w:tr>
      <w:tr w:rsidR="00465ACB" w:rsidRPr="00CF48DD" w:rsidTr="000A47C5">
        <w:tc>
          <w:tcPr>
            <w:cnfStyle w:val="001000000000" w:firstRow="0" w:lastRow="0" w:firstColumn="1" w:lastColumn="0" w:oddVBand="0" w:evenVBand="0" w:oddHBand="0" w:evenHBand="0" w:firstRowFirstColumn="0" w:firstRowLastColumn="0" w:lastRowFirstColumn="0" w:lastRowLastColumn="0"/>
            <w:tcW w:w="643" w:type="pct"/>
          </w:tcPr>
          <w:p w:rsidR="00465ACB" w:rsidRPr="00CF48DD" w:rsidRDefault="00465ACB" w:rsidP="000A47C5">
            <w:pPr>
              <w:rPr>
                <w:b w:val="0"/>
                <w:sz w:val="20"/>
                <w:szCs w:val="20"/>
              </w:rPr>
            </w:pPr>
            <w:r w:rsidRPr="00CF48DD">
              <w:rPr>
                <w:b w:val="0"/>
                <w:sz w:val="20"/>
                <w:szCs w:val="20"/>
              </w:rPr>
              <w:t>mRS4</w:t>
            </w:r>
          </w:p>
        </w:tc>
        <w:tc>
          <w:tcPr>
            <w:tcW w:w="1119"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0.3896</w:t>
            </w:r>
          </w:p>
        </w:tc>
        <w:tc>
          <w:tcPr>
            <w:tcW w:w="1412"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0.2785</w:t>
            </w:r>
          </w:p>
        </w:tc>
        <w:tc>
          <w:tcPr>
            <w:tcW w:w="918"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0.2748</w:t>
            </w:r>
          </w:p>
        </w:tc>
        <w:tc>
          <w:tcPr>
            <w:tcW w:w="908"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bCs/>
                <w:kern w:val="24"/>
                <w:sz w:val="20"/>
                <w:szCs w:val="20"/>
              </w:rPr>
              <w:t>1.38×10</w:t>
            </w:r>
            <w:r w:rsidRPr="00CF48DD">
              <w:rPr>
                <w:bCs/>
                <w:kern w:val="24"/>
                <w:sz w:val="20"/>
                <w:szCs w:val="20"/>
                <w:vertAlign w:val="superscript"/>
              </w:rPr>
              <w:t>-05</w:t>
            </w:r>
          </w:p>
        </w:tc>
      </w:tr>
      <w:tr w:rsidR="00465ACB" w:rsidRPr="00CF48DD" w:rsidTr="000A47C5">
        <w:tc>
          <w:tcPr>
            <w:cnfStyle w:val="001000000000" w:firstRow="0" w:lastRow="0" w:firstColumn="1" w:lastColumn="0" w:oddVBand="0" w:evenVBand="0" w:oddHBand="0" w:evenHBand="0" w:firstRowFirstColumn="0" w:firstRowLastColumn="0" w:lastRowFirstColumn="0" w:lastRowLastColumn="0"/>
            <w:tcW w:w="643" w:type="pct"/>
          </w:tcPr>
          <w:p w:rsidR="00465ACB" w:rsidRPr="00CF48DD" w:rsidRDefault="00465ACB" w:rsidP="000A47C5">
            <w:pPr>
              <w:rPr>
                <w:b w:val="0"/>
                <w:sz w:val="20"/>
                <w:szCs w:val="20"/>
              </w:rPr>
            </w:pPr>
            <w:r w:rsidRPr="00CF48DD">
              <w:rPr>
                <w:b w:val="0"/>
                <w:sz w:val="20"/>
                <w:szCs w:val="20"/>
              </w:rPr>
              <w:t>mRS5</w:t>
            </w:r>
          </w:p>
        </w:tc>
        <w:tc>
          <w:tcPr>
            <w:tcW w:w="1119"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0.1558</w:t>
            </w:r>
          </w:p>
        </w:tc>
        <w:tc>
          <w:tcPr>
            <w:tcW w:w="1412"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0.0759</w:t>
            </w:r>
          </w:p>
        </w:tc>
        <w:tc>
          <w:tcPr>
            <w:tcW w:w="918"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0.0793</w:t>
            </w:r>
          </w:p>
        </w:tc>
        <w:tc>
          <w:tcPr>
            <w:tcW w:w="908"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bCs/>
                <w:kern w:val="24"/>
                <w:sz w:val="20"/>
                <w:szCs w:val="20"/>
              </w:rPr>
              <w:t>2.65×10</w:t>
            </w:r>
            <w:r w:rsidRPr="00CF48DD">
              <w:rPr>
                <w:bCs/>
                <w:kern w:val="24"/>
                <w:sz w:val="20"/>
                <w:szCs w:val="20"/>
                <w:vertAlign w:val="superscript"/>
              </w:rPr>
              <w:t>-05</w:t>
            </w:r>
          </w:p>
        </w:tc>
      </w:tr>
      <w:tr w:rsidR="00465ACB" w:rsidRPr="00CF48DD" w:rsidTr="000A47C5">
        <w:tc>
          <w:tcPr>
            <w:cnfStyle w:val="001000000000" w:firstRow="0" w:lastRow="0" w:firstColumn="1" w:lastColumn="0" w:oddVBand="0" w:evenVBand="0" w:oddHBand="0" w:evenHBand="0" w:firstRowFirstColumn="0" w:firstRowLastColumn="0" w:lastRowFirstColumn="0" w:lastRowLastColumn="0"/>
            <w:tcW w:w="3174" w:type="pct"/>
            <w:gridSpan w:val="3"/>
          </w:tcPr>
          <w:p w:rsidR="00465ACB" w:rsidRPr="00CF48DD" w:rsidRDefault="00465ACB" w:rsidP="000A47C5">
            <w:pPr>
              <w:rPr>
                <w:b w:val="0"/>
                <w:sz w:val="20"/>
                <w:szCs w:val="20"/>
              </w:rPr>
            </w:pPr>
            <w:r w:rsidRPr="00CF48DD">
              <w:rPr>
                <w:b w:val="0"/>
                <w:sz w:val="20"/>
                <w:szCs w:val="20"/>
              </w:rPr>
              <w:t xml:space="preserve">Efficacy for mRS4 and mRS5 </w:t>
            </w:r>
          </w:p>
        </w:tc>
        <w:tc>
          <w:tcPr>
            <w:tcW w:w="918"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0.4913</w:t>
            </w:r>
          </w:p>
        </w:tc>
        <w:tc>
          <w:tcPr>
            <w:tcW w:w="908"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p>
        </w:tc>
      </w:tr>
      <w:tr w:rsidR="00465ACB" w:rsidRPr="00CF48DD" w:rsidTr="000A47C5">
        <w:tc>
          <w:tcPr>
            <w:cnfStyle w:val="001000000000" w:firstRow="0" w:lastRow="0" w:firstColumn="1" w:lastColumn="0" w:oddVBand="0" w:evenVBand="0" w:oddHBand="0" w:evenHBand="0" w:firstRowFirstColumn="0" w:firstRowLastColumn="0" w:lastRowFirstColumn="0" w:lastRowLastColumn="0"/>
            <w:tcW w:w="3174" w:type="pct"/>
            <w:gridSpan w:val="3"/>
          </w:tcPr>
          <w:p w:rsidR="00465ACB" w:rsidRPr="00CF48DD" w:rsidRDefault="00465ACB" w:rsidP="000A47C5">
            <w:pPr>
              <w:rPr>
                <w:b w:val="0"/>
                <w:sz w:val="20"/>
                <w:szCs w:val="20"/>
              </w:rPr>
            </w:pPr>
            <w:r w:rsidRPr="00CF48DD">
              <w:rPr>
                <w:b w:val="0"/>
                <w:sz w:val="20"/>
                <w:szCs w:val="20"/>
              </w:rPr>
              <w:t>Efficacy for mRS2-3</w:t>
            </w:r>
          </w:p>
        </w:tc>
        <w:tc>
          <w:tcPr>
            <w:tcW w:w="918"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0.1952</w:t>
            </w:r>
          </w:p>
        </w:tc>
        <w:tc>
          <w:tcPr>
            <w:tcW w:w="908"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p>
        </w:tc>
      </w:tr>
    </w:tbl>
    <w:p w:rsidR="00465ACB" w:rsidRPr="00CF48DD" w:rsidRDefault="00465ACB" w:rsidP="000A47C5">
      <w:pPr>
        <w:rPr>
          <w:sz w:val="20"/>
          <w:szCs w:val="20"/>
        </w:rPr>
      </w:pPr>
    </w:p>
    <w:p w:rsidR="00465ACB" w:rsidRDefault="00465ACB" w:rsidP="000A47C5">
      <w:pPr>
        <w:spacing w:after="160" w:line="259" w:lineRule="auto"/>
        <w:rPr>
          <w:sz w:val="20"/>
          <w:szCs w:val="20"/>
        </w:rPr>
      </w:pPr>
    </w:p>
    <w:p w:rsidR="00465ACB" w:rsidRPr="00CF48DD" w:rsidRDefault="00465ACB" w:rsidP="000A47C5">
      <w:pPr>
        <w:pStyle w:val="Tabletitle"/>
      </w:pPr>
      <w:r>
        <w:t>Table A4</w:t>
      </w:r>
      <w:r w:rsidRPr="00CF48DD">
        <w:t>. Estimates of Efficacy of Rehabilitation on Functional Outcomes</w:t>
      </w:r>
      <w:r>
        <w:t xml:space="preserve"> based on S3 study </w:t>
      </w:r>
      <w:r>
        <w:rPr>
          <w:noProof/>
        </w:rPr>
        <w:t>(Koh, et al., 2014b)</w:t>
      </w:r>
    </w:p>
    <w:tbl>
      <w:tblPr>
        <w:tblStyle w:val="ListTable21"/>
        <w:tblW w:w="5000" w:type="pct"/>
        <w:tblLook w:val="06A0" w:firstRow="1" w:lastRow="0" w:firstColumn="1" w:lastColumn="0" w:noHBand="1" w:noVBand="1"/>
      </w:tblPr>
      <w:tblGrid>
        <w:gridCol w:w="1161"/>
        <w:gridCol w:w="1841"/>
        <w:gridCol w:w="2466"/>
        <w:gridCol w:w="1919"/>
        <w:gridCol w:w="1639"/>
      </w:tblGrid>
      <w:tr w:rsidR="00465ACB" w:rsidRPr="00CF48DD" w:rsidTr="000A47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tcPr>
          <w:p w:rsidR="00465ACB" w:rsidRPr="00CF48DD" w:rsidRDefault="00465ACB" w:rsidP="000A47C5">
            <w:pPr>
              <w:rPr>
                <w:b w:val="0"/>
                <w:sz w:val="20"/>
                <w:szCs w:val="20"/>
              </w:rPr>
            </w:pPr>
          </w:p>
        </w:tc>
        <w:tc>
          <w:tcPr>
            <w:tcW w:w="1020" w:type="pct"/>
          </w:tcPr>
          <w:p w:rsidR="00465ACB" w:rsidRPr="00CF48DD" w:rsidRDefault="00465ACB" w:rsidP="000A47C5">
            <w:pPr>
              <w:cnfStyle w:val="100000000000" w:firstRow="1" w:lastRow="0" w:firstColumn="0" w:lastColumn="0" w:oddVBand="0" w:evenVBand="0" w:oddHBand="0" w:evenHBand="0" w:firstRowFirstColumn="0" w:firstRowLastColumn="0" w:lastRowFirstColumn="0" w:lastRowLastColumn="0"/>
              <w:rPr>
                <w:b w:val="0"/>
                <w:sz w:val="20"/>
                <w:szCs w:val="20"/>
              </w:rPr>
            </w:pPr>
            <w:r w:rsidRPr="00CF48DD">
              <w:rPr>
                <w:b w:val="0"/>
                <w:sz w:val="20"/>
                <w:szCs w:val="20"/>
              </w:rPr>
              <w:t>S3 Control</w:t>
            </w:r>
          </w:p>
        </w:tc>
        <w:tc>
          <w:tcPr>
            <w:tcW w:w="1366" w:type="pct"/>
          </w:tcPr>
          <w:p w:rsidR="00465ACB" w:rsidRPr="00CF48DD" w:rsidRDefault="00465ACB" w:rsidP="000A47C5">
            <w:pPr>
              <w:cnfStyle w:val="100000000000" w:firstRow="1" w:lastRow="0" w:firstColumn="0" w:lastColumn="0" w:oddVBand="0" w:evenVBand="0" w:oddHBand="0" w:evenHBand="0" w:firstRowFirstColumn="0" w:firstRowLastColumn="0" w:lastRowFirstColumn="0" w:lastRowLastColumn="0"/>
              <w:rPr>
                <w:b w:val="0"/>
                <w:sz w:val="20"/>
                <w:szCs w:val="20"/>
              </w:rPr>
            </w:pPr>
            <w:r w:rsidRPr="00CF48DD">
              <w:rPr>
                <w:b w:val="0"/>
                <w:sz w:val="20"/>
                <w:szCs w:val="20"/>
              </w:rPr>
              <w:t>S3 Intervention</w:t>
            </w:r>
          </w:p>
        </w:tc>
        <w:tc>
          <w:tcPr>
            <w:tcW w:w="1063" w:type="pct"/>
          </w:tcPr>
          <w:p w:rsidR="00465ACB" w:rsidRPr="00CF48DD" w:rsidRDefault="00465ACB" w:rsidP="000A47C5">
            <w:pPr>
              <w:cnfStyle w:val="100000000000" w:firstRow="1" w:lastRow="0" w:firstColumn="0" w:lastColumn="0" w:oddVBand="0" w:evenVBand="0" w:oddHBand="0" w:evenHBand="0" w:firstRowFirstColumn="0" w:firstRowLastColumn="0" w:lastRowFirstColumn="0" w:lastRowLastColumn="0"/>
              <w:rPr>
                <w:b w:val="0"/>
                <w:sz w:val="20"/>
                <w:szCs w:val="20"/>
              </w:rPr>
            </w:pPr>
            <w:r>
              <w:rPr>
                <w:b w:val="0"/>
                <w:sz w:val="20"/>
                <w:szCs w:val="20"/>
              </w:rPr>
              <w:t>Simulated disability distribution based on control group</w:t>
            </w:r>
          </w:p>
        </w:tc>
        <w:tc>
          <w:tcPr>
            <w:tcW w:w="908" w:type="pct"/>
          </w:tcPr>
          <w:p w:rsidR="00465ACB" w:rsidRPr="00CF48DD" w:rsidRDefault="00465ACB" w:rsidP="000A47C5">
            <w:pPr>
              <w:cnfStyle w:val="100000000000" w:firstRow="1" w:lastRow="0" w:firstColumn="0" w:lastColumn="0" w:oddVBand="0" w:evenVBand="0" w:oddHBand="0" w:evenHBand="0" w:firstRowFirstColumn="0" w:firstRowLastColumn="0" w:lastRowFirstColumn="0" w:lastRowLastColumn="0"/>
              <w:rPr>
                <w:b w:val="0"/>
                <w:sz w:val="20"/>
                <w:szCs w:val="20"/>
              </w:rPr>
            </w:pPr>
            <w:r w:rsidRPr="00CF48DD">
              <w:rPr>
                <w:b w:val="0"/>
                <w:sz w:val="20"/>
                <w:szCs w:val="20"/>
              </w:rPr>
              <w:t>Squared Error</w:t>
            </w:r>
          </w:p>
        </w:tc>
      </w:tr>
      <w:tr w:rsidR="00465ACB" w:rsidRPr="00CF48DD" w:rsidTr="000A47C5">
        <w:tc>
          <w:tcPr>
            <w:cnfStyle w:val="001000000000" w:firstRow="0" w:lastRow="0" w:firstColumn="1" w:lastColumn="0" w:oddVBand="0" w:evenVBand="0" w:oddHBand="0" w:evenHBand="0" w:firstRowFirstColumn="0" w:firstRowLastColumn="0" w:lastRowFirstColumn="0" w:lastRowLastColumn="0"/>
            <w:tcW w:w="643" w:type="pct"/>
          </w:tcPr>
          <w:p w:rsidR="00465ACB" w:rsidRPr="00CF48DD" w:rsidRDefault="00465ACB" w:rsidP="000A47C5">
            <w:pPr>
              <w:rPr>
                <w:b w:val="0"/>
                <w:sz w:val="20"/>
                <w:szCs w:val="20"/>
              </w:rPr>
            </w:pPr>
            <w:r w:rsidRPr="00CF48DD">
              <w:rPr>
                <w:b w:val="0"/>
                <w:sz w:val="20"/>
                <w:szCs w:val="20"/>
              </w:rPr>
              <w:lastRenderedPageBreak/>
              <w:t>mRS0-1</w:t>
            </w:r>
          </w:p>
        </w:tc>
        <w:tc>
          <w:tcPr>
            <w:tcW w:w="1020"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0.41</w:t>
            </w:r>
          </w:p>
        </w:tc>
        <w:tc>
          <w:tcPr>
            <w:tcW w:w="1366"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0.51</w:t>
            </w:r>
          </w:p>
        </w:tc>
        <w:tc>
          <w:tcPr>
            <w:tcW w:w="1063"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0.5125</w:t>
            </w:r>
          </w:p>
        </w:tc>
        <w:tc>
          <w:tcPr>
            <w:tcW w:w="908"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bCs/>
                <w:kern w:val="24"/>
                <w:sz w:val="20"/>
                <w:szCs w:val="20"/>
              </w:rPr>
              <w:t>6.25×10</w:t>
            </w:r>
            <w:r w:rsidRPr="00CF48DD">
              <w:rPr>
                <w:bCs/>
                <w:kern w:val="24"/>
                <w:sz w:val="20"/>
                <w:szCs w:val="20"/>
                <w:vertAlign w:val="superscript"/>
              </w:rPr>
              <w:t>-06</w:t>
            </w:r>
          </w:p>
        </w:tc>
      </w:tr>
      <w:tr w:rsidR="00465ACB" w:rsidRPr="00CF48DD" w:rsidTr="000A47C5">
        <w:tc>
          <w:tcPr>
            <w:cnfStyle w:val="001000000000" w:firstRow="0" w:lastRow="0" w:firstColumn="1" w:lastColumn="0" w:oddVBand="0" w:evenVBand="0" w:oddHBand="0" w:evenHBand="0" w:firstRowFirstColumn="0" w:firstRowLastColumn="0" w:lastRowFirstColumn="0" w:lastRowLastColumn="0"/>
            <w:tcW w:w="643" w:type="pct"/>
          </w:tcPr>
          <w:p w:rsidR="00465ACB" w:rsidRPr="00CF48DD" w:rsidRDefault="00465ACB" w:rsidP="000A47C5">
            <w:pPr>
              <w:rPr>
                <w:b w:val="0"/>
                <w:sz w:val="20"/>
                <w:szCs w:val="20"/>
              </w:rPr>
            </w:pPr>
            <w:r w:rsidRPr="00CF48DD">
              <w:rPr>
                <w:b w:val="0"/>
                <w:sz w:val="20"/>
                <w:szCs w:val="20"/>
              </w:rPr>
              <w:t>mRS2-3</w:t>
            </w:r>
          </w:p>
        </w:tc>
        <w:tc>
          <w:tcPr>
            <w:tcW w:w="1020"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0.35</w:t>
            </w:r>
          </w:p>
        </w:tc>
        <w:tc>
          <w:tcPr>
            <w:tcW w:w="1366"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0.29</w:t>
            </w:r>
          </w:p>
        </w:tc>
        <w:tc>
          <w:tcPr>
            <w:tcW w:w="1063"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0.2959</w:t>
            </w:r>
          </w:p>
        </w:tc>
        <w:tc>
          <w:tcPr>
            <w:tcW w:w="908"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bCs/>
                <w:kern w:val="24"/>
                <w:sz w:val="20"/>
                <w:szCs w:val="20"/>
              </w:rPr>
              <w:t>3.53×10</w:t>
            </w:r>
            <w:r w:rsidRPr="00CF48DD">
              <w:rPr>
                <w:bCs/>
                <w:kern w:val="24"/>
                <w:sz w:val="20"/>
                <w:szCs w:val="20"/>
                <w:vertAlign w:val="superscript"/>
              </w:rPr>
              <w:t>-05</w:t>
            </w:r>
          </w:p>
        </w:tc>
      </w:tr>
      <w:tr w:rsidR="00465ACB" w:rsidRPr="00CF48DD" w:rsidTr="000A47C5">
        <w:tc>
          <w:tcPr>
            <w:cnfStyle w:val="001000000000" w:firstRow="0" w:lastRow="0" w:firstColumn="1" w:lastColumn="0" w:oddVBand="0" w:evenVBand="0" w:oddHBand="0" w:evenHBand="0" w:firstRowFirstColumn="0" w:firstRowLastColumn="0" w:lastRowFirstColumn="0" w:lastRowLastColumn="0"/>
            <w:tcW w:w="643" w:type="pct"/>
          </w:tcPr>
          <w:p w:rsidR="00465ACB" w:rsidRPr="00CF48DD" w:rsidRDefault="00465ACB" w:rsidP="000A47C5">
            <w:pPr>
              <w:rPr>
                <w:b w:val="0"/>
                <w:sz w:val="20"/>
                <w:szCs w:val="20"/>
              </w:rPr>
            </w:pPr>
            <w:r w:rsidRPr="00CF48DD">
              <w:rPr>
                <w:b w:val="0"/>
                <w:sz w:val="20"/>
                <w:szCs w:val="20"/>
              </w:rPr>
              <w:t>mRS4</w:t>
            </w:r>
          </w:p>
        </w:tc>
        <w:tc>
          <w:tcPr>
            <w:tcW w:w="1020"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0.19</w:t>
            </w:r>
          </w:p>
        </w:tc>
        <w:tc>
          <w:tcPr>
            <w:tcW w:w="1366"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0.15</w:t>
            </w:r>
          </w:p>
        </w:tc>
        <w:tc>
          <w:tcPr>
            <w:tcW w:w="1063"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0.1503</w:t>
            </w:r>
          </w:p>
        </w:tc>
        <w:tc>
          <w:tcPr>
            <w:tcW w:w="908"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bCs/>
                <w:kern w:val="24"/>
                <w:sz w:val="20"/>
                <w:szCs w:val="20"/>
              </w:rPr>
              <w:t>8.31×10</w:t>
            </w:r>
            <w:r w:rsidRPr="00CF48DD">
              <w:rPr>
                <w:bCs/>
                <w:kern w:val="24"/>
                <w:sz w:val="20"/>
                <w:szCs w:val="20"/>
                <w:vertAlign w:val="superscript"/>
              </w:rPr>
              <w:t>-08</w:t>
            </w:r>
          </w:p>
        </w:tc>
      </w:tr>
      <w:tr w:rsidR="00465ACB" w:rsidRPr="00CF48DD" w:rsidTr="000A47C5">
        <w:tc>
          <w:tcPr>
            <w:cnfStyle w:val="001000000000" w:firstRow="0" w:lastRow="0" w:firstColumn="1" w:lastColumn="0" w:oddVBand="0" w:evenVBand="0" w:oddHBand="0" w:evenHBand="0" w:firstRowFirstColumn="0" w:firstRowLastColumn="0" w:lastRowFirstColumn="0" w:lastRowLastColumn="0"/>
            <w:tcW w:w="643" w:type="pct"/>
          </w:tcPr>
          <w:p w:rsidR="00465ACB" w:rsidRPr="00CF48DD" w:rsidRDefault="00465ACB" w:rsidP="000A47C5">
            <w:pPr>
              <w:rPr>
                <w:b w:val="0"/>
                <w:sz w:val="20"/>
                <w:szCs w:val="20"/>
              </w:rPr>
            </w:pPr>
            <w:r w:rsidRPr="00CF48DD">
              <w:rPr>
                <w:b w:val="0"/>
                <w:sz w:val="20"/>
                <w:szCs w:val="20"/>
              </w:rPr>
              <w:t>mRS5</w:t>
            </w:r>
          </w:p>
        </w:tc>
        <w:tc>
          <w:tcPr>
            <w:tcW w:w="1020"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0.04</w:t>
            </w:r>
          </w:p>
        </w:tc>
        <w:tc>
          <w:tcPr>
            <w:tcW w:w="1366"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0.04</w:t>
            </w:r>
          </w:p>
        </w:tc>
        <w:tc>
          <w:tcPr>
            <w:tcW w:w="1063"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0.0313</w:t>
            </w:r>
          </w:p>
        </w:tc>
        <w:tc>
          <w:tcPr>
            <w:tcW w:w="908"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bCs/>
                <w:kern w:val="24"/>
                <w:sz w:val="20"/>
                <w:szCs w:val="20"/>
              </w:rPr>
              <w:t>7.62×10</w:t>
            </w:r>
            <w:r w:rsidRPr="00CF48DD">
              <w:rPr>
                <w:bCs/>
                <w:kern w:val="24"/>
                <w:sz w:val="20"/>
                <w:szCs w:val="20"/>
                <w:vertAlign w:val="superscript"/>
              </w:rPr>
              <w:t>-05</w:t>
            </w:r>
          </w:p>
        </w:tc>
      </w:tr>
      <w:tr w:rsidR="00465ACB" w:rsidRPr="00CF48DD" w:rsidTr="000A47C5">
        <w:tc>
          <w:tcPr>
            <w:cnfStyle w:val="001000000000" w:firstRow="0" w:lastRow="0" w:firstColumn="1" w:lastColumn="0" w:oddVBand="0" w:evenVBand="0" w:oddHBand="0" w:evenHBand="0" w:firstRowFirstColumn="0" w:firstRowLastColumn="0" w:lastRowFirstColumn="0" w:lastRowLastColumn="0"/>
            <w:tcW w:w="3029" w:type="pct"/>
            <w:gridSpan w:val="3"/>
          </w:tcPr>
          <w:p w:rsidR="00465ACB" w:rsidRPr="00CF48DD" w:rsidRDefault="00465ACB" w:rsidP="000A47C5">
            <w:pPr>
              <w:rPr>
                <w:b w:val="0"/>
                <w:sz w:val="20"/>
                <w:szCs w:val="20"/>
              </w:rPr>
            </w:pPr>
            <w:r w:rsidRPr="00CF48DD">
              <w:rPr>
                <w:b w:val="0"/>
                <w:sz w:val="20"/>
                <w:szCs w:val="20"/>
              </w:rPr>
              <w:t>Efficacy</w:t>
            </w:r>
          </w:p>
        </w:tc>
        <w:tc>
          <w:tcPr>
            <w:tcW w:w="1063"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0.2182</w:t>
            </w:r>
          </w:p>
        </w:tc>
        <w:tc>
          <w:tcPr>
            <w:tcW w:w="908" w:type="pct"/>
          </w:tcPr>
          <w:p w:rsidR="00465ACB" w:rsidRPr="00CF48DD" w:rsidRDefault="00465ACB" w:rsidP="000A47C5">
            <w:pPr>
              <w:cnfStyle w:val="000000000000" w:firstRow="0" w:lastRow="0" w:firstColumn="0" w:lastColumn="0" w:oddVBand="0" w:evenVBand="0" w:oddHBand="0" w:evenHBand="0" w:firstRowFirstColumn="0" w:firstRowLastColumn="0" w:lastRowFirstColumn="0" w:lastRowLastColumn="0"/>
              <w:rPr>
                <w:sz w:val="20"/>
                <w:szCs w:val="20"/>
              </w:rPr>
            </w:pPr>
          </w:p>
        </w:tc>
      </w:tr>
    </w:tbl>
    <w:p w:rsidR="00465ACB" w:rsidRPr="00CF48DD" w:rsidRDefault="00465ACB" w:rsidP="000A47C5">
      <w:pPr>
        <w:rPr>
          <w:sz w:val="20"/>
          <w:szCs w:val="20"/>
        </w:rPr>
      </w:pPr>
    </w:p>
    <w:p w:rsidR="0022421D" w:rsidRDefault="00465ACB">
      <w:pPr>
        <w:spacing w:after="160" w:line="259" w:lineRule="auto"/>
      </w:pPr>
      <w:r>
        <w:br w:type="page"/>
      </w:r>
    </w:p>
    <w:p w:rsidR="0022421D" w:rsidRDefault="0022421D" w:rsidP="000E1AB2">
      <w:pPr>
        <w:pStyle w:val="Heading1"/>
        <w:numPr>
          <w:ilvl w:val="0"/>
          <w:numId w:val="32"/>
        </w:numPr>
      </w:pPr>
      <w:r>
        <w:lastRenderedPageBreak/>
        <w:t>Sensitivity Analysis</w:t>
      </w:r>
    </w:p>
    <w:p w:rsidR="0022421D" w:rsidRPr="00CF48DD" w:rsidRDefault="0022421D" w:rsidP="0022421D">
      <w:pPr>
        <w:rPr>
          <w:sz w:val="20"/>
          <w:szCs w:val="20"/>
        </w:rPr>
      </w:pPr>
      <w:bookmarkStart w:id="2" w:name="_Toc454869403"/>
      <w:r>
        <w:rPr>
          <w:sz w:val="20"/>
          <w:szCs w:val="20"/>
        </w:rPr>
        <w:t>Table B1</w:t>
      </w:r>
      <w:r w:rsidRPr="00CF48DD">
        <w:rPr>
          <w:sz w:val="20"/>
          <w:szCs w:val="20"/>
        </w:rPr>
        <w:t>. One-way Sensitivity Analysis Results (Mean and 95% Uncertainty Bounds): Economic Analysis in 2030</w:t>
      </w:r>
      <w:bookmarkEnd w:id="2"/>
      <w:r w:rsidRPr="00CF48DD">
        <w:rPr>
          <w:sz w:val="20"/>
          <w:szCs w:val="20"/>
        </w:rPr>
        <w:t xml:space="preserve"> (Intervention Scenario: Everything Combined in 2030)</w:t>
      </w:r>
    </w:p>
    <w:tbl>
      <w:tblPr>
        <w:tblStyle w:val="PlainTable2"/>
        <w:tblW w:w="5000" w:type="pct"/>
        <w:tblLayout w:type="fixed"/>
        <w:tblLook w:val="04A0" w:firstRow="1" w:lastRow="0" w:firstColumn="1" w:lastColumn="0" w:noHBand="0" w:noVBand="1"/>
      </w:tblPr>
      <w:tblGrid>
        <w:gridCol w:w="2143"/>
        <w:gridCol w:w="1805"/>
        <w:gridCol w:w="1186"/>
        <w:gridCol w:w="2033"/>
        <w:gridCol w:w="1859"/>
      </w:tblGrid>
      <w:tr w:rsidR="0022421D" w:rsidRPr="00CF48DD" w:rsidTr="008713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pct"/>
          </w:tcPr>
          <w:p w:rsidR="0022421D" w:rsidRPr="00CF48DD" w:rsidRDefault="0022421D" w:rsidP="00871370">
            <w:pPr>
              <w:rPr>
                <w:b w:val="0"/>
                <w:sz w:val="20"/>
                <w:szCs w:val="20"/>
              </w:rPr>
            </w:pPr>
          </w:p>
          <w:p w:rsidR="0022421D" w:rsidRPr="00CF48DD" w:rsidRDefault="0022421D" w:rsidP="00871370">
            <w:pPr>
              <w:rPr>
                <w:b w:val="0"/>
                <w:sz w:val="20"/>
                <w:szCs w:val="20"/>
              </w:rPr>
            </w:pPr>
          </w:p>
        </w:tc>
        <w:tc>
          <w:tcPr>
            <w:tcW w:w="1000" w:type="pct"/>
          </w:tcPr>
          <w:p w:rsidR="0022421D" w:rsidRPr="00CF48DD" w:rsidRDefault="0022421D" w:rsidP="00871370">
            <w:pPr>
              <w:cnfStyle w:val="100000000000" w:firstRow="1" w:lastRow="0" w:firstColumn="0" w:lastColumn="0" w:oddVBand="0" w:evenVBand="0" w:oddHBand="0" w:evenHBand="0" w:firstRowFirstColumn="0" w:firstRowLastColumn="0" w:lastRowFirstColumn="0" w:lastRowLastColumn="0"/>
              <w:rPr>
                <w:b w:val="0"/>
                <w:sz w:val="20"/>
                <w:szCs w:val="20"/>
              </w:rPr>
            </w:pPr>
            <w:r w:rsidRPr="00CF48DD">
              <w:rPr>
                <w:b w:val="0"/>
                <w:sz w:val="20"/>
                <w:szCs w:val="20"/>
              </w:rPr>
              <w:t>Cumulative Discounted Costs</w:t>
            </w:r>
          </w:p>
        </w:tc>
        <w:tc>
          <w:tcPr>
            <w:tcW w:w="657" w:type="pct"/>
          </w:tcPr>
          <w:p w:rsidR="0022421D" w:rsidRPr="00CF48DD" w:rsidRDefault="0022421D" w:rsidP="00871370">
            <w:pPr>
              <w:cnfStyle w:val="100000000000" w:firstRow="1" w:lastRow="0" w:firstColumn="0" w:lastColumn="0" w:oddVBand="0" w:evenVBand="0" w:oddHBand="0" w:evenHBand="0" w:firstRowFirstColumn="0" w:firstRowLastColumn="0" w:lastRowFirstColumn="0" w:lastRowLastColumn="0"/>
              <w:rPr>
                <w:b w:val="0"/>
                <w:sz w:val="20"/>
                <w:szCs w:val="20"/>
              </w:rPr>
            </w:pPr>
            <w:r w:rsidRPr="00CF48DD">
              <w:rPr>
                <w:b w:val="0"/>
                <w:sz w:val="20"/>
                <w:szCs w:val="20"/>
              </w:rPr>
              <w:t>Cumulative Discounted QALYs</w:t>
            </w:r>
          </w:p>
        </w:tc>
        <w:tc>
          <w:tcPr>
            <w:tcW w:w="1126" w:type="pct"/>
          </w:tcPr>
          <w:p w:rsidR="0022421D" w:rsidRPr="00CF48DD" w:rsidRDefault="0022421D" w:rsidP="00871370">
            <w:pPr>
              <w:cnfStyle w:val="100000000000" w:firstRow="1" w:lastRow="0" w:firstColumn="0" w:lastColumn="0" w:oddVBand="0" w:evenVBand="0" w:oddHBand="0" w:evenHBand="0" w:firstRowFirstColumn="0" w:firstRowLastColumn="0" w:lastRowFirstColumn="0" w:lastRowLastColumn="0"/>
              <w:rPr>
                <w:b w:val="0"/>
                <w:sz w:val="20"/>
                <w:szCs w:val="20"/>
              </w:rPr>
            </w:pPr>
            <w:r w:rsidRPr="00CF48DD">
              <w:rPr>
                <w:b w:val="0"/>
                <w:sz w:val="20"/>
                <w:szCs w:val="20"/>
              </w:rPr>
              <w:t>Difference in Cumulative Costs: Status Quo vs. Model Scenario</w:t>
            </w:r>
          </w:p>
        </w:tc>
        <w:tc>
          <w:tcPr>
            <w:tcW w:w="1030" w:type="pct"/>
          </w:tcPr>
          <w:p w:rsidR="0022421D" w:rsidRPr="00CF48DD" w:rsidRDefault="0022421D" w:rsidP="00871370">
            <w:pPr>
              <w:cnfStyle w:val="100000000000" w:firstRow="1" w:lastRow="0" w:firstColumn="0" w:lastColumn="0" w:oddVBand="0" w:evenVBand="0" w:oddHBand="0" w:evenHBand="0" w:firstRowFirstColumn="0" w:firstRowLastColumn="0" w:lastRowFirstColumn="0" w:lastRowLastColumn="0"/>
              <w:rPr>
                <w:b w:val="0"/>
                <w:sz w:val="20"/>
                <w:szCs w:val="20"/>
              </w:rPr>
            </w:pPr>
            <w:r w:rsidRPr="00CF48DD">
              <w:rPr>
                <w:b w:val="0"/>
                <w:sz w:val="20"/>
                <w:szCs w:val="20"/>
              </w:rPr>
              <w:t>Net Monetary Benefit</w:t>
            </w:r>
          </w:p>
        </w:tc>
      </w:tr>
      <w:tr w:rsidR="0022421D" w:rsidRPr="00CF48DD" w:rsidTr="008713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pct"/>
          </w:tcPr>
          <w:p w:rsidR="0022421D" w:rsidRPr="00CF48DD" w:rsidRDefault="0022421D" w:rsidP="00871370">
            <w:pPr>
              <w:rPr>
                <w:b w:val="0"/>
                <w:sz w:val="20"/>
                <w:szCs w:val="20"/>
              </w:rPr>
            </w:pPr>
            <w:r w:rsidRPr="00CF48DD">
              <w:rPr>
                <w:b w:val="0"/>
                <w:sz w:val="20"/>
                <w:szCs w:val="20"/>
              </w:rPr>
              <w:t>Relative risk reduction in mortality due to ASU</w:t>
            </w:r>
          </w:p>
        </w:tc>
        <w:tc>
          <w:tcPr>
            <w:tcW w:w="1000" w:type="pct"/>
          </w:tcPr>
          <w:p w:rsidR="0022421D" w:rsidRPr="00CF48DD" w:rsidRDefault="0022421D" w:rsidP="00871370">
            <w:pPr>
              <w:cnfStyle w:val="000000100000" w:firstRow="0" w:lastRow="0" w:firstColumn="0" w:lastColumn="0" w:oddVBand="0" w:evenVBand="0" w:oddHBand="1" w:evenHBand="0" w:firstRowFirstColumn="0" w:firstRowLastColumn="0" w:lastRowFirstColumn="0" w:lastRowLastColumn="0"/>
              <w:rPr>
                <w:sz w:val="20"/>
                <w:szCs w:val="20"/>
              </w:rPr>
            </w:pPr>
            <w:r w:rsidRPr="00CF48DD">
              <w:rPr>
                <w:sz w:val="20"/>
                <w:szCs w:val="20"/>
              </w:rPr>
              <w:t>7,431,980,420±7,912</w:t>
            </w:r>
          </w:p>
        </w:tc>
        <w:tc>
          <w:tcPr>
            <w:tcW w:w="657" w:type="pct"/>
          </w:tcPr>
          <w:p w:rsidR="0022421D" w:rsidRPr="00CF48DD" w:rsidRDefault="0022421D" w:rsidP="00871370">
            <w:pPr>
              <w:cnfStyle w:val="000000100000" w:firstRow="0" w:lastRow="0" w:firstColumn="0" w:lastColumn="0" w:oddVBand="0" w:evenVBand="0" w:oddHBand="1" w:evenHBand="0" w:firstRowFirstColumn="0" w:firstRowLastColumn="0" w:lastRowFirstColumn="0" w:lastRowLastColumn="0"/>
              <w:rPr>
                <w:sz w:val="20"/>
                <w:szCs w:val="20"/>
              </w:rPr>
            </w:pPr>
            <w:r w:rsidRPr="00CF48DD">
              <w:rPr>
                <w:sz w:val="20"/>
                <w:szCs w:val="20"/>
              </w:rPr>
              <w:t>557,073±5</w:t>
            </w:r>
          </w:p>
        </w:tc>
        <w:tc>
          <w:tcPr>
            <w:tcW w:w="1126" w:type="pct"/>
          </w:tcPr>
          <w:p w:rsidR="0022421D" w:rsidRPr="00CF48DD" w:rsidRDefault="0022421D" w:rsidP="00871370">
            <w:pPr>
              <w:cnfStyle w:val="000000100000" w:firstRow="0" w:lastRow="0" w:firstColumn="0" w:lastColumn="0" w:oddVBand="0" w:evenVBand="0" w:oddHBand="1" w:evenHBand="0" w:firstRowFirstColumn="0" w:firstRowLastColumn="0" w:lastRowFirstColumn="0" w:lastRowLastColumn="0"/>
              <w:rPr>
                <w:sz w:val="20"/>
                <w:szCs w:val="20"/>
              </w:rPr>
            </w:pPr>
            <w:r w:rsidRPr="00CF48DD">
              <w:rPr>
                <w:sz w:val="20"/>
                <w:szCs w:val="20"/>
              </w:rPr>
              <w:t>335,618,820±4,352</w:t>
            </w:r>
          </w:p>
        </w:tc>
        <w:tc>
          <w:tcPr>
            <w:tcW w:w="1030" w:type="pct"/>
          </w:tcPr>
          <w:p w:rsidR="0022421D" w:rsidRPr="00CF48DD" w:rsidRDefault="0022421D" w:rsidP="00871370">
            <w:pPr>
              <w:cnfStyle w:val="000000100000" w:firstRow="0" w:lastRow="0" w:firstColumn="0" w:lastColumn="0" w:oddVBand="0" w:evenVBand="0" w:oddHBand="1" w:evenHBand="0" w:firstRowFirstColumn="0" w:firstRowLastColumn="0" w:lastRowFirstColumn="0" w:lastRowLastColumn="0"/>
              <w:rPr>
                <w:sz w:val="20"/>
                <w:szCs w:val="20"/>
              </w:rPr>
            </w:pPr>
            <w:r w:rsidRPr="00CF48DD">
              <w:rPr>
                <w:sz w:val="20"/>
                <w:szCs w:val="20"/>
              </w:rPr>
              <w:t>323,093,956±65,954</w:t>
            </w:r>
          </w:p>
        </w:tc>
      </w:tr>
      <w:tr w:rsidR="0022421D" w:rsidRPr="00CF48DD" w:rsidTr="00871370">
        <w:tc>
          <w:tcPr>
            <w:cnfStyle w:val="001000000000" w:firstRow="0" w:lastRow="0" w:firstColumn="1" w:lastColumn="0" w:oddVBand="0" w:evenVBand="0" w:oddHBand="0" w:evenHBand="0" w:firstRowFirstColumn="0" w:firstRowLastColumn="0" w:lastRowFirstColumn="0" w:lastRowLastColumn="0"/>
            <w:tcW w:w="1187" w:type="pct"/>
          </w:tcPr>
          <w:p w:rsidR="0022421D" w:rsidRPr="00CF48DD" w:rsidRDefault="0022421D" w:rsidP="00871370">
            <w:pPr>
              <w:rPr>
                <w:b w:val="0"/>
                <w:sz w:val="20"/>
                <w:szCs w:val="20"/>
              </w:rPr>
            </w:pPr>
            <w:r w:rsidRPr="00CF48DD">
              <w:rPr>
                <w:b w:val="0"/>
                <w:sz w:val="20"/>
                <w:szCs w:val="20"/>
              </w:rPr>
              <w:t>Effectiveness of out-of-hospital rehabilitation to reduce functional loss</w:t>
            </w:r>
          </w:p>
        </w:tc>
        <w:tc>
          <w:tcPr>
            <w:tcW w:w="1000" w:type="pct"/>
          </w:tcPr>
          <w:p w:rsidR="0022421D" w:rsidRPr="00CF48DD" w:rsidRDefault="0022421D" w:rsidP="00871370">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7,429,349,420±1,270,015</w:t>
            </w:r>
          </w:p>
        </w:tc>
        <w:tc>
          <w:tcPr>
            <w:tcW w:w="657" w:type="pct"/>
          </w:tcPr>
          <w:p w:rsidR="0022421D" w:rsidRPr="00CF48DD" w:rsidRDefault="0022421D" w:rsidP="00871370">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557,240±68</w:t>
            </w:r>
          </w:p>
        </w:tc>
        <w:tc>
          <w:tcPr>
            <w:tcW w:w="1126" w:type="pct"/>
          </w:tcPr>
          <w:p w:rsidR="0022421D" w:rsidRPr="00CF48DD" w:rsidRDefault="0022421D" w:rsidP="00871370">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335,277,971±165,685</w:t>
            </w:r>
          </w:p>
        </w:tc>
        <w:tc>
          <w:tcPr>
            <w:tcW w:w="1030" w:type="pct"/>
          </w:tcPr>
          <w:p w:rsidR="0022421D" w:rsidRPr="00CF48DD" w:rsidRDefault="0022421D" w:rsidP="00871370">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324,779,484±793,674</w:t>
            </w:r>
          </w:p>
        </w:tc>
      </w:tr>
      <w:tr w:rsidR="0022421D" w:rsidRPr="00CF48DD" w:rsidTr="008713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pct"/>
          </w:tcPr>
          <w:p w:rsidR="0022421D" w:rsidRPr="00CF48DD" w:rsidRDefault="0022421D" w:rsidP="00871370">
            <w:pPr>
              <w:rPr>
                <w:b w:val="0"/>
                <w:sz w:val="20"/>
                <w:szCs w:val="20"/>
              </w:rPr>
            </w:pPr>
            <w:r w:rsidRPr="00CF48DD">
              <w:rPr>
                <w:b w:val="0"/>
                <w:sz w:val="20"/>
                <w:szCs w:val="20"/>
              </w:rPr>
              <w:t>Effectiveness of public campaign on arrival to hospital within 300 minutes (2015-2017)</w:t>
            </w:r>
          </w:p>
        </w:tc>
        <w:tc>
          <w:tcPr>
            <w:tcW w:w="1000" w:type="pct"/>
          </w:tcPr>
          <w:p w:rsidR="0022421D" w:rsidRPr="00CF48DD" w:rsidRDefault="0022421D" w:rsidP="00871370">
            <w:pPr>
              <w:cnfStyle w:val="000000100000" w:firstRow="0" w:lastRow="0" w:firstColumn="0" w:lastColumn="0" w:oddVBand="0" w:evenVBand="0" w:oddHBand="1" w:evenHBand="0" w:firstRowFirstColumn="0" w:firstRowLastColumn="0" w:lastRowFirstColumn="0" w:lastRowLastColumn="0"/>
              <w:rPr>
                <w:sz w:val="20"/>
                <w:szCs w:val="20"/>
              </w:rPr>
            </w:pPr>
            <w:r w:rsidRPr="00CF48DD">
              <w:rPr>
                <w:sz w:val="20"/>
                <w:szCs w:val="20"/>
              </w:rPr>
              <w:t>7,431,987,150±4,302</w:t>
            </w:r>
          </w:p>
        </w:tc>
        <w:tc>
          <w:tcPr>
            <w:tcW w:w="657" w:type="pct"/>
          </w:tcPr>
          <w:p w:rsidR="0022421D" w:rsidRPr="00CF48DD" w:rsidRDefault="0022421D" w:rsidP="00871370">
            <w:pPr>
              <w:cnfStyle w:val="000000100000" w:firstRow="0" w:lastRow="0" w:firstColumn="0" w:lastColumn="0" w:oddVBand="0" w:evenVBand="0" w:oddHBand="1" w:evenHBand="0" w:firstRowFirstColumn="0" w:firstRowLastColumn="0" w:lastRowFirstColumn="0" w:lastRowLastColumn="0"/>
              <w:rPr>
                <w:sz w:val="20"/>
                <w:szCs w:val="20"/>
              </w:rPr>
            </w:pPr>
            <w:r w:rsidRPr="00CF48DD">
              <w:rPr>
                <w:sz w:val="20"/>
                <w:szCs w:val="20"/>
              </w:rPr>
              <w:t>557,072±1</w:t>
            </w:r>
          </w:p>
        </w:tc>
        <w:tc>
          <w:tcPr>
            <w:tcW w:w="1126" w:type="pct"/>
          </w:tcPr>
          <w:p w:rsidR="0022421D" w:rsidRPr="00CF48DD" w:rsidRDefault="0022421D" w:rsidP="00871370">
            <w:pPr>
              <w:cnfStyle w:val="000000100000" w:firstRow="0" w:lastRow="0" w:firstColumn="0" w:lastColumn="0" w:oddVBand="0" w:evenVBand="0" w:oddHBand="1" w:evenHBand="0" w:firstRowFirstColumn="0" w:firstRowLastColumn="0" w:lastRowFirstColumn="0" w:lastRowLastColumn="0"/>
              <w:rPr>
                <w:sz w:val="20"/>
                <w:szCs w:val="20"/>
              </w:rPr>
            </w:pPr>
            <w:r w:rsidRPr="00CF48DD">
              <w:rPr>
                <w:sz w:val="20"/>
                <w:szCs w:val="20"/>
              </w:rPr>
              <w:t>335,626,164±4,296</w:t>
            </w:r>
          </w:p>
        </w:tc>
        <w:tc>
          <w:tcPr>
            <w:tcW w:w="1030" w:type="pct"/>
          </w:tcPr>
          <w:p w:rsidR="0022421D" w:rsidRPr="00CF48DD" w:rsidRDefault="0022421D" w:rsidP="00871370">
            <w:pPr>
              <w:cnfStyle w:val="000000100000" w:firstRow="0" w:lastRow="0" w:firstColumn="0" w:lastColumn="0" w:oddVBand="0" w:evenVBand="0" w:oddHBand="1" w:evenHBand="0" w:firstRowFirstColumn="0" w:firstRowLastColumn="0" w:lastRowFirstColumn="0" w:lastRowLastColumn="0"/>
              <w:rPr>
                <w:sz w:val="20"/>
                <w:szCs w:val="20"/>
              </w:rPr>
            </w:pPr>
            <w:r w:rsidRPr="00CF48DD">
              <w:rPr>
                <w:sz w:val="20"/>
                <w:szCs w:val="20"/>
              </w:rPr>
              <w:t>323,100,140±35,338</w:t>
            </w:r>
          </w:p>
        </w:tc>
      </w:tr>
      <w:tr w:rsidR="0022421D" w:rsidRPr="00CF48DD" w:rsidTr="00871370">
        <w:tc>
          <w:tcPr>
            <w:cnfStyle w:val="001000000000" w:firstRow="0" w:lastRow="0" w:firstColumn="1" w:lastColumn="0" w:oddVBand="0" w:evenVBand="0" w:oddHBand="0" w:evenHBand="0" w:firstRowFirstColumn="0" w:firstRowLastColumn="0" w:lastRowFirstColumn="0" w:lastRowLastColumn="0"/>
            <w:tcW w:w="1187" w:type="pct"/>
          </w:tcPr>
          <w:p w:rsidR="0022421D" w:rsidRPr="00CF48DD" w:rsidRDefault="0022421D" w:rsidP="00871370">
            <w:pPr>
              <w:rPr>
                <w:b w:val="0"/>
                <w:sz w:val="20"/>
                <w:szCs w:val="20"/>
              </w:rPr>
            </w:pPr>
            <w:r w:rsidRPr="00CF48DD">
              <w:rPr>
                <w:b w:val="0"/>
                <w:sz w:val="20"/>
                <w:szCs w:val="20"/>
              </w:rPr>
              <w:t>Effectiveness of public campaign on arrival to hospital within 300 minutes (2018-2030)</w:t>
            </w:r>
          </w:p>
        </w:tc>
        <w:tc>
          <w:tcPr>
            <w:tcW w:w="1000" w:type="pct"/>
          </w:tcPr>
          <w:p w:rsidR="0022421D" w:rsidRPr="00CF48DD" w:rsidRDefault="0022421D" w:rsidP="00871370">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7,431,989,990±7,371</w:t>
            </w:r>
          </w:p>
        </w:tc>
        <w:tc>
          <w:tcPr>
            <w:tcW w:w="657" w:type="pct"/>
          </w:tcPr>
          <w:p w:rsidR="0022421D" w:rsidRPr="00CF48DD" w:rsidRDefault="0022421D" w:rsidP="00871370">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557,072±1</w:t>
            </w:r>
          </w:p>
        </w:tc>
        <w:tc>
          <w:tcPr>
            <w:tcW w:w="1126" w:type="pct"/>
          </w:tcPr>
          <w:p w:rsidR="0022421D" w:rsidRPr="00CF48DD" w:rsidRDefault="0022421D" w:rsidP="00871370">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335,629,022±7,367</w:t>
            </w:r>
          </w:p>
        </w:tc>
        <w:tc>
          <w:tcPr>
            <w:tcW w:w="1030" w:type="pct"/>
          </w:tcPr>
          <w:p w:rsidR="0022421D" w:rsidRPr="00CF48DD" w:rsidRDefault="0022421D" w:rsidP="00871370">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323,128,439±35,756</w:t>
            </w:r>
          </w:p>
        </w:tc>
      </w:tr>
      <w:tr w:rsidR="0022421D" w:rsidRPr="00CF48DD" w:rsidTr="008713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pct"/>
          </w:tcPr>
          <w:p w:rsidR="0022421D" w:rsidRPr="00CF48DD" w:rsidRDefault="0022421D" w:rsidP="00871370">
            <w:pPr>
              <w:rPr>
                <w:b w:val="0"/>
                <w:sz w:val="20"/>
                <w:szCs w:val="20"/>
              </w:rPr>
            </w:pPr>
            <w:r w:rsidRPr="00CF48DD">
              <w:rPr>
                <w:b w:val="0"/>
                <w:sz w:val="20"/>
                <w:szCs w:val="20"/>
              </w:rPr>
              <w:t>Effectiveness of tPA to reduce functional loss</w:t>
            </w:r>
          </w:p>
        </w:tc>
        <w:tc>
          <w:tcPr>
            <w:tcW w:w="1000" w:type="pct"/>
          </w:tcPr>
          <w:p w:rsidR="0022421D" w:rsidRPr="00CF48DD" w:rsidRDefault="0022421D" w:rsidP="00871370">
            <w:pPr>
              <w:cnfStyle w:val="000000100000" w:firstRow="0" w:lastRow="0" w:firstColumn="0" w:lastColumn="0" w:oddVBand="0" w:evenVBand="0" w:oddHBand="1" w:evenHBand="0" w:firstRowFirstColumn="0" w:firstRowLastColumn="0" w:lastRowFirstColumn="0" w:lastRowLastColumn="0"/>
              <w:rPr>
                <w:sz w:val="20"/>
                <w:szCs w:val="20"/>
              </w:rPr>
            </w:pPr>
            <w:r w:rsidRPr="00CF48DD">
              <w:rPr>
                <w:sz w:val="20"/>
                <w:szCs w:val="20"/>
              </w:rPr>
              <w:t>7,432,112,490±211,981</w:t>
            </w:r>
          </w:p>
        </w:tc>
        <w:tc>
          <w:tcPr>
            <w:tcW w:w="657" w:type="pct"/>
          </w:tcPr>
          <w:p w:rsidR="0022421D" w:rsidRPr="00CF48DD" w:rsidRDefault="0022421D" w:rsidP="00871370">
            <w:pPr>
              <w:cnfStyle w:val="000000100000" w:firstRow="0" w:lastRow="0" w:firstColumn="0" w:lastColumn="0" w:oddVBand="0" w:evenVBand="0" w:oddHBand="1" w:evenHBand="0" w:firstRowFirstColumn="0" w:firstRowLastColumn="0" w:lastRowFirstColumn="0" w:lastRowLastColumn="0"/>
              <w:rPr>
                <w:sz w:val="20"/>
                <w:szCs w:val="20"/>
              </w:rPr>
            </w:pPr>
            <w:r w:rsidRPr="00CF48DD">
              <w:rPr>
                <w:sz w:val="20"/>
                <w:szCs w:val="20"/>
              </w:rPr>
              <w:t>557,079±13</w:t>
            </w:r>
          </w:p>
        </w:tc>
        <w:tc>
          <w:tcPr>
            <w:tcW w:w="1126" w:type="pct"/>
          </w:tcPr>
          <w:p w:rsidR="0022421D" w:rsidRPr="00CF48DD" w:rsidRDefault="0022421D" w:rsidP="00871370">
            <w:pPr>
              <w:cnfStyle w:val="000000100000" w:firstRow="0" w:lastRow="0" w:firstColumn="0" w:lastColumn="0" w:oddVBand="0" w:evenVBand="0" w:oddHBand="1" w:evenHBand="0" w:firstRowFirstColumn="0" w:firstRowLastColumn="0" w:lastRowFirstColumn="0" w:lastRowLastColumn="0"/>
              <w:rPr>
                <w:sz w:val="20"/>
                <w:szCs w:val="20"/>
              </w:rPr>
            </w:pPr>
            <w:r w:rsidRPr="00CF48DD">
              <w:rPr>
                <w:sz w:val="20"/>
                <w:szCs w:val="20"/>
              </w:rPr>
              <w:t>335,676,399±94,532</w:t>
            </w:r>
          </w:p>
        </w:tc>
        <w:tc>
          <w:tcPr>
            <w:tcW w:w="1030" w:type="pct"/>
          </w:tcPr>
          <w:p w:rsidR="0022421D" w:rsidRPr="00CF48DD" w:rsidRDefault="0022421D" w:rsidP="00871370">
            <w:pPr>
              <w:cnfStyle w:val="000000100000" w:firstRow="0" w:lastRow="0" w:firstColumn="0" w:lastColumn="0" w:oddVBand="0" w:evenVBand="0" w:oddHBand="1" w:evenHBand="0" w:firstRowFirstColumn="0" w:firstRowLastColumn="0" w:lastRowFirstColumn="0" w:lastRowLastColumn="0"/>
              <w:rPr>
                <w:sz w:val="20"/>
                <w:szCs w:val="20"/>
              </w:rPr>
            </w:pPr>
            <w:r w:rsidRPr="00CF48DD">
              <w:rPr>
                <w:sz w:val="20"/>
                <w:szCs w:val="20"/>
              </w:rPr>
              <w:t>322,864,902±478,058</w:t>
            </w:r>
          </w:p>
        </w:tc>
      </w:tr>
      <w:tr w:rsidR="0022421D" w:rsidRPr="00CF48DD" w:rsidTr="00871370">
        <w:tc>
          <w:tcPr>
            <w:cnfStyle w:val="001000000000" w:firstRow="0" w:lastRow="0" w:firstColumn="1" w:lastColumn="0" w:oddVBand="0" w:evenVBand="0" w:oddHBand="0" w:evenHBand="0" w:firstRowFirstColumn="0" w:firstRowLastColumn="0" w:lastRowFirstColumn="0" w:lastRowLastColumn="0"/>
            <w:tcW w:w="1187" w:type="pct"/>
          </w:tcPr>
          <w:p w:rsidR="0022421D" w:rsidRPr="00CF48DD" w:rsidRDefault="0022421D" w:rsidP="00871370">
            <w:pPr>
              <w:rPr>
                <w:b w:val="0"/>
                <w:sz w:val="20"/>
                <w:szCs w:val="20"/>
              </w:rPr>
            </w:pPr>
            <w:r w:rsidRPr="00CF48DD">
              <w:rPr>
                <w:b w:val="0"/>
                <w:sz w:val="20"/>
                <w:szCs w:val="20"/>
              </w:rPr>
              <w:t>Effectiveness of EVT to reduce functional loss (for mRS 4 and mRS 5)</w:t>
            </w:r>
          </w:p>
        </w:tc>
        <w:tc>
          <w:tcPr>
            <w:tcW w:w="1000" w:type="pct"/>
          </w:tcPr>
          <w:p w:rsidR="0022421D" w:rsidRPr="00CF48DD" w:rsidRDefault="0022421D" w:rsidP="00871370">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7,431,975,700±16,904</w:t>
            </w:r>
          </w:p>
        </w:tc>
        <w:tc>
          <w:tcPr>
            <w:tcW w:w="657" w:type="pct"/>
          </w:tcPr>
          <w:p w:rsidR="0022421D" w:rsidRPr="00CF48DD" w:rsidRDefault="0022421D" w:rsidP="00871370">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557,071±1</w:t>
            </w:r>
          </w:p>
        </w:tc>
        <w:tc>
          <w:tcPr>
            <w:tcW w:w="1126" w:type="pct"/>
          </w:tcPr>
          <w:p w:rsidR="0022421D" w:rsidRPr="00CF48DD" w:rsidRDefault="0022421D" w:rsidP="00871370">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335,615,536±10,881</w:t>
            </w:r>
          </w:p>
        </w:tc>
        <w:tc>
          <w:tcPr>
            <w:tcW w:w="1030" w:type="pct"/>
          </w:tcPr>
          <w:p w:rsidR="0022421D" w:rsidRPr="00CF48DD" w:rsidRDefault="0022421D" w:rsidP="00871370">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323,160,923±41,067</w:t>
            </w:r>
          </w:p>
        </w:tc>
      </w:tr>
      <w:tr w:rsidR="0022421D" w:rsidRPr="00CF48DD" w:rsidTr="008713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pct"/>
          </w:tcPr>
          <w:p w:rsidR="0022421D" w:rsidRPr="00CF48DD" w:rsidRDefault="0022421D" w:rsidP="00871370">
            <w:pPr>
              <w:rPr>
                <w:b w:val="0"/>
                <w:sz w:val="20"/>
                <w:szCs w:val="20"/>
              </w:rPr>
            </w:pPr>
            <w:r w:rsidRPr="00CF48DD">
              <w:rPr>
                <w:b w:val="0"/>
                <w:sz w:val="20"/>
                <w:szCs w:val="20"/>
              </w:rPr>
              <w:lastRenderedPageBreak/>
              <w:t>Effectiveness of EVT to reduce functional loss (for mRS 2-3)</w:t>
            </w:r>
          </w:p>
        </w:tc>
        <w:tc>
          <w:tcPr>
            <w:tcW w:w="1000" w:type="pct"/>
          </w:tcPr>
          <w:p w:rsidR="0022421D" w:rsidRPr="00CF48DD" w:rsidRDefault="0022421D" w:rsidP="00871370">
            <w:pPr>
              <w:cnfStyle w:val="000000100000" w:firstRow="0" w:lastRow="0" w:firstColumn="0" w:lastColumn="0" w:oddVBand="0" w:evenVBand="0" w:oddHBand="1" w:evenHBand="0" w:firstRowFirstColumn="0" w:firstRowLastColumn="0" w:lastRowFirstColumn="0" w:lastRowLastColumn="0"/>
              <w:rPr>
                <w:sz w:val="20"/>
                <w:szCs w:val="20"/>
              </w:rPr>
            </w:pPr>
            <w:r w:rsidRPr="00CF48DD">
              <w:rPr>
                <w:sz w:val="20"/>
                <w:szCs w:val="20"/>
              </w:rPr>
              <w:t>7,431,975,760±21,979</w:t>
            </w:r>
          </w:p>
        </w:tc>
        <w:tc>
          <w:tcPr>
            <w:tcW w:w="657" w:type="pct"/>
          </w:tcPr>
          <w:p w:rsidR="0022421D" w:rsidRPr="00CF48DD" w:rsidRDefault="0022421D" w:rsidP="00871370">
            <w:pPr>
              <w:cnfStyle w:val="000000100000" w:firstRow="0" w:lastRow="0" w:firstColumn="0" w:lastColumn="0" w:oddVBand="0" w:evenVBand="0" w:oddHBand="1" w:evenHBand="0" w:firstRowFirstColumn="0" w:firstRowLastColumn="0" w:lastRowFirstColumn="0" w:lastRowLastColumn="0"/>
              <w:rPr>
                <w:sz w:val="20"/>
                <w:szCs w:val="20"/>
              </w:rPr>
            </w:pPr>
            <w:r w:rsidRPr="00CF48DD">
              <w:rPr>
                <w:sz w:val="20"/>
                <w:szCs w:val="20"/>
              </w:rPr>
              <w:t>557,072±1</w:t>
            </w:r>
          </w:p>
        </w:tc>
        <w:tc>
          <w:tcPr>
            <w:tcW w:w="1126" w:type="pct"/>
          </w:tcPr>
          <w:p w:rsidR="0022421D" w:rsidRPr="00CF48DD" w:rsidRDefault="0022421D" w:rsidP="00871370">
            <w:pPr>
              <w:cnfStyle w:val="000000100000" w:firstRow="0" w:lastRow="0" w:firstColumn="0" w:lastColumn="0" w:oddVBand="0" w:evenVBand="0" w:oddHBand="1" w:evenHBand="0" w:firstRowFirstColumn="0" w:firstRowLastColumn="0" w:lastRowFirstColumn="0" w:lastRowLastColumn="0"/>
              <w:rPr>
                <w:sz w:val="20"/>
                <w:szCs w:val="20"/>
              </w:rPr>
            </w:pPr>
            <w:r w:rsidRPr="00CF48DD">
              <w:rPr>
                <w:sz w:val="20"/>
                <w:szCs w:val="20"/>
              </w:rPr>
              <w:t>335,615,990±13,632</w:t>
            </w:r>
          </w:p>
        </w:tc>
        <w:tc>
          <w:tcPr>
            <w:tcW w:w="1030" w:type="pct"/>
          </w:tcPr>
          <w:p w:rsidR="0022421D" w:rsidRPr="00CF48DD" w:rsidRDefault="0022421D" w:rsidP="00871370">
            <w:pPr>
              <w:cnfStyle w:val="000000100000" w:firstRow="0" w:lastRow="0" w:firstColumn="0" w:lastColumn="0" w:oddVBand="0" w:evenVBand="0" w:oddHBand="1" w:evenHBand="0" w:firstRowFirstColumn="0" w:firstRowLastColumn="0" w:lastRowFirstColumn="0" w:lastRowLastColumn="0"/>
              <w:rPr>
                <w:sz w:val="20"/>
                <w:szCs w:val="20"/>
              </w:rPr>
            </w:pPr>
            <w:r w:rsidRPr="00CF48DD">
              <w:rPr>
                <w:sz w:val="20"/>
                <w:szCs w:val="20"/>
              </w:rPr>
              <w:t>323,166,477±75,547</w:t>
            </w:r>
          </w:p>
        </w:tc>
      </w:tr>
      <w:tr w:rsidR="0022421D" w:rsidRPr="00CF48DD" w:rsidTr="00871370">
        <w:tc>
          <w:tcPr>
            <w:cnfStyle w:val="001000000000" w:firstRow="0" w:lastRow="0" w:firstColumn="1" w:lastColumn="0" w:oddVBand="0" w:evenVBand="0" w:oddHBand="0" w:evenHBand="0" w:firstRowFirstColumn="0" w:firstRowLastColumn="0" w:lastRowFirstColumn="0" w:lastRowLastColumn="0"/>
            <w:tcW w:w="1187" w:type="pct"/>
          </w:tcPr>
          <w:p w:rsidR="0022421D" w:rsidRPr="00CF48DD" w:rsidRDefault="0022421D" w:rsidP="00871370">
            <w:pPr>
              <w:rPr>
                <w:b w:val="0"/>
                <w:sz w:val="20"/>
                <w:szCs w:val="20"/>
              </w:rPr>
            </w:pPr>
            <w:r w:rsidRPr="00CF48DD">
              <w:rPr>
                <w:b w:val="0"/>
                <w:sz w:val="20"/>
                <w:szCs w:val="20"/>
              </w:rPr>
              <w:t>Relative risk reduction in recurrent stroke due to comprehensive secondary prevention</w:t>
            </w:r>
          </w:p>
        </w:tc>
        <w:tc>
          <w:tcPr>
            <w:tcW w:w="1000" w:type="pct"/>
          </w:tcPr>
          <w:p w:rsidR="0022421D" w:rsidRPr="00CF48DD" w:rsidRDefault="0022421D" w:rsidP="00871370">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7,433,640,671±1,642,713</w:t>
            </w:r>
          </w:p>
        </w:tc>
        <w:tc>
          <w:tcPr>
            <w:tcW w:w="657" w:type="pct"/>
          </w:tcPr>
          <w:p w:rsidR="0022421D" w:rsidRPr="00CF48DD" w:rsidRDefault="0022421D" w:rsidP="00871370">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557,050±50</w:t>
            </w:r>
          </w:p>
        </w:tc>
        <w:tc>
          <w:tcPr>
            <w:tcW w:w="1126" w:type="pct"/>
          </w:tcPr>
          <w:p w:rsidR="0022421D" w:rsidRPr="00CF48DD" w:rsidRDefault="0022421D" w:rsidP="00871370">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334,866,268±754,191</w:t>
            </w:r>
          </w:p>
        </w:tc>
        <w:tc>
          <w:tcPr>
            <w:tcW w:w="1030" w:type="pct"/>
          </w:tcPr>
          <w:p w:rsidR="0022421D" w:rsidRPr="00CF48DD" w:rsidRDefault="0022421D" w:rsidP="00871370">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325,233,796±2,154,433</w:t>
            </w:r>
          </w:p>
        </w:tc>
      </w:tr>
      <w:tr w:rsidR="0022421D" w:rsidRPr="00CF48DD" w:rsidTr="008713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pct"/>
          </w:tcPr>
          <w:p w:rsidR="0022421D" w:rsidRPr="00CF48DD" w:rsidRDefault="0022421D" w:rsidP="00871370">
            <w:pPr>
              <w:rPr>
                <w:b w:val="0"/>
                <w:sz w:val="20"/>
                <w:szCs w:val="20"/>
              </w:rPr>
            </w:pPr>
            <w:r w:rsidRPr="00CF48DD">
              <w:rPr>
                <w:b w:val="0"/>
                <w:sz w:val="20"/>
                <w:szCs w:val="20"/>
              </w:rPr>
              <w:t>Ratio of ASU to GMW costs</w:t>
            </w:r>
          </w:p>
        </w:tc>
        <w:tc>
          <w:tcPr>
            <w:tcW w:w="1000" w:type="pct"/>
          </w:tcPr>
          <w:p w:rsidR="0022421D" w:rsidRPr="00CF48DD" w:rsidRDefault="0022421D" w:rsidP="00871370">
            <w:pPr>
              <w:cnfStyle w:val="000000100000" w:firstRow="0" w:lastRow="0" w:firstColumn="0" w:lastColumn="0" w:oddVBand="0" w:evenVBand="0" w:oddHBand="1" w:evenHBand="0" w:firstRowFirstColumn="0" w:firstRowLastColumn="0" w:lastRowFirstColumn="0" w:lastRowLastColumn="0"/>
              <w:rPr>
                <w:sz w:val="20"/>
                <w:szCs w:val="20"/>
              </w:rPr>
            </w:pPr>
            <w:r w:rsidRPr="00CF48DD">
              <w:rPr>
                <w:sz w:val="20"/>
                <w:szCs w:val="20"/>
              </w:rPr>
              <w:t>7,432,064,200±1,754,275</w:t>
            </w:r>
          </w:p>
        </w:tc>
        <w:tc>
          <w:tcPr>
            <w:tcW w:w="657" w:type="pct"/>
          </w:tcPr>
          <w:p w:rsidR="0022421D" w:rsidRPr="00CF48DD" w:rsidRDefault="0022421D" w:rsidP="00871370">
            <w:pPr>
              <w:cnfStyle w:val="000000100000" w:firstRow="0" w:lastRow="0" w:firstColumn="0" w:lastColumn="0" w:oddVBand="0" w:evenVBand="0" w:oddHBand="1" w:evenHBand="0" w:firstRowFirstColumn="0" w:firstRowLastColumn="0" w:lastRowFirstColumn="0" w:lastRowLastColumn="0"/>
              <w:rPr>
                <w:sz w:val="20"/>
                <w:szCs w:val="20"/>
              </w:rPr>
            </w:pPr>
            <w:r w:rsidRPr="00CF48DD">
              <w:rPr>
                <w:sz w:val="20"/>
                <w:szCs w:val="20"/>
              </w:rPr>
              <w:t>557,072±0</w:t>
            </w:r>
          </w:p>
        </w:tc>
        <w:tc>
          <w:tcPr>
            <w:tcW w:w="1126" w:type="pct"/>
          </w:tcPr>
          <w:p w:rsidR="0022421D" w:rsidRPr="00CF48DD" w:rsidRDefault="0022421D" w:rsidP="00871370">
            <w:pPr>
              <w:cnfStyle w:val="000000100000" w:firstRow="0" w:lastRow="0" w:firstColumn="0" w:lastColumn="0" w:oddVBand="0" w:evenVBand="0" w:oddHBand="1" w:evenHBand="0" w:firstRowFirstColumn="0" w:firstRowLastColumn="0" w:lastRowFirstColumn="0" w:lastRowLastColumn="0"/>
              <w:rPr>
                <w:sz w:val="20"/>
                <w:szCs w:val="20"/>
              </w:rPr>
            </w:pPr>
            <w:r w:rsidRPr="00CF48DD">
              <w:rPr>
                <w:sz w:val="20"/>
                <w:szCs w:val="20"/>
              </w:rPr>
              <w:t>335,646,393±545,468</w:t>
            </w:r>
          </w:p>
        </w:tc>
        <w:tc>
          <w:tcPr>
            <w:tcW w:w="1030" w:type="pct"/>
          </w:tcPr>
          <w:p w:rsidR="0022421D" w:rsidRPr="00CF48DD" w:rsidRDefault="0022421D" w:rsidP="00871370">
            <w:pPr>
              <w:cnfStyle w:val="000000100000" w:firstRow="0" w:lastRow="0" w:firstColumn="0" w:lastColumn="0" w:oddVBand="0" w:evenVBand="0" w:oddHBand="1" w:evenHBand="0" w:firstRowFirstColumn="0" w:firstRowLastColumn="0" w:lastRowFirstColumn="0" w:lastRowLastColumn="0"/>
              <w:rPr>
                <w:sz w:val="20"/>
                <w:szCs w:val="20"/>
              </w:rPr>
            </w:pPr>
            <w:r w:rsidRPr="00CF48DD">
              <w:rPr>
                <w:sz w:val="20"/>
                <w:szCs w:val="20"/>
              </w:rPr>
              <w:t>323,088,588±545,468</w:t>
            </w:r>
          </w:p>
        </w:tc>
      </w:tr>
      <w:tr w:rsidR="0022421D" w:rsidRPr="00CF48DD" w:rsidTr="00871370">
        <w:tc>
          <w:tcPr>
            <w:cnfStyle w:val="001000000000" w:firstRow="0" w:lastRow="0" w:firstColumn="1" w:lastColumn="0" w:oddVBand="0" w:evenVBand="0" w:oddHBand="0" w:evenHBand="0" w:firstRowFirstColumn="0" w:firstRowLastColumn="0" w:lastRowFirstColumn="0" w:lastRowLastColumn="0"/>
            <w:tcW w:w="1187" w:type="pct"/>
          </w:tcPr>
          <w:p w:rsidR="0022421D" w:rsidRPr="00CF48DD" w:rsidRDefault="0022421D" w:rsidP="00871370">
            <w:pPr>
              <w:rPr>
                <w:b w:val="0"/>
                <w:sz w:val="20"/>
                <w:szCs w:val="20"/>
              </w:rPr>
            </w:pPr>
            <w:r w:rsidRPr="00CF48DD">
              <w:rPr>
                <w:b w:val="0"/>
                <w:sz w:val="20"/>
                <w:szCs w:val="20"/>
              </w:rPr>
              <w:t>Average cost of tPA administration (per episode)</w:t>
            </w:r>
          </w:p>
        </w:tc>
        <w:tc>
          <w:tcPr>
            <w:tcW w:w="1000" w:type="pct"/>
          </w:tcPr>
          <w:p w:rsidR="0022421D" w:rsidRPr="00CF48DD" w:rsidRDefault="0022421D" w:rsidP="00871370">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7,436,181,520±464,300</w:t>
            </w:r>
          </w:p>
        </w:tc>
        <w:tc>
          <w:tcPr>
            <w:tcW w:w="657" w:type="pct"/>
          </w:tcPr>
          <w:p w:rsidR="0022421D" w:rsidRPr="00CF48DD" w:rsidRDefault="0022421D" w:rsidP="00871370">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557,072±0</w:t>
            </w:r>
          </w:p>
        </w:tc>
        <w:tc>
          <w:tcPr>
            <w:tcW w:w="1126" w:type="pct"/>
          </w:tcPr>
          <w:p w:rsidR="0022421D" w:rsidRPr="00CF48DD" w:rsidRDefault="0022421D" w:rsidP="00871370">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337,779,690±238,762</w:t>
            </w:r>
          </w:p>
        </w:tc>
        <w:tc>
          <w:tcPr>
            <w:tcW w:w="1030" w:type="pct"/>
          </w:tcPr>
          <w:p w:rsidR="0022421D" w:rsidRPr="00CF48DD" w:rsidRDefault="0022421D" w:rsidP="00871370">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320,955,283±238,762</w:t>
            </w:r>
          </w:p>
        </w:tc>
      </w:tr>
      <w:tr w:rsidR="0022421D" w:rsidRPr="00CF48DD" w:rsidTr="008713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pct"/>
          </w:tcPr>
          <w:p w:rsidR="0022421D" w:rsidRPr="00CF48DD" w:rsidRDefault="0022421D" w:rsidP="00871370">
            <w:pPr>
              <w:rPr>
                <w:b w:val="0"/>
                <w:sz w:val="20"/>
                <w:szCs w:val="20"/>
              </w:rPr>
            </w:pPr>
            <w:r w:rsidRPr="00CF48DD">
              <w:rPr>
                <w:b w:val="0"/>
                <w:sz w:val="20"/>
                <w:szCs w:val="20"/>
              </w:rPr>
              <w:t>Average cost of EVT administration (per episode)</w:t>
            </w:r>
          </w:p>
        </w:tc>
        <w:tc>
          <w:tcPr>
            <w:tcW w:w="1000" w:type="pct"/>
          </w:tcPr>
          <w:p w:rsidR="0022421D" w:rsidRPr="00CF48DD" w:rsidRDefault="0022421D" w:rsidP="00871370">
            <w:pPr>
              <w:cnfStyle w:val="000000100000" w:firstRow="0" w:lastRow="0" w:firstColumn="0" w:lastColumn="0" w:oddVBand="0" w:evenVBand="0" w:oddHBand="1" w:evenHBand="0" w:firstRowFirstColumn="0" w:firstRowLastColumn="0" w:lastRowFirstColumn="0" w:lastRowLastColumn="0"/>
              <w:rPr>
                <w:sz w:val="20"/>
                <w:szCs w:val="20"/>
              </w:rPr>
            </w:pPr>
            <w:r w:rsidRPr="00CF48DD">
              <w:rPr>
                <w:sz w:val="20"/>
                <w:szCs w:val="20"/>
              </w:rPr>
              <w:t>7,431,991,750±324,918</w:t>
            </w:r>
          </w:p>
        </w:tc>
        <w:tc>
          <w:tcPr>
            <w:tcW w:w="657" w:type="pct"/>
          </w:tcPr>
          <w:p w:rsidR="0022421D" w:rsidRPr="00CF48DD" w:rsidRDefault="0022421D" w:rsidP="00871370">
            <w:pPr>
              <w:cnfStyle w:val="000000100000" w:firstRow="0" w:lastRow="0" w:firstColumn="0" w:lastColumn="0" w:oddVBand="0" w:evenVBand="0" w:oddHBand="1" w:evenHBand="0" w:firstRowFirstColumn="0" w:firstRowLastColumn="0" w:lastRowFirstColumn="0" w:lastRowLastColumn="0"/>
              <w:rPr>
                <w:sz w:val="20"/>
                <w:szCs w:val="20"/>
              </w:rPr>
            </w:pPr>
            <w:r w:rsidRPr="00CF48DD">
              <w:rPr>
                <w:sz w:val="20"/>
                <w:szCs w:val="20"/>
              </w:rPr>
              <w:t>557,072±0</w:t>
            </w:r>
          </w:p>
        </w:tc>
        <w:tc>
          <w:tcPr>
            <w:tcW w:w="1126" w:type="pct"/>
          </w:tcPr>
          <w:p w:rsidR="0022421D" w:rsidRPr="00CF48DD" w:rsidRDefault="0022421D" w:rsidP="00871370">
            <w:pPr>
              <w:cnfStyle w:val="000000100000" w:firstRow="0" w:lastRow="0" w:firstColumn="0" w:lastColumn="0" w:oddVBand="0" w:evenVBand="0" w:oddHBand="1" w:evenHBand="0" w:firstRowFirstColumn="0" w:firstRowLastColumn="0" w:lastRowFirstColumn="0" w:lastRowLastColumn="0"/>
              <w:rPr>
                <w:sz w:val="20"/>
                <w:szCs w:val="20"/>
              </w:rPr>
            </w:pPr>
            <w:r w:rsidRPr="00CF48DD">
              <w:rPr>
                <w:sz w:val="20"/>
                <w:szCs w:val="20"/>
              </w:rPr>
              <w:t>335,626,328±239,450</w:t>
            </w:r>
          </w:p>
        </w:tc>
        <w:tc>
          <w:tcPr>
            <w:tcW w:w="1030" w:type="pct"/>
          </w:tcPr>
          <w:p w:rsidR="0022421D" w:rsidRPr="00CF48DD" w:rsidRDefault="0022421D" w:rsidP="00871370">
            <w:pPr>
              <w:cnfStyle w:val="000000100000" w:firstRow="0" w:lastRow="0" w:firstColumn="0" w:lastColumn="0" w:oddVBand="0" w:evenVBand="0" w:oddHBand="1" w:evenHBand="0" w:firstRowFirstColumn="0" w:firstRowLastColumn="0" w:lastRowFirstColumn="0" w:lastRowLastColumn="0"/>
              <w:rPr>
                <w:sz w:val="20"/>
                <w:szCs w:val="20"/>
              </w:rPr>
            </w:pPr>
            <w:r w:rsidRPr="00CF48DD">
              <w:rPr>
                <w:sz w:val="20"/>
                <w:szCs w:val="20"/>
              </w:rPr>
              <w:t>323,108,654±239,451</w:t>
            </w:r>
          </w:p>
        </w:tc>
      </w:tr>
      <w:tr w:rsidR="0022421D" w:rsidRPr="00CF48DD" w:rsidTr="00871370">
        <w:tc>
          <w:tcPr>
            <w:cnfStyle w:val="001000000000" w:firstRow="0" w:lastRow="0" w:firstColumn="1" w:lastColumn="0" w:oddVBand="0" w:evenVBand="0" w:oddHBand="0" w:evenHBand="0" w:firstRowFirstColumn="0" w:firstRowLastColumn="0" w:lastRowFirstColumn="0" w:lastRowLastColumn="0"/>
            <w:tcW w:w="1187" w:type="pct"/>
          </w:tcPr>
          <w:p w:rsidR="0022421D" w:rsidRPr="00CF48DD" w:rsidRDefault="0022421D" w:rsidP="00871370">
            <w:pPr>
              <w:rPr>
                <w:b w:val="0"/>
                <w:sz w:val="20"/>
                <w:szCs w:val="20"/>
                <w:highlight w:val="yellow"/>
              </w:rPr>
            </w:pPr>
            <w:r w:rsidRPr="00CF48DD">
              <w:rPr>
                <w:b w:val="0"/>
                <w:sz w:val="20"/>
                <w:szCs w:val="20"/>
              </w:rPr>
              <w:t>Average cost of comprehensive secondary prevention (per patient)</w:t>
            </w:r>
          </w:p>
        </w:tc>
        <w:tc>
          <w:tcPr>
            <w:tcW w:w="1000" w:type="pct"/>
          </w:tcPr>
          <w:p w:rsidR="0022421D" w:rsidRPr="00CF48DD" w:rsidRDefault="0022421D" w:rsidP="00871370">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7,430,875,420±6,129,121</w:t>
            </w:r>
          </w:p>
        </w:tc>
        <w:tc>
          <w:tcPr>
            <w:tcW w:w="657" w:type="pct"/>
          </w:tcPr>
          <w:p w:rsidR="0022421D" w:rsidRPr="00CF48DD" w:rsidRDefault="0022421D" w:rsidP="00871370">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557,072±0</w:t>
            </w:r>
          </w:p>
        </w:tc>
        <w:tc>
          <w:tcPr>
            <w:tcW w:w="1126" w:type="pct"/>
          </w:tcPr>
          <w:p w:rsidR="0022421D" w:rsidRPr="00CF48DD" w:rsidRDefault="0022421D" w:rsidP="00871370">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335,268,704±1,949,306</w:t>
            </w:r>
          </w:p>
        </w:tc>
        <w:tc>
          <w:tcPr>
            <w:tcW w:w="1030" w:type="pct"/>
          </w:tcPr>
          <w:p w:rsidR="0022421D" w:rsidRPr="00CF48DD" w:rsidRDefault="0022421D" w:rsidP="00871370">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323,466,272±1,949,306</w:t>
            </w:r>
          </w:p>
        </w:tc>
      </w:tr>
      <w:tr w:rsidR="0022421D" w:rsidRPr="00CF48DD" w:rsidTr="008713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pct"/>
          </w:tcPr>
          <w:p w:rsidR="0022421D" w:rsidRPr="00CF48DD" w:rsidRDefault="0022421D" w:rsidP="00871370">
            <w:pPr>
              <w:rPr>
                <w:b w:val="0"/>
                <w:sz w:val="20"/>
                <w:szCs w:val="20"/>
              </w:rPr>
            </w:pPr>
            <w:r w:rsidRPr="00CF48DD">
              <w:rPr>
                <w:b w:val="0"/>
                <w:sz w:val="20"/>
                <w:szCs w:val="20"/>
              </w:rPr>
              <w:t>Average cost of out-of-hospital rehabilitation (per episode)</w:t>
            </w:r>
          </w:p>
        </w:tc>
        <w:tc>
          <w:tcPr>
            <w:tcW w:w="1000" w:type="pct"/>
          </w:tcPr>
          <w:p w:rsidR="0022421D" w:rsidRPr="00CF48DD" w:rsidRDefault="0022421D" w:rsidP="00871370">
            <w:pPr>
              <w:cnfStyle w:val="000000100000" w:firstRow="0" w:lastRow="0" w:firstColumn="0" w:lastColumn="0" w:oddVBand="0" w:evenVBand="0" w:oddHBand="1" w:evenHBand="0" w:firstRowFirstColumn="0" w:firstRowLastColumn="0" w:lastRowFirstColumn="0" w:lastRowLastColumn="0"/>
              <w:rPr>
                <w:sz w:val="20"/>
                <w:szCs w:val="20"/>
              </w:rPr>
            </w:pPr>
            <w:r w:rsidRPr="00CF48DD">
              <w:rPr>
                <w:sz w:val="20"/>
                <w:szCs w:val="20"/>
              </w:rPr>
              <w:t>7,430,947,655±284,857</w:t>
            </w:r>
          </w:p>
        </w:tc>
        <w:tc>
          <w:tcPr>
            <w:tcW w:w="657" w:type="pct"/>
          </w:tcPr>
          <w:p w:rsidR="0022421D" w:rsidRPr="00CF48DD" w:rsidRDefault="0022421D" w:rsidP="00871370">
            <w:pPr>
              <w:cnfStyle w:val="000000100000" w:firstRow="0" w:lastRow="0" w:firstColumn="0" w:lastColumn="0" w:oddVBand="0" w:evenVBand="0" w:oddHBand="1" w:evenHBand="0" w:firstRowFirstColumn="0" w:firstRowLastColumn="0" w:lastRowFirstColumn="0" w:lastRowLastColumn="0"/>
              <w:rPr>
                <w:sz w:val="20"/>
                <w:szCs w:val="20"/>
              </w:rPr>
            </w:pPr>
            <w:r w:rsidRPr="00CF48DD">
              <w:rPr>
                <w:sz w:val="20"/>
                <w:szCs w:val="20"/>
              </w:rPr>
              <w:t>557,072±0</w:t>
            </w:r>
          </w:p>
        </w:tc>
        <w:tc>
          <w:tcPr>
            <w:tcW w:w="1126" w:type="pct"/>
          </w:tcPr>
          <w:p w:rsidR="0022421D" w:rsidRPr="00CF48DD" w:rsidRDefault="0022421D" w:rsidP="00871370">
            <w:pPr>
              <w:cnfStyle w:val="000000100000" w:firstRow="0" w:lastRow="0" w:firstColumn="0" w:lastColumn="0" w:oddVBand="0" w:evenVBand="0" w:oddHBand="1" w:evenHBand="0" w:firstRowFirstColumn="0" w:firstRowLastColumn="0" w:lastRowFirstColumn="0" w:lastRowLastColumn="0"/>
              <w:rPr>
                <w:sz w:val="20"/>
                <w:szCs w:val="20"/>
              </w:rPr>
            </w:pPr>
            <w:r w:rsidRPr="00CF48DD">
              <w:rPr>
                <w:sz w:val="20"/>
                <w:szCs w:val="20"/>
              </w:rPr>
              <w:t>335,403,065±60,031</w:t>
            </w:r>
          </w:p>
        </w:tc>
        <w:tc>
          <w:tcPr>
            <w:tcW w:w="1030" w:type="pct"/>
          </w:tcPr>
          <w:p w:rsidR="0022421D" w:rsidRPr="00CF48DD" w:rsidRDefault="0022421D" w:rsidP="00871370">
            <w:pPr>
              <w:cnfStyle w:val="000000100000" w:firstRow="0" w:lastRow="0" w:firstColumn="0" w:lastColumn="0" w:oddVBand="0" w:evenVBand="0" w:oddHBand="1" w:evenHBand="0" w:firstRowFirstColumn="0" w:firstRowLastColumn="0" w:lastRowFirstColumn="0" w:lastRowLastColumn="0"/>
              <w:rPr>
                <w:sz w:val="20"/>
                <w:szCs w:val="20"/>
              </w:rPr>
            </w:pPr>
            <w:r w:rsidRPr="00CF48DD">
              <w:rPr>
                <w:sz w:val="20"/>
                <w:szCs w:val="20"/>
              </w:rPr>
              <w:t>323,331,920±60,031</w:t>
            </w:r>
          </w:p>
        </w:tc>
      </w:tr>
      <w:tr w:rsidR="0022421D" w:rsidRPr="00CF48DD" w:rsidTr="00871370">
        <w:tc>
          <w:tcPr>
            <w:cnfStyle w:val="001000000000" w:firstRow="0" w:lastRow="0" w:firstColumn="1" w:lastColumn="0" w:oddVBand="0" w:evenVBand="0" w:oddHBand="0" w:evenHBand="0" w:firstRowFirstColumn="0" w:firstRowLastColumn="0" w:lastRowFirstColumn="0" w:lastRowLastColumn="0"/>
            <w:tcW w:w="1187" w:type="pct"/>
          </w:tcPr>
          <w:p w:rsidR="0022421D" w:rsidRPr="00CF48DD" w:rsidRDefault="0022421D" w:rsidP="00871370">
            <w:pPr>
              <w:rPr>
                <w:b w:val="0"/>
                <w:sz w:val="20"/>
                <w:szCs w:val="20"/>
              </w:rPr>
            </w:pPr>
            <w:r w:rsidRPr="00CF48DD">
              <w:rPr>
                <w:b w:val="0"/>
                <w:sz w:val="20"/>
                <w:szCs w:val="20"/>
              </w:rPr>
              <w:t>Average cost of community hospital stay (per admission)</w:t>
            </w:r>
          </w:p>
        </w:tc>
        <w:tc>
          <w:tcPr>
            <w:tcW w:w="1000" w:type="pct"/>
          </w:tcPr>
          <w:p w:rsidR="0022421D" w:rsidRPr="00CF48DD" w:rsidRDefault="0022421D" w:rsidP="00871370">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7,432,203,519±37,551</w:t>
            </w:r>
          </w:p>
        </w:tc>
        <w:tc>
          <w:tcPr>
            <w:tcW w:w="657" w:type="pct"/>
          </w:tcPr>
          <w:p w:rsidR="0022421D" w:rsidRPr="00CF48DD" w:rsidRDefault="0022421D" w:rsidP="00871370">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557,072±0</w:t>
            </w:r>
          </w:p>
        </w:tc>
        <w:tc>
          <w:tcPr>
            <w:tcW w:w="1126" w:type="pct"/>
          </w:tcPr>
          <w:p w:rsidR="0022421D" w:rsidRPr="00CF48DD" w:rsidRDefault="0022421D" w:rsidP="00871370">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335,584,371±8,066</w:t>
            </w:r>
          </w:p>
        </w:tc>
        <w:tc>
          <w:tcPr>
            <w:tcW w:w="1030" w:type="pct"/>
          </w:tcPr>
          <w:p w:rsidR="0022421D" w:rsidRPr="00CF48DD" w:rsidRDefault="0022421D" w:rsidP="00871370">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323,150,614±8,066</w:t>
            </w:r>
          </w:p>
        </w:tc>
      </w:tr>
      <w:tr w:rsidR="0022421D" w:rsidRPr="00CF48DD" w:rsidTr="008713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pct"/>
          </w:tcPr>
          <w:p w:rsidR="0022421D" w:rsidRPr="00CF48DD" w:rsidRDefault="0022421D" w:rsidP="00871370">
            <w:pPr>
              <w:rPr>
                <w:b w:val="0"/>
                <w:sz w:val="20"/>
                <w:szCs w:val="20"/>
              </w:rPr>
            </w:pPr>
            <w:r w:rsidRPr="00CF48DD">
              <w:rPr>
                <w:b w:val="0"/>
                <w:sz w:val="20"/>
                <w:szCs w:val="20"/>
              </w:rPr>
              <w:t>Average annual long-term care cost (per patient)</w:t>
            </w:r>
          </w:p>
        </w:tc>
        <w:tc>
          <w:tcPr>
            <w:tcW w:w="1000" w:type="pct"/>
          </w:tcPr>
          <w:p w:rsidR="0022421D" w:rsidRPr="00CF48DD" w:rsidRDefault="0022421D" w:rsidP="00871370">
            <w:pPr>
              <w:cnfStyle w:val="000000100000" w:firstRow="0" w:lastRow="0" w:firstColumn="0" w:lastColumn="0" w:oddVBand="0" w:evenVBand="0" w:oddHBand="1" w:evenHBand="0" w:firstRowFirstColumn="0" w:firstRowLastColumn="0" w:lastRowFirstColumn="0" w:lastRowLastColumn="0"/>
              <w:rPr>
                <w:sz w:val="20"/>
                <w:szCs w:val="20"/>
              </w:rPr>
            </w:pPr>
            <w:r w:rsidRPr="00CF48DD">
              <w:rPr>
                <w:sz w:val="20"/>
                <w:szCs w:val="20"/>
              </w:rPr>
              <w:t>7,429,644,903±4,630,738</w:t>
            </w:r>
          </w:p>
        </w:tc>
        <w:tc>
          <w:tcPr>
            <w:tcW w:w="657" w:type="pct"/>
          </w:tcPr>
          <w:p w:rsidR="0022421D" w:rsidRPr="00CF48DD" w:rsidRDefault="0022421D" w:rsidP="00871370">
            <w:pPr>
              <w:cnfStyle w:val="000000100000" w:firstRow="0" w:lastRow="0" w:firstColumn="0" w:lastColumn="0" w:oddVBand="0" w:evenVBand="0" w:oddHBand="1" w:evenHBand="0" w:firstRowFirstColumn="0" w:firstRowLastColumn="0" w:lastRowFirstColumn="0" w:lastRowLastColumn="0"/>
              <w:rPr>
                <w:sz w:val="20"/>
                <w:szCs w:val="20"/>
              </w:rPr>
            </w:pPr>
            <w:r w:rsidRPr="00CF48DD">
              <w:rPr>
                <w:sz w:val="20"/>
                <w:szCs w:val="20"/>
              </w:rPr>
              <w:t>557,072±0</w:t>
            </w:r>
          </w:p>
        </w:tc>
        <w:tc>
          <w:tcPr>
            <w:tcW w:w="1126" w:type="pct"/>
          </w:tcPr>
          <w:p w:rsidR="0022421D" w:rsidRPr="00CF48DD" w:rsidRDefault="0022421D" w:rsidP="00871370">
            <w:pPr>
              <w:cnfStyle w:val="000000100000" w:firstRow="0" w:lastRow="0" w:firstColumn="0" w:lastColumn="0" w:oddVBand="0" w:evenVBand="0" w:oddHBand="1" w:evenHBand="0" w:firstRowFirstColumn="0" w:firstRowLastColumn="0" w:lastRowFirstColumn="0" w:lastRowLastColumn="0"/>
              <w:rPr>
                <w:sz w:val="20"/>
                <w:szCs w:val="20"/>
              </w:rPr>
            </w:pPr>
            <w:r w:rsidRPr="00CF48DD">
              <w:rPr>
                <w:sz w:val="20"/>
                <w:szCs w:val="20"/>
              </w:rPr>
              <w:t>335,626,503±231,400</w:t>
            </w:r>
          </w:p>
        </w:tc>
        <w:tc>
          <w:tcPr>
            <w:tcW w:w="1030" w:type="pct"/>
          </w:tcPr>
          <w:p w:rsidR="0022421D" w:rsidRPr="00CF48DD" w:rsidRDefault="0022421D" w:rsidP="00871370">
            <w:pPr>
              <w:cnfStyle w:val="000000100000" w:firstRow="0" w:lastRow="0" w:firstColumn="0" w:lastColumn="0" w:oddVBand="0" w:evenVBand="0" w:oddHBand="1" w:evenHBand="0" w:firstRowFirstColumn="0" w:firstRowLastColumn="0" w:lastRowFirstColumn="0" w:lastRowLastColumn="0"/>
              <w:rPr>
                <w:sz w:val="20"/>
                <w:szCs w:val="20"/>
              </w:rPr>
            </w:pPr>
            <w:r w:rsidRPr="00CF48DD">
              <w:rPr>
                <w:sz w:val="20"/>
                <w:szCs w:val="20"/>
              </w:rPr>
              <w:t>323,108,475±231,400</w:t>
            </w:r>
          </w:p>
        </w:tc>
      </w:tr>
    </w:tbl>
    <w:p w:rsidR="0022421D" w:rsidRPr="00CF48DD" w:rsidRDefault="0022421D" w:rsidP="0022421D">
      <w:pPr>
        <w:rPr>
          <w:sz w:val="20"/>
          <w:szCs w:val="20"/>
        </w:rPr>
      </w:pPr>
    </w:p>
    <w:p w:rsidR="0022421D" w:rsidRPr="00CF48DD" w:rsidRDefault="0022421D" w:rsidP="0022421D">
      <w:pPr>
        <w:rPr>
          <w:sz w:val="20"/>
          <w:szCs w:val="20"/>
        </w:rPr>
      </w:pPr>
      <w:bookmarkStart w:id="3" w:name="_Toc454869405"/>
      <w:r w:rsidRPr="00CF48DD">
        <w:rPr>
          <w:sz w:val="20"/>
          <w:szCs w:val="20"/>
        </w:rPr>
        <w:lastRenderedPageBreak/>
        <w:t>Table B</w:t>
      </w:r>
      <w:r>
        <w:rPr>
          <w:sz w:val="20"/>
          <w:szCs w:val="20"/>
        </w:rPr>
        <w:t>2</w:t>
      </w:r>
      <w:r w:rsidRPr="00CF48DD">
        <w:rPr>
          <w:sz w:val="20"/>
          <w:szCs w:val="20"/>
        </w:rPr>
        <w:t xml:space="preserve">. Probabilistic Sensitivity Analysis </w:t>
      </w:r>
      <w:bookmarkEnd w:id="3"/>
      <w:r w:rsidRPr="00CF48DD">
        <w:rPr>
          <w:sz w:val="20"/>
          <w:szCs w:val="20"/>
        </w:rPr>
        <w:t xml:space="preserve">Results (Mean and 95% Uncertainty Bounds) </w:t>
      </w:r>
      <w:bookmarkStart w:id="4" w:name="_Toc454869406"/>
      <w:r w:rsidRPr="00CF48DD">
        <w:rPr>
          <w:sz w:val="20"/>
          <w:szCs w:val="20"/>
        </w:rPr>
        <w:t>(Intervention Scenario: Everything Combined in 2030)</w:t>
      </w:r>
      <w:bookmarkEnd w:id="4"/>
    </w:p>
    <w:tbl>
      <w:tblPr>
        <w:tblStyle w:val="LightShading"/>
        <w:tblW w:w="0" w:type="auto"/>
        <w:tblLook w:val="0680" w:firstRow="0" w:lastRow="0" w:firstColumn="1" w:lastColumn="0" w:noHBand="1" w:noVBand="1"/>
      </w:tblPr>
      <w:tblGrid>
        <w:gridCol w:w="6127"/>
        <w:gridCol w:w="2899"/>
      </w:tblGrid>
      <w:tr w:rsidR="0022421D" w:rsidRPr="00CF48DD" w:rsidTr="00871370">
        <w:tc>
          <w:tcPr>
            <w:cnfStyle w:val="001000000000" w:firstRow="0" w:lastRow="0" w:firstColumn="1" w:lastColumn="0" w:oddVBand="0" w:evenVBand="0" w:oddHBand="0" w:evenHBand="0" w:firstRowFirstColumn="0" w:firstRowLastColumn="0" w:lastRowFirstColumn="0" w:lastRowLastColumn="0"/>
            <w:tcW w:w="10201" w:type="dxa"/>
          </w:tcPr>
          <w:p w:rsidR="0022421D" w:rsidRPr="00CF48DD" w:rsidRDefault="0022421D" w:rsidP="00871370">
            <w:pPr>
              <w:rPr>
                <w:b w:val="0"/>
                <w:sz w:val="20"/>
                <w:szCs w:val="20"/>
              </w:rPr>
            </w:pPr>
            <w:r w:rsidRPr="00CF48DD">
              <w:rPr>
                <w:b w:val="0"/>
                <w:sz w:val="20"/>
                <w:szCs w:val="20"/>
              </w:rPr>
              <w:t>Number of recurrent strokes</w:t>
            </w:r>
          </w:p>
        </w:tc>
        <w:tc>
          <w:tcPr>
            <w:tcW w:w="4189" w:type="dxa"/>
          </w:tcPr>
          <w:p w:rsidR="0022421D" w:rsidRPr="00CF48DD" w:rsidRDefault="0022421D" w:rsidP="00871370">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2,317 ± 4</w:t>
            </w:r>
          </w:p>
        </w:tc>
      </w:tr>
      <w:tr w:rsidR="0022421D" w:rsidRPr="00CF48DD" w:rsidTr="00871370">
        <w:tc>
          <w:tcPr>
            <w:cnfStyle w:val="001000000000" w:firstRow="0" w:lastRow="0" w:firstColumn="1" w:lastColumn="0" w:oddVBand="0" w:evenVBand="0" w:oddHBand="0" w:evenHBand="0" w:firstRowFirstColumn="0" w:firstRowLastColumn="0" w:lastRowFirstColumn="0" w:lastRowLastColumn="0"/>
            <w:tcW w:w="10201" w:type="dxa"/>
          </w:tcPr>
          <w:p w:rsidR="0022421D" w:rsidRPr="00CF48DD" w:rsidRDefault="0022421D" w:rsidP="00871370">
            <w:pPr>
              <w:rPr>
                <w:b w:val="0"/>
                <w:sz w:val="20"/>
                <w:szCs w:val="20"/>
              </w:rPr>
            </w:pPr>
            <w:r w:rsidRPr="00CF48DD">
              <w:rPr>
                <w:b w:val="0"/>
                <w:sz w:val="20"/>
                <w:szCs w:val="20"/>
              </w:rPr>
              <w:t>Number of stroke survivors in mRS 0-1</w:t>
            </w:r>
          </w:p>
        </w:tc>
        <w:tc>
          <w:tcPr>
            <w:tcW w:w="4189" w:type="dxa"/>
          </w:tcPr>
          <w:p w:rsidR="0022421D" w:rsidRPr="00CF48DD" w:rsidRDefault="0022421D" w:rsidP="00871370">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47,266 ± 18</w:t>
            </w:r>
          </w:p>
        </w:tc>
      </w:tr>
      <w:tr w:rsidR="0022421D" w:rsidRPr="00CF48DD" w:rsidTr="00871370">
        <w:tc>
          <w:tcPr>
            <w:cnfStyle w:val="001000000000" w:firstRow="0" w:lastRow="0" w:firstColumn="1" w:lastColumn="0" w:oddVBand="0" w:evenVBand="0" w:oddHBand="0" w:evenHBand="0" w:firstRowFirstColumn="0" w:firstRowLastColumn="0" w:lastRowFirstColumn="0" w:lastRowLastColumn="0"/>
            <w:tcW w:w="10201" w:type="dxa"/>
          </w:tcPr>
          <w:p w:rsidR="0022421D" w:rsidRPr="00CF48DD" w:rsidRDefault="0022421D" w:rsidP="00871370">
            <w:pPr>
              <w:rPr>
                <w:b w:val="0"/>
                <w:sz w:val="20"/>
                <w:szCs w:val="20"/>
              </w:rPr>
            </w:pPr>
            <w:r w:rsidRPr="00CF48DD">
              <w:rPr>
                <w:b w:val="0"/>
                <w:sz w:val="20"/>
                <w:szCs w:val="20"/>
              </w:rPr>
              <w:t>Number of stroke survivors in mRS2-3</w:t>
            </w:r>
          </w:p>
        </w:tc>
        <w:tc>
          <w:tcPr>
            <w:tcW w:w="4189" w:type="dxa"/>
          </w:tcPr>
          <w:p w:rsidR="0022421D" w:rsidRPr="00CF48DD" w:rsidRDefault="0022421D" w:rsidP="00871370">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23,834 ± 6</w:t>
            </w:r>
          </w:p>
        </w:tc>
      </w:tr>
      <w:tr w:rsidR="0022421D" w:rsidRPr="00CF48DD" w:rsidTr="00871370">
        <w:tc>
          <w:tcPr>
            <w:cnfStyle w:val="001000000000" w:firstRow="0" w:lastRow="0" w:firstColumn="1" w:lastColumn="0" w:oddVBand="0" w:evenVBand="0" w:oddHBand="0" w:evenHBand="0" w:firstRowFirstColumn="0" w:firstRowLastColumn="0" w:lastRowFirstColumn="0" w:lastRowLastColumn="0"/>
            <w:tcW w:w="10201" w:type="dxa"/>
          </w:tcPr>
          <w:p w:rsidR="0022421D" w:rsidRPr="00CF48DD" w:rsidRDefault="0022421D" w:rsidP="00871370">
            <w:pPr>
              <w:rPr>
                <w:b w:val="0"/>
                <w:sz w:val="20"/>
                <w:szCs w:val="20"/>
              </w:rPr>
            </w:pPr>
            <w:r w:rsidRPr="00CF48DD">
              <w:rPr>
                <w:b w:val="0"/>
                <w:sz w:val="20"/>
                <w:szCs w:val="20"/>
              </w:rPr>
              <w:t>Number of stroke survivors in mRS 4</w:t>
            </w:r>
          </w:p>
        </w:tc>
        <w:tc>
          <w:tcPr>
            <w:tcW w:w="4189" w:type="dxa"/>
          </w:tcPr>
          <w:p w:rsidR="0022421D" w:rsidRPr="00CF48DD" w:rsidRDefault="0022421D" w:rsidP="00871370">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14,983 ± 9</w:t>
            </w:r>
          </w:p>
        </w:tc>
      </w:tr>
      <w:tr w:rsidR="0022421D" w:rsidRPr="00CF48DD" w:rsidTr="00871370">
        <w:tc>
          <w:tcPr>
            <w:cnfStyle w:val="001000000000" w:firstRow="0" w:lastRow="0" w:firstColumn="1" w:lastColumn="0" w:oddVBand="0" w:evenVBand="0" w:oddHBand="0" w:evenHBand="0" w:firstRowFirstColumn="0" w:firstRowLastColumn="0" w:lastRowFirstColumn="0" w:lastRowLastColumn="0"/>
            <w:tcW w:w="10201" w:type="dxa"/>
          </w:tcPr>
          <w:p w:rsidR="0022421D" w:rsidRPr="00CF48DD" w:rsidRDefault="0022421D" w:rsidP="00871370">
            <w:pPr>
              <w:rPr>
                <w:b w:val="0"/>
                <w:sz w:val="20"/>
                <w:szCs w:val="20"/>
              </w:rPr>
            </w:pPr>
            <w:r w:rsidRPr="00CF48DD">
              <w:rPr>
                <w:b w:val="0"/>
                <w:sz w:val="20"/>
                <w:szCs w:val="20"/>
              </w:rPr>
              <w:t>Number of stroke survivors in mRS 5</w:t>
            </w:r>
          </w:p>
        </w:tc>
        <w:tc>
          <w:tcPr>
            <w:tcW w:w="4189" w:type="dxa"/>
          </w:tcPr>
          <w:p w:rsidR="0022421D" w:rsidRPr="00CF48DD" w:rsidRDefault="0022421D" w:rsidP="00871370">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5,030 ± 4</w:t>
            </w:r>
          </w:p>
        </w:tc>
      </w:tr>
      <w:tr w:rsidR="0022421D" w:rsidRPr="00CF48DD" w:rsidTr="00871370">
        <w:tc>
          <w:tcPr>
            <w:cnfStyle w:val="001000000000" w:firstRow="0" w:lastRow="0" w:firstColumn="1" w:lastColumn="0" w:oddVBand="0" w:evenVBand="0" w:oddHBand="0" w:evenHBand="0" w:firstRowFirstColumn="0" w:firstRowLastColumn="0" w:lastRowFirstColumn="0" w:lastRowLastColumn="0"/>
            <w:tcW w:w="10201" w:type="dxa"/>
          </w:tcPr>
          <w:p w:rsidR="0022421D" w:rsidRPr="00CF48DD" w:rsidRDefault="0022421D" w:rsidP="00871370">
            <w:pPr>
              <w:rPr>
                <w:b w:val="0"/>
                <w:sz w:val="20"/>
                <w:szCs w:val="20"/>
              </w:rPr>
            </w:pPr>
            <w:r w:rsidRPr="00CF48DD">
              <w:rPr>
                <w:b w:val="0"/>
                <w:sz w:val="20"/>
                <w:szCs w:val="20"/>
              </w:rPr>
              <w:t>Number of fatalities among first strokes</w:t>
            </w:r>
          </w:p>
        </w:tc>
        <w:tc>
          <w:tcPr>
            <w:tcW w:w="4189" w:type="dxa"/>
          </w:tcPr>
          <w:p w:rsidR="0022421D" w:rsidRPr="00CF48DD" w:rsidRDefault="0022421D" w:rsidP="00871370">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1,254 ± 3</w:t>
            </w:r>
          </w:p>
        </w:tc>
      </w:tr>
      <w:tr w:rsidR="0022421D" w:rsidRPr="00CF48DD" w:rsidTr="00871370">
        <w:tc>
          <w:tcPr>
            <w:cnfStyle w:val="001000000000" w:firstRow="0" w:lastRow="0" w:firstColumn="1" w:lastColumn="0" w:oddVBand="0" w:evenVBand="0" w:oddHBand="0" w:evenHBand="0" w:firstRowFirstColumn="0" w:firstRowLastColumn="0" w:lastRowFirstColumn="0" w:lastRowLastColumn="0"/>
            <w:tcW w:w="10201" w:type="dxa"/>
          </w:tcPr>
          <w:p w:rsidR="0022421D" w:rsidRPr="00CF48DD" w:rsidRDefault="0022421D" w:rsidP="00871370">
            <w:pPr>
              <w:rPr>
                <w:b w:val="0"/>
                <w:sz w:val="20"/>
                <w:szCs w:val="20"/>
              </w:rPr>
            </w:pPr>
            <w:r w:rsidRPr="00CF48DD">
              <w:rPr>
                <w:b w:val="0"/>
                <w:sz w:val="20"/>
                <w:szCs w:val="20"/>
              </w:rPr>
              <w:t>Number of fatalities among recurrent strokes</w:t>
            </w:r>
          </w:p>
        </w:tc>
        <w:tc>
          <w:tcPr>
            <w:tcW w:w="4189" w:type="dxa"/>
          </w:tcPr>
          <w:p w:rsidR="0022421D" w:rsidRPr="00CF48DD" w:rsidRDefault="0022421D" w:rsidP="00871370">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340 ± 1</w:t>
            </w:r>
          </w:p>
        </w:tc>
      </w:tr>
      <w:tr w:rsidR="0022421D" w:rsidRPr="00CF48DD" w:rsidTr="00871370">
        <w:tc>
          <w:tcPr>
            <w:cnfStyle w:val="001000000000" w:firstRow="0" w:lastRow="0" w:firstColumn="1" w:lastColumn="0" w:oddVBand="0" w:evenVBand="0" w:oddHBand="0" w:evenHBand="0" w:firstRowFirstColumn="0" w:firstRowLastColumn="0" w:lastRowFirstColumn="0" w:lastRowLastColumn="0"/>
            <w:tcW w:w="10201" w:type="dxa"/>
          </w:tcPr>
          <w:p w:rsidR="0022421D" w:rsidRPr="00CF48DD" w:rsidRDefault="0022421D" w:rsidP="00871370">
            <w:pPr>
              <w:rPr>
                <w:b w:val="0"/>
                <w:sz w:val="20"/>
                <w:szCs w:val="20"/>
              </w:rPr>
            </w:pPr>
            <w:r w:rsidRPr="00CF48DD">
              <w:rPr>
                <w:b w:val="0"/>
                <w:sz w:val="20"/>
                <w:szCs w:val="20"/>
              </w:rPr>
              <w:t>Number of strokes receiving tPA only</w:t>
            </w:r>
          </w:p>
        </w:tc>
        <w:tc>
          <w:tcPr>
            <w:tcW w:w="4189" w:type="dxa"/>
          </w:tcPr>
          <w:p w:rsidR="0022421D" w:rsidRPr="00CF48DD" w:rsidRDefault="0022421D" w:rsidP="00871370">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1,638 ± 1</w:t>
            </w:r>
          </w:p>
        </w:tc>
      </w:tr>
      <w:tr w:rsidR="0022421D" w:rsidRPr="00CF48DD" w:rsidTr="00871370">
        <w:tc>
          <w:tcPr>
            <w:cnfStyle w:val="001000000000" w:firstRow="0" w:lastRow="0" w:firstColumn="1" w:lastColumn="0" w:oddVBand="0" w:evenVBand="0" w:oddHBand="0" w:evenHBand="0" w:firstRowFirstColumn="0" w:firstRowLastColumn="0" w:lastRowFirstColumn="0" w:lastRowLastColumn="0"/>
            <w:tcW w:w="10201" w:type="dxa"/>
          </w:tcPr>
          <w:p w:rsidR="0022421D" w:rsidRPr="00CF48DD" w:rsidRDefault="0022421D" w:rsidP="00871370">
            <w:pPr>
              <w:rPr>
                <w:b w:val="0"/>
                <w:sz w:val="20"/>
                <w:szCs w:val="20"/>
              </w:rPr>
            </w:pPr>
            <w:r w:rsidRPr="00CF48DD">
              <w:rPr>
                <w:b w:val="0"/>
                <w:sz w:val="20"/>
                <w:szCs w:val="20"/>
              </w:rPr>
              <w:t>Number of strokes receiving EVT only</w:t>
            </w:r>
          </w:p>
        </w:tc>
        <w:tc>
          <w:tcPr>
            <w:tcW w:w="4189" w:type="dxa"/>
          </w:tcPr>
          <w:p w:rsidR="0022421D" w:rsidRPr="00CF48DD" w:rsidRDefault="0022421D" w:rsidP="00871370">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228 ± 0</w:t>
            </w:r>
          </w:p>
        </w:tc>
      </w:tr>
      <w:tr w:rsidR="0022421D" w:rsidRPr="00CF48DD" w:rsidTr="00871370">
        <w:tc>
          <w:tcPr>
            <w:cnfStyle w:val="001000000000" w:firstRow="0" w:lastRow="0" w:firstColumn="1" w:lastColumn="0" w:oddVBand="0" w:evenVBand="0" w:oddHBand="0" w:evenHBand="0" w:firstRowFirstColumn="0" w:firstRowLastColumn="0" w:lastRowFirstColumn="0" w:lastRowLastColumn="0"/>
            <w:tcW w:w="10201" w:type="dxa"/>
          </w:tcPr>
          <w:p w:rsidR="0022421D" w:rsidRPr="00CF48DD" w:rsidRDefault="0022421D" w:rsidP="00871370">
            <w:pPr>
              <w:rPr>
                <w:b w:val="0"/>
                <w:sz w:val="20"/>
                <w:szCs w:val="20"/>
              </w:rPr>
            </w:pPr>
            <w:r w:rsidRPr="00CF48DD">
              <w:rPr>
                <w:b w:val="0"/>
                <w:sz w:val="20"/>
                <w:szCs w:val="20"/>
              </w:rPr>
              <w:t>Number of strokes receiving both tPA and EVT</w:t>
            </w:r>
          </w:p>
        </w:tc>
        <w:tc>
          <w:tcPr>
            <w:tcW w:w="4189" w:type="dxa"/>
          </w:tcPr>
          <w:p w:rsidR="0022421D" w:rsidRPr="00CF48DD" w:rsidRDefault="0022421D" w:rsidP="00871370">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117 ± 0</w:t>
            </w:r>
          </w:p>
        </w:tc>
      </w:tr>
      <w:tr w:rsidR="0022421D" w:rsidRPr="00CF48DD" w:rsidTr="00871370">
        <w:tc>
          <w:tcPr>
            <w:cnfStyle w:val="001000000000" w:firstRow="0" w:lastRow="0" w:firstColumn="1" w:lastColumn="0" w:oddVBand="0" w:evenVBand="0" w:oddHBand="0" w:evenHBand="0" w:firstRowFirstColumn="0" w:firstRowLastColumn="0" w:lastRowFirstColumn="0" w:lastRowLastColumn="0"/>
            <w:tcW w:w="10201" w:type="dxa"/>
          </w:tcPr>
          <w:p w:rsidR="0022421D" w:rsidRPr="00CF48DD" w:rsidRDefault="0022421D" w:rsidP="00871370">
            <w:pPr>
              <w:rPr>
                <w:b w:val="0"/>
                <w:sz w:val="20"/>
                <w:szCs w:val="20"/>
              </w:rPr>
            </w:pPr>
            <w:r w:rsidRPr="00CF48DD">
              <w:rPr>
                <w:b w:val="0"/>
                <w:sz w:val="20"/>
                <w:szCs w:val="20"/>
              </w:rPr>
              <w:t>Number of strokes treated in ASU</w:t>
            </w:r>
          </w:p>
        </w:tc>
        <w:tc>
          <w:tcPr>
            <w:tcW w:w="4189" w:type="dxa"/>
          </w:tcPr>
          <w:p w:rsidR="0022421D" w:rsidRPr="00CF48DD" w:rsidRDefault="0022421D" w:rsidP="00871370">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9,411 ± 3</w:t>
            </w:r>
          </w:p>
        </w:tc>
      </w:tr>
      <w:tr w:rsidR="0022421D" w:rsidRPr="00CF48DD" w:rsidTr="00871370">
        <w:trPr>
          <w:trHeight w:val="377"/>
        </w:trPr>
        <w:tc>
          <w:tcPr>
            <w:cnfStyle w:val="001000000000" w:firstRow="0" w:lastRow="0" w:firstColumn="1" w:lastColumn="0" w:oddVBand="0" w:evenVBand="0" w:oddHBand="0" w:evenHBand="0" w:firstRowFirstColumn="0" w:firstRowLastColumn="0" w:lastRowFirstColumn="0" w:lastRowLastColumn="0"/>
            <w:tcW w:w="10201" w:type="dxa"/>
          </w:tcPr>
          <w:p w:rsidR="0022421D" w:rsidRPr="00CF48DD" w:rsidRDefault="0022421D" w:rsidP="00871370">
            <w:pPr>
              <w:rPr>
                <w:b w:val="0"/>
                <w:sz w:val="20"/>
                <w:szCs w:val="20"/>
              </w:rPr>
            </w:pPr>
            <w:r w:rsidRPr="00CF48DD">
              <w:rPr>
                <w:b w:val="0"/>
                <w:sz w:val="20"/>
                <w:szCs w:val="20"/>
              </w:rPr>
              <w:t>Number of strokes receiving out-of-hospital rehabilitation</w:t>
            </w:r>
          </w:p>
        </w:tc>
        <w:tc>
          <w:tcPr>
            <w:tcW w:w="4189" w:type="dxa"/>
          </w:tcPr>
          <w:p w:rsidR="0022421D" w:rsidRPr="00CF48DD" w:rsidRDefault="0022421D" w:rsidP="00871370">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4,873 ± 2</w:t>
            </w:r>
          </w:p>
        </w:tc>
      </w:tr>
      <w:tr w:rsidR="0022421D" w:rsidRPr="00CF48DD" w:rsidTr="00871370">
        <w:tc>
          <w:tcPr>
            <w:cnfStyle w:val="001000000000" w:firstRow="0" w:lastRow="0" w:firstColumn="1" w:lastColumn="0" w:oddVBand="0" w:evenVBand="0" w:oddHBand="0" w:evenHBand="0" w:firstRowFirstColumn="0" w:firstRowLastColumn="0" w:lastRowFirstColumn="0" w:lastRowLastColumn="0"/>
            <w:tcW w:w="10201" w:type="dxa"/>
          </w:tcPr>
          <w:p w:rsidR="0022421D" w:rsidRPr="00CF48DD" w:rsidRDefault="0022421D" w:rsidP="00871370">
            <w:pPr>
              <w:rPr>
                <w:b w:val="0"/>
                <w:sz w:val="20"/>
                <w:szCs w:val="20"/>
              </w:rPr>
            </w:pPr>
            <w:r w:rsidRPr="00CF48DD">
              <w:rPr>
                <w:b w:val="0"/>
                <w:sz w:val="20"/>
                <w:szCs w:val="20"/>
              </w:rPr>
              <w:t>Number of stroke patients under secondary prevention</w:t>
            </w:r>
          </w:p>
        </w:tc>
        <w:tc>
          <w:tcPr>
            <w:tcW w:w="4189" w:type="dxa"/>
          </w:tcPr>
          <w:p w:rsidR="0022421D" w:rsidRPr="00CF48DD" w:rsidRDefault="0022421D" w:rsidP="00871370">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CF48DD">
              <w:rPr>
                <w:sz w:val="20"/>
                <w:szCs w:val="20"/>
              </w:rPr>
              <w:t>56,174 ± 0</w:t>
            </w:r>
          </w:p>
        </w:tc>
      </w:tr>
      <w:tr w:rsidR="0022421D" w:rsidRPr="00CF48DD" w:rsidTr="00871370">
        <w:tc>
          <w:tcPr>
            <w:cnfStyle w:val="001000000000" w:firstRow="0" w:lastRow="0" w:firstColumn="1" w:lastColumn="0" w:oddVBand="0" w:evenVBand="0" w:oddHBand="0" w:evenHBand="0" w:firstRowFirstColumn="0" w:firstRowLastColumn="0" w:lastRowFirstColumn="0" w:lastRowLastColumn="0"/>
            <w:tcW w:w="10201" w:type="dxa"/>
          </w:tcPr>
          <w:p w:rsidR="0022421D" w:rsidRPr="00CF48DD" w:rsidRDefault="0022421D" w:rsidP="00871370">
            <w:pPr>
              <w:rPr>
                <w:b w:val="0"/>
                <w:sz w:val="20"/>
                <w:szCs w:val="20"/>
              </w:rPr>
            </w:pPr>
            <w:r w:rsidRPr="00CF48DD">
              <w:rPr>
                <w:b w:val="0"/>
                <w:sz w:val="20"/>
                <w:szCs w:val="20"/>
              </w:rPr>
              <w:t>Cumulative discounted estimated costs (SGD)</w:t>
            </w:r>
          </w:p>
        </w:tc>
        <w:tc>
          <w:tcPr>
            <w:tcW w:w="4189" w:type="dxa"/>
          </w:tcPr>
          <w:p w:rsidR="0022421D" w:rsidRPr="00CF48DD" w:rsidRDefault="0022421D" w:rsidP="00871370">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CF48DD">
              <w:rPr>
                <w:sz w:val="20"/>
                <w:szCs w:val="20"/>
              </w:rPr>
              <w:t>7,436,902,751 ± 6,184,640</w:t>
            </w:r>
          </w:p>
        </w:tc>
      </w:tr>
      <w:tr w:rsidR="0022421D" w:rsidRPr="00CF48DD" w:rsidTr="00871370">
        <w:tc>
          <w:tcPr>
            <w:cnfStyle w:val="001000000000" w:firstRow="0" w:lastRow="0" w:firstColumn="1" w:lastColumn="0" w:oddVBand="0" w:evenVBand="0" w:oddHBand="0" w:evenHBand="0" w:firstRowFirstColumn="0" w:firstRowLastColumn="0" w:lastRowFirstColumn="0" w:lastRowLastColumn="0"/>
            <w:tcW w:w="10201" w:type="dxa"/>
          </w:tcPr>
          <w:p w:rsidR="0022421D" w:rsidRPr="00CF48DD" w:rsidRDefault="0022421D" w:rsidP="00871370">
            <w:pPr>
              <w:rPr>
                <w:b w:val="0"/>
                <w:sz w:val="20"/>
                <w:szCs w:val="20"/>
              </w:rPr>
            </w:pPr>
            <w:r w:rsidRPr="00CF48DD">
              <w:rPr>
                <w:b w:val="0"/>
                <w:sz w:val="20"/>
                <w:szCs w:val="20"/>
              </w:rPr>
              <w:t>Number of cumulative discounted estimated QALYs</w:t>
            </w:r>
          </w:p>
        </w:tc>
        <w:tc>
          <w:tcPr>
            <w:tcW w:w="4189" w:type="dxa"/>
          </w:tcPr>
          <w:p w:rsidR="0022421D" w:rsidRPr="00CF48DD" w:rsidRDefault="0022421D" w:rsidP="00871370">
            <w:pPr>
              <w:cnfStyle w:val="000000000000" w:firstRow="0" w:lastRow="0" w:firstColumn="0" w:lastColumn="0" w:oddVBand="0" w:evenVBand="0" w:oddHBand="0" w:evenHBand="0" w:firstRowFirstColumn="0" w:firstRowLastColumn="0" w:lastRowFirstColumn="0" w:lastRowLastColumn="0"/>
              <w:rPr>
                <w:sz w:val="20"/>
                <w:szCs w:val="20"/>
              </w:rPr>
            </w:pPr>
            <w:r w:rsidRPr="00CF48DD">
              <w:rPr>
                <w:sz w:val="20"/>
                <w:szCs w:val="20"/>
              </w:rPr>
              <w:t>557,247 ± 87</w:t>
            </w:r>
          </w:p>
        </w:tc>
      </w:tr>
      <w:tr w:rsidR="0022421D" w:rsidRPr="00CF48DD" w:rsidTr="00871370">
        <w:tc>
          <w:tcPr>
            <w:cnfStyle w:val="001000000000" w:firstRow="0" w:lastRow="0" w:firstColumn="1" w:lastColumn="0" w:oddVBand="0" w:evenVBand="0" w:oddHBand="0" w:evenHBand="0" w:firstRowFirstColumn="0" w:firstRowLastColumn="0" w:lastRowFirstColumn="0" w:lastRowLastColumn="0"/>
            <w:tcW w:w="10201" w:type="dxa"/>
          </w:tcPr>
          <w:p w:rsidR="0022421D" w:rsidRPr="00CF48DD" w:rsidRDefault="0022421D" w:rsidP="00871370">
            <w:pPr>
              <w:rPr>
                <w:b w:val="0"/>
                <w:sz w:val="20"/>
                <w:szCs w:val="20"/>
              </w:rPr>
            </w:pPr>
            <w:r w:rsidRPr="00CF48DD">
              <w:rPr>
                <w:b w:val="0"/>
                <w:sz w:val="20"/>
                <w:szCs w:val="20"/>
              </w:rPr>
              <w:t>Difference in cumulative discounted estimated costs (compared to Status Quo)</w:t>
            </w:r>
          </w:p>
        </w:tc>
        <w:tc>
          <w:tcPr>
            <w:tcW w:w="4189" w:type="dxa"/>
          </w:tcPr>
          <w:p w:rsidR="0022421D" w:rsidRPr="00CF48DD" w:rsidRDefault="0022421D" w:rsidP="00871370">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CF48DD">
              <w:rPr>
                <w:sz w:val="20"/>
                <w:szCs w:val="20"/>
              </w:rPr>
              <w:t>336,855,678 ± 754,137</w:t>
            </w:r>
          </w:p>
        </w:tc>
      </w:tr>
      <w:tr w:rsidR="0022421D" w:rsidRPr="00CF48DD" w:rsidTr="00871370">
        <w:tc>
          <w:tcPr>
            <w:cnfStyle w:val="001000000000" w:firstRow="0" w:lastRow="0" w:firstColumn="1" w:lastColumn="0" w:oddVBand="0" w:evenVBand="0" w:oddHBand="0" w:evenHBand="0" w:firstRowFirstColumn="0" w:firstRowLastColumn="0" w:lastRowFirstColumn="0" w:lastRowLastColumn="0"/>
            <w:tcW w:w="10201" w:type="dxa"/>
          </w:tcPr>
          <w:p w:rsidR="0022421D" w:rsidRPr="00CF48DD" w:rsidRDefault="0022421D" w:rsidP="00871370">
            <w:pPr>
              <w:rPr>
                <w:b w:val="0"/>
                <w:sz w:val="20"/>
                <w:szCs w:val="20"/>
              </w:rPr>
            </w:pPr>
            <w:r w:rsidRPr="00CF48DD">
              <w:rPr>
                <w:b w:val="0"/>
                <w:sz w:val="20"/>
                <w:szCs w:val="20"/>
              </w:rPr>
              <w:t>Net Monetary Benefits (SGD)</w:t>
            </w:r>
          </w:p>
        </w:tc>
        <w:tc>
          <w:tcPr>
            <w:tcW w:w="4189" w:type="dxa"/>
          </w:tcPr>
          <w:p w:rsidR="0022421D" w:rsidRPr="00CF48DD" w:rsidRDefault="0022421D" w:rsidP="00871370">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CF48DD">
              <w:rPr>
                <w:sz w:val="20"/>
                <w:szCs w:val="20"/>
              </w:rPr>
              <w:t>324,113,685 ± 1,019,401</w:t>
            </w:r>
          </w:p>
        </w:tc>
      </w:tr>
      <w:tr w:rsidR="0022421D" w:rsidRPr="00CF48DD" w:rsidTr="00871370">
        <w:tc>
          <w:tcPr>
            <w:cnfStyle w:val="001000000000" w:firstRow="0" w:lastRow="0" w:firstColumn="1" w:lastColumn="0" w:oddVBand="0" w:evenVBand="0" w:oddHBand="0" w:evenHBand="0" w:firstRowFirstColumn="0" w:firstRowLastColumn="0" w:lastRowFirstColumn="0" w:lastRowLastColumn="0"/>
            <w:tcW w:w="10201" w:type="dxa"/>
          </w:tcPr>
          <w:p w:rsidR="0022421D" w:rsidRPr="00CF48DD" w:rsidRDefault="0022421D" w:rsidP="00871370">
            <w:pPr>
              <w:rPr>
                <w:b w:val="0"/>
                <w:sz w:val="20"/>
                <w:szCs w:val="20"/>
              </w:rPr>
            </w:pPr>
            <w:r w:rsidRPr="00CF48DD">
              <w:rPr>
                <w:b w:val="0"/>
                <w:sz w:val="20"/>
                <w:szCs w:val="20"/>
              </w:rPr>
              <w:t>Net Health Benefits (QALYs)</w:t>
            </w:r>
          </w:p>
        </w:tc>
        <w:tc>
          <w:tcPr>
            <w:tcW w:w="4189" w:type="dxa"/>
          </w:tcPr>
          <w:p w:rsidR="0022421D" w:rsidRPr="00CF48DD" w:rsidRDefault="0022421D" w:rsidP="00871370">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CF48DD">
              <w:rPr>
                <w:sz w:val="20"/>
                <w:szCs w:val="20"/>
              </w:rPr>
              <w:t>4,630 ± 15</w:t>
            </w:r>
          </w:p>
        </w:tc>
      </w:tr>
    </w:tbl>
    <w:p w:rsidR="0022421D" w:rsidRPr="00CF48DD" w:rsidRDefault="0022421D" w:rsidP="0022421D">
      <w:pPr>
        <w:rPr>
          <w:sz w:val="20"/>
          <w:szCs w:val="20"/>
        </w:rPr>
      </w:pPr>
    </w:p>
    <w:p w:rsidR="0022421D" w:rsidRPr="00CF48DD" w:rsidRDefault="0022421D" w:rsidP="0022421D">
      <w:pPr>
        <w:pStyle w:val="EndNoteBibliography"/>
        <w:spacing w:line="480" w:lineRule="auto"/>
        <w:ind w:left="720" w:hanging="720"/>
        <w:rPr>
          <w:sz w:val="20"/>
          <w:szCs w:val="20"/>
        </w:rPr>
      </w:pPr>
    </w:p>
    <w:p w:rsidR="0022421D" w:rsidRDefault="0022421D">
      <w:pPr>
        <w:spacing w:after="160" w:line="259" w:lineRule="auto"/>
      </w:pPr>
      <w:r>
        <w:br w:type="page"/>
      </w:r>
    </w:p>
    <w:p w:rsidR="0022421D" w:rsidRDefault="0022421D">
      <w:pPr>
        <w:spacing w:after="160" w:line="259" w:lineRule="auto"/>
      </w:pPr>
    </w:p>
    <w:p w:rsidR="00465ACB" w:rsidRDefault="00465ACB" w:rsidP="000A47C5">
      <w:pPr>
        <w:pStyle w:val="Heading1"/>
        <w:ind w:left="432"/>
      </w:pPr>
      <w:r>
        <w:t>Tables</w:t>
      </w:r>
    </w:p>
    <w:p w:rsidR="00465ACB" w:rsidRPr="00CF48DD" w:rsidRDefault="00465ACB" w:rsidP="000A47C5">
      <w:pPr>
        <w:pStyle w:val="Tabletitle"/>
      </w:pPr>
      <w:r w:rsidRPr="00CF48DD">
        <w:t xml:space="preserve">Table </w:t>
      </w:r>
      <w:r>
        <w:t>1</w:t>
      </w:r>
      <w:r w:rsidRPr="00CF48DD">
        <w:t xml:space="preserve">. </w:t>
      </w:r>
      <w:r>
        <w:t>Module description</w:t>
      </w:r>
    </w:p>
    <w:tbl>
      <w:tblPr>
        <w:tblStyle w:val="TableGrid"/>
        <w:tblW w:w="0" w:type="auto"/>
        <w:tblLook w:val="04A0" w:firstRow="1" w:lastRow="0" w:firstColumn="1" w:lastColumn="0" w:noHBand="0" w:noVBand="1"/>
      </w:tblPr>
      <w:tblGrid>
        <w:gridCol w:w="4511"/>
        <w:gridCol w:w="4515"/>
      </w:tblGrid>
      <w:tr w:rsidR="00465ACB" w:rsidRPr="00B00324" w:rsidTr="000A47C5">
        <w:tc>
          <w:tcPr>
            <w:tcW w:w="4675" w:type="dxa"/>
            <w:tcBorders>
              <w:left w:val="nil"/>
              <w:right w:val="nil"/>
            </w:tcBorders>
          </w:tcPr>
          <w:p w:rsidR="00465ACB" w:rsidRPr="00014DA9" w:rsidRDefault="00465ACB" w:rsidP="000A47C5">
            <w:pPr>
              <w:pStyle w:val="NormalWeb"/>
              <w:spacing w:before="0" w:beforeAutospacing="0" w:after="0" w:afterAutospacing="0" w:line="480" w:lineRule="auto"/>
              <w:rPr>
                <w:b/>
                <w:color w:val="000000" w:themeColor="text1"/>
                <w:kern w:val="24"/>
                <w:sz w:val="20"/>
                <w:szCs w:val="20"/>
                <w:lang w:val="en-US"/>
              </w:rPr>
            </w:pPr>
            <w:r w:rsidRPr="00014DA9">
              <w:rPr>
                <w:b/>
                <w:color w:val="000000" w:themeColor="text1"/>
                <w:kern w:val="24"/>
                <w:sz w:val="20"/>
                <w:szCs w:val="20"/>
                <w:lang w:val="en-US"/>
              </w:rPr>
              <w:t>Module</w:t>
            </w:r>
          </w:p>
        </w:tc>
        <w:tc>
          <w:tcPr>
            <w:tcW w:w="4675" w:type="dxa"/>
            <w:tcBorders>
              <w:left w:val="nil"/>
              <w:right w:val="nil"/>
            </w:tcBorders>
          </w:tcPr>
          <w:p w:rsidR="00465ACB" w:rsidRPr="00014DA9" w:rsidRDefault="00465ACB" w:rsidP="000A47C5">
            <w:pPr>
              <w:pStyle w:val="NormalWeb"/>
              <w:spacing w:before="0" w:beforeAutospacing="0" w:after="0" w:afterAutospacing="0" w:line="480" w:lineRule="auto"/>
              <w:rPr>
                <w:b/>
                <w:color w:val="000000" w:themeColor="text1"/>
                <w:kern w:val="24"/>
                <w:sz w:val="20"/>
                <w:szCs w:val="20"/>
                <w:lang w:val="en-US"/>
              </w:rPr>
            </w:pPr>
            <w:r w:rsidRPr="00014DA9">
              <w:rPr>
                <w:b/>
                <w:color w:val="000000" w:themeColor="text1"/>
                <w:kern w:val="24"/>
                <w:sz w:val="20"/>
                <w:szCs w:val="20"/>
                <w:lang w:val="en-US"/>
              </w:rPr>
              <w:t>Module description</w:t>
            </w:r>
          </w:p>
        </w:tc>
      </w:tr>
      <w:tr w:rsidR="00465ACB" w:rsidRPr="00B00324" w:rsidTr="000A47C5">
        <w:tc>
          <w:tcPr>
            <w:tcW w:w="4675" w:type="dxa"/>
            <w:tcBorders>
              <w:left w:val="nil"/>
              <w:right w:val="nil"/>
            </w:tcBorders>
          </w:tcPr>
          <w:p w:rsidR="00465ACB" w:rsidRPr="00B00324" w:rsidRDefault="00465ACB" w:rsidP="000A47C5">
            <w:pPr>
              <w:pStyle w:val="NormalWeb"/>
              <w:spacing w:before="0" w:beforeAutospacing="0" w:after="0" w:afterAutospacing="0" w:line="480" w:lineRule="auto"/>
              <w:rPr>
                <w:bCs/>
                <w:color w:val="000000" w:themeColor="text1"/>
                <w:kern w:val="24"/>
                <w:sz w:val="20"/>
                <w:szCs w:val="20"/>
                <w:lang w:val="en-US"/>
              </w:rPr>
            </w:pPr>
            <w:r w:rsidRPr="00B00324">
              <w:rPr>
                <w:bCs/>
                <w:color w:val="000000" w:themeColor="text1"/>
                <w:kern w:val="24"/>
                <w:sz w:val="20"/>
                <w:szCs w:val="20"/>
                <w:lang w:val="en-US"/>
              </w:rPr>
              <w:t>Stroke Population</w:t>
            </w:r>
          </w:p>
        </w:tc>
        <w:tc>
          <w:tcPr>
            <w:tcW w:w="4675" w:type="dxa"/>
            <w:tcBorders>
              <w:left w:val="nil"/>
              <w:right w:val="nil"/>
            </w:tcBorders>
          </w:tcPr>
          <w:p w:rsidR="00465ACB" w:rsidRPr="00B00324" w:rsidRDefault="00465ACB" w:rsidP="000A47C5">
            <w:pPr>
              <w:pStyle w:val="NormalWeb"/>
              <w:spacing w:before="0" w:beforeAutospacing="0" w:after="0" w:afterAutospacing="0" w:line="480" w:lineRule="auto"/>
              <w:rPr>
                <w:bCs/>
                <w:color w:val="000000" w:themeColor="text1"/>
                <w:kern w:val="24"/>
                <w:sz w:val="20"/>
                <w:szCs w:val="20"/>
                <w:lang w:val="en-US"/>
              </w:rPr>
            </w:pPr>
            <w:r w:rsidRPr="00B00324">
              <w:rPr>
                <w:bCs/>
                <w:color w:val="000000" w:themeColor="text1"/>
                <w:kern w:val="24"/>
                <w:sz w:val="20"/>
                <w:szCs w:val="20"/>
                <w:lang w:val="en-US"/>
              </w:rPr>
              <w:t xml:space="preserve">The main module of the model (see </w:t>
            </w:r>
            <w:r>
              <w:rPr>
                <w:bCs/>
                <w:color w:val="000000" w:themeColor="text1"/>
                <w:kern w:val="24"/>
                <w:sz w:val="20"/>
                <w:szCs w:val="20"/>
                <w:lang w:val="en-US"/>
              </w:rPr>
              <w:t>Figure 1B</w:t>
            </w:r>
            <w:r w:rsidRPr="00B00324">
              <w:rPr>
                <w:bCs/>
                <w:color w:val="000000" w:themeColor="text1"/>
                <w:kern w:val="24"/>
                <w:sz w:val="20"/>
                <w:szCs w:val="20"/>
                <w:lang w:val="en-US"/>
              </w:rPr>
              <w:t xml:space="preserve">) is accounting for the population of recent (within 3 months) and non-recent stroke survivors distinguished according to </w:t>
            </w:r>
            <w:r>
              <w:rPr>
                <w:bCs/>
                <w:color w:val="000000" w:themeColor="text1"/>
                <w:kern w:val="24"/>
                <w:sz w:val="20"/>
                <w:szCs w:val="20"/>
                <w:lang w:val="en-US"/>
              </w:rPr>
              <w:t>dependency</w:t>
            </w:r>
            <w:r w:rsidRPr="00B00324">
              <w:rPr>
                <w:bCs/>
                <w:color w:val="000000" w:themeColor="text1"/>
                <w:kern w:val="24"/>
                <w:sz w:val="20"/>
                <w:szCs w:val="20"/>
                <w:lang w:val="en-US"/>
              </w:rPr>
              <w:t xml:space="preserve"> categories (mRS) and age.</w:t>
            </w:r>
          </w:p>
        </w:tc>
      </w:tr>
      <w:tr w:rsidR="00465ACB" w:rsidRPr="00B00324" w:rsidTr="000A47C5">
        <w:tc>
          <w:tcPr>
            <w:tcW w:w="4675" w:type="dxa"/>
            <w:tcBorders>
              <w:left w:val="nil"/>
              <w:right w:val="nil"/>
            </w:tcBorders>
          </w:tcPr>
          <w:p w:rsidR="00465ACB" w:rsidRPr="00B00324" w:rsidRDefault="00465ACB" w:rsidP="000A47C5">
            <w:pPr>
              <w:pStyle w:val="NormalWeb"/>
              <w:spacing w:before="0" w:beforeAutospacing="0" w:after="0" w:afterAutospacing="0" w:line="480" w:lineRule="auto"/>
              <w:rPr>
                <w:bCs/>
                <w:color w:val="000000" w:themeColor="text1"/>
                <w:kern w:val="24"/>
                <w:sz w:val="20"/>
                <w:szCs w:val="20"/>
                <w:lang w:val="en-US"/>
              </w:rPr>
            </w:pPr>
            <w:r w:rsidRPr="00B00324">
              <w:rPr>
                <w:bCs/>
                <w:color w:val="000000" w:themeColor="text1"/>
                <w:kern w:val="24"/>
                <w:sz w:val="20"/>
                <w:szCs w:val="20"/>
                <w:lang w:val="en-US"/>
              </w:rPr>
              <w:t>Singapore population</w:t>
            </w:r>
          </w:p>
        </w:tc>
        <w:tc>
          <w:tcPr>
            <w:tcW w:w="4675" w:type="dxa"/>
            <w:tcBorders>
              <w:left w:val="nil"/>
              <w:right w:val="nil"/>
            </w:tcBorders>
          </w:tcPr>
          <w:p w:rsidR="00465ACB" w:rsidRPr="00B00324" w:rsidRDefault="00465ACB" w:rsidP="000A47C5">
            <w:pPr>
              <w:pStyle w:val="NormalWeb"/>
              <w:spacing w:before="0" w:beforeAutospacing="0" w:after="0" w:afterAutospacing="0" w:line="480" w:lineRule="auto"/>
              <w:rPr>
                <w:bCs/>
                <w:color w:val="000000" w:themeColor="text1"/>
                <w:kern w:val="24"/>
                <w:sz w:val="20"/>
                <w:szCs w:val="20"/>
                <w:lang w:val="en-US"/>
              </w:rPr>
            </w:pPr>
            <w:r w:rsidRPr="00B00324">
              <w:rPr>
                <w:bCs/>
                <w:color w:val="000000" w:themeColor="text1"/>
                <w:kern w:val="24"/>
                <w:sz w:val="20"/>
                <w:szCs w:val="20"/>
                <w:lang w:val="en-US"/>
              </w:rPr>
              <w:t>This module captures demographic change over time, which influences the incidence of first strokes.</w:t>
            </w:r>
          </w:p>
        </w:tc>
      </w:tr>
      <w:tr w:rsidR="00465ACB" w:rsidRPr="00B00324" w:rsidTr="000A47C5">
        <w:tc>
          <w:tcPr>
            <w:tcW w:w="4675" w:type="dxa"/>
            <w:tcBorders>
              <w:left w:val="nil"/>
              <w:right w:val="nil"/>
            </w:tcBorders>
          </w:tcPr>
          <w:p w:rsidR="00465ACB" w:rsidRPr="00B00324" w:rsidRDefault="00465ACB" w:rsidP="000A47C5">
            <w:pPr>
              <w:pStyle w:val="NormalWeb"/>
              <w:spacing w:before="0" w:beforeAutospacing="0" w:after="0" w:afterAutospacing="0" w:line="480" w:lineRule="auto"/>
              <w:rPr>
                <w:bCs/>
                <w:color w:val="000000" w:themeColor="text1"/>
                <w:kern w:val="24"/>
                <w:sz w:val="20"/>
                <w:szCs w:val="20"/>
                <w:lang w:val="en-US"/>
              </w:rPr>
            </w:pPr>
            <w:r w:rsidRPr="00B00324">
              <w:rPr>
                <w:bCs/>
                <w:color w:val="000000" w:themeColor="text1"/>
                <w:kern w:val="24"/>
                <w:sz w:val="20"/>
                <w:szCs w:val="20"/>
                <w:lang w:val="en-US"/>
              </w:rPr>
              <w:t>Stroke – fatal &amp; survived</w:t>
            </w:r>
          </w:p>
          <w:p w:rsidR="00465ACB" w:rsidRPr="00B00324" w:rsidRDefault="00465ACB" w:rsidP="000A47C5">
            <w:pPr>
              <w:pStyle w:val="NormalWeb"/>
              <w:spacing w:before="0" w:beforeAutospacing="0" w:after="0" w:afterAutospacing="0" w:line="480" w:lineRule="auto"/>
              <w:rPr>
                <w:bCs/>
                <w:color w:val="000000" w:themeColor="text1"/>
                <w:kern w:val="24"/>
                <w:sz w:val="20"/>
                <w:szCs w:val="20"/>
                <w:lang w:val="en-US"/>
              </w:rPr>
            </w:pPr>
          </w:p>
        </w:tc>
        <w:tc>
          <w:tcPr>
            <w:tcW w:w="4675" w:type="dxa"/>
            <w:tcBorders>
              <w:left w:val="nil"/>
              <w:right w:val="nil"/>
            </w:tcBorders>
          </w:tcPr>
          <w:p w:rsidR="00465ACB" w:rsidRPr="00B00324" w:rsidRDefault="00465ACB" w:rsidP="000A47C5">
            <w:pPr>
              <w:pStyle w:val="NormalWeb"/>
              <w:spacing w:before="0" w:beforeAutospacing="0" w:after="0" w:afterAutospacing="0" w:line="480" w:lineRule="auto"/>
              <w:rPr>
                <w:bCs/>
                <w:color w:val="000000" w:themeColor="text1"/>
                <w:kern w:val="24"/>
                <w:sz w:val="20"/>
                <w:szCs w:val="20"/>
                <w:lang w:val="en-US"/>
              </w:rPr>
            </w:pPr>
            <w:r w:rsidRPr="00B00324">
              <w:rPr>
                <w:bCs/>
                <w:color w:val="000000" w:themeColor="text1"/>
                <w:kern w:val="24"/>
                <w:sz w:val="20"/>
                <w:szCs w:val="20"/>
                <w:lang w:val="en-US"/>
              </w:rPr>
              <w:t>This module calculates the number of people who suffer fatalities within three months of the stroke or survive a first or recurrent strokes based on demographic factors taking into account stroke type (ischemic vs. non-ischemic)</w:t>
            </w:r>
          </w:p>
        </w:tc>
      </w:tr>
      <w:tr w:rsidR="00465ACB" w:rsidRPr="00B00324" w:rsidTr="000A47C5">
        <w:tc>
          <w:tcPr>
            <w:tcW w:w="4675" w:type="dxa"/>
            <w:tcBorders>
              <w:left w:val="nil"/>
              <w:right w:val="nil"/>
            </w:tcBorders>
          </w:tcPr>
          <w:p w:rsidR="00465ACB" w:rsidRPr="00B00324" w:rsidRDefault="00465ACB" w:rsidP="000A47C5">
            <w:pPr>
              <w:pStyle w:val="NormalWeb"/>
              <w:spacing w:before="0" w:beforeAutospacing="0" w:after="0" w:afterAutospacing="0" w:line="480" w:lineRule="auto"/>
              <w:rPr>
                <w:bCs/>
                <w:color w:val="000000" w:themeColor="text1"/>
                <w:kern w:val="24"/>
                <w:sz w:val="20"/>
                <w:szCs w:val="20"/>
                <w:lang w:val="en-US"/>
              </w:rPr>
            </w:pPr>
            <w:r w:rsidRPr="00B00324">
              <w:rPr>
                <w:bCs/>
                <w:color w:val="000000" w:themeColor="text1"/>
                <w:kern w:val="24"/>
                <w:sz w:val="20"/>
                <w:szCs w:val="20"/>
                <w:lang w:val="en-US"/>
              </w:rPr>
              <w:t>Recurrent stroke rates</w:t>
            </w:r>
          </w:p>
        </w:tc>
        <w:tc>
          <w:tcPr>
            <w:tcW w:w="4675" w:type="dxa"/>
            <w:tcBorders>
              <w:left w:val="nil"/>
              <w:right w:val="nil"/>
            </w:tcBorders>
          </w:tcPr>
          <w:p w:rsidR="00465ACB" w:rsidRPr="00B00324" w:rsidRDefault="00465ACB" w:rsidP="000A47C5">
            <w:pPr>
              <w:pStyle w:val="NormalWeb"/>
              <w:spacing w:before="0" w:beforeAutospacing="0" w:after="0" w:afterAutospacing="0" w:line="480" w:lineRule="auto"/>
              <w:rPr>
                <w:bCs/>
                <w:color w:val="000000" w:themeColor="text1"/>
                <w:kern w:val="24"/>
                <w:sz w:val="20"/>
                <w:szCs w:val="20"/>
                <w:lang w:val="en-US"/>
              </w:rPr>
            </w:pPr>
            <w:r w:rsidRPr="00B00324">
              <w:rPr>
                <w:bCs/>
                <w:color w:val="000000" w:themeColor="text1"/>
                <w:kern w:val="24"/>
                <w:sz w:val="20"/>
                <w:szCs w:val="20"/>
                <w:lang w:val="en-US"/>
              </w:rPr>
              <w:t>Calculates recurrent stroke rates taking into account the fraction of the survivors of a first stroke which receive adequate risk factor management</w:t>
            </w:r>
            <w:r>
              <w:rPr>
                <w:bCs/>
                <w:color w:val="000000" w:themeColor="text1"/>
                <w:kern w:val="24"/>
                <w:sz w:val="20"/>
                <w:szCs w:val="20"/>
                <w:lang w:val="en-US"/>
              </w:rPr>
              <w:t>.</w:t>
            </w:r>
            <w:r w:rsidRPr="00B00324">
              <w:rPr>
                <w:bCs/>
                <w:color w:val="000000" w:themeColor="text1"/>
                <w:kern w:val="24"/>
                <w:sz w:val="20"/>
                <w:szCs w:val="20"/>
                <w:lang w:val="en-US"/>
              </w:rPr>
              <w:t xml:space="preserve"> </w:t>
            </w:r>
          </w:p>
        </w:tc>
      </w:tr>
      <w:tr w:rsidR="00465ACB" w:rsidRPr="00B00324" w:rsidTr="000A47C5">
        <w:tc>
          <w:tcPr>
            <w:tcW w:w="4675" w:type="dxa"/>
            <w:tcBorders>
              <w:left w:val="nil"/>
              <w:right w:val="nil"/>
            </w:tcBorders>
          </w:tcPr>
          <w:p w:rsidR="00465ACB" w:rsidRPr="00B00324" w:rsidRDefault="00465ACB" w:rsidP="000A47C5">
            <w:pPr>
              <w:pStyle w:val="NormalWeb"/>
              <w:spacing w:before="0" w:beforeAutospacing="0" w:after="0" w:afterAutospacing="0" w:line="480" w:lineRule="auto"/>
              <w:rPr>
                <w:bCs/>
                <w:color w:val="000000" w:themeColor="text1"/>
                <w:kern w:val="24"/>
                <w:sz w:val="20"/>
                <w:szCs w:val="20"/>
                <w:lang w:val="en-US"/>
              </w:rPr>
            </w:pPr>
            <w:r w:rsidRPr="00B00324">
              <w:rPr>
                <w:bCs/>
                <w:color w:val="000000" w:themeColor="text1"/>
                <w:kern w:val="24"/>
                <w:sz w:val="20"/>
                <w:szCs w:val="20"/>
                <w:lang w:val="en-US"/>
              </w:rPr>
              <w:t>Fatal fraction of strokes</w:t>
            </w:r>
          </w:p>
        </w:tc>
        <w:tc>
          <w:tcPr>
            <w:tcW w:w="4675" w:type="dxa"/>
            <w:tcBorders>
              <w:left w:val="nil"/>
              <w:right w:val="nil"/>
            </w:tcBorders>
          </w:tcPr>
          <w:p w:rsidR="00465ACB" w:rsidRPr="00B00324" w:rsidRDefault="00465ACB" w:rsidP="000A47C5">
            <w:pPr>
              <w:pStyle w:val="NormalWeb"/>
              <w:spacing w:before="0" w:beforeAutospacing="0" w:after="0" w:afterAutospacing="0" w:line="480" w:lineRule="auto"/>
              <w:rPr>
                <w:bCs/>
                <w:color w:val="000000" w:themeColor="text1"/>
                <w:kern w:val="24"/>
                <w:sz w:val="20"/>
                <w:szCs w:val="20"/>
                <w:lang w:val="en-US"/>
              </w:rPr>
            </w:pPr>
            <w:r w:rsidRPr="00B00324">
              <w:rPr>
                <w:bCs/>
                <w:color w:val="000000" w:themeColor="text1"/>
                <w:kern w:val="24"/>
                <w:sz w:val="20"/>
                <w:szCs w:val="20"/>
                <w:lang w:val="en-US"/>
              </w:rPr>
              <w:t xml:space="preserve">Calculates </w:t>
            </w:r>
            <w:r>
              <w:rPr>
                <w:bCs/>
                <w:color w:val="000000" w:themeColor="text1"/>
                <w:kern w:val="24"/>
                <w:sz w:val="20"/>
                <w:szCs w:val="20"/>
                <w:lang w:val="en-US"/>
              </w:rPr>
              <w:t xml:space="preserve">the </w:t>
            </w:r>
            <w:r w:rsidRPr="00B00324">
              <w:rPr>
                <w:bCs/>
                <w:color w:val="000000" w:themeColor="text1"/>
                <w:kern w:val="24"/>
                <w:sz w:val="20"/>
                <w:szCs w:val="20"/>
                <w:lang w:val="en-US"/>
              </w:rPr>
              <w:t>fatal fraction of strokes based on the quality of acute care/stroke unit care</w:t>
            </w:r>
            <w:r>
              <w:rPr>
                <w:bCs/>
                <w:color w:val="000000" w:themeColor="text1"/>
                <w:kern w:val="24"/>
                <w:sz w:val="20"/>
                <w:szCs w:val="20"/>
                <w:lang w:val="en-US"/>
              </w:rPr>
              <w:t>.</w:t>
            </w:r>
          </w:p>
        </w:tc>
      </w:tr>
      <w:tr w:rsidR="00465ACB" w:rsidRPr="00B00324" w:rsidTr="000A47C5">
        <w:tc>
          <w:tcPr>
            <w:tcW w:w="4675" w:type="dxa"/>
            <w:tcBorders>
              <w:left w:val="nil"/>
              <w:right w:val="nil"/>
            </w:tcBorders>
          </w:tcPr>
          <w:p w:rsidR="00465ACB" w:rsidRPr="00B00324" w:rsidRDefault="00465ACB" w:rsidP="000A47C5">
            <w:pPr>
              <w:pStyle w:val="NormalWeb"/>
              <w:spacing w:before="0" w:beforeAutospacing="0" w:after="0" w:afterAutospacing="0" w:line="480" w:lineRule="auto"/>
              <w:rPr>
                <w:bCs/>
                <w:color w:val="000000" w:themeColor="text1"/>
                <w:kern w:val="24"/>
                <w:sz w:val="20"/>
                <w:szCs w:val="20"/>
                <w:lang w:val="en-US"/>
              </w:rPr>
            </w:pPr>
            <w:r w:rsidRPr="00B00324">
              <w:rPr>
                <w:bCs/>
                <w:color w:val="000000" w:themeColor="text1"/>
                <w:kern w:val="24"/>
                <w:sz w:val="20"/>
                <w:szCs w:val="20"/>
                <w:lang w:val="en-US"/>
              </w:rPr>
              <w:t>tPA and EVT by mRS for first strokes</w:t>
            </w:r>
          </w:p>
        </w:tc>
        <w:tc>
          <w:tcPr>
            <w:tcW w:w="4675" w:type="dxa"/>
            <w:tcBorders>
              <w:left w:val="nil"/>
              <w:right w:val="nil"/>
            </w:tcBorders>
          </w:tcPr>
          <w:p w:rsidR="00465ACB" w:rsidRPr="00B00324" w:rsidRDefault="00465ACB" w:rsidP="000A47C5">
            <w:pPr>
              <w:pStyle w:val="NormalWeb"/>
              <w:spacing w:before="0" w:beforeAutospacing="0" w:after="0" w:afterAutospacing="0" w:line="480" w:lineRule="auto"/>
              <w:rPr>
                <w:bCs/>
                <w:color w:val="000000" w:themeColor="text1"/>
                <w:kern w:val="24"/>
                <w:sz w:val="20"/>
                <w:szCs w:val="20"/>
                <w:lang w:val="en-US"/>
              </w:rPr>
            </w:pPr>
            <w:r w:rsidRPr="00B00324">
              <w:rPr>
                <w:bCs/>
                <w:color w:val="000000" w:themeColor="text1"/>
                <w:kern w:val="24"/>
                <w:sz w:val="20"/>
                <w:szCs w:val="20"/>
                <w:lang w:val="en-US"/>
              </w:rPr>
              <w:t xml:space="preserve">This module </w:t>
            </w:r>
            <w:r>
              <w:rPr>
                <w:bCs/>
                <w:color w:val="000000" w:themeColor="text1"/>
                <w:kern w:val="24"/>
                <w:sz w:val="20"/>
                <w:szCs w:val="20"/>
                <w:lang w:val="en-US"/>
              </w:rPr>
              <w:t xml:space="preserve">estimates </w:t>
            </w:r>
            <w:r w:rsidRPr="00B00324">
              <w:rPr>
                <w:bCs/>
                <w:color w:val="000000" w:themeColor="text1"/>
                <w:kern w:val="24"/>
                <w:sz w:val="20"/>
                <w:szCs w:val="20"/>
                <w:lang w:val="en-US"/>
              </w:rPr>
              <w:t xml:space="preserve">the disability effect of first strokes </w:t>
            </w:r>
            <w:r>
              <w:rPr>
                <w:bCs/>
                <w:color w:val="000000" w:themeColor="text1"/>
                <w:kern w:val="24"/>
                <w:sz w:val="20"/>
                <w:szCs w:val="20"/>
                <w:lang w:val="en-US"/>
              </w:rPr>
              <w:t xml:space="preserve">given </w:t>
            </w:r>
            <w:r w:rsidRPr="00B00324">
              <w:rPr>
                <w:bCs/>
                <w:color w:val="000000" w:themeColor="text1"/>
                <w:kern w:val="24"/>
                <w:sz w:val="20"/>
                <w:szCs w:val="20"/>
                <w:lang w:val="en-US"/>
              </w:rPr>
              <w:t xml:space="preserve">the hyperacute treatment received (tPA and/or EVT) </w:t>
            </w:r>
            <w:r>
              <w:rPr>
                <w:bCs/>
                <w:color w:val="000000" w:themeColor="text1"/>
                <w:kern w:val="24"/>
                <w:sz w:val="20"/>
                <w:szCs w:val="20"/>
                <w:lang w:val="en-US"/>
              </w:rPr>
              <w:t xml:space="preserve">and </w:t>
            </w:r>
            <w:r w:rsidRPr="00B00324">
              <w:rPr>
                <w:bCs/>
                <w:color w:val="000000" w:themeColor="text1"/>
                <w:kern w:val="24"/>
                <w:sz w:val="20"/>
                <w:szCs w:val="20"/>
                <w:lang w:val="en-US"/>
              </w:rPr>
              <w:t>taking into account treatment availability and likely delays between stroke onset and hospital arrival (which influences both eligibility for treatment and treatment outcomes)</w:t>
            </w:r>
            <w:r>
              <w:rPr>
                <w:bCs/>
                <w:color w:val="000000" w:themeColor="text1"/>
                <w:kern w:val="24"/>
                <w:sz w:val="20"/>
                <w:szCs w:val="20"/>
                <w:lang w:val="en-US"/>
              </w:rPr>
              <w:t>.</w:t>
            </w:r>
          </w:p>
        </w:tc>
      </w:tr>
      <w:tr w:rsidR="00465ACB" w:rsidRPr="00B00324" w:rsidTr="000A47C5">
        <w:tc>
          <w:tcPr>
            <w:tcW w:w="4675" w:type="dxa"/>
            <w:tcBorders>
              <w:left w:val="nil"/>
              <w:right w:val="nil"/>
            </w:tcBorders>
          </w:tcPr>
          <w:p w:rsidR="00465ACB" w:rsidRPr="00B00324" w:rsidRDefault="00465ACB" w:rsidP="000A47C5">
            <w:pPr>
              <w:pStyle w:val="NormalWeb"/>
              <w:spacing w:before="0" w:beforeAutospacing="0" w:after="0" w:afterAutospacing="0" w:line="480" w:lineRule="auto"/>
              <w:rPr>
                <w:bCs/>
                <w:color w:val="000000" w:themeColor="text1"/>
                <w:kern w:val="24"/>
                <w:sz w:val="20"/>
                <w:szCs w:val="20"/>
                <w:lang w:val="en-US"/>
              </w:rPr>
            </w:pPr>
            <w:r w:rsidRPr="00B00324">
              <w:rPr>
                <w:bCs/>
                <w:color w:val="000000" w:themeColor="text1"/>
                <w:kern w:val="24"/>
                <w:sz w:val="20"/>
                <w:szCs w:val="20"/>
                <w:lang w:val="en-US"/>
              </w:rPr>
              <w:t>tPA and EVT by mRS for recurrent strokes</w:t>
            </w:r>
          </w:p>
        </w:tc>
        <w:tc>
          <w:tcPr>
            <w:tcW w:w="4675" w:type="dxa"/>
            <w:tcBorders>
              <w:left w:val="nil"/>
              <w:right w:val="nil"/>
            </w:tcBorders>
          </w:tcPr>
          <w:p w:rsidR="00465ACB" w:rsidRPr="00B00324" w:rsidRDefault="00465ACB" w:rsidP="000A47C5">
            <w:pPr>
              <w:pStyle w:val="NormalWeb"/>
              <w:spacing w:before="0" w:beforeAutospacing="0" w:after="0" w:afterAutospacing="0" w:line="480" w:lineRule="auto"/>
              <w:rPr>
                <w:bCs/>
                <w:color w:val="000000" w:themeColor="text1"/>
                <w:kern w:val="24"/>
                <w:sz w:val="20"/>
                <w:szCs w:val="20"/>
                <w:lang w:val="en-US"/>
              </w:rPr>
            </w:pPr>
            <w:r w:rsidRPr="00B00324">
              <w:rPr>
                <w:bCs/>
                <w:color w:val="000000" w:themeColor="text1"/>
                <w:kern w:val="24"/>
                <w:sz w:val="20"/>
                <w:szCs w:val="20"/>
                <w:lang w:val="en-US"/>
              </w:rPr>
              <w:t xml:space="preserve">This module calculates the disability effect of recurrent strokes similarly to the previous module, </w:t>
            </w:r>
            <w:r w:rsidRPr="00B00324">
              <w:rPr>
                <w:bCs/>
                <w:color w:val="000000" w:themeColor="text1"/>
                <w:kern w:val="24"/>
                <w:sz w:val="20"/>
                <w:szCs w:val="20"/>
                <w:lang w:val="en-US"/>
              </w:rPr>
              <w:lastRenderedPageBreak/>
              <w:t xml:space="preserve">but also considering the </w:t>
            </w:r>
            <w:r>
              <w:rPr>
                <w:bCs/>
                <w:color w:val="000000" w:themeColor="text1"/>
                <w:kern w:val="24"/>
                <w:sz w:val="20"/>
                <w:szCs w:val="20"/>
                <w:lang w:val="en-US"/>
              </w:rPr>
              <w:t xml:space="preserve">prior </w:t>
            </w:r>
            <w:r w:rsidRPr="00B00324">
              <w:rPr>
                <w:bCs/>
                <w:color w:val="000000" w:themeColor="text1"/>
                <w:kern w:val="24"/>
                <w:sz w:val="20"/>
                <w:szCs w:val="20"/>
                <w:lang w:val="en-US"/>
              </w:rPr>
              <w:t>mRS status due to the first stroke.</w:t>
            </w:r>
          </w:p>
        </w:tc>
      </w:tr>
      <w:tr w:rsidR="00465ACB" w:rsidRPr="00B00324" w:rsidTr="000A47C5">
        <w:tc>
          <w:tcPr>
            <w:tcW w:w="4675" w:type="dxa"/>
            <w:tcBorders>
              <w:left w:val="nil"/>
              <w:right w:val="nil"/>
            </w:tcBorders>
          </w:tcPr>
          <w:p w:rsidR="00465ACB" w:rsidRPr="00B00324" w:rsidRDefault="00465ACB" w:rsidP="000A47C5">
            <w:pPr>
              <w:pStyle w:val="NormalWeb"/>
              <w:spacing w:before="0" w:beforeAutospacing="0" w:after="0" w:afterAutospacing="0" w:line="480" w:lineRule="auto"/>
              <w:rPr>
                <w:bCs/>
                <w:color w:val="000000" w:themeColor="text1"/>
                <w:kern w:val="24"/>
                <w:sz w:val="20"/>
                <w:szCs w:val="20"/>
                <w:lang w:val="en-US"/>
              </w:rPr>
            </w:pPr>
            <w:r w:rsidRPr="00B00324">
              <w:rPr>
                <w:bCs/>
                <w:color w:val="000000" w:themeColor="text1"/>
                <w:kern w:val="24"/>
                <w:sz w:val="20"/>
                <w:szCs w:val="20"/>
                <w:lang w:val="en-US"/>
              </w:rPr>
              <w:lastRenderedPageBreak/>
              <w:t>Strokes by mRS</w:t>
            </w:r>
          </w:p>
        </w:tc>
        <w:tc>
          <w:tcPr>
            <w:tcW w:w="4675" w:type="dxa"/>
            <w:tcBorders>
              <w:left w:val="nil"/>
              <w:right w:val="nil"/>
            </w:tcBorders>
          </w:tcPr>
          <w:p w:rsidR="00465ACB" w:rsidRPr="00B00324" w:rsidRDefault="00465ACB" w:rsidP="000A47C5">
            <w:pPr>
              <w:pStyle w:val="NormalWeb"/>
              <w:spacing w:before="0" w:beforeAutospacing="0" w:after="0" w:afterAutospacing="0" w:line="480" w:lineRule="auto"/>
              <w:rPr>
                <w:bCs/>
                <w:color w:val="000000" w:themeColor="text1"/>
                <w:kern w:val="24"/>
                <w:sz w:val="20"/>
                <w:szCs w:val="20"/>
                <w:lang w:val="en-US"/>
              </w:rPr>
            </w:pPr>
            <w:r w:rsidRPr="00B00324">
              <w:rPr>
                <w:bCs/>
                <w:color w:val="000000" w:themeColor="text1"/>
                <w:kern w:val="24"/>
                <w:sz w:val="20"/>
                <w:szCs w:val="20"/>
                <w:lang w:val="en-US"/>
              </w:rPr>
              <w:t xml:space="preserve">Calculates the long-term dependency status: modifying the status achieved after the hyperacute treatment by the effect of stroke unit treatment and rehabilitation. </w:t>
            </w:r>
          </w:p>
        </w:tc>
      </w:tr>
      <w:tr w:rsidR="00465ACB" w:rsidRPr="00B00324" w:rsidTr="000A47C5">
        <w:tc>
          <w:tcPr>
            <w:tcW w:w="4675" w:type="dxa"/>
            <w:tcBorders>
              <w:left w:val="nil"/>
              <w:right w:val="nil"/>
            </w:tcBorders>
          </w:tcPr>
          <w:p w:rsidR="00465ACB" w:rsidRPr="00B00324" w:rsidRDefault="00465ACB" w:rsidP="000A47C5">
            <w:pPr>
              <w:pStyle w:val="NormalWeb"/>
              <w:spacing w:before="0" w:beforeAutospacing="0" w:after="0" w:afterAutospacing="0" w:line="480" w:lineRule="auto"/>
              <w:rPr>
                <w:bCs/>
                <w:color w:val="000000" w:themeColor="text1"/>
                <w:kern w:val="24"/>
                <w:sz w:val="20"/>
                <w:szCs w:val="20"/>
                <w:lang w:val="en-US"/>
              </w:rPr>
            </w:pPr>
            <w:r w:rsidRPr="00B00324">
              <w:rPr>
                <w:bCs/>
                <w:color w:val="000000" w:themeColor="text1"/>
                <w:kern w:val="24"/>
                <w:sz w:val="20"/>
                <w:szCs w:val="20"/>
                <w:lang w:val="en-US"/>
              </w:rPr>
              <w:t>Stroke interventions</w:t>
            </w:r>
          </w:p>
        </w:tc>
        <w:tc>
          <w:tcPr>
            <w:tcW w:w="4675" w:type="dxa"/>
            <w:tcBorders>
              <w:left w:val="nil"/>
              <w:right w:val="nil"/>
            </w:tcBorders>
          </w:tcPr>
          <w:p w:rsidR="00465ACB" w:rsidRPr="00B00324" w:rsidRDefault="00465ACB" w:rsidP="000A47C5">
            <w:pPr>
              <w:pStyle w:val="NormalWeb"/>
              <w:spacing w:before="0" w:beforeAutospacing="0" w:after="0" w:afterAutospacing="0" w:line="480" w:lineRule="auto"/>
              <w:rPr>
                <w:bCs/>
                <w:color w:val="000000" w:themeColor="text1"/>
                <w:kern w:val="24"/>
                <w:sz w:val="20"/>
                <w:szCs w:val="20"/>
                <w:lang w:val="en-US"/>
              </w:rPr>
            </w:pPr>
            <w:r w:rsidRPr="00B00324">
              <w:rPr>
                <w:bCs/>
                <w:color w:val="000000" w:themeColor="text1"/>
                <w:kern w:val="24"/>
                <w:sz w:val="20"/>
                <w:szCs w:val="20"/>
                <w:lang w:val="en-US"/>
              </w:rPr>
              <w:t>Calculates the effect of a publicity campaign on the onset to arrival times in hospital as well as the fractions of medically eligible stroke suffers receiving different forms of treatment.</w:t>
            </w:r>
          </w:p>
        </w:tc>
      </w:tr>
      <w:tr w:rsidR="00465ACB" w:rsidRPr="00B00324" w:rsidTr="000A47C5">
        <w:tc>
          <w:tcPr>
            <w:tcW w:w="4675" w:type="dxa"/>
            <w:tcBorders>
              <w:left w:val="nil"/>
              <w:right w:val="nil"/>
            </w:tcBorders>
          </w:tcPr>
          <w:p w:rsidR="00465ACB" w:rsidRPr="00B00324" w:rsidRDefault="00465ACB" w:rsidP="000A47C5">
            <w:pPr>
              <w:pStyle w:val="NormalWeb"/>
              <w:spacing w:before="0" w:beforeAutospacing="0" w:after="0" w:afterAutospacing="0" w:line="480" w:lineRule="auto"/>
              <w:rPr>
                <w:bCs/>
                <w:color w:val="000000" w:themeColor="text1"/>
                <w:kern w:val="24"/>
                <w:sz w:val="20"/>
                <w:szCs w:val="20"/>
                <w:lang w:val="en-US"/>
              </w:rPr>
            </w:pPr>
            <w:r w:rsidRPr="00B00324">
              <w:rPr>
                <w:bCs/>
                <w:color w:val="000000" w:themeColor="text1"/>
                <w:kern w:val="24"/>
                <w:sz w:val="20"/>
                <w:szCs w:val="20"/>
                <w:lang w:val="en-US"/>
              </w:rPr>
              <w:t>Care volumes</w:t>
            </w:r>
          </w:p>
        </w:tc>
        <w:tc>
          <w:tcPr>
            <w:tcW w:w="4675" w:type="dxa"/>
            <w:tcBorders>
              <w:left w:val="nil"/>
              <w:right w:val="nil"/>
            </w:tcBorders>
          </w:tcPr>
          <w:p w:rsidR="00465ACB" w:rsidRPr="00B00324" w:rsidRDefault="00465ACB" w:rsidP="000A47C5">
            <w:pPr>
              <w:pStyle w:val="NormalWeb"/>
              <w:spacing w:before="0" w:beforeAutospacing="0" w:after="0" w:afterAutospacing="0" w:line="480" w:lineRule="auto"/>
              <w:rPr>
                <w:bCs/>
                <w:color w:val="000000" w:themeColor="text1"/>
                <w:kern w:val="24"/>
                <w:sz w:val="20"/>
                <w:szCs w:val="20"/>
                <w:lang w:val="en-US"/>
              </w:rPr>
            </w:pPr>
            <w:r w:rsidRPr="00B00324">
              <w:rPr>
                <w:bCs/>
                <w:color w:val="000000" w:themeColor="text1"/>
                <w:kern w:val="24"/>
                <w:sz w:val="20"/>
                <w:szCs w:val="20"/>
                <w:lang w:val="en-US"/>
              </w:rPr>
              <w:t>This model counts the number of different treatments given over time.</w:t>
            </w:r>
          </w:p>
        </w:tc>
      </w:tr>
      <w:tr w:rsidR="00465ACB" w:rsidRPr="00B00324" w:rsidTr="000A47C5">
        <w:tc>
          <w:tcPr>
            <w:tcW w:w="4675" w:type="dxa"/>
            <w:tcBorders>
              <w:left w:val="nil"/>
              <w:right w:val="nil"/>
            </w:tcBorders>
          </w:tcPr>
          <w:p w:rsidR="00465ACB" w:rsidRPr="00B00324" w:rsidRDefault="00465ACB" w:rsidP="000A47C5">
            <w:pPr>
              <w:pStyle w:val="NormalWeb"/>
              <w:spacing w:before="0" w:beforeAutospacing="0" w:after="0" w:afterAutospacing="0" w:line="480" w:lineRule="auto"/>
              <w:rPr>
                <w:bCs/>
                <w:color w:val="000000" w:themeColor="text1"/>
                <w:kern w:val="24"/>
                <w:sz w:val="20"/>
                <w:szCs w:val="20"/>
                <w:lang w:val="en-US"/>
              </w:rPr>
            </w:pPr>
            <w:r w:rsidRPr="00B00324">
              <w:rPr>
                <w:bCs/>
                <w:color w:val="000000" w:themeColor="text1"/>
                <w:kern w:val="24"/>
                <w:sz w:val="20"/>
                <w:szCs w:val="20"/>
                <w:lang w:val="en-US"/>
              </w:rPr>
              <w:t>Cost</w:t>
            </w:r>
          </w:p>
        </w:tc>
        <w:tc>
          <w:tcPr>
            <w:tcW w:w="4675" w:type="dxa"/>
            <w:tcBorders>
              <w:left w:val="nil"/>
              <w:right w:val="nil"/>
            </w:tcBorders>
          </w:tcPr>
          <w:p w:rsidR="00465ACB" w:rsidRPr="00B00324" w:rsidRDefault="00465ACB" w:rsidP="000A47C5">
            <w:pPr>
              <w:pStyle w:val="NormalWeb"/>
              <w:spacing w:before="0" w:beforeAutospacing="0" w:after="0" w:afterAutospacing="0" w:line="480" w:lineRule="auto"/>
              <w:rPr>
                <w:bCs/>
                <w:color w:val="000000" w:themeColor="text1"/>
                <w:kern w:val="24"/>
                <w:sz w:val="20"/>
                <w:szCs w:val="20"/>
                <w:lang w:val="en-US"/>
              </w:rPr>
            </w:pPr>
            <w:r>
              <w:rPr>
                <w:bCs/>
                <w:color w:val="000000" w:themeColor="text1"/>
                <w:kern w:val="24"/>
                <w:sz w:val="20"/>
                <w:szCs w:val="20"/>
                <w:lang w:val="en-US"/>
              </w:rPr>
              <w:t xml:space="preserve">Calculates overall costs </w:t>
            </w:r>
            <w:r w:rsidRPr="00B00324">
              <w:rPr>
                <w:bCs/>
                <w:color w:val="000000" w:themeColor="text1"/>
                <w:kern w:val="24"/>
                <w:sz w:val="20"/>
                <w:szCs w:val="20"/>
                <w:lang w:val="en-US"/>
              </w:rPr>
              <w:t>including cost of treatment and long</w:t>
            </w:r>
            <w:r>
              <w:rPr>
                <w:bCs/>
                <w:color w:val="000000" w:themeColor="text1"/>
                <w:kern w:val="24"/>
                <w:sz w:val="20"/>
                <w:szCs w:val="20"/>
                <w:lang w:val="en-US"/>
              </w:rPr>
              <w:t>-</w:t>
            </w:r>
            <w:r w:rsidRPr="00B00324">
              <w:rPr>
                <w:bCs/>
                <w:color w:val="000000" w:themeColor="text1"/>
                <w:kern w:val="24"/>
                <w:sz w:val="20"/>
                <w:szCs w:val="20"/>
                <w:lang w:val="en-US"/>
              </w:rPr>
              <w:t xml:space="preserve">term care costs as well as the cost of a </w:t>
            </w:r>
            <w:r>
              <w:rPr>
                <w:bCs/>
                <w:color w:val="000000" w:themeColor="text1"/>
                <w:kern w:val="24"/>
                <w:sz w:val="20"/>
                <w:szCs w:val="20"/>
                <w:lang w:val="en-US"/>
              </w:rPr>
              <w:t xml:space="preserve">public information </w:t>
            </w:r>
            <w:r w:rsidRPr="00B00324">
              <w:rPr>
                <w:bCs/>
                <w:color w:val="000000" w:themeColor="text1"/>
                <w:kern w:val="24"/>
                <w:sz w:val="20"/>
                <w:szCs w:val="20"/>
                <w:lang w:val="en-US"/>
              </w:rPr>
              <w:t>campaign to encourage</w:t>
            </w:r>
            <w:r>
              <w:rPr>
                <w:bCs/>
                <w:color w:val="000000" w:themeColor="text1"/>
                <w:kern w:val="24"/>
                <w:sz w:val="20"/>
                <w:szCs w:val="20"/>
                <w:lang w:val="en-US"/>
              </w:rPr>
              <w:t xml:space="preserve"> people to seek early treatment</w:t>
            </w:r>
            <w:r w:rsidRPr="00B00324">
              <w:rPr>
                <w:bCs/>
                <w:color w:val="000000" w:themeColor="text1"/>
                <w:kern w:val="24"/>
                <w:sz w:val="20"/>
                <w:szCs w:val="20"/>
                <w:lang w:val="en-US"/>
              </w:rPr>
              <w:t>.</w:t>
            </w:r>
          </w:p>
        </w:tc>
      </w:tr>
    </w:tbl>
    <w:p w:rsidR="00465ACB" w:rsidRPr="00FA002D" w:rsidRDefault="00465ACB" w:rsidP="000A47C5">
      <w:pPr>
        <w:pStyle w:val="Tabletitle"/>
      </w:pPr>
      <w:r>
        <w:br w:type="page"/>
      </w:r>
      <w:r w:rsidRPr="00FA002D">
        <w:lastRenderedPageBreak/>
        <w:t xml:space="preserve">Table </w:t>
      </w:r>
      <w:r>
        <w:t>2</w:t>
      </w:r>
      <w:r w:rsidRPr="00FA002D">
        <w:t>. Stroke care interventions considered in the model: current vs. desired level of care</w:t>
      </w:r>
    </w:p>
    <w:tbl>
      <w:tblPr>
        <w:tblStyle w:val="ListTable21"/>
        <w:tblW w:w="5309" w:type="pct"/>
        <w:tblLook w:val="0620" w:firstRow="1" w:lastRow="0" w:firstColumn="0" w:lastColumn="0" w:noHBand="1" w:noVBand="1"/>
      </w:tblPr>
      <w:tblGrid>
        <w:gridCol w:w="2712"/>
        <w:gridCol w:w="2816"/>
        <w:gridCol w:w="1832"/>
        <w:gridCol w:w="1112"/>
        <w:gridCol w:w="1112"/>
      </w:tblGrid>
      <w:tr w:rsidR="00465ACB" w:rsidRPr="00FA002D" w:rsidTr="000A47C5">
        <w:trPr>
          <w:cnfStyle w:val="100000000000" w:firstRow="1" w:lastRow="0" w:firstColumn="0" w:lastColumn="0" w:oddVBand="0" w:evenVBand="0" w:oddHBand="0" w:evenHBand="0" w:firstRowFirstColumn="0" w:firstRowLastColumn="0" w:lastRowFirstColumn="0" w:lastRowLastColumn="0"/>
          <w:trHeight w:val="115"/>
        </w:trPr>
        <w:tc>
          <w:tcPr>
            <w:tcW w:w="1415" w:type="pct"/>
            <w:shd w:val="clear" w:color="auto" w:fill="auto"/>
            <w:vAlign w:val="center"/>
            <w:hideMark/>
          </w:tcPr>
          <w:p w:rsidR="00465ACB" w:rsidRPr="00FA002D" w:rsidRDefault="00465ACB" w:rsidP="000A47C5">
            <w:pPr>
              <w:contextualSpacing/>
              <w:jc w:val="center"/>
              <w:textAlignment w:val="bottom"/>
              <w:rPr>
                <w:b w:val="0"/>
                <w:sz w:val="20"/>
                <w:szCs w:val="20"/>
                <w:lang w:eastAsia="zh-CN"/>
              </w:rPr>
            </w:pPr>
            <w:r w:rsidRPr="00FA002D">
              <w:rPr>
                <w:sz w:val="20"/>
                <w:szCs w:val="20"/>
                <w:lang w:eastAsia="zh-CN"/>
              </w:rPr>
              <w:t>Intervention</w:t>
            </w:r>
          </w:p>
        </w:tc>
        <w:tc>
          <w:tcPr>
            <w:tcW w:w="1469" w:type="pct"/>
            <w:shd w:val="clear" w:color="auto" w:fill="auto"/>
            <w:vAlign w:val="center"/>
            <w:hideMark/>
          </w:tcPr>
          <w:p w:rsidR="00465ACB" w:rsidRPr="00FA002D" w:rsidRDefault="00465ACB" w:rsidP="000A47C5">
            <w:pPr>
              <w:contextualSpacing/>
              <w:jc w:val="center"/>
              <w:textAlignment w:val="bottom"/>
              <w:rPr>
                <w:b w:val="0"/>
                <w:sz w:val="20"/>
                <w:szCs w:val="20"/>
                <w:lang w:eastAsia="zh-CN"/>
              </w:rPr>
            </w:pPr>
            <w:r w:rsidRPr="00FA002D">
              <w:rPr>
                <w:sz w:val="20"/>
                <w:szCs w:val="20"/>
                <w:lang w:eastAsia="zh-CN"/>
              </w:rPr>
              <w:t>Impact</w:t>
            </w:r>
          </w:p>
        </w:tc>
        <w:tc>
          <w:tcPr>
            <w:tcW w:w="956" w:type="pct"/>
            <w:shd w:val="clear" w:color="auto" w:fill="auto"/>
            <w:vAlign w:val="center"/>
            <w:hideMark/>
          </w:tcPr>
          <w:p w:rsidR="00465ACB" w:rsidRPr="00FA002D" w:rsidRDefault="00465ACB" w:rsidP="000A47C5">
            <w:pPr>
              <w:contextualSpacing/>
              <w:jc w:val="center"/>
              <w:textAlignment w:val="bottom"/>
              <w:rPr>
                <w:b w:val="0"/>
                <w:sz w:val="20"/>
                <w:szCs w:val="20"/>
                <w:lang w:eastAsia="zh-CN"/>
              </w:rPr>
            </w:pPr>
            <w:r w:rsidRPr="00FA002D">
              <w:rPr>
                <w:sz w:val="20"/>
                <w:szCs w:val="20"/>
                <w:lang w:eastAsia="zh-CN"/>
              </w:rPr>
              <w:t>Current Status</w:t>
            </w:r>
          </w:p>
        </w:tc>
        <w:tc>
          <w:tcPr>
            <w:tcW w:w="580" w:type="pct"/>
            <w:shd w:val="clear" w:color="auto" w:fill="auto"/>
            <w:vAlign w:val="center"/>
            <w:hideMark/>
          </w:tcPr>
          <w:p w:rsidR="00465ACB" w:rsidRPr="00FA002D" w:rsidRDefault="00465ACB" w:rsidP="000A47C5">
            <w:pPr>
              <w:contextualSpacing/>
              <w:jc w:val="center"/>
              <w:textAlignment w:val="bottom"/>
              <w:rPr>
                <w:b w:val="0"/>
                <w:sz w:val="20"/>
                <w:szCs w:val="20"/>
                <w:lang w:eastAsia="zh-CN"/>
              </w:rPr>
            </w:pPr>
            <w:r w:rsidRPr="00FA002D">
              <w:rPr>
                <w:sz w:val="20"/>
                <w:szCs w:val="20"/>
                <w:lang w:eastAsia="zh-CN"/>
              </w:rPr>
              <w:t>Desired Status</w:t>
            </w:r>
          </w:p>
        </w:tc>
        <w:tc>
          <w:tcPr>
            <w:tcW w:w="580" w:type="pct"/>
          </w:tcPr>
          <w:p w:rsidR="00465ACB" w:rsidRPr="00FA002D" w:rsidRDefault="00465ACB" w:rsidP="000A47C5">
            <w:pPr>
              <w:contextualSpacing/>
              <w:jc w:val="center"/>
              <w:textAlignment w:val="bottom"/>
              <w:rPr>
                <w:b w:val="0"/>
                <w:sz w:val="20"/>
                <w:szCs w:val="20"/>
                <w:lang w:eastAsia="zh-CN"/>
              </w:rPr>
            </w:pPr>
            <w:r w:rsidRPr="00FA002D">
              <w:rPr>
                <w:sz w:val="20"/>
                <w:szCs w:val="20"/>
                <w:lang w:eastAsia="zh-CN"/>
              </w:rPr>
              <w:t xml:space="preserve">Effect </w:t>
            </w:r>
          </w:p>
          <w:p w:rsidR="00465ACB" w:rsidRPr="00FA002D" w:rsidRDefault="00465ACB" w:rsidP="000A47C5">
            <w:pPr>
              <w:contextualSpacing/>
              <w:jc w:val="center"/>
              <w:textAlignment w:val="bottom"/>
              <w:rPr>
                <w:b w:val="0"/>
                <w:sz w:val="20"/>
                <w:szCs w:val="20"/>
                <w:lang w:eastAsia="zh-CN"/>
              </w:rPr>
            </w:pPr>
            <w:r w:rsidRPr="00FA002D">
              <w:rPr>
                <w:sz w:val="20"/>
                <w:szCs w:val="20"/>
                <w:lang w:eastAsia="zh-CN"/>
              </w:rPr>
              <w:t>size</w:t>
            </w:r>
          </w:p>
        </w:tc>
      </w:tr>
      <w:tr w:rsidR="00465ACB" w:rsidRPr="00FA002D" w:rsidTr="000A47C5">
        <w:trPr>
          <w:trHeight w:val="553"/>
        </w:trPr>
        <w:tc>
          <w:tcPr>
            <w:tcW w:w="1415" w:type="pct"/>
            <w:vMerge w:val="restart"/>
            <w:vAlign w:val="center"/>
            <w:hideMark/>
          </w:tcPr>
          <w:p w:rsidR="00465ACB" w:rsidRPr="00FA002D" w:rsidRDefault="00465ACB" w:rsidP="000A47C5">
            <w:pPr>
              <w:contextualSpacing/>
              <w:textAlignment w:val="bottom"/>
              <w:rPr>
                <w:sz w:val="20"/>
                <w:szCs w:val="20"/>
                <w:lang w:eastAsia="zh-CN"/>
              </w:rPr>
            </w:pPr>
            <w:r w:rsidRPr="00FA002D">
              <w:rPr>
                <w:sz w:val="20"/>
                <w:szCs w:val="20"/>
                <w:lang w:eastAsia="zh-CN"/>
              </w:rPr>
              <w:t>Campaign to raise awareness of stroke symptoms and urgency</w:t>
            </w:r>
          </w:p>
        </w:tc>
        <w:tc>
          <w:tcPr>
            <w:tcW w:w="1469" w:type="pct"/>
            <w:vMerge w:val="restart"/>
            <w:vAlign w:val="center"/>
            <w:hideMark/>
          </w:tcPr>
          <w:p w:rsidR="00465ACB" w:rsidRPr="00FA002D" w:rsidRDefault="00465ACB" w:rsidP="000A47C5">
            <w:pPr>
              <w:contextualSpacing/>
              <w:textAlignment w:val="bottom"/>
              <w:rPr>
                <w:sz w:val="20"/>
                <w:szCs w:val="20"/>
                <w:lang w:eastAsia="zh-CN"/>
              </w:rPr>
            </w:pPr>
            <w:r w:rsidRPr="00FA002D">
              <w:rPr>
                <w:sz w:val="20"/>
                <w:szCs w:val="20"/>
                <w:lang w:eastAsia="zh-CN"/>
              </w:rPr>
              <w:t>Increase the number of stroke patients arriving at hospital</w:t>
            </w:r>
          </w:p>
        </w:tc>
        <w:tc>
          <w:tcPr>
            <w:tcW w:w="956" w:type="pct"/>
            <w:vAlign w:val="center"/>
            <w:hideMark/>
          </w:tcPr>
          <w:p w:rsidR="00465ACB" w:rsidRPr="00FA002D" w:rsidRDefault="00465ACB" w:rsidP="000A47C5">
            <w:pPr>
              <w:contextualSpacing/>
              <w:rPr>
                <w:sz w:val="20"/>
                <w:szCs w:val="20"/>
                <w:lang w:eastAsia="zh-CN"/>
              </w:rPr>
            </w:pPr>
            <w:r w:rsidRPr="00FA002D">
              <w:rPr>
                <w:sz w:val="20"/>
                <w:szCs w:val="20"/>
                <w:u w:val="single"/>
                <w:lang w:eastAsia="zh-CN"/>
              </w:rPr>
              <w:t>&lt;</w:t>
            </w:r>
            <w:r w:rsidRPr="00FA002D">
              <w:rPr>
                <w:sz w:val="20"/>
                <w:szCs w:val="20"/>
                <w:lang w:eastAsia="zh-CN"/>
              </w:rPr>
              <w:t>210 min: 54.7%</w:t>
            </w:r>
          </w:p>
        </w:tc>
        <w:tc>
          <w:tcPr>
            <w:tcW w:w="580" w:type="pct"/>
            <w:vAlign w:val="center"/>
          </w:tcPr>
          <w:p w:rsidR="00465ACB" w:rsidRPr="00FA002D" w:rsidRDefault="00465ACB" w:rsidP="000A47C5">
            <w:pPr>
              <w:contextualSpacing/>
              <w:jc w:val="center"/>
              <w:rPr>
                <w:sz w:val="20"/>
                <w:szCs w:val="20"/>
                <w:lang w:eastAsia="zh-CN"/>
              </w:rPr>
            </w:pPr>
            <w:r w:rsidRPr="00FA002D">
              <w:rPr>
                <w:sz w:val="20"/>
                <w:szCs w:val="20"/>
                <w:lang w:eastAsia="zh-CN"/>
              </w:rPr>
              <w:t>57.7%</w:t>
            </w:r>
          </w:p>
        </w:tc>
        <w:tc>
          <w:tcPr>
            <w:tcW w:w="580" w:type="pct"/>
          </w:tcPr>
          <w:p w:rsidR="00465ACB" w:rsidRPr="00FA002D" w:rsidRDefault="00465ACB" w:rsidP="000A47C5">
            <w:pPr>
              <w:contextualSpacing/>
              <w:jc w:val="center"/>
              <w:rPr>
                <w:sz w:val="20"/>
                <w:szCs w:val="20"/>
                <w:lang w:eastAsia="zh-CN"/>
              </w:rPr>
            </w:pPr>
            <w:r w:rsidRPr="00FA002D">
              <w:rPr>
                <w:sz w:val="20"/>
                <w:szCs w:val="20"/>
                <w:lang w:eastAsia="zh-CN"/>
              </w:rPr>
              <w:t>3.0%</w:t>
            </w:r>
          </w:p>
        </w:tc>
      </w:tr>
      <w:tr w:rsidR="00465ACB" w:rsidRPr="00FA002D" w:rsidTr="000A47C5">
        <w:trPr>
          <w:trHeight w:val="314"/>
        </w:trPr>
        <w:tc>
          <w:tcPr>
            <w:tcW w:w="1415" w:type="pct"/>
            <w:vMerge/>
            <w:vAlign w:val="center"/>
            <w:hideMark/>
          </w:tcPr>
          <w:p w:rsidR="00465ACB" w:rsidRPr="00FA002D" w:rsidRDefault="00465ACB" w:rsidP="000A47C5">
            <w:pPr>
              <w:contextualSpacing/>
              <w:rPr>
                <w:sz w:val="20"/>
                <w:szCs w:val="20"/>
                <w:lang w:eastAsia="zh-CN"/>
              </w:rPr>
            </w:pPr>
          </w:p>
        </w:tc>
        <w:tc>
          <w:tcPr>
            <w:tcW w:w="1469" w:type="pct"/>
            <w:vMerge/>
            <w:vAlign w:val="center"/>
            <w:hideMark/>
          </w:tcPr>
          <w:p w:rsidR="00465ACB" w:rsidRPr="00FA002D" w:rsidRDefault="00465ACB" w:rsidP="000A47C5">
            <w:pPr>
              <w:contextualSpacing/>
              <w:rPr>
                <w:sz w:val="20"/>
                <w:szCs w:val="20"/>
                <w:lang w:eastAsia="zh-CN"/>
              </w:rPr>
            </w:pPr>
          </w:p>
        </w:tc>
        <w:tc>
          <w:tcPr>
            <w:tcW w:w="956" w:type="pct"/>
            <w:vAlign w:val="center"/>
            <w:hideMark/>
          </w:tcPr>
          <w:p w:rsidR="00465ACB" w:rsidRPr="00FA002D" w:rsidRDefault="00465ACB" w:rsidP="000A47C5">
            <w:pPr>
              <w:contextualSpacing/>
              <w:rPr>
                <w:sz w:val="20"/>
                <w:szCs w:val="20"/>
                <w:lang w:eastAsia="zh-CN"/>
              </w:rPr>
            </w:pPr>
            <w:r w:rsidRPr="00FA002D">
              <w:rPr>
                <w:sz w:val="20"/>
                <w:szCs w:val="20"/>
                <w:lang w:eastAsia="zh-CN"/>
              </w:rPr>
              <w:t>210-300 min: 7.2%</w:t>
            </w:r>
          </w:p>
        </w:tc>
        <w:tc>
          <w:tcPr>
            <w:tcW w:w="580" w:type="pct"/>
            <w:vAlign w:val="center"/>
          </w:tcPr>
          <w:p w:rsidR="00465ACB" w:rsidRPr="00FA002D" w:rsidRDefault="00465ACB" w:rsidP="000A47C5">
            <w:pPr>
              <w:contextualSpacing/>
              <w:jc w:val="center"/>
              <w:rPr>
                <w:sz w:val="20"/>
                <w:szCs w:val="20"/>
                <w:lang w:eastAsia="zh-CN"/>
              </w:rPr>
            </w:pPr>
            <w:r w:rsidRPr="00FA002D">
              <w:rPr>
                <w:sz w:val="20"/>
                <w:szCs w:val="20"/>
                <w:lang w:eastAsia="zh-CN"/>
              </w:rPr>
              <w:t>8.7%</w:t>
            </w:r>
          </w:p>
        </w:tc>
        <w:tc>
          <w:tcPr>
            <w:tcW w:w="580" w:type="pct"/>
          </w:tcPr>
          <w:p w:rsidR="00465ACB" w:rsidRPr="00FA002D" w:rsidRDefault="00465ACB" w:rsidP="000A47C5">
            <w:pPr>
              <w:contextualSpacing/>
              <w:jc w:val="center"/>
              <w:rPr>
                <w:sz w:val="20"/>
                <w:szCs w:val="20"/>
                <w:lang w:eastAsia="zh-CN"/>
              </w:rPr>
            </w:pPr>
            <w:r w:rsidRPr="00FA002D">
              <w:rPr>
                <w:sz w:val="20"/>
                <w:szCs w:val="20"/>
                <w:lang w:eastAsia="zh-CN"/>
              </w:rPr>
              <w:t>1.5%</w:t>
            </w:r>
          </w:p>
        </w:tc>
      </w:tr>
      <w:tr w:rsidR="00465ACB" w:rsidRPr="00FA002D" w:rsidTr="000A47C5">
        <w:trPr>
          <w:trHeight w:val="510"/>
        </w:trPr>
        <w:tc>
          <w:tcPr>
            <w:tcW w:w="1415" w:type="pct"/>
            <w:vAlign w:val="center"/>
            <w:hideMark/>
          </w:tcPr>
          <w:p w:rsidR="00465ACB" w:rsidRPr="00FA002D" w:rsidRDefault="00465ACB" w:rsidP="000A47C5">
            <w:pPr>
              <w:contextualSpacing/>
              <w:textAlignment w:val="bottom"/>
              <w:rPr>
                <w:sz w:val="20"/>
                <w:szCs w:val="20"/>
                <w:lang w:eastAsia="zh-CN"/>
              </w:rPr>
            </w:pPr>
            <w:r w:rsidRPr="00FA002D">
              <w:rPr>
                <w:sz w:val="20"/>
                <w:szCs w:val="20"/>
                <w:lang w:eastAsia="zh-CN"/>
              </w:rPr>
              <w:t>Increase tPA administration efficiency of hospital process</w:t>
            </w:r>
          </w:p>
        </w:tc>
        <w:tc>
          <w:tcPr>
            <w:tcW w:w="1469" w:type="pct"/>
            <w:vAlign w:val="center"/>
            <w:hideMark/>
          </w:tcPr>
          <w:p w:rsidR="00465ACB" w:rsidRPr="00FA002D" w:rsidRDefault="00465ACB" w:rsidP="000A47C5">
            <w:pPr>
              <w:contextualSpacing/>
              <w:textAlignment w:val="bottom"/>
              <w:rPr>
                <w:sz w:val="20"/>
                <w:szCs w:val="20"/>
                <w:lang w:eastAsia="zh-CN"/>
              </w:rPr>
            </w:pPr>
            <w:r w:rsidRPr="00FA002D">
              <w:rPr>
                <w:sz w:val="20"/>
                <w:szCs w:val="20"/>
                <w:lang w:eastAsia="zh-CN"/>
              </w:rPr>
              <w:t>Increase the proportion of eligible patients receiving tPA</w:t>
            </w:r>
          </w:p>
        </w:tc>
        <w:tc>
          <w:tcPr>
            <w:tcW w:w="956" w:type="pct"/>
            <w:vAlign w:val="center"/>
            <w:hideMark/>
          </w:tcPr>
          <w:p w:rsidR="00465ACB" w:rsidRPr="00FA002D" w:rsidRDefault="00465ACB" w:rsidP="000A47C5">
            <w:pPr>
              <w:contextualSpacing/>
              <w:jc w:val="center"/>
              <w:rPr>
                <w:sz w:val="20"/>
                <w:szCs w:val="20"/>
                <w:lang w:eastAsia="zh-CN"/>
              </w:rPr>
            </w:pPr>
            <w:r w:rsidRPr="00FA002D">
              <w:rPr>
                <w:sz w:val="20"/>
                <w:szCs w:val="20"/>
                <w:lang w:eastAsia="zh-CN"/>
              </w:rPr>
              <w:t>34.8%</w:t>
            </w:r>
          </w:p>
        </w:tc>
        <w:tc>
          <w:tcPr>
            <w:tcW w:w="580" w:type="pct"/>
            <w:vAlign w:val="center"/>
            <w:hideMark/>
          </w:tcPr>
          <w:p w:rsidR="00465ACB" w:rsidRPr="00FA002D" w:rsidRDefault="00465ACB" w:rsidP="000A47C5">
            <w:pPr>
              <w:contextualSpacing/>
              <w:jc w:val="center"/>
              <w:rPr>
                <w:color w:val="FF0000"/>
                <w:sz w:val="20"/>
                <w:szCs w:val="20"/>
                <w:lang w:eastAsia="zh-CN"/>
              </w:rPr>
            </w:pPr>
            <w:r w:rsidRPr="00FA002D">
              <w:rPr>
                <w:sz w:val="20"/>
                <w:szCs w:val="20"/>
                <w:lang w:eastAsia="zh-CN"/>
              </w:rPr>
              <w:t>70.0%</w:t>
            </w:r>
          </w:p>
        </w:tc>
        <w:tc>
          <w:tcPr>
            <w:tcW w:w="580" w:type="pct"/>
            <w:vAlign w:val="center"/>
          </w:tcPr>
          <w:p w:rsidR="00465ACB" w:rsidRPr="00FA002D" w:rsidRDefault="00465ACB" w:rsidP="000A47C5">
            <w:pPr>
              <w:contextualSpacing/>
              <w:jc w:val="center"/>
              <w:rPr>
                <w:sz w:val="20"/>
                <w:szCs w:val="20"/>
                <w:lang w:eastAsia="zh-CN"/>
              </w:rPr>
            </w:pPr>
            <w:r w:rsidRPr="00FA002D">
              <w:rPr>
                <w:sz w:val="20"/>
                <w:szCs w:val="20"/>
                <w:lang w:eastAsia="zh-CN"/>
              </w:rPr>
              <w:t>35.2%</w:t>
            </w:r>
          </w:p>
        </w:tc>
      </w:tr>
      <w:tr w:rsidR="00465ACB" w:rsidRPr="00FA002D" w:rsidTr="000A47C5">
        <w:trPr>
          <w:trHeight w:val="203"/>
        </w:trPr>
        <w:tc>
          <w:tcPr>
            <w:tcW w:w="1415" w:type="pct"/>
            <w:vMerge w:val="restart"/>
            <w:vAlign w:val="center"/>
            <w:hideMark/>
          </w:tcPr>
          <w:p w:rsidR="00465ACB" w:rsidRPr="00FA002D" w:rsidRDefault="00465ACB" w:rsidP="000A47C5">
            <w:pPr>
              <w:contextualSpacing/>
              <w:textAlignment w:val="bottom"/>
              <w:rPr>
                <w:sz w:val="20"/>
                <w:szCs w:val="20"/>
                <w:lang w:eastAsia="zh-CN"/>
              </w:rPr>
            </w:pPr>
            <w:r w:rsidRPr="00FA002D">
              <w:rPr>
                <w:sz w:val="20"/>
                <w:szCs w:val="20"/>
                <w:lang w:eastAsia="zh-CN"/>
              </w:rPr>
              <w:t>Increase EVT administration efficiency of hospital process</w:t>
            </w:r>
          </w:p>
        </w:tc>
        <w:tc>
          <w:tcPr>
            <w:tcW w:w="1469" w:type="pct"/>
            <w:vMerge w:val="restart"/>
            <w:vAlign w:val="center"/>
            <w:hideMark/>
          </w:tcPr>
          <w:p w:rsidR="00465ACB" w:rsidRPr="00FA002D" w:rsidRDefault="00465ACB" w:rsidP="000A47C5">
            <w:pPr>
              <w:contextualSpacing/>
              <w:textAlignment w:val="bottom"/>
              <w:rPr>
                <w:sz w:val="20"/>
                <w:szCs w:val="20"/>
                <w:lang w:eastAsia="zh-CN"/>
              </w:rPr>
            </w:pPr>
            <w:r w:rsidRPr="00FA002D">
              <w:rPr>
                <w:sz w:val="20"/>
                <w:szCs w:val="20"/>
                <w:lang w:eastAsia="zh-CN"/>
              </w:rPr>
              <w:t>Increase the proportion of eligible patients receiving EVT</w:t>
            </w:r>
          </w:p>
        </w:tc>
        <w:tc>
          <w:tcPr>
            <w:tcW w:w="956" w:type="pct"/>
            <w:vAlign w:val="center"/>
            <w:hideMark/>
          </w:tcPr>
          <w:p w:rsidR="00465ACB" w:rsidRPr="00FA002D" w:rsidRDefault="00465ACB" w:rsidP="000A47C5">
            <w:pPr>
              <w:contextualSpacing/>
              <w:rPr>
                <w:sz w:val="20"/>
                <w:szCs w:val="20"/>
                <w:lang w:eastAsia="zh-CN"/>
              </w:rPr>
            </w:pPr>
            <w:r w:rsidRPr="00FA002D">
              <w:rPr>
                <w:sz w:val="20"/>
                <w:szCs w:val="20"/>
                <w:lang w:eastAsia="zh-CN"/>
              </w:rPr>
              <w:t>First Strokes: 9.9%</w:t>
            </w:r>
          </w:p>
        </w:tc>
        <w:tc>
          <w:tcPr>
            <w:tcW w:w="580" w:type="pct"/>
            <w:vAlign w:val="center"/>
            <w:hideMark/>
          </w:tcPr>
          <w:p w:rsidR="00465ACB" w:rsidRPr="00FA002D" w:rsidRDefault="00465ACB" w:rsidP="000A47C5">
            <w:pPr>
              <w:contextualSpacing/>
              <w:jc w:val="center"/>
              <w:rPr>
                <w:sz w:val="20"/>
                <w:szCs w:val="20"/>
                <w:lang w:eastAsia="zh-CN"/>
              </w:rPr>
            </w:pPr>
            <w:r w:rsidRPr="00FA002D">
              <w:rPr>
                <w:sz w:val="20"/>
                <w:szCs w:val="20"/>
                <w:lang w:eastAsia="zh-CN"/>
              </w:rPr>
              <w:t>20.0%</w:t>
            </w:r>
          </w:p>
        </w:tc>
        <w:tc>
          <w:tcPr>
            <w:tcW w:w="580" w:type="pct"/>
          </w:tcPr>
          <w:p w:rsidR="00465ACB" w:rsidRPr="00FA002D" w:rsidRDefault="00465ACB" w:rsidP="000A47C5">
            <w:pPr>
              <w:contextualSpacing/>
              <w:jc w:val="center"/>
              <w:rPr>
                <w:sz w:val="20"/>
                <w:szCs w:val="20"/>
                <w:lang w:eastAsia="zh-CN"/>
              </w:rPr>
            </w:pPr>
            <w:r w:rsidRPr="00FA002D">
              <w:rPr>
                <w:sz w:val="20"/>
                <w:szCs w:val="20"/>
                <w:lang w:eastAsia="zh-CN"/>
              </w:rPr>
              <w:t>10.1%</w:t>
            </w:r>
          </w:p>
        </w:tc>
      </w:tr>
      <w:tr w:rsidR="00465ACB" w:rsidRPr="00FA002D" w:rsidTr="000A47C5">
        <w:trPr>
          <w:trHeight w:val="1107"/>
        </w:trPr>
        <w:tc>
          <w:tcPr>
            <w:tcW w:w="1415" w:type="pct"/>
            <w:vMerge/>
            <w:vAlign w:val="center"/>
            <w:hideMark/>
          </w:tcPr>
          <w:p w:rsidR="00465ACB" w:rsidRPr="00FA002D" w:rsidRDefault="00465ACB" w:rsidP="000A47C5">
            <w:pPr>
              <w:contextualSpacing/>
              <w:rPr>
                <w:sz w:val="20"/>
                <w:szCs w:val="20"/>
                <w:lang w:eastAsia="zh-CN"/>
              </w:rPr>
            </w:pPr>
          </w:p>
        </w:tc>
        <w:tc>
          <w:tcPr>
            <w:tcW w:w="1469" w:type="pct"/>
            <w:vMerge/>
            <w:vAlign w:val="center"/>
            <w:hideMark/>
          </w:tcPr>
          <w:p w:rsidR="00465ACB" w:rsidRPr="00FA002D" w:rsidRDefault="00465ACB" w:rsidP="000A47C5">
            <w:pPr>
              <w:contextualSpacing/>
              <w:rPr>
                <w:sz w:val="20"/>
                <w:szCs w:val="20"/>
                <w:lang w:eastAsia="zh-CN"/>
              </w:rPr>
            </w:pPr>
          </w:p>
        </w:tc>
        <w:tc>
          <w:tcPr>
            <w:tcW w:w="956" w:type="pct"/>
            <w:vAlign w:val="center"/>
            <w:hideMark/>
          </w:tcPr>
          <w:p w:rsidR="00465ACB" w:rsidRPr="00FA002D" w:rsidRDefault="00465ACB" w:rsidP="000A47C5">
            <w:pPr>
              <w:contextualSpacing/>
              <w:rPr>
                <w:sz w:val="20"/>
                <w:szCs w:val="20"/>
                <w:lang w:eastAsia="zh-CN"/>
              </w:rPr>
            </w:pPr>
            <w:r w:rsidRPr="00FA002D">
              <w:rPr>
                <w:sz w:val="20"/>
                <w:szCs w:val="20"/>
                <w:lang w:eastAsia="zh-CN"/>
              </w:rPr>
              <w:t>Recurrent Strokes:1.2%</w:t>
            </w:r>
          </w:p>
        </w:tc>
        <w:tc>
          <w:tcPr>
            <w:tcW w:w="580" w:type="pct"/>
            <w:vAlign w:val="center"/>
            <w:hideMark/>
          </w:tcPr>
          <w:p w:rsidR="00465ACB" w:rsidRPr="00FA002D" w:rsidRDefault="00465ACB" w:rsidP="000A47C5">
            <w:pPr>
              <w:contextualSpacing/>
              <w:jc w:val="center"/>
              <w:rPr>
                <w:sz w:val="20"/>
                <w:szCs w:val="20"/>
                <w:lang w:eastAsia="zh-CN"/>
              </w:rPr>
            </w:pPr>
            <w:r w:rsidRPr="00FA002D">
              <w:rPr>
                <w:sz w:val="20"/>
                <w:szCs w:val="20"/>
                <w:lang w:eastAsia="zh-CN"/>
              </w:rPr>
              <w:t>3.0%</w:t>
            </w:r>
          </w:p>
        </w:tc>
        <w:tc>
          <w:tcPr>
            <w:tcW w:w="580" w:type="pct"/>
            <w:vAlign w:val="center"/>
          </w:tcPr>
          <w:p w:rsidR="00465ACB" w:rsidRPr="00FA002D" w:rsidRDefault="00465ACB" w:rsidP="000A47C5">
            <w:pPr>
              <w:contextualSpacing/>
              <w:jc w:val="center"/>
              <w:rPr>
                <w:sz w:val="20"/>
                <w:szCs w:val="20"/>
                <w:lang w:eastAsia="zh-CN"/>
              </w:rPr>
            </w:pPr>
            <w:r w:rsidRPr="00FA002D">
              <w:rPr>
                <w:sz w:val="20"/>
                <w:szCs w:val="20"/>
                <w:lang w:eastAsia="zh-CN"/>
              </w:rPr>
              <w:t>1.8%</w:t>
            </w:r>
          </w:p>
        </w:tc>
      </w:tr>
      <w:tr w:rsidR="00465ACB" w:rsidRPr="00FA002D" w:rsidTr="000A47C5">
        <w:trPr>
          <w:trHeight w:val="1092"/>
        </w:trPr>
        <w:tc>
          <w:tcPr>
            <w:tcW w:w="1415" w:type="pct"/>
            <w:vAlign w:val="center"/>
            <w:hideMark/>
          </w:tcPr>
          <w:p w:rsidR="00465ACB" w:rsidRPr="00FA002D" w:rsidRDefault="00465ACB" w:rsidP="000A47C5">
            <w:pPr>
              <w:contextualSpacing/>
              <w:textAlignment w:val="bottom"/>
              <w:rPr>
                <w:sz w:val="20"/>
                <w:szCs w:val="20"/>
                <w:lang w:eastAsia="zh-CN"/>
              </w:rPr>
            </w:pPr>
            <w:r w:rsidRPr="00FA002D">
              <w:rPr>
                <w:sz w:val="20"/>
                <w:szCs w:val="20"/>
                <w:lang w:eastAsia="zh-CN"/>
              </w:rPr>
              <w:t>Increase utilization of ASU</w:t>
            </w:r>
          </w:p>
        </w:tc>
        <w:tc>
          <w:tcPr>
            <w:tcW w:w="1469" w:type="pct"/>
            <w:vAlign w:val="center"/>
            <w:hideMark/>
          </w:tcPr>
          <w:p w:rsidR="00465ACB" w:rsidRPr="00FA002D" w:rsidRDefault="00465ACB" w:rsidP="000A47C5">
            <w:pPr>
              <w:contextualSpacing/>
              <w:textAlignment w:val="bottom"/>
              <w:rPr>
                <w:sz w:val="20"/>
                <w:szCs w:val="20"/>
                <w:lang w:eastAsia="zh-CN"/>
              </w:rPr>
            </w:pPr>
            <w:r w:rsidRPr="00FA002D">
              <w:rPr>
                <w:sz w:val="20"/>
                <w:szCs w:val="20"/>
                <w:lang w:eastAsia="zh-CN"/>
              </w:rPr>
              <w:t>Increase the proportion of stroke patients managed in ASU</w:t>
            </w:r>
          </w:p>
        </w:tc>
        <w:tc>
          <w:tcPr>
            <w:tcW w:w="956" w:type="pct"/>
            <w:vAlign w:val="center"/>
            <w:hideMark/>
          </w:tcPr>
          <w:p w:rsidR="00465ACB" w:rsidRPr="00FA002D" w:rsidRDefault="00465ACB" w:rsidP="000A47C5">
            <w:pPr>
              <w:contextualSpacing/>
              <w:jc w:val="center"/>
              <w:rPr>
                <w:sz w:val="20"/>
                <w:szCs w:val="20"/>
                <w:lang w:eastAsia="zh-CN"/>
              </w:rPr>
            </w:pPr>
            <w:r w:rsidRPr="00FA002D">
              <w:rPr>
                <w:sz w:val="20"/>
                <w:szCs w:val="20"/>
                <w:lang w:eastAsia="zh-CN"/>
              </w:rPr>
              <w:t>50.4%</w:t>
            </w:r>
          </w:p>
        </w:tc>
        <w:tc>
          <w:tcPr>
            <w:tcW w:w="580" w:type="pct"/>
            <w:vAlign w:val="center"/>
            <w:hideMark/>
          </w:tcPr>
          <w:p w:rsidR="00465ACB" w:rsidRPr="00FA002D" w:rsidRDefault="00465ACB" w:rsidP="000A47C5">
            <w:pPr>
              <w:contextualSpacing/>
              <w:jc w:val="center"/>
              <w:rPr>
                <w:sz w:val="20"/>
                <w:szCs w:val="20"/>
                <w:lang w:eastAsia="zh-CN"/>
              </w:rPr>
            </w:pPr>
            <w:r w:rsidRPr="00FA002D">
              <w:rPr>
                <w:sz w:val="20"/>
                <w:szCs w:val="20"/>
                <w:lang w:eastAsia="zh-CN"/>
              </w:rPr>
              <w:t>80.0%</w:t>
            </w:r>
          </w:p>
        </w:tc>
        <w:tc>
          <w:tcPr>
            <w:tcW w:w="580" w:type="pct"/>
            <w:vAlign w:val="center"/>
          </w:tcPr>
          <w:p w:rsidR="00465ACB" w:rsidRPr="00FA002D" w:rsidRDefault="00465ACB" w:rsidP="000A47C5">
            <w:pPr>
              <w:contextualSpacing/>
              <w:jc w:val="center"/>
              <w:rPr>
                <w:sz w:val="20"/>
                <w:szCs w:val="20"/>
                <w:lang w:eastAsia="zh-CN"/>
              </w:rPr>
            </w:pPr>
            <w:r w:rsidRPr="00FA002D">
              <w:rPr>
                <w:sz w:val="20"/>
                <w:szCs w:val="20"/>
                <w:lang w:eastAsia="zh-CN"/>
              </w:rPr>
              <w:t>29.6%</w:t>
            </w:r>
          </w:p>
        </w:tc>
      </w:tr>
      <w:tr w:rsidR="00465ACB" w:rsidRPr="00FA002D" w:rsidTr="000A47C5">
        <w:trPr>
          <w:trHeight w:val="1107"/>
        </w:trPr>
        <w:tc>
          <w:tcPr>
            <w:tcW w:w="1415" w:type="pct"/>
            <w:vAlign w:val="center"/>
            <w:hideMark/>
          </w:tcPr>
          <w:p w:rsidR="00465ACB" w:rsidRPr="00FA002D" w:rsidRDefault="00465ACB" w:rsidP="000A47C5">
            <w:pPr>
              <w:contextualSpacing/>
              <w:textAlignment w:val="bottom"/>
              <w:rPr>
                <w:sz w:val="20"/>
                <w:szCs w:val="20"/>
                <w:lang w:eastAsia="zh-CN"/>
              </w:rPr>
            </w:pPr>
            <w:r w:rsidRPr="00FA002D">
              <w:rPr>
                <w:sz w:val="20"/>
                <w:szCs w:val="20"/>
                <w:lang w:eastAsia="zh-CN"/>
              </w:rPr>
              <w:t>Increase utilization of out-of-hospital rehabilitation</w:t>
            </w:r>
          </w:p>
        </w:tc>
        <w:tc>
          <w:tcPr>
            <w:tcW w:w="1469" w:type="pct"/>
            <w:vAlign w:val="center"/>
            <w:hideMark/>
          </w:tcPr>
          <w:p w:rsidR="00465ACB" w:rsidRPr="00FA002D" w:rsidRDefault="00465ACB" w:rsidP="000A47C5">
            <w:pPr>
              <w:contextualSpacing/>
              <w:textAlignment w:val="bottom"/>
              <w:rPr>
                <w:sz w:val="20"/>
                <w:szCs w:val="20"/>
                <w:lang w:eastAsia="zh-CN"/>
              </w:rPr>
            </w:pPr>
            <w:r w:rsidRPr="00FA002D">
              <w:rPr>
                <w:sz w:val="20"/>
                <w:szCs w:val="20"/>
                <w:lang w:eastAsia="zh-CN"/>
              </w:rPr>
              <w:t>Increase the proportion of eligible patients receiving out-of-hospital rehabilitation (day rehab centres and home rehab sessions)</w:t>
            </w:r>
          </w:p>
        </w:tc>
        <w:tc>
          <w:tcPr>
            <w:tcW w:w="956" w:type="pct"/>
            <w:vAlign w:val="center"/>
            <w:hideMark/>
          </w:tcPr>
          <w:p w:rsidR="00465ACB" w:rsidRPr="00FA002D" w:rsidRDefault="00465ACB" w:rsidP="000A47C5">
            <w:pPr>
              <w:contextualSpacing/>
              <w:jc w:val="center"/>
              <w:rPr>
                <w:sz w:val="20"/>
                <w:szCs w:val="20"/>
                <w:lang w:eastAsia="zh-CN"/>
              </w:rPr>
            </w:pPr>
            <w:r w:rsidRPr="00FA002D">
              <w:rPr>
                <w:sz w:val="20"/>
                <w:szCs w:val="20"/>
                <w:lang w:eastAsia="zh-CN"/>
              </w:rPr>
              <w:t>50.0%</w:t>
            </w:r>
          </w:p>
        </w:tc>
        <w:tc>
          <w:tcPr>
            <w:tcW w:w="580" w:type="pct"/>
            <w:vAlign w:val="center"/>
            <w:hideMark/>
          </w:tcPr>
          <w:p w:rsidR="00465ACB" w:rsidRPr="00FA002D" w:rsidRDefault="00465ACB" w:rsidP="000A47C5">
            <w:pPr>
              <w:contextualSpacing/>
              <w:jc w:val="center"/>
              <w:rPr>
                <w:sz w:val="20"/>
                <w:szCs w:val="20"/>
                <w:lang w:eastAsia="zh-CN"/>
              </w:rPr>
            </w:pPr>
            <w:r w:rsidRPr="00FA002D">
              <w:rPr>
                <w:sz w:val="20"/>
                <w:szCs w:val="20"/>
                <w:lang w:eastAsia="zh-CN"/>
              </w:rPr>
              <w:t>70.0%</w:t>
            </w:r>
          </w:p>
        </w:tc>
        <w:tc>
          <w:tcPr>
            <w:tcW w:w="580" w:type="pct"/>
            <w:vAlign w:val="center"/>
          </w:tcPr>
          <w:p w:rsidR="00465ACB" w:rsidRPr="00FA002D" w:rsidRDefault="00465ACB" w:rsidP="000A47C5">
            <w:pPr>
              <w:contextualSpacing/>
              <w:jc w:val="center"/>
              <w:rPr>
                <w:sz w:val="20"/>
                <w:szCs w:val="20"/>
                <w:lang w:eastAsia="zh-CN"/>
              </w:rPr>
            </w:pPr>
            <w:r w:rsidRPr="00FA002D">
              <w:rPr>
                <w:sz w:val="20"/>
                <w:szCs w:val="20"/>
                <w:lang w:eastAsia="zh-CN"/>
              </w:rPr>
              <w:t>20.0%</w:t>
            </w:r>
          </w:p>
        </w:tc>
      </w:tr>
      <w:tr w:rsidR="00465ACB" w:rsidRPr="00FA002D" w:rsidTr="000A47C5">
        <w:trPr>
          <w:trHeight w:val="1646"/>
        </w:trPr>
        <w:tc>
          <w:tcPr>
            <w:tcW w:w="1415" w:type="pct"/>
            <w:vAlign w:val="center"/>
          </w:tcPr>
          <w:p w:rsidR="00465ACB" w:rsidRPr="00FA002D" w:rsidRDefault="00465ACB" w:rsidP="000A47C5">
            <w:pPr>
              <w:contextualSpacing/>
              <w:textAlignment w:val="bottom"/>
              <w:rPr>
                <w:sz w:val="20"/>
                <w:szCs w:val="20"/>
                <w:lang w:eastAsia="zh-CN"/>
              </w:rPr>
            </w:pPr>
            <w:r w:rsidRPr="00FA002D">
              <w:rPr>
                <w:sz w:val="20"/>
                <w:szCs w:val="20"/>
                <w:lang w:eastAsia="zh-CN"/>
              </w:rPr>
              <w:t>Increase proportion of eligible people under appropriate secondary prevention</w:t>
            </w:r>
          </w:p>
        </w:tc>
        <w:tc>
          <w:tcPr>
            <w:tcW w:w="1469" w:type="pct"/>
            <w:vAlign w:val="center"/>
          </w:tcPr>
          <w:p w:rsidR="00465ACB" w:rsidRPr="00FA002D" w:rsidRDefault="00465ACB" w:rsidP="000A47C5">
            <w:pPr>
              <w:contextualSpacing/>
              <w:textAlignment w:val="bottom"/>
              <w:rPr>
                <w:sz w:val="20"/>
                <w:szCs w:val="20"/>
                <w:lang w:eastAsia="zh-CN"/>
              </w:rPr>
            </w:pPr>
            <w:r w:rsidRPr="00FA002D">
              <w:rPr>
                <w:sz w:val="20"/>
                <w:szCs w:val="20"/>
                <w:lang w:eastAsia="zh-CN"/>
              </w:rPr>
              <w:t>Increase the proportion of eligible people with history of stroke receiving secondary prevention</w:t>
            </w:r>
          </w:p>
        </w:tc>
        <w:tc>
          <w:tcPr>
            <w:tcW w:w="956" w:type="pct"/>
            <w:vAlign w:val="center"/>
          </w:tcPr>
          <w:p w:rsidR="00465ACB" w:rsidRPr="00FA002D" w:rsidRDefault="00465ACB" w:rsidP="000A47C5">
            <w:pPr>
              <w:contextualSpacing/>
              <w:jc w:val="center"/>
              <w:rPr>
                <w:sz w:val="20"/>
                <w:szCs w:val="20"/>
                <w:lang w:eastAsia="zh-CN"/>
              </w:rPr>
            </w:pPr>
            <w:r w:rsidRPr="00FA002D">
              <w:rPr>
                <w:sz w:val="20"/>
                <w:szCs w:val="20"/>
                <w:lang w:eastAsia="zh-CN"/>
              </w:rPr>
              <w:t>50.0%</w:t>
            </w:r>
          </w:p>
        </w:tc>
        <w:tc>
          <w:tcPr>
            <w:tcW w:w="580" w:type="pct"/>
            <w:vAlign w:val="center"/>
          </w:tcPr>
          <w:p w:rsidR="00465ACB" w:rsidRPr="00FA002D" w:rsidRDefault="00465ACB" w:rsidP="000A47C5">
            <w:pPr>
              <w:contextualSpacing/>
              <w:jc w:val="center"/>
              <w:rPr>
                <w:sz w:val="20"/>
                <w:szCs w:val="20"/>
                <w:lang w:eastAsia="zh-CN"/>
              </w:rPr>
            </w:pPr>
            <w:r w:rsidRPr="00FA002D">
              <w:rPr>
                <w:sz w:val="20"/>
                <w:szCs w:val="20"/>
                <w:lang w:eastAsia="zh-CN"/>
              </w:rPr>
              <w:t>75.0%</w:t>
            </w:r>
          </w:p>
        </w:tc>
        <w:tc>
          <w:tcPr>
            <w:tcW w:w="580" w:type="pct"/>
            <w:vAlign w:val="center"/>
          </w:tcPr>
          <w:p w:rsidR="00465ACB" w:rsidRPr="00FA002D" w:rsidRDefault="00465ACB" w:rsidP="000A47C5">
            <w:pPr>
              <w:contextualSpacing/>
              <w:jc w:val="center"/>
              <w:rPr>
                <w:sz w:val="20"/>
                <w:szCs w:val="20"/>
                <w:lang w:eastAsia="zh-CN"/>
              </w:rPr>
            </w:pPr>
            <w:r w:rsidRPr="00FA002D">
              <w:rPr>
                <w:sz w:val="20"/>
                <w:szCs w:val="20"/>
                <w:lang w:eastAsia="zh-CN"/>
              </w:rPr>
              <w:t>25.0%</w:t>
            </w:r>
          </w:p>
        </w:tc>
      </w:tr>
    </w:tbl>
    <w:p w:rsidR="00465ACB" w:rsidRPr="00D107E5" w:rsidRDefault="00465ACB" w:rsidP="000A47C5">
      <w:pPr>
        <w:spacing w:after="160" w:line="259" w:lineRule="auto"/>
      </w:pPr>
      <w:r w:rsidRPr="00FA002D">
        <w:rPr>
          <w:sz w:val="20"/>
          <w:szCs w:val="20"/>
        </w:rPr>
        <w:t>tPA, tissue plasminogen activator; EVT, endovascular therapy; ASU, acute stroke unit</w:t>
      </w:r>
    </w:p>
    <w:p w:rsidR="00465ACB" w:rsidRDefault="00465ACB">
      <w:pPr>
        <w:spacing w:after="160" w:line="259" w:lineRule="auto"/>
      </w:pPr>
      <w:r>
        <w:br w:type="page"/>
      </w:r>
    </w:p>
    <w:p w:rsidR="00465ACB" w:rsidRPr="00FA002D" w:rsidRDefault="00465ACB" w:rsidP="000A47C5">
      <w:pPr>
        <w:pStyle w:val="Tabletitle"/>
      </w:pPr>
      <w:r w:rsidRPr="00FA002D">
        <w:lastRenderedPageBreak/>
        <w:t xml:space="preserve">Table </w:t>
      </w:r>
      <w:r>
        <w:t>3</w:t>
      </w:r>
      <w:r w:rsidRPr="00FA002D">
        <w:t xml:space="preserve">. List of Intervention scenarios </w:t>
      </w:r>
    </w:p>
    <w:tbl>
      <w:tblPr>
        <w:tblStyle w:val="TableGrid"/>
        <w:tblW w:w="5001" w:type="pct"/>
        <w:tblBorders>
          <w:left w:val="none" w:sz="0" w:space="0" w:color="auto"/>
          <w:right w:val="none" w:sz="0" w:space="0" w:color="auto"/>
          <w:insideV w:val="none" w:sz="0" w:space="0" w:color="auto"/>
        </w:tblBorders>
        <w:tblLook w:val="0600" w:firstRow="0" w:lastRow="0" w:firstColumn="0" w:lastColumn="0" w:noHBand="1" w:noVBand="1"/>
      </w:tblPr>
      <w:tblGrid>
        <w:gridCol w:w="416"/>
        <w:gridCol w:w="2207"/>
        <w:gridCol w:w="6405"/>
      </w:tblGrid>
      <w:tr w:rsidR="00465ACB" w:rsidRPr="00FA002D" w:rsidTr="000A47C5">
        <w:trPr>
          <w:trHeight w:val="140"/>
        </w:trPr>
        <w:tc>
          <w:tcPr>
            <w:tcW w:w="222" w:type="pct"/>
            <w:shd w:val="clear" w:color="auto" w:fill="auto"/>
          </w:tcPr>
          <w:p w:rsidR="00465ACB" w:rsidRPr="00FA002D" w:rsidRDefault="00465ACB" w:rsidP="000A47C5">
            <w:pPr>
              <w:pStyle w:val="NormalWeb"/>
              <w:spacing w:before="0" w:beforeAutospacing="0" w:after="0" w:afterAutospacing="0" w:line="480" w:lineRule="auto"/>
              <w:jc w:val="center"/>
              <w:rPr>
                <w:bCs/>
                <w:color w:val="000000" w:themeColor="text1"/>
                <w:kern w:val="24"/>
                <w:sz w:val="20"/>
                <w:szCs w:val="20"/>
                <w:lang w:val="en-US"/>
              </w:rPr>
            </w:pPr>
          </w:p>
        </w:tc>
        <w:tc>
          <w:tcPr>
            <w:tcW w:w="1227" w:type="pct"/>
            <w:shd w:val="clear" w:color="auto" w:fill="auto"/>
            <w:vAlign w:val="center"/>
          </w:tcPr>
          <w:p w:rsidR="00465ACB" w:rsidRPr="00FA002D" w:rsidRDefault="00465ACB" w:rsidP="000A47C5">
            <w:pPr>
              <w:pStyle w:val="NormalWeb"/>
              <w:spacing w:before="0" w:beforeAutospacing="0" w:after="0" w:afterAutospacing="0" w:line="480" w:lineRule="auto"/>
              <w:jc w:val="center"/>
              <w:rPr>
                <w:bCs/>
                <w:color w:val="000000" w:themeColor="text1"/>
                <w:kern w:val="24"/>
                <w:sz w:val="20"/>
                <w:szCs w:val="20"/>
                <w:lang w:val="en-US"/>
              </w:rPr>
            </w:pPr>
            <w:r w:rsidRPr="00FA002D">
              <w:rPr>
                <w:bCs/>
                <w:color w:val="000000" w:themeColor="text1"/>
                <w:kern w:val="24"/>
                <w:sz w:val="20"/>
                <w:szCs w:val="20"/>
                <w:lang w:val="en-US"/>
              </w:rPr>
              <w:t>Model Scenario Name</w:t>
            </w:r>
          </w:p>
        </w:tc>
        <w:tc>
          <w:tcPr>
            <w:tcW w:w="3551" w:type="pct"/>
            <w:shd w:val="clear" w:color="auto" w:fill="auto"/>
          </w:tcPr>
          <w:p w:rsidR="00465ACB" w:rsidRPr="00FA002D" w:rsidRDefault="00465ACB" w:rsidP="000A47C5">
            <w:pPr>
              <w:pStyle w:val="NormalWeb"/>
              <w:spacing w:before="0" w:beforeAutospacing="0" w:after="0" w:afterAutospacing="0" w:line="480" w:lineRule="auto"/>
              <w:jc w:val="center"/>
              <w:rPr>
                <w:bCs/>
                <w:color w:val="000000" w:themeColor="text1"/>
                <w:kern w:val="24"/>
                <w:sz w:val="20"/>
                <w:szCs w:val="20"/>
                <w:lang w:val="en-US"/>
              </w:rPr>
            </w:pPr>
            <w:r w:rsidRPr="00FA002D">
              <w:rPr>
                <w:bCs/>
                <w:color w:val="000000" w:themeColor="text1"/>
                <w:kern w:val="24"/>
                <w:sz w:val="20"/>
                <w:szCs w:val="20"/>
                <w:lang w:val="en-US"/>
              </w:rPr>
              <w:t>Model Scenario Description</w:t>
            </w:r>
          </w:p>
        </w:tc>
      </w:tr>
      <w:tr w:rsidR="00465ACB" w:rsidRPr="00FA002D" w:rsidTr="000A47C5">
        <w:trPr>
          <w:trHeight w:val="282"/>
        </w:trPr>
        <w:tc>
          <w:tcPr>
            <w:tcW w:w="222" w:type="pct"/>
          </w:tcPr>
          <w:p w:rsidR="00465ACB" w:rsidRPr="00FA002D" w:rsidRDefault="00465ACB" w:rsidP="000A47C5">
            <w:pPr>
              <w:pStyle w:val="NormalWeb"/>
              <w:spacing w:before="0" w:beforeAutospacing="0" w:after="0" w:afterAutospacing="0" w:line="480" w:lineRule="auto"/>
              <w:jc w:val="center"/>
              <w:rPr>
                <w:bCs/>
                <w:color w:val="000000" w:themeColor="text1"/>
                <w:kern w:val="24"/>
                <w:sz w:val="20"/>
                <w:szCs w:val="20"/>
                <w:lang w:val="en-US"/>
              </w:rPr>
            </w:pPr>
            <w:r w:rsidRPr="00FA002D">
              <w:rPr>
                <w:bCs/>
                <w:color w:val="000000" w:themeColor="text1"/>
                <w:kern w:val="24"/>
                <w:sz w:val="20"/>
                <w:szCs w:val="20"/>
                <w:lang w:val="en-US"/>
              </w:rPr>
              <w:t>1</w:t>
            </w:r>
          </w:p>
        </w:tc>
        <w:tc>
          <w:tcPr>
            <w:tcW w:w="1227" w:type="pct"/>
          </w:tcPr>
          <w:p w:rsidR="00465ACB" w:rsidRPr="00FA002D" w:rsidRDefault="00465ACB" w:rsidP="000A47C5">
            <w:pPr>
              <w:pStyle w:val="NormalWeb"/>
              <w:spacing w:before="0" w:beforeAutospacing="0" w:after="0" w:afterAutospacing="0" w:line="480" w:lineRule="auto"/>
              <w:rPr>
                <w:bCs/>
                <w:color w:val="000000" w:themeColor="text1"/>
                <w:kern w:val="24"/>
                <w:sz w:val="20"/>
                <w:szCs w:val="20"/>
                <w:lang w:val="en-US"/>
              </w:rPr>
            </w:pPr>
            <w:r w:rsidRPr="00FA002D">
              <w:rPr>
                <w:bCs/>
                <w:color w:val="000000" w:themeColor="text1"/>
                <w:kern w:val="24"/>
                <w:sz w:val="20"/>
                <w:szCs w:val="20"/>
                <w:lang w:val="en-US"/>
              </w:rPr>
              <w:t>Status Quo</w:t>
            </w:r>
          </w:p>
        </w:tc>
        <w:tc>
          <w:tcPr>
            <w:tcW w:w="3551" w:type="pct"/>
          </w:tcPr>
          <w:p w:rsidR="00465ACB" w:rsidRPr="00FA002D" w:rsidRDefault="00465ACB" w:rsidP="000A47C5">
            <w:pPr>
              <w:pStyle w:val="NormalWeb"/>
              <w:spacing w:before="0" w:beforeAutospacing="0" w:after="0" w:afterAutospacing="0" w:line="480" w:lineRule="auto"/>
              <w:rPr>
                <w:bCs/>
                <w:color w:val="000000" w:themeColor="text1"/>
                <w:kern w:val="24"/>
                <w:sz w:val="20"/>
                <w:szCs w:val="20"/>
                <w:lang w:val="en-US"/>
              </w:rPr>
            </w:pPr>
            <w:r w:rsidRPr="00FA002D">
              <w:rPr>
                <w:bCs/>
                <w:color w:val="000000" w:themeColor="text1"/>
                <w:kern w:val="24"/>
                <w:sz w:val="20"/>
                <w:szCs w:val="20"/>
                <w:lang w:val="en-US"/>
              </w:rPr>
              <w:t>Current practice of care</w:t>
            </w:r>
          </w:p>
        </w:tc>
      </w:tr>
      <w:tr w:rsidR="00465ACB" w:rsidRPr="00FA002D" w:rsidTr="000A47C5">
        <w:trPr>
          <w:trHeight w:val="140"/>
        </w:trPr>
        <w:tc>
          <w:tcPr>
            <w:tcW w:w="222" w:type="pct"/>
          </w:tcPr>
          <w:p w:rsidR="00465ACB" w:rsidRPr="00FA002D" w:rsidRDefault="00465ACB" w:rsidP="000A47C5">
            <w:pPr>
              <w:pStyle w:val="NormalWeb"/>
              <w:spacing w:before="0" w:beforeAutospacing="0" w:after="0" w:afterAutospacing="0" w:line="480" w:lineRule="auto"/>
              <w:jc w:val="center"/>
              <w:rPr>
                <w:sz w:val="20"/>
                <w:szCs w:val="20"/>
              </w:rPr>
            </w:pPr>
            <w:r w:rsidRPr="00FA002D">
              <w:rPr>
                <w:sz w:val="20"/>
                <w:szCs w:val="20"/>
              </w:rPr>
              <w:t>2</w:t>
            </w:r>
          </w:p>
        </w:tc>
        <w:tc>
          <w:tcPr>
            <w:tcW w:w="1227" w:type="pct"/>
          </w:tcPr>
          <w:p w:rsidR="00465ACB" w:rsidRPr="00FA002D" w:rsidRDefault="00465ACB" w:rsidP="000A47C5">
            <w:pPr>
              <w:pStyle w:val="NormalWeb"/>
              <w:spacing w:before="0" w:beforeAutospacing="0" w:after="0" w:afterAutospacing="0" w:line="480" w:lineRule="auto"/>
              <w:rPr>
                <w:sz w:val="20"/>
                <w:szCs w:val="20"/>
              </w:rPr>
            </w:pPr>
            <w:r w:rsidRPr="00FA002D">
              <w:rPr>
                <w:bCs/>
                <w:color w:val="000000" w:themeColor="text1"/>
                <w:kern w:val="24"/>
                <w:sz w:val="20"/>
                <w:szCs w:val="20"/>
                <w:lang w:val="en-US"/>
              </w:rPr>
              <w:t>tPA Only</w:t>
            </w:r>
          </w:p>
        </w:tc>
        <w:tc>
          <w:tcPr>
            <w:tcW w:w="3551" w:type="pct"/>
          </w:tcPr>
          <w:p w:rsidR="00465ACB" w:rsidRPr="00FA002D" w:rsidRDefault="00465ACB" w:rsidP="000A47C5">
            <w:pPr>
              <w:pStyle w:val="NormalWeb"/>
              <w:spacing w:before="0" w:beforeAutospacing="0" w:after="0" w:afterAutospacing="0" w:line="480" w:lineRule="auto"/>
              <w:rPr>
                <w:bCs/>
                <w:color w:val="000000" w:themeColor="text1"/>
                <w:kern w:val="24"/>
                <w:sz w:val="20"/>
                <w:szCs w:val="20"/>
                <w:lang w:val="en-US"/>
              </w:rPr>
            </w:pPr>
            <w:r w:rsidRPr="00FA002D">
              <w:rPr>
                <w:bCs/>
                <w:color w:val="000000" w:themeColor="text1"/>
                <w:kern w:val="24"/>
                <w:sz w:val="20"/>
                <w:szCs w:val="20"/>
                <w:lang w:val="en-US"/>
              </w:rPr>
              <w:t>Increase the proportion of eligible patients receiving tPA</w:t>
            </w:r>
          </w:p>
        </w:tc>
      </w:tr>
      <w:tr w:rsidR="00465ACB" w:rsidRPr="00FA002D" w:rsidTr="000A47C5">
        <w:trPr>
          <w:trHeight w:val="300"/>
        </w:trPr>
        <w:tc>
          <w:tcPr>
            <w:tcW w:w="222" w:type="pct"/>
            <w:hideMark/>
          </w:tcPr>
          <w:p w:rsidR="00465ACB" w:rsidRPr="00FA002D" w:rsidRDefault="00465ACB" w:rsidP="000A47C5">
            <w:pPr>
              <w:pStyle w:val="NormalWeb"/>
              <w:spacing w:before="0" w:beforeAutospacing="0" w:after="0" w:afterAutospacing="0" w:line="480" w:lineRule="auto"/>
              <w:jc w:val="center"/>
              <w:rPr>
                <w:sz w:val="20"/>
                <w:szCs w:val="20"/>
              </w:rPr>
            </w:pPr>
            <w:r w:rsidRPr="00FA002D">
              <w:rPr>
                <w:bCs/>
                <w:color w:val="000000" w:themeColor="text1"/>
                <w:kern w:val="24"/>
                <w:sz w:val="20"/>
                <w:szCs w:val="20"/>
                <w:lang w:val="en-US"/>
              </w:rPr>
              <w:t>3</w:t>
            </w:r>
          </w:p>
        </w:tc>
        <w:tc>
          <w:tcPr>
            <w:tcW w:w="1227" w:type="pct"/>
            <w:hideMark/>
          </w:tcPr>
          <w:p w:rsidR="00465ACB" w:rsidRPr="00FA002D" w:rsidRDefault="00465ACB" w:rsidP="000A47C5">
            <w:pPr>
              <w:pStyle w:val="NormalWeb"/>
              <w:spacing w:before="0" w:beforeAutospacing="0" w:after="0" w:afterAutospacing="0" w:line="480" w:lineRule="auto"/>
              <w:rPr>
                <w:sz w:val="20"/>
                <w:szCs w:val="20"/>
              </w:rPr>
            </w:pPr>
            <w:r w:rsidRPr="00FA002D">
              <w:rPr>
                <w:bCs/>
                <w:color w:val="000000" w:themeColor="text1"/>
                <w:kern w:val="24"/>
                <w:sz w:val="20"/>
                <w:szCs w:val="20"/>
                <w:lang w:val="en-US"/>
              </w:rPr>
              <w:t>Campaign &amp; tPA</w:t>
            </w:r>
          </w:p>
        </w:tc>
        <w:tc>
          <w:tcPr>
            <w:tcW w:w="3551" w:type="pct"/>
          </w:tcPr>
          <w:p w:rsidR="00465ACB" w:rsidRPr="00FA002D" w:rsidRDefault="00465ACB" w:rsidP="000A47C5">
            <w:pPr>
              <w:pStyle w:val="NormalWeb"/>
              <w:spacing w:before="0" w:beforeAutospacing="0" w:after="0" w:afterAutospacing="0" w:line="480" w:lineRule="auto"/>
              <w:rPr>
                <w:bCs/>
                <w:color w:val="000000" w:themeColor="text1"/>
                <w:kern w:val="24"/>
                <w:sz w:val="20"/>
                <w:szCs w:val="20"/>
                <w:lang w:val="en-US"/>
              </w:rPr>
            </w:pPr>
            <w:r w:rsidRPr="00FA002D">
              <w:rPr>
                <w:bCs/>
                <w:color w:val="000000" w:themeColor="text1"/>
                <w:kern w:val="24"/>
                <w:sz w:val="20"/>
                <w:szCs w:val="20"/>
                <w:lang w:val="en-US"/>
              </w:rPr>
              <w:t xml:space="preserve">Increase the number of patients arriving to hospital </w:t>
            </w:r>
            <w:r w:rsidRPr="00FA002D" w:rsidDel="00E318EC">
              <w:rPr>
                <w:bCs/>
                <w:color w:val="000000" w:themeColor="text1"/>
                <w:kern w:val="24"/>
                <w:sz w:val="20"/>
                <w:szCs w:val="20"/>
                <w:lang w:val="en-US"/>
              </w:rPr>
              <w:t xml:space="preserve">early </w:t>
            </w:r>
            <w:r w:rsidRPr="00FA002D">
              <w:rPr>
                <w:bCs/>
                <w:color w:val="000000" w:themeColor="text1"/>
                <w:kern w:val="24"/>
                <w:sz w:val="20"/>
                <w:szCs w:val="20"/>
                <w:lang w:val="en-US"/>
              </w:rPr>
              <w:t xml:space="preserve">within 300 minutes </w:t>
            </w:r>
            <w:r w:rsidRPr="00FA002D">
              <w:rPr>
                <w:bCs/>
                <w:i/>
                <w:color w:val="000000" w:themeColor="text1"/>
                <w:kern w:val="24"/>
                <w:sz w:val="20"/>
                <w:szCs w:val="20"/>
                <w:lang w:val="en-US"/>
              </w:rPr>
              <w:t>and</w:t>
            </w:r>
            <w:r w:rsidRPr="00FA002D">
              <w:rPr>
                <w:bCs/>
                <w:color w:val="000000" w:themeColor="text1"/>
                <w:kern w:val="24"/>
                <w:sz w:val="20"/>
                <w:szCs w:val="20"/>
                <w:lang w:val="en-US"/>
              </w:rPr>
              <w:t xml:space="preserve"> the proportion of eligible patients receiving tPA</w:t>
            </w:r>
          </w:p>
        </w:tc>
      </w:tr>
      <w:tr w:rsidR="00465ACB" w:rsidRPr="00FA002D" w:rsidTr="000A47C5">
        <w:trPr>
          <w:trHeight w:val="432"/>
        </w:trPr>
        <w:tc>
          <w:tcPr>
            <w:tcW w:w="222" w:type="pct"/>
            <w:hideMark/>
          </w:tcPr>
          <w:p w:rsidR="00465ACB" w:rsidRPr="00FA002D" w:rsidRDefault="00465ACB" w:rsidP="000A47C5">
            <w:pPr>
              <w:pStyle w:val="NormalWeb"/>
              <w:spacing w:before="0" w:beforeAutospacing="0" w:after="0" w:afterAutospacing="0" w:line="480" w:lineRule="auto"/>
              <w:jc w:val="center"/>
              <w:rPr>
                <w:sz w:val="20"/>
                <w:szCs w:val="20"/>
              </w:rPr>
            </w:pPr>
            <w:r w:rsidRPr="00FA002D">
              <w:rPr>
                <w:bCs/>
                <w:color w:val="000000" w:themeColor="text1"/>
                <w:kern w:val="24"/>
                <w:sz w:val="20"/>
                <w:szCs w:val="20"/>
                <w:lang w:val="en-US"/>
              </w:rPr>
              <w:t>4</w:t>
            </w:r>
          </w:p>
        </w:tc>
        <w:tc>
          <w:tcPr>
            <w:tcW w:w="1227" w:type="pct"/>
            <w:hideMark/>
          </w:tcPr>
          <w:p w:rsidR="00465ACB" w:rsidRPr="00FA002D" w:rsidRDefault="00465ACB" w:rsidP="000A47C5">
            <w:pPr>
              <w:pStyle w:val="NormalWeb"/>
              <w:spacing w:before="0" w:beforeAutospacing="0" w:after="0" w:afterAutospacing="0" w:line="480" w:lineRule="auto"/>
              <w:rPr>
                <w:sz w:val="20"/>
                <w:szCs w:val="20"/>
              </w:rPr>
            </w:pPr>
            <w:r w:rsidRPr="00FA002D">
              <w:rPr>
                <w:bCs/>
                <w:color w:val="000000" w:themeColor="text1"/>
                <w:kern w:val="24"/>
                <w:sz w:val="20"/>
                <w:szCs w:val="20"/>
                <w:lang w:val="en-US"/>
              </w:rPr>
              <w:t>EVT Only</w:t>
            </w:r>
          </w:p>
        </w:tc>
        <w:tc>
          <w:tcPr>
            <w:tcW w:w="3551" w:type="pct"/>
          </w:tcPr>
          <w:p w:rsidR="00465ACB" w:rsidRPr="00FA002D" w:rsidRDefault="00465ACB" w:rsidP="000A47C5">
            <w:pPr>
              <w:pStyle w:val="NormalWeb"/>
              <w:spacing w:before="0" w:beforeAutospacing="0" w:after="0" w:afterAutospacing="0" w:line="480" w:lineRule="auto"/>
              <w:rPr>
                <w:bCs/>
                <w:color w:val="000000" w:themeColor="text1"/>
                <w:kern w:val="24"/>
                <w:sz w:val="20"/>
                <w:szCs w:val="20"/>
                <w:lang w:val="en-US"/>
              </w:rPr>
            </w:pPr>
            <w:r w:rsidRPr="00FA002D">
              <w:rPr>
                <w:bCs/>
                <w:color w:val="000000" w:themeColor="text1"/>
                <w:kern w:val="24"/>
                <w:sz w:val="20"/>
                <w:szCs w:val="20"/>
                <w:lang w:val="en-US"/>
              </w:rPr>
              <w:t>Increase the proportion of eligible patients receiving EVT</w:t>
            </w:r>
          </w:p>
        </w:tc>
      </w:tr>
      <w:tr w:rsidR="00465ACB" w:rsidRPr="00FA002D" w:rsidTr="000A47C5">
        <w:trPr>
          <w:trHeight w:val="70"/>
        </w:trPr>
        <w:tc>
          <w:tcPr>
            <w:tcW w:w="222" w:type="pct"/>
            <w:hideMark/>
          </w:tcPr>
          <w:p w:rsidR="00465ACB" w:rsidRPr="00FA002D" w:rsidRDefault="00465ACB" w:rsidP="000A47C5">
            <w:pPr>
              <w:pStyle w:val="NormalWeb"/>
              <w:spacing w:before="0" w:beforeAutospacing="0" w:after="0" w:afterAutospacing="0" w:line="480" w:lineRule="auto"/>
              <w:jc w:val="center"/>
              <w:rPr>
                <w:sz w:val="20"/>
                <w:szCs w:val="20"/>
              </w:rPr>
            </w:pPr>
            <w:r w:rsidRPr="00FA002D">
              <w:rPr>
                <w:sz w:val="20"/>
                <w:szCs w:val="20"/>
              </w:rPr>
              <w:t>5</w:t>
            </w:r>
          </w:p>
        </w:tc>
        <w:tc>
          <w:tcPr>
            <w:tcW w:w="1227" w:type="pct"/>
            <w:hideMark/>
          </w:tcPr>
          <w:p w:rsidR="00465ACB" w:rsidRPr="00FA002D" w:rsidRDefault="00465ACB" w:rsidP="000A47C5">
            <w:pPr>
              <w:pStyle w:val="NormalWeb"/>
              <w:spacing w:before="0" w:beforeAutospacing="0" w:after="0" w:afterAutospacing="0" w:line="480" w:lineRule="auto"/>
              <w:rPr>
                <w:sz w:val="20"/>
                <w:szCs w:val="20"/>
              </w:rPr>
            </w:pPr>
            <w:r w:rsidRPr="00FA002D">
              <w:rPr>
                <w:bCs/>
                <w:color w:val="000000" w:themeColor="text1"/>
                <w:kern w:val="24"/>
                <w:sz w:val="20"/>
                <w:szCs w:val="20"/>
                <w:lang w:val="en-US"/>
              </w:rPr>
              <w:t>tPA &amp; EVT</w:t>
            </w:r>
          </w:p>
        </w:tc>
        <w:tc>
          <w:tcPr>
            <w:tcW w:w="3551" w:type="pct"/>
          </w:tcPr>
          <w:p w:rsidR="00465ACB" w:rsidRPr="00FA002D" w:rsidRDefault="00465ACB" w:rsidP="000A47C5">
            <w:pPr>
              <w:pStyle w:val="NormalWeb"/>
              <w:spacing w:before="0" w:beforeAutospacing="0" w:after="0" w:afterAutospacing="0" w:line="480" w:lineRule="auto"/>
              <w:rPr>
                <w:bCs/>
                <w:color w:val="000000" w:themeColor="text1"/>
                <w:kern w:val="24"/>
                <w:sz w:val="20"/>
                <w:szCs w:val="20"/>
                <w:lang w:val="en-US"/>
              </w:rPr>
            </w:pPr>
            <w:r w:rsidRPr="00FA002D">
              <w:rPr>
                <w:bCs/>
                <w:color w:val="000000" w:themeColor="text1"/>
                <w:kern w:val="24"/>
                <w:sz w:val="20"/>
                <w:szCs w:val="20"/>
                <w:lang w:val="en-US"/>
              </w:rPr>
              <w:t>Increase the proportion of eligible patients receiving tPA and/or EVT</w:t>
            </w:r>
          </w:p>
        </w:tc>
      </w:tr>
      <w:tr w:rsidR="00465ACB" w:rsidRPr="00FA002D" w:rsidTr="000A47C5">
        <w:trPr>
          <w:trHeight w:val="70"/>
        </w:trPr>
        <w:tc>
          <w:tcPr>
            <w:tcW w:w="222" w:type="pct"/>
          </w:tcPr>
          <w:p w:rsidR="00465ACB" w:rsidRPr="00FA002D" w:rsidRDefault="00465ACB" w:rsidP="000A47C5">
            <w:pPr>
              <w:pStyle w:val="NormalWeb"/>
              <w:spacing w:before="0" w:beforeAutospacing="0" w:after="0" w:afterAutospacing="0" w:line="480" w:lineRule="auto"/>
              <w:jc w:val="center"/>
              <w:rPr>
                <w:sz w:val="20"/>
                <w:szCs w:val="20"/>
              </w:rPr>
            </w:pPr>
            <w:r w:rsidRPr="00FA002D">
              <w:rPr>
                <w:sz w:val="20"/>
                <w:szCs w:val="20"/>
              </w:rPr>
              <w:t>6</w:t>
            </w:r>
          </w:p>
        </w:tc>
        <w:tc>
          <w:tcPr>
            <w:tcW w:w="1227" w:type="pct"/>
          </w:tcPr>
          <w:p w:rsidR="00465ACB" w:rsidRPr="00FA002D" w:rsidRDefault="00465ACB" w:rsidP="000A47C5">
            <w:pPr>
              <w:pStyle w:val="NormalWeb"/>
              <w:spacing w:before="0" w:beforeAutospacing="0" w:after="0" w:afterAutospacing="0" w:line="480" w:lineRule="auto"/>
              <w:rPr>
                <w:bCs/>
                <w:color w:val="000000" w:themeColor="text1"/>
                <w:kern w:val="24"/>
                <w:sz w:val="20"/>
                <w:szCs w:val="20"/>
                <w:lang w:val="en-US"/>
              </w:rPr>
            </w:pPr>
            <w:r w:rsidRPr="00FA002D">
              <w:rPr>
                <w:bCs/>
                <w:color w:val="000000" w:themeColor="text1"/>
                <w:kern w:val="24"/>
                <w:sz w:val="20"/>
                <w:szCs w:val="20"/>
                <w:lang w:val="en-US"/>
              </w:rPr>
              <w:t>Campaign, tPA, &amp; EVT</w:t>
            </w:r>
          </w:p>
        </w:tc>
        <w:tc>
          <w:tcPr>
            <w:tcW w:w="3551" w:type="pct"/>
          </w:tcPr>
          <w:p w:rsidR="00465ACB" w:rsidRPr="00FA002D" w:rsidRDefault="00465ACB" w:rsidP="000A47C5">
            <w:pPr>
              <w:pStyle w:val="NormalWeb"/>
              <w:spacing w:before="0" w:beforeAutospacing="0" w:after="0" w:afterAutospacing="0" w:line="480" w:lineRule="auto"/>
              <w:rPr>
                <w:bCs/>
                <w:color w:val="000000" w:themeColor="text1"/>
                <w:kern w:val="24"/>
                <w:sz w:val="20"/>
                <w:szCs w:val="20"/>
                <w:lang w:val="en-US"/>
              </w:rPr>
            </w:pPr>
            <w:r w:rsidRPr="00FA002D">
              <w:rPr>
                <w:bCs/>
                <w:color w:val="000000" w:themeColor="text1"/>
                <w:kern w:val="24"/>
                <w:sz w:val="20"/>
                <w:szCs w:val="20"/>
                <w:lang w:val="en-US"/>
              </w:rPr>
              <w:t xml:space="preserve">Increase the number of patients arriving at hospital early </w:t>
            </w:r>
            <w:r w:rsidRPr="00FA002D">
              <w:rPr>
                <w:bCs/>
                <w:i/>
                <w:color w:val="000000" w:themeColor="text1"/>
                <w:kern w:val="24"/>
                <w:sz w:val="20"/>
                <w:szCs w:val="20"/>
                <w:lang w:val="en-US"/>
              </w:rPr>
              <w:t xml:space="preserve">and </w:t>
            </w:r>
            <w:r w:rsidRPr="00FA002D">
              <w:rPr>
                <w:bCs/>
                <w:color w:val="000000" w:themeColor="text1"/>
                <w:kern w:val="24"/>
                <w:sz w:val="20"/>
                <w:szCs w:val="20"/>
                <w:lang w:val="en-US"/>
              </w:rPr>
              <w:t>the proportion of eligible patients receiving tPA and/or EVT</w:t>
            </w:r>
          </w:p>
        </w:tc>
      </w:tr>
      <w:tr w:rsidR="00465ACB" w:rsidRPr="00FA002D" w:rsidTr="000A47C5">
        <w:trPr>
          <w:trHeight w:val="584"/>
        </w:trPr>
        <w:tc>
          <w:tcPr>
            <w:tcW w:w="222" w:type="pct"/>
            <w:hideMark/>
          </w:tcPr>
          <w:p w:rsidR="00465ACB" w:rsidRPr="00FA002D" w:rsidRDefault="00465ACB" w:rsidP="000A47C5">
            <w:pPr>
              <w:pStyle w:val="NormalWeb"/>
              <w:spacing w:before="0" w:beforeAutospacing="0" w:after="0" w:afterAutospacing="0" w:line="480" w:lineRule="auto"/>
              <w:jc w:val="center"/>
              <w:rPr>
                <w:sz w:val="20"/>
                <w:szCs w:val="20"/>
              </w:rPr>
            </w:pPr>
            <w:r w:rsidRPr="00FA002D">
              <w:rPr>
                <w:bCs/>
                <w:color w:val="000000" w:themeColor="text1"/>
                <w:kern w:val="24"/>
                <w:sz w:val="20"/>
                <w:szCs w:val="20"/>
                <w:lang w:val="en-US"/>
              </w:rPr>
              <w:t>7</w:t>
            </w:r>
          </w:p>
        </w:tc>
        <w:tc>
          <w:tcPr>
            <w:tcW w:w="1227" w:type="pct"/>
            <w:hideMark/>
          </w:tcPr>
          <w:p w:rsidR="00465ACB" w:rsidRPr="00FA002D" w:rsidRDefault="00465ACB" w:rsidP="000A47C5">
            <w:pPr>
              <w:pStyle w:val="NormalWeb"/>
              <w:spacing w:before="0" w:beforeAutospacing="0" w:after="0" w:afterAutospacing="0" w:line="480" w:lineRule="auto"/>
              <w:rPr>
                <w:sz w:val="20"/>
                <w:szCs w:val="20"/>
              </w:rPr>
            </w:pPr>
            <w:r w:rsidRPr="00FA002D">
              <w:rPr>
                <w:bCs/>
                <w:color w:val="000000" w:themeColor="text1"/>
                <w:kern w:val="24"/>
                <w:sz w:val="20"/>
                <w:szCs w:val="20"/>
                <w:lang w:val="en-US"/>
              </w:rPr>
              <w:t>Rehab only</w:t>
            </w:r>
          </w:p>
        </w:tc>
        <w:tc>
          <w:tcPr>
            <w:tcW w:w="3551" w:type="pct"/>
          </w:tcPr>
          <w:p w:rsidR="00465ACB" w:rsidRPr="00FA002D" w:rsidRDefault="00465ACB" w:rsidP="000A47C5">
            <w:pPr>
              <w:pStyle w:val="NormalWeb"/>
              <w:spacing w:before="0" w:beforeAutospacing="0" w:after="0" w:afterAutospacing="0" w:line="480" w:lineRule="auto"/>
              <w:rPr>
                <w:bCs/>
                <w:color w:val="000000" w:themeColor="text1"/>
                <w:kern w:val="24"/>
                <w:sz w:val="20"/>
                <w:szCs w:val="20"/>
                <w:lang w:val="en-US"/>
              </w:rPr>
            </w:pPr>
            <w:r w:rsidRPr="00FA002D">
              <w:rPr>
                <w:bCs/>
                <w:color w:val="000000" w:themeColor="text1"/>
                <w:kern w:val="24"/>
                <w:sz w:val="20"/>
                <w:szCs w:val="20"/>
                <w:lang w:val="en-US"/>
              </w:rPr>
              <w:t xml:space="preserve">Increase the </w:t>
            </w:r>
            <w:r w:rsidRPr="00FA002D" w:rsidDel="00AF2060">
              <w:rPr>
                <w:bCs/>
                <w:color w:val="000000" w:themeColor="text1"/>
                <w:kern w:val="24"/>
                <w:sz w:val="20"/>
                <w:szCs w:val="20"/>
                <w:lang w:val="en-US"/>
              </w:rPr>
              <w:t>proportion of eligible patients receiving out-of-hospital rehabilitation</w:t>
            </w:r>
          </w:p>
        </w:tc>
      </w:tr>
      <w:tr w:rsidR="00465ACB" w:rsidRPr="00FA002D" w:rsidTr="000A47C5">
        <w:trPr>
          <w:trHeight w:val="70"/>
        </w:trPr>
        <w:tc>
          <w:tcPr>
            <w:tcW w:w="222" w:type="pct"/>
          </w:tcPr>
          <w:p w:rsidR="00465ACB" w:rsidRPr="00FA002D" w:rsidRDefault="00465ACB" w:rsidP="000A47C5">
            <w:pPr>
              <w:pStyle w:val="NormalWeb"/>
              <w:spacing w:before="0" w:beforeAutospacing="0" w:after="0" w:afterAutospacing="0" w:line="480" w:lineRule="auto"/>
              <w:jc w:val="center"/>
              <w:rPr>
                <w:sz w:val="20"/>
                <w:szCs w:val="20"/>
              </w:rPr>
            </w:pPr>
            <w:r w:rsidRPr="00FA002D">
              <w:rPr>
                <w:bCs/>
                <w:color w:val="000000" w:themeColor="text1"/>
                <w:kern w:val="24"/>
                <w:sz w:val="20"/>
                <w:szCs w:val="20"/>
                <w:lang w:val="en-US"/>
              </w:rPr>
              <w:t>8</w:t>
            </w:r>
          </w:p>
        </w:tc>
        <w:tc>
          <w:tcPr>
            <w:tcW w:w="1227" w:type="pct"/>
          </w:tcPr>
          <w:p w:rsidR="00465ACB" w:rsidRPr="00FA002D" w:rsidRDefault="00465ACB" w:rsidP="000A47C5">
            <w:pPr>
              <w:pStyle w:val="NormalWeb"/>
              <w:spacing w:before="0" w:beforeAutospacing="0" w:after="0" w:afterAutospacing="0" w:line="480" w:lineRule="auto"/>
              <w:rPr>
                <w:sz w:val="20"/>
                <w:szCs w:val="20"/>
              </w:rPr>
            </w:pPr>
            <w:r w:rsidRPr="00FA002D">
              <w:rPr>
                <w:bCs/>
                <w:color w:val="000000" w:themeColor="text1"/>
                <w:kern w:val="24"/>
                <w:sz w:val="20"/>
                <w:szCs w:val="20"/>
                <w:lang w:val="en-US"/>
              </w:rPr>
              <w:t>Secondary prevention only</w:t>
            </w:r>
          </w:p>
        </w:tc>
        <w:tc>
          <w:tcPr>
            <w:tcW w:w="3551" w:type="pct"/>
          </w:tcPr>
          <w:p w:rsidR="00465ACB" w:rsidRPr="00FA002D" w:rsidRDefault="00465ACB" w:rsidP="000A47C5">
            <w:pPr>
              <w:pStyle w:val="NormalWeb"/>
              <w:spacing w:before="0" w:beforeAutospacing="0" w:after="0" w:afterAutospacing="0" w:line="480" w:lineRule="auto"/>
              <w:rPr>
                <w:bCs/>
                <w:color w:val="000000" w:themeColor="text1"/>
                <w:kern w:val="24"/>
                <w:sz w:val="20"/>
                <w:szCs w:val="20"/>
                <w:lang w:val="en-US"/>
              </w:rPr>
            </w:pPr>
            <w:r w:rsidRPr="00FA002D">
              <w:rPr>
                <w:bCs/>
                <w:color w:val="000000" w:themeColor="text1"/>
                <w:kern w:val="24"/>
                <w:sz w:val="20"/>
                <w:szCs w:val="20"/>
                <w:lang w:val="en-US"/>
              </w:rPr>
              <w:t>Increase the proportion of stroke survivors receiving secondary prevention</w:t>
            </w:r>
          </w:p>
        </w:tc>
      </w:tr>
      <w:tr w:rsidR="00465ACB" w:rsidRPr="00FA002D" w:rsidTr="000A47C5">
        <w:trPr>
          <w:trHeight w:val="584"/>
        </w:trPr>
        <w:tc>
          <w:tcPr>
            <w:tcW w:w="222" w:type="pct"/>
            <w:hideMark/>
          </w:tcPr>
          <w:p w:rsidR="00465ACB" w:rsidRPr="00FA002D" w:rsidRDefault="00465ACB" w:rsidP="000A47C5">
            <w:pPr>
              <w:pStyle w:val="NormalWeb"/>
              <w:spacing w:before="0" w:beforeAutospacing="0" w:after="0" w:afterAutospacing="0" w:line="480" w:lineRule="auto"/>
              <w:jc w:val="center"/>
              <w:rPr>
                <w:sz w:val="20"/>
                <w:szCs w:val="20"/>
              </w:rPr>
            </w:pPr>
            <w:r w:rsidRPr="00FA002D">
              <w:rPr>
                <w:bCs/>
                <w:color w:val="000000" w:themeColor="text1"/>
                <w:kern w:val="24"/>
                <w:sz w:val="20"/>
                <w:szCs w:val="20"/>
                <w:lang w:val="en-US"/>
              </w:rPr>
              <w:t>9</w:t>
            </w:r>
          </w:p>
        </w:tc>
        <w:tc>
          <w:tcPr>
            <w:tcW w:w="1227" w:type="pct"/>
            <w:hideMark/>
          </w:tcPr>
          <w:p w:rsidR="00465ACB" w:rsidRPr="00FA002D" w:rsidRDefault="00465ACB" w:rsidP="000A47C5">
            <w:pPr>
              <w:pStyle w:val="NormalWeb"/>
              <w:spacing w:before="0" w:beforeAutospacing="0" w:after="0" w:afterAutospacing="0" w:line="480" w:lineRule="auto"/>
              <w:rPr>
                <w:sz w:val="20"/>
                <w:szCs w:val="20"/>
              </w:rPr>
            </w:pPr>
            <w:r w:rsidRPr="00FA002D">
              <w:rPr>
                <w:bCs/>
                <w:color w:val="000000" w:themeColor="text1"/>
                <w:kern w:val="24"/>
                <w:sz w:val="20"/>
                <w:szCs w:val="20"/>
                <w:lang w:val="en-US"/>
              </w:rPr>
              <w:t>CASU</w:t>
            </w:r>
          </w:p>
        </w:tc>
        <w:tc>
          <w:tcPr>
            <w:tcW w:w="3551" w:type="pct"/>
          </w:tcPr>
          <w:p w:rsidR="00465ACB" w:rsidRPr="00FA002D" w:rsidRDefault="00465ACB" w:rsidP="000A47C5">
            <w:pPr>
              <w:pStyle w:val="NormalWeb"/>
              <w:spacing w:before="0" w:beforeAutospacing="0" w:after="0" w:afterAutospacing="0" w:line="480" w:lineRule="auto"/>
              <w:rPr>
                <w:bCs/>
                <w:color w:val="000000" w:themeColor="text1"/>
                <w:kern w:val="24"/>
                <w:sz w:val="20"/>
                <w:szCs w:val="20"/>
                <w:lang w:val="en-US"/>
              </w:rPr>
            </w:pPr>
            <w:r w:rsidRPr="00FA002D">
              <w:rPr>
                <w:bCs/>
                <w:color w:val="000000" w:themeColor="text1"/>
                <w:kern w:val="24"/>
                <w:sz w:val="20"/>
                <w:szCs w:val="20"/>
                <w:lang w:val="en-US"/>
              </w:rPr>
              <w:t>Increase the proportion of eligible patients managed in an ASU and receiving out-of-hospital rehabilitation, while also increasing the proportion of stroke survivors receiving secondary prevention</w:t>
            </w:r>
          </w:p>
        </w:tc>
      </w:tr>
      <w:tr w:rsidR="00465ACB" w:rsidRPr="00FA002D" w:rsidTr="000A47C5">
        <w:trPr>
          <w:trHeight w:val="445"/>
        </w:trPr>
        <w:tc>
          <w:tcPr>
            <w:tcW w:w="222" w:type="pct"/>
            <w:hideMark/>
          </w:tcPr>
          <w:p w:rsidR="00465ACB" w:rsidRPr="00FA002D" w:rsidRDefault="00465ACB" w:rsidP="000A47C5">
            <w:pPr>
              <w:pStyle w:val="NormalWeb"/>
              <w:spacing w:before="0" w:beforeAutospacing="0" w:after="0" w:afterAutospacing="0" w:line="480" w:lineRule="auto"/>
              <w:jc w:val="center"/>
              <w:rPr>
                <w:sz w:val="20"/>
                <w:szCs w:val="20"/>
              </w:rPr>
            </w:pPr>
            <w:r w:rsidRPr="00FA002D">
              <w:rPr>
                <w:bCs/>
                <w:color w:val="000000" w:themeColor="text1"/>
                <w:kern w:val="24"/>
                <w:sz w:val="20"/>
                <w:szCs w:val="20"/>
                <w:lang w:val="en-US"/>
              </w:rPr>
              <w:t>10</w:t>
            </w:r>
          </w:p>
        </w:tc>
        <w:tc>
          <w:tcPr>
            <w:tcW w:w="1227" w:type="pct"/>
            <w:hideMark/>
          </w:tcPr>
          <w:p w:rsidR="00465ACB" w:rsidRPr="00FA002D" w:rsidRDefault="00465ACB" w:rsidP="000A47C5">
            <w:pPr>
              <w:pStyle w:val="NormalWeb"/>
              <w:spacing w:before="0" w:beforeAutospacing="0" w:after="0" w:afterAutospacing="0" w:line="480" w:lineRule="auto"/>
              <w:rPr>
                <w:sz w:val="20"/>
                <w:szCs w:val="20"/>
              </w:rPr>
            </w:pPr>
            <w:r w:rsidRPr="00FA002D">
              <w:rPr>
                <w:bCs/>
                <w:color w:val="000000" w:themeColor="text1"/>
                <w:kern w:val="24"/>
                <w:sz w:val="20"/>
                <w:szCs w:val="20"/>
                <w:lang w:val="en-US"/>
              </w:rPr>
              <w:t>CASU &amp; tPA</w:t>
            </w:r>
          </w:p>
        </w:tc>
        <w:tc>
          <w:tcPr>
            <w:tcW w:w="3551" w:type="pct"/>
          </w:tcPr>
          <w:p w:rsidR="00465ACB" w:rsidRPr="00FA002D" w:rsidRDefault="00465ACB" w:rsidP="000A47C5">
            <w:pPr>
              <w:pStyle w:val="NormalWeb"/>
              <w:spacing w:before="0" w:beforeAutospacing="0" w:after="0" w:afterAutospacing="0" w:line="480" w:lineRule="auto"/>
              <w:rPr>
                <w:bCs/>
                <w:color w:val="000000" w:themeColor="text1"/>
                <w:kern w:val="24"/>
                <w:sz w:val="20"/>
                <w:szCs w:val="20"/>
                <w:lang w:val="en-US"/>
              </w:rPr>
            </w:pPr>
            <w:r w:rsidRPr="00FA002D">
              <w:rPr>
                <w:bCs/>
                <w:color w:val="000000" w:themeColor="text1"/>
                <w:kern w:val="24"/>
                <w:sz w:val="20"/>
                <w:szCs w:val="20"/>
                <w:lang w:val="en-US"/>
              </w:rPr>
              <w:t>Increase the proportion of eligible patients receiving tPA, being managed in an ASU and receiving out-of-hospital rehabilitation, while also increasing the proportion of stroke survivors receiving secondary prevention.</w:t>
            </w:r>
          </w:p>
        </w:tc>
      </w:tr>
      <w:tr w:rsidR="00465ACB" w:rsidRPr="00FA002D" w:rsidTr="000A47C5">
        <w:trPr>
          <w:trHeight w:val="445"/>
        </w:trPr>
        <w:tc>
          <w:tcPr>
            <w:tcW w:w="222" w:type="pct"/>
          </w:tcPr>
          <w:p w:rsidR="00465ACB" w:rsidRPr="00FA002D" w:rsidRDefault="00465ACB" w:rsidP="000A47C5">
            <w:pPr>
              <w:pStyle w:val="NormalWeb"/>
              <w:spacing w:before="0" w:beforeAutospacing="0" w:after="0" w:afterAutospacing="0" w:line="480" w:lineRule="auto"/>
              <w:jc w:val="center"/>
              <w:rPr>
                <w:bCs/>
                <w:color w:val="000000" w:themeColor="text1"/>
                <w:kern w:val="24"/>
                <w:sz w:val="20"/>
                <w:szCs w:val="20"/>
                <w:lang w:val="en-US"/>
              </w:rPr>
            </w:pPr>
            <w:r w:rsidRPr="00FA002D">
              <w:rPr>
                <w:bCs/>
                <w:color w:val="000000" w:themeColor="text1"/>
                <w:kern w:val="24"/>
                <w:sz w:val="20"/>
                <w:szCs w:val="20"/>
                <w:lang w:val="en-US"/>
              </w:rPr>
              <w:t>11</w:t>
            </w:r>
          </w:p>
        </w:tc>
        <w:tc>
          <w:tcPr>
            <w:tcW w:w="1227" w:type="pct"/>
          </w:tcPr>
          <w:p w:rsidR="00465ACB" w:rsidRPr="00FA002D" w:rsidRDefault="00465ACB" w:rsidP="000A47C5">
            <w:pPr>
              <w:pStyle w:val="NormalWeb"/>
              <w:spacing w:before="0" w:beforeAutospacing="0" w:after="0" w:afterAutospacing="0" w:line="480" w:lineRule="auto"/>
              <w:rPr>
                <w:bCs/>
                <w:color w:val="000000" w:themeColor="text1"/>
                <w:kern w:val="24"/>
                <w:sz w:val="20"/>
                <w:szCs w:val="20"/>
                <w:lang w:val="en-US"/>
              </w:rPr>
            </w:pPr>
            <w:r w:rsidRPr="00FA002D">
              <w:rPr>
                <w:bCs/>
                <w:color w:val="000000" w:themeColor="text1"/>
                <w:kern w:val="24"/>
                <w:sz w:val="20"/>
                <w:szCs w:val="20"/>
                <w:lang w:val="en-US"/>
              </w:rPr>
              <w:t>CASU, tPA &amp; EVT</w:t>
            </w:r>
          </w:p>
        </w:tc>
        <w:tc>
          <w:tcPr>
            <w:tcW w:w="3551" w:type="pct"/>
          </w:tcPr>
          <w:p w:rsidR="00465ACB" w:rsidRPr="00FA002D" w:rsidRDefault="00465ACB" w:rsidP="000A47C5">
            <w:pPr>
              <w:pStyle w:val="NormalWeb"/>
              <w:spacing w:before="0" w:beforeAutospacing="0" w:after="0" w:afterAutospacing="0" w:line="480" w:lineRule="auto"/>
              <w:rPr>
                <w:bCs/>
                <w:color w:val="000000" w:themeColor="text1"/>
                <w:kern w:val="24"/>
                <w:sz w:val="20"/>
                <w:szCs w:val="20"/>
                <w:lang w:val="en-US"/>
              </w:rPr>
            </w:pPr>
            <w:r w:rsidRPr="00FA002D">
              <w:rPr>
                <w:bCs/>
                <w:color w:val="000000" w:themeColor="text1"/>
                <w:kern w:val="24"/>
                <w:sz w:val="20"/>
                <w:szCs w:val="20"/>
                <w:lang w:val="en-US"/>
              </w:rPr>
              <w:t>Increase the proportion of eligible patients receiving tPA and/or EVT, being managed in an ASU and receiving out-of-hospital rehabilitation, while also increasing the proportion of stroke survivors receiving secondary prevention.</w:t>
            </w:r>
          </w:p>
        </w:tc>
      </w:tr>
      <w:tr w:rsidR="00465ACB" w:rsidRPr="00FA002D" w:rsidTr="000A47C5">
        <w:trPr>
          <w:trHeight w:val="445"/>
        </w:trPr>
        <w:tc>
          <w:tcPr>
            <w:tcW w:w="222" w:type="pct"/>
          </w:tcPr>
          <w:p w:rsidR="00465ACB" w:rsidRPr="00FA002D" w:rsidRDefault="00465ACB" w:rsidP="000A47C5">
            <w:pPr>
              <w:pStyle w:val="NormalWeb"/>
              <w:spacing w:before="0" w:beforeAutospacing="0" w:after="0" w:afterAutospacing="0" w:line="480" w:lineRule="auto"/>
              <w:jc w:val="center"/>
              <w:rPr>
                <w:bCs/>
                <w:color w:val="000000" w:themeColor="text1"/>
                <w:kern w:val="24"/>
                <w:sz w:val="20"/>
                <w:szCs w:val="20"/>
                <w:lang w:val="en-US"/>
              </w:rPr>
            </w:pPr>
            <w:r w:rsidRPr="00FA002D">
              <w:rPr>
                <w:bCs/>
                <w:color w:val="000000" w:themeColor="text1"/>
                <w:kern w:val="24"/>
                <w:sz w:val="20"/>
                <w:szCs w:val="20"/>
                <w:lang w:val="en-US"/>
              </w:rPr>
              <w:t>12</w:t>
            </w:r>
          </w:p>
          <w:p w:rsidR="00465ACB" w:rsidRPr="00FA002D" w:rsidRDefault="00465ACB" w:rsidP="000A47C5">
            <w:pPr>
              <w:pStyle w:val="NormalWeb"/>
              <w:spacing w:before="0" w:beforeAutospacing="0" w:after="0" w:afterAutospacing="0" w:line="480" w:lineRule="auto"/>
              <w:jc w:val="center"/>
              <w:rPr>
                <w:bCs/>
                <w:color w:val="000000" w:themeColor="text1"/>
                <w:kern w:val="24"/>
                <w:sz w:val="20"/>
                <w:szCs w:val="20"/>
                <w:lang w:val="en-US"/>
              </w:rPr>
            </w:pPr>
          </w:p>
        </w:tc>
        <w:tc>
          <w:tcPr>
            <w:tcW w:w="1227" w:type="pct"/>
          </w:tcPr>
          <w:p w:rsidR="00465ACB" w:rsidRPr="00FA002D" w:rsidRDefault="00465ACB" w:rsidP="000A47C5">
            <w:pPr>
              <w:pStyle w:val="NormalWeb"/>
              <w:spacing w:before="0" w:beforeAutospacing="0" w:after="0" w:afterAutospacing="0" w:line="480" w:lineRule="auto"/>
              <w:rPr>
                <w:bCs/>
                <w:color w:val="000000" w:themeColor="text1"/>
                <w:kern w:val="24"/>
                <w:sz w:val="20"/>
                <w:szCs w:val="20"/>
                <w:lang w:val="en-US"/>
              </w:rPr>
            </w:pPr>
            <w:r w:rsidRPr="00FA002D">
              <w:rPr>
                <w:bCs/>
                <w:color w:val="000000" w:themeColor="text1"/>
                <w:kern w:val="24"/>
                <w:sz w:val="20"/>
                <w:szCs w:val="20"/>
                <w:lang w:val="en-US"/>
              </w:rPr>
              <w:t>Everything combined</w:t>
            </w:r>
          </w:p>
        </w:tc>
        <w:tc>
          <w:tcPr>
            <w:tcW w:w="3551" w:type="pct"/>
          </w:tcPr>
          <w:p w:rsidR="00465ACB" w:rsidRPr="00FA002D" w:rsidRDefault="00465ACB" w:rsidP="000A47C5">
            <w:pPr>
              <w:pStyle w:val="NormalWeb"/>
              <w:spacing w:before="0" w:beforeAutospacing="0" w:after="0" w:afterAutospacing="0" w:line="480" w:lineRule="auto"/>
              <w:rPr>
                <w:bCs/>
                <w:color w:val="000000" w:themeColor="text1"/>
                <w:kern w:val="24"/>
                <w:sz w:val="20"/>
                <w:szCs w:val="20"/>
                <w:lang w:val="en-US"/>
              </w:rPr>
            </w:pPr>
            <w:r w:rsidRPr="00FA002D">
              <w:rPr>
                <w:bCs/>
                <w:color w:val="000000" w:themeColor="text1"/>
                <w:kern w:val="24"/>
                <w:sz w:val="20"/>
                <w:szCs w:val="20"/>
                <w:lang w:val="en-US"/>
              </w:rPr>
              <w:t xml:space="preserve">Increase the number of patients arriving to hospital </w:t>
            </w:r>
            <w:r w:rsidRPr="00FA002D" w:rsidDel="00E318EC">
              <w:rPr>
                <w:bCs/>
                <w:color w:val="000000" w:themeColor="text1"/>
                <w:kern w:val="24"/>
                <w:sz w:val="20"/>
                <w:szCs w:val="20"/>
                <w:lang w:val="en-US"/>
              </w:rPr>
              <w:t xml:space="preserve">early </w:t>
            </w:r>
            <w:r w:rsidRPr="00FA002D">
              <w:rPr>
                <w:bCs/>
                <w:color w:val="000000" w:themeColor="text1"/>
                <w:kern w:val="24"/>
                <w:sz w:val="20"/>
                <w:szCs w:val="20"/>
                <w:lang w:val="en-US"/>
              </w:rPr>
              <w:t>within 300 minutes, tPA and/or EVT, being managed in an ASU and receiving out-of-hospital rehabilitation, while also increasing the proportion of stroke survivors receiving secondary prevention.</w:t>
            </w:r>
          </w:p>
        </w:tc>
      </w:tr>
    </w:tbl>
    <w:p w:rsidR="00465ACB" w:rsidRPr="00FA002D" w:rsidRDefault="00465ACB" w:rsidP="000A47C5">
      <w:pPr>
        <w:spacing w:line="240" w:lineRule="auto"/>
        <w:rPr>
          <w:sz w:val="20"/>
          <w:szCs w:val="20"/>
        </w:rPr>
      </w:pPr>
      <w:r w:rsidRPr="00FA002D">
        <w:rPr>
          <w:sz w:val="20"/>
          <w:szCs w:val="20"/>
        </w:rPr>
        <w:t>tPA, tissue plasminogen activator; EVT, endovascular therapy; ASU, acute stroke unit; CASU; comprehensive acute stroke unit</w:t>
      </w:r>
    </w:p>
    <w:p w:rsidR="00465ACB" w:rsidRDefault="00465ACB">
      <w:pPr>
        <w:spacing w:after="160" w:line="259" w:lineRule="auto"/>
      </w:pPr>
      <w:r>
        <w:br w:type="page"/>
      </w:r>
    </w:p>
    <w:p w:rsidR="00465ACB" w:rsidRDefault="00465ACB" w:rsidP="000A47C5">
      <w:pPr>
        <w:pStyle w:val="Heading1"/>
        <w:ind w:left="432"/>
      </w:pPr>
      <w:r>
        <w:lastRenderedPageBreak/>
        <w:t>Figures</w:t>
      </w:r>
    </w:p>
    <w:p w:rsidR="00465ACB" w:rsidRPr="00905BEA" w:rsidRDefault="00465ACB" w:rsidP="000A47C5">
      <w:pPr>
        <w:pStyle w:val="Figurecaption"/>
      </w:pPr>
      <w:r w:rsidRPr="00905BEA">
        <w:t>Figure 1A: Schematic representation of the Singapore stroke model</w:t>
      </w:r>
    </w:p>
    <w:p w:rsidR="00465ACB" w:rsidRDefault="00465ACB" w:rsidP="000A47C5">
      <w:pPr>
        <w:pStyle w:val="Newparagraph"/>
      </w:pPr>
      <w:r>
        <w:rPr>
          <w:noProof/>
        </w:rPr>
        <w:drawing>
          <wp:inline distT="0" distB="0" distL="0" distR="0" wp14:anchorId="6114B2F2" wp14:editId="7221C640">
            <wp:extent cx="5731510" cy="21406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jpg"/>
                    <pic:cNvPicPr/>
                  </pic:nvPicPr>
                  <pic:blipFill rotWithShape="1">
                    <a:blip r:embed="rId8" cstate="print">
                      <a:extLst>
                        <a:ext uri="{28A0092B-C50C-407E-A947-70E740481C1C}">
                          <a14:useLocalDpi xmlns:a14="http://schemas.microsoft.com/office/drawing/2010/main" val="0"/>
                        </a:ext>
                      </a:extLst>
                    </a:blip>
                    <a:srcRect t="12369"/>
                    <a:stretch/>
                  </pic:blipFill>
                  <pic:spPr bwMode="auto">
                    <a:xfrm>
                      <a:off x="0" y="0"/>
                      <a:ext cx="5731510" cy="2140695"/>
                    </a:xfrm>
                    <a:prstGeom prst="rect">
                      <a:avLst/>
                    </a:prstGeom>
                    <a:ln>
                      <a:noFill/>
                    </a:ln>
                    <a:extLst>
                      <a:ext uri="{53640926-AAD7-44D8-BBD7-CCE9431645EC}">
                        <a14:shadowObscured xmlns:a14="http://schemas.microsoft.com/office/drawing/2010/main"/>
                      </a:ext>
                    </a:extLst>
                  </pic:spPr>
                </pic:pic>
              </a:graphicData>
            </a:graphic>
          </wp:inline>
        </w:drawing>
      </w:r>
    </w:p>
    <w:p w:rsidR="00465ACB" w:rsidRPr="00491CB7" w:rsidRDefault="00465ACB" w:rsidP="000A47C5">
      <w:pPr>
        <w:pStyle w:val="Figurecaption"/>
      </w:pPr>
      <w:r w:rsidRPr="00491CB7">
        <w:t xml:space="preserve">Figure </w:t>
      </w:r>
      <w:r>
        <w:t>1B</w:t>
      </w:r>
      <w:r w:rsidRPr="00491CB7">
        <w:t>: Stock-flow diagram of the Stroke Population Module</w:t>
      </w:r>
    </w:p>
    <w:p w:rsidR="00465ACB" w:rsidRDefault="00465ACB" w:rsidP="000A47C5">
      <w:pPr>
        <w:pStyle w:val="Newparagraph"/>
      </w:pPr>
      <w:r w:rsidRPr="00C83A7B">
        <w:rPr>
          <w:noProof/>
          <w:color w:val="FF0000"/>
        </w:rPr>
        <w:drawing>
          <wp:inline distT="0" distB="0" distL="0" distR="0" wp14:anchorId="14BF8B60" wp14:editId="13529AC0">
            <wp:extent cx="5943600" cy="43821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382135"/>
                    </a:xfrm>
                    <a:prstGeom prst="rect">
                      <a:avLst/>
                    </a:prstGeom>
                    <a:noFill/>
                    <a:ln>
                      <a:noFill/>
                    </a:ln>
                  </pic:spPr>
                </pic:pic>
              </a:graphicData>
            </a:graphic>
          </wp:inline>
        </w:drawing>
      </w:r>
    </w:p>
    <w:p w:rsidR="00465ACB" w:rsidRDefault="00465ACB"/>
    <w:p w:rsidR="00465ACB" w:rsidRDefault="00465ACB">
      <w:pPr>
        <w:spacing w:after="160" w:line="259" w:lineRule="auto"/>
      </w:pPr>
      <w:r>
        <w:br w:type="page"/>
      </w:r>
    </w:p>
    <w:p w:rsidR="00465ACB" w:rsidRDefault="00465ACB" w:rsidP="000A47C5">
      <w:pPr>
        <w:pStyle w:val="Figurecaption"/>
      </w:pPr>
      <w:r>
        <w:lastRenderedPageBreak/>
        <w:t>Figures 2A 2D: Model outputs</w:t>
      </w:r>
    </w:p>
    <w:p w:rsidR="00465ACB" w:rsidRDefault="00465ACB">
      <w:r>
        <w:rPr>
          <w:noProof/>
        </w:rPr>
        <w:drawing>
          <wp:inline distT="0" distB="0" distL="0" distR="0" wp14:anchorId="2DE30AAB" wp14:editId="7A1D04F4">
            <wp:extent cx="5731510" cy="33147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2.jpg"/>
                    <pic:cNvPicPr/>
                  </pic:nvPicPr>
                  <pic:blipFill>
                    <a:blip r:embed="rId10">
                      <a:extLst>
                        <a:ext uri="{28A0092B-C50C-407E-A947-70E740481C1C}">
                          <a14:useLocalDpi xmlns:a14="http://schemas.microsoft.com/office/drawing/2010/main" val="0"/>
                        </a:ext>
                      </a:extLst>
                    </a:blip>
                    <a:stretch>
                      <a:fillRect/>
                    </a:stretch>
                  </pic:blipFill>
                  <pic:spPr>
                    <a:xfrm>
                      <a:off x="0" y="0"/>
                      <a:ext cx="5731510" cy="3314700"/>
                    </a:xfrm>
                    <a:prstGeom prst="rect">
                      <a:avLst/>
                    </a:prstGeom>
                  </pic:spPr>
                </pic:pic>
              </a:graphicData>
            </a:graphic>
          </wp:inline>
        </w:drawing>
      </w:r>
    </w:p>
    <w:p w:rsidR="00465ACB" w:rsidRDefault="00465ACB"/>
    <w:p w:rsidR="00465ACB" w:rsidRDefault="00465ACB">
      <w:pPr>
        <w:spacing w:after="160" w:line="259" w:lineRule="auto"/>
      </w:pPr>
      <w:r>
        <w:br w:type="page"/>
      </w:r>
    </w:p>
    <w:p w:rsidR="00465ACB" w:rsidRDefault="00465ACB" w:rsidP="000A47C5">
      <w:pPr>
        <w:pStyle w:val="Figurecaption"/>
      </w:pPr>
      <w:r>
        <w:lastRenderedPageBreak/>
        <w:t xml:space="preserve">Figures 3A: Differences in cumulative discounted total cost between each intervention scenario </w:t>
      </w:r>
    </w:p>
    <w:p w:rsidR="00465ACB" w:rsidRDefault="00465ACB">
      <w:r>
        <w:rPr>
          <w:noProof/>
        </w:rPr>
        <w:drawing>
          <wp:inline distT="0" distB="0" distL="0" distR="0" wp14:anchorId="0B8707B8" wp14:editId="563FDE95">
            <wp:extent cx="5738791" cy="217221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3.jpg"/>
                    <pic:cNvPicPr/>
                  </pic:nvPicPr>
                  <pic:blipFill rotWithShape="1">
                    <a:blip r:embed="rId11">
                      <a:extLst>
                        <a:ext uri="{28A0092B-C50C-407E-A947-70E740481C1C}">
                          <a14:useLocalDpi xmlns:a14="http://schemas.microsoft.com/office/drawing/2010/main" val="0"/>
                        </a:ext>
                      </a:extLst>
                    </a:blip>
                    <a:srcRect l="-1" r="-127" b="49731"/>
                    <a:stretch/>
                  </pic:blipFill>
                  <pic:spPr bwMode="auto">
                    <a:xfrm>
                      <a:off x="0" y="0"/>
                      <a:ext cx="5738791" cy="2172217"/>
                    </a:xfrm>
                    <a:prstGeom prst="rect">
                      <a:avLst/>
                    </a:prstGeom>
                    <a:ln>
                      <a:noFill/>
                    </a:ln>
                    <a:extLst>
                      <a:ext uri="{53640926-AAD7-44D8-BBD7-CCE9431645EC}">
                        <a14:shadowObscured xmlns:a14="http://schemas.microsoft.com/office/drawing/2010/main"/>
                      </a:ext>
                    </a:extLst>
                  </pic:spPr>
                </pic:pic>
              </a:graphicData>
            </a:graphic>
          </wp:inline>
        </w:drawing>
      </w:r>
    </w:p>
    <w:p w:rsidR="00465ACB" w:rsidRDefault="00465ACB" w:rsidP="000A47C5">
      <w:pPr>
        <w:pStyle w:val="Figurecaption"/>
      </w:pPr>
      <w:r>
        <w:t>Figure 3B: Differences in cumulative discounted QALYs gained between each intervention scenario and the status quo in 2030</w:t>
      </w:r>
    </w:p>
    <w:p w:rsidR="00465ACB" w:rsidRDefault="00465ACB">
      <w:r>
        <w:rPr>
          <w:noProof/>
        </w:rPr>
        <w:drawing>
          <wp:inline distT="0" distB="0" distL="0" distR="0" wp14:anchorId="15D7A907" wp14:editId="0D7C4025">
            <wp:extent cx="5727372" cy="2165508"/>
            <wp:effectExtent l="0" t="0" r="698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3.jpg"/>
                    <pic:cNvPicPr/>
                  </pic:nvPicPr>
                  <pic:blipFill rotWithShape="1">
                    <a:blip r:embed="rId11">
                      <a:extLst>
                        <a:ext uri="{28A0092B-C50C-407E-A947-70E740481C1C}">
                          <a14:useLocalDpi xmlns:a14="http://schemas.microsoft.com/office/drawing/2010/main" val="0"/>
                        </a:ext>
                      </a:extLst>
                    </a:blip>
                    <a:srcRect l="72" t="49886"/>
                    <a:stretch/>
                  </pic:blipFill>
                  <pic:spPr bwMode="auto">
                    <a:xfrm>
                      <a:off x="0" y="0"/>
                      <a:ext cx="5727372" cy="2165508"/>
                    </a:xfrm>
                    <a:prstGeom prst="rect">
                      <a:avLst/>
                    </a:prstGeom>
                    <a:ln>
                      <a:noFill/>
                    </a:ln>
                    <a:extLst>
                      <a:ext uri="{53640926-AAD7-44D8-BBD7-CCE9431645EC}">
                        <a14:shadowObscured xmlns:a14="http://schemas.microsoft.com/office/drawing/2010/main"/>
                      </a:ext>
                    </a:extLst>
                  </pic:spPr>
                </pic:pic>
              </a:graphicData>
            </a:graphic>
          </wp:inline>
        </w:drawing>
      </w:r>
    </w:p>
    <w:p w:rsidR="00465ACB" w:rsidRDefault="00465ACB">
      <w:pPr>
        <w:spacing w:after="160" w:line="259" w:lineRule="auto"/>
      </w:pPr>
      <w:r>
        <w:br w:type="page"/>
      </w:r>
    </w:p>
    <w:p w:rsidR="00465ACB" w:rsidRDefault="00465ACB" w:rsidP="000A47C5">
      <w:pPr>
        <w:pStyle w:val="Figurecaption"/>
      </w:pPr>
      <w:r>
        <w:lastRenderedPageBreak/>
        <w:t>Figure 4: Difference in cumulative Net Monetary Benefit gained between each intervention scenario and status quo</w:t>
      </w:r>
    </w:p>
    <w:p w:rsidR="00465ACB" w:rsidRDefault="00465ACB">
      <w:r>
        <w:rPr>
          <w:noProof/>
        </w:rPr>
        <w:drawing>
          <wp:inline distT="0" distB="0" distL="0" distR="0" wp14:anchorId="7F8E462C" wp14:editId="1026F63B">
            <wp:extent cx="5731510" cy="1921510"/>
            <wp:effectExtent l="0" t="0" r="254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4.jpg"/>
                    <pic:cNvPicPr/>
                  </pic:nvPicPr>
                  <pic:blipFill>
                    <a:blip r:embed="rId12">
                      <a:extLst>
                        <a:ext uri="{28A0092B-C50C-407E-A947-70E740481C1C}">
                          <a14:useLocalDpi xmlns:a14="http://schemas.microsoft.com/office/drawing/2010/main" val="0"/>
                        </a:ext>
                      </a:extLst>
                    </a:blip>
                    <a:stretch>
                      <a:fillRect/>
                    </a:stretch>
                  </pic:blipFill>
                  <pic:spPr>
                    <a:xfrm>
                      <a:off x="0" y="0"/>
                      <a:ext cx="5731510" cy="1921510"/>
                    </a:xfrm>
                    <a:prstGeom prst="rect">
                      <a:avLst/>
                    </a:prstGeom>
                  </pic:spPr>
                </pic:pic>
              </a:graphicData>
            </a:graphic>
          </wp:inline>
        </w:drawing>
      </w:r>
    </w:p>
    <w:p w:rsidR="00465ACB" w:rsidRDefault="00465ACB"/>
    <w:p w:rsidR="00465ACB" w:rsidRDefault="00465ACB">
      <w:pPr>
        <w:spacing w:after="160" w:line="259" w:lineRule="auto"/>
      </w:pPr>
      <w:r>
        <w:br w:type="page"/>
      </w:r>
    </w:p>
    <w:p w:rsidR="00465ACB" w:rsidRDefault="00465ACB" w:rsidP="000A47C5">
      <w:pPr>
        <w:pStyle w:val="Heading1"/>
        <w:ind w:left="432"/>
      </w:pPr>
      <w:r w:rsidRPr="00905BEA">
        <w:lastRenderedPageBreak/>
        <w:t>List of figure captions</w:t>
      </w:r>
    </w:p>
    <w:p w:rsidR="00465ACB" w:rsidRDefault="00465ACB" w:rsidP="000A47C5">
      <w:pPr>
        <w:pStyle w:val="Figurecaption"/>
        <w:rPr>
          <w:noProof/>
          <w:lang w:eastAsia="zh-TW"/>
        </w:rPr>
      </w:pPr>
      <w:r>
        <w:rPr>
          <w:noProof/>
          <w:lang w:eastAsia="zh-TW"/>
        </w:rPr>
        <w:t>Figure 1A: Schematic representation of the Singapore stroke model</w:t>
      </w:r>
    </w:p>
    <w:p w:rsidR="00465ACB" w:rsidRPr="00491CB7" w:rsidRDefault="00465ACB" w:rsidP="000A47C5">
      <w:pPr>
        <w:pStyle w:val="Figurecaption"/>
      </w:pPr>
      <w:r w:rsidRPr="00491CB7">
        <w:t xml:space="preserve">Figure </w:t>
      </w:r>
      <w:r>
        <w:t>1B</w:t>
      </w:r>
      <w:r w:rsidRPr="00491CB7">
        <w:t>: Stock-flow diagram of the Stroke Population Module</w:t>
      </w:r>
    </w:p>
    <w:p w:rsidR="00465ACB" w:rsidRDefault="00465ACB" w:rsidP="000A47C5">
      <w:pPr>
        <w:pStyle w:val="Figurecaption"/>
      </w:pPr>
      <w:r>
        <w:t>Figure 2A: Number of first strokes</w:t>
      </w:r>
    </w:p>
    <w:p w:rsidR="00465ACB" w:rsidRDefault="00465ACB" w:rsidP="000A47C5">
      <w:pPr>
        <w:pStyle w:val="Figurecaption"/>
      </w:pPr>
      <w:r>
        <w:t>Figure 2B: Fatalities among first strokes</w:t>
      </w:r>
    </w:p>
    <w:p w:rsidR="00465ACB" w:rsidRDefault="00465ACB" w:rsidP="000A47C5">
      <w:pPr>
        <w:pStyle w:val="Figurecaption"/>
      </w:pPr>
      <w:r>
        <w:t>Figure 2C: Recurrent Strokes</w:t>
      </w:r>
    </w:p>
    <w:p w:rsidR="00465ACB" w:rsidRDefault="00465ACB" w:rsidP="000A47C5">
      <w:pPr>
        <w:pStyle w:val="Figurecaption"/>
      </w:pPr>
      <w:r>
        <w:t>Figure 2D: Fatalities among recurrent strokes</w:t>
      </w:r>
    </w:p>
    <w:p w:rsidR="00465ACB" w:rsidRDefault="00465ACB" w:rsidP="000A47C5">
      <w:pPr>
        <w:pStyle w:val="Figurecaption"/>
      </w:pPr>
      <w:r>
        <w:t>Figure 3A: Differences in cumulative discounted total cost between each intervention scenario and the status quo in 2030</w:t>
      </w:r>
    </w:p>
    <w:p w:rsidR="00465ACB" w:rsidRDefault="00465ACB" w:rsidP="000A47C5">
      <w:pPr>
        <w:pStyle w:val="Figurecaption"/>
      </w:pPr>
      <w:r>
        <w:t>Figure 3B: Differences in cumulative discounted QALYs gained between each intervention scenario and the status quo in 2030</w:t>
      </w:r>
    </w:p>
    <w:p w:rsidR="00465ACB" w:rsidRDefault="00465ACB" w:rsidP="000A47C5">
      <w:pPr>
        <w:pStyle w:val="Figurecaption"/>
      </w:pPr>
      <w:r>
        <w:t>Figure 4: Difference in cumulative Net Monetary Benefit gained between each intervention scenario and status quo</w:t>
      </w:r>
    </w:p>
    <w:p w:rsidR="00465ACB" w:rsidRDefault="00465ACB"/>
    <w:p w:rsidR="000A47C5" w:rsidRDefault="000A47C5"/>
    <w:sectPr w:rsidR="000A47C5" w:rsidSect="000A47C5">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767" w:rsidRDefault="00162767">
      <w:pPr>
        <w:spacing w:line="240" w:lineRule="auto"/>
      </w:pPr>
      <w:r>
        <w:separator/>
      </w:r>
    </w:p>
  </w:endnote>
  <w:endnote w:type="continuationSeparator" w:id="0">
    <w:p w:rsidR="00162767" w:rsidRDefault="001627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roman"/>
    <w:pitch w:val="variable"/>
    <w:sig w:usb0="00000000" w:usb1="2A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Times New Roman"/>
    <w:charset w:val="00"/>
    <w:family w:val="auto"/>
    <w:pitch w:val="variable"/>
    <w:sig w:usb0="E1000AEF" w:usb1="5000A1FF" w:usb2="00000000" w:usb3="00000000" w:csb0="000001BF" w:csb1="00000000"/>
  </w:font>
  <w:font w:name="BBEAE E+ Gulliver">
    <w:altName w:val="Gullive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289212"/>
      <w:docPartObj>
        <w:docPartGallery w:val="Page Numbers (Bottom of Page)"/>
        <w:docPartUnique/>
      </w:docPartObj>
    </w:sdtPr>
    <w:sdtEndPr>
      <w:rPr>
        <w:noProof/>
      </w:rPr>
    </w:sdtEndPr>
    <w:sdtContent>
      <w:p w:rsidR="000A47C5" w:rsidRDefault="000A47C5">
        <w:pPr>
          <w:pStyle w:val="Footer"/>
          <w:jc w:val="right"/>
        </w:pPr>
        <w:r>
          <w:fldChar w:fldCharType="begin"/>
        </w:r>
        <w:r>
          <w:instrText xml:space="preserve"> PAGE   \* MERGEFORMAT </w:instrText>
        </w:r>
        <w:r>
          <w:fldChar w:fldCharType="separate"/>
        </w:r>
        <w:r w:rsidR="00DD2905">
          <w:rPr>
            <w:noProof/>
          </w:rPr>
          <w:t>1</w:t>
        </w:r>
        <w:r>
          <w:rPr>
            <w:noProof/>
          </w:rPr>
          <w:fldChar w:fldCharType="end"/>
        </w:r>
      </w:p>
    </w:sdtContent>
  </w:sdt>
  <w:p w:rsidR="000A47C5" w:rsidRDefault="000A4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767" w:rsidRDefault="00162767">
      <w:pPr>
        <w:spacing w:line="240" w:lineRule="auto"/>
      </w:pPr>
      <w:r>
        <w:separator/>
      </w:r>
    </w:p>
  </w:footnote>
  <w:footnote w:type="continuationSeparator" w:id="0">
    <w:p w:rsidR="00162767" w:rsidRDefault="0016276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FC11B68"/>
    <w:multiLevelType w:val="hybridMultilevel"/>
    <w:tmpl w:val="546E51BE"/>
    <w:lvl w:ilvl="0" w:tplc="6450A6CE">
      <w:start w:val="1"/>
      <w:numFmt w:val="bullet"/>
      <w:lvlText w:val="•"/>
      <w:lvlJc w:val="left"/>
      <w:pPr>
        <w:tabs>
          <w:tab w:val="num" w:pos="720"/>
        </w:tabs>
        <w:ind w:left="720" w:hanging="360"/>
      </w:pPr>
      <w:rPr>
        <w:rFonts w:ascii="Arial" w:hAnsi="Arial" w:hint="default"/>
      </w:rPr>
    </w:lvl>
    <w:lvl w:ilvl="1" w:tplc="D2800A70" w:tentative="1">
      <w:start w:val="1"/>
      <w:numFmt w:val="bullet"/>
      <w:lvlText w:val="•"/>
      <w:lvlJc w:val="left"/>
      <w:pPr>
        <w:tabs>
          <w:tab w:val="num" w:pos="1440"/>
        </w:tabs>
        <w:ind w:left="1440" w:hanging="360"/>
      </w:pPr>
      <w:rPr>
        <w:rFonts w:ascii="Arial" w:hAnsi="Arial" w:hint="default"/>
      </w:rPr>
    </w:lvl>
    <w:lvl w:ilvl="2" w:tplc="E0C0B9C0" w:tentative="1">
      <w:start w:val="1"/>
      <w:numFmt w:val="bullet"/>
      <w:lvlText w:val="•"/>
      <w:lvlJc w:val="left"/>
      <w:pPr>
        <w:tabs>
          <w:tab w:val="num" w:pos="2160"/>
        </w:tabs>
        <w:ind w:left="2160" w:hanging="360"/>
      </w:pPr>
      <w:rPr>
        <w:rFonts w:ascii="Arial" w:hAnsi="Arial" w:hint="default"/>
      </w:rPr>
    </w:lvl>
    <w:lvl w:ilvl="3" w:tplc="7FA09E42" w:tentative="1">
      <w:start w:val="1"/>
      <w:numFmt w:val="bullet"/>
      <w:lvlText w:val="•"/>
      <w:lvlJc w:val="left"/>
      <w:pPr>
        <w:tabs>
          <w:tab w:val="num" w:pos="2880"/>
        </w:tabs>
        <w:ind w:left="2880" w:hanging="360"/>
      </w:pPr>
      <w:rPr>
        <w:rFonts w:ascii="Arial" w:hAnsi="Arial" w:hint="default"/>
      </w:rPr>
    </w:lvl>
    <w:lvl w:ilvl="4" w:tplc="B6DCC2A8" w:tentative="1">
      <w:start w:val="1"/>
      <w:numFmt w:val="bullet"/>
      <w:lvlText w:val="•"/>
      <w:lvlJc w:val="left"/>
      <w:pPr>
        <w:tabs>
          <w:tab w:val="num" w:pos="3600"/>
        </w:tabs>
        <w:ind w:left="3600" w:hanging="360"/>
      </w:pPr>
      <w:rPr>
        <w:rFonts w:ascii="Arial" w:hAnsi="Arial" w:hint="default"/>
      </w:rPr>
    </w:lvl>
    <w:lvl w:ilvl="5" w:tplc="2AFED4E4" w:tentative="1">
      <w:start w:val="1"/>
      <w:numFmt w:val="bullet"/>
      <w:lvlText w:val="•"/>
      <w:lvlJc w:val="left"/>
      <w:pPr>
        <w:tabs>
          <w:tab w:val="num" w:pos="4320"/>
        </w:tabs>
        <w:ind w:left="4320" w:hanging="360"/>
      </w:pPr>
      <w:rPr>
        <w:rFonts w:ascii="Arial" w:hAnsi="Arial" w:hint="default"/>
      </w:rPr>
    </w:lvl>
    <w:lvl w:ilvl="6" w:tplc="BB042A32" w:tentative="1">
      <w:start w:val="1"/>
      <w:numFmt w:val="bullet"/>
      <w:lvlText w:val="•"/>
      <w:lvlJc w:val="left"/>
      <w:pPr>
        <w:tabs>
          <w:tab w:val="num" w:pos="5040"/>
        </w:tabs>
        <w:ind w:left="5040" w:hanging="360"/>
      </w:pPr>
      <w:rPr>
        <w:rFonts w:ascii="Arial" w:hAnsi="Arial" w:hint="default"/>
      </w:rPr>
    </w:lvl>
    <w:lvl w:ilvl="7" w:tplc="2BE427AC" w:tentative="1">
      <w:start w:val="1"/>
      <w:numFmt w:val="bullet"/>
      <w:lvlText w:val="•"/>
      <w:lvlJc w:val="left"/>
      <w:pPr>
        <w:tabs>
          <w:tab w:val="num" w:pos="5760"/>
        </w:tabs>
        <w:ind w:left="5760" w:hanging="360"/>
      </w:pPr>
      <w:rPr>
        <w:rFonts w:ascii="Arial" w:hAnsi="Arial" w:hint="default"/>
      </w:rPr>
    </w:lvl>
    <w:lvl w:ilvl="8" w:tplc="4CF029E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5F85D0C"/>
    <w:multiLevelType w:val="hybridMultilevel"/>
    <w:tmpl w:val="11A68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DB77FC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C731FE7"/>
    <w:multiLevelType w:val="hybridMultilevel"/>
    <w:tmpl w:val="F7B817EA"/>
    <w:lvl w:ilvl="0" w:tplc="D6647CF2">
      <w:start w:val="1"/>
      <w:numFmt w:val="upperLetter"/>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3" w15:restartNumberingAfterBreak="0">
    <w:nsid w:val="53A05B4C"/>
    <w:multiLevelType w:val="multilevel"/>
    <w:tmpl w:val="40849CF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54D11461"/>
    <w:multiLevelType w:val="hybridMultilevel"/>
    <w:tmpl w:val="7C16D380"/>
    <w:lvl w:ilvl="0" w:tplc="7420621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F43C8C"/>
    <w:multiLevelType w:val="multilevel"/>
    <w:tmpl w:val="5F1042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3D5D5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4"/>
  </w:num>
  <w:num w:numId="2">
    <w:abstractNumId w:val="13"/>
  </w:num>
  <w:num w:numId="3">
    <w:abstractNumId w:val="17"/>
  </w:num>
  <w:num w:numId="4">
    <w:abstractNumId w:val="25"/>
  </w:num>
  <w:num w:numId="5">
    <w:abstractNumId w:val="1"/>
  </w:num>
  <w:num w:numId="6">
    <w:abstractNumId w:val="2"/>
  </w:num>
  <w:num w:numId="7">
    <w:abstractNumId w:val="3"/>
  </w:num>
  <w:num w:numId="8">
    <w:abstractNumId w:val="4"/>
  </w:num>
  <w:num w:numId="9">
    <w:abstractNumId w:val="9"/>
  </w:num>
  <w:num w:numId="10">
    <w:abstractNumId w:val="5"/>
  </w:num>
  <w:num w:numId="11">
    <w:abstractNumId w:val="7"/>
  </w:num>
  <w:num w:numId="12">
    <w:abstractNumId w:val="6"/>
  </w:num>
  <w:num w:numId="13">
    <w:abstractNumId w:val="10"/>
  </w:num>
  <w:num w:numId="14">
    <w:abstractNumId w:val="8"/>
  </w:num>
  <w:num w:numId="15">
    <w:abstractNumId w:val="20"/>
  </w:num>
  <w:num w:numId="16">
    <w:abstractNumId w:val="26"/>
  </w:num>
  <w:num w:numId="17">
    <w:abstractNumId w:val="15"/>
  </w:num>
  <w:num w:numId="18">
    <w:abstractNumId w:val="19"/>
  </w:num>
  <w:num w:numId="19">
    <w:abstractNumId w:val="11"/>
  </w:num>
  <w:num w:numId="20">
    <w:abstractNumId w:val="0"/>
  </w:num>
  <w:num w:numId="21">
    <w:abstractNumId w:val="12"/>
  </w:num>
  <w:num w:numId="22">
    <w:abstractNumId w:val="21"/>
  </w:num>
  <w:num w:numId="23">
    <w:abstractNumId w:val="28"/>
  </w:num>
  <w:num w:numId="24">
    <w:abstractNumId w:val="30"/>
  </w:num>
  <w:num w:numId="25">
    <w:abstractNumId w:val="14"/>
  </w:num>
  <w:num w:numId="26">
    <w:abstractNumId w:val="31"/>
  </w:num>
  <w:num w:numId="27">
    <w:abstractNumId w:val="16"/>
  </w:num>
  <w:num w:numId="28">
    <w:abstractNumId w:val="27"/>
  </w:num>
  <w:num w:numId="29">
    <w:abstractNumId w:val="29"/>
  </w:num>
  <w:num w:numId="30">
    <w:abstractNumId w:val="18"/>
  </w:num>
  <w:num w:numId="31">
    <w:abstractNumId w:val="23"/>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fr-FR" w:vendorID="64" w:dllVersion="131078" w:nlCheck="1" w:checkStyle="0"/>
  <w:activeWritingStyle w:appName="MSWord" w:lang="en-GB" w:vendorID="64" w:dllVersion="131078" w:nlCheck="1" w:checkStyle="1"/>
  <w:activeWritingStyle w:appName="MSWord" w:lang="es-ES" w:vendorID="64" w:dllVersion="131078" w:nlCheck="1" w:checkStyle="0"/>
  <w:activeWritingStyle w:appName="MSWord" w:lang="en-US" w:vendorID="64" w:dllVersion="131078" w:nlCheck="1" w:checkStyle="1"/>
  <w:activeWritingStyle w:appName="MSWord" w:lang="en-SG" w:vendorID="64" w:dllVersion="131078" w:nlCheck="1" w:checkStyle="1"/>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465ACB"/>
    <w:rsid w:val="000A47C5"/>
    <w:rsid w:val="000E1AB2"/>
    <w:rsid w:val="00162767"/>
    <w:rsid w:val="0022421D"/>
    <w:rsid w:val="00244BF6"/>
    <w:rsid w:val="002978E1"/>
    <w:rsid w:val="00465ACB"/>
    <w:rsid w:val="004A20B0"/>
    <w:rsid w:val="00524BAF"/>
    <w:rsid w:val="005F2A0B"/>
    <w:rsid w:val="006224C1"/>
    <w:rsid w:val="00624ADE"/>
    <w:rsid w:val="00640338"/>
    <w:rsid w:val="0069364C"/>
    <w:rsid w:val="00761D46"/>
    <w:rsid w:val="008505D1"/>
    <w:rsid w:val="00911D64"/>
    <w:rsid w:val="00A73A59"/>
    <w:rsid w:val="00AE1AC4"/>
    <w:rsid w:val="00B95AA9"/>
    <w:rsid w:val="00C812B7"/>
    <w:rsid w:val="00D13DF1"/>
    <w:rsid w:val="00D74F63"/>
    <w:rsid w:val="00DA20FF"/>
    <w:rsid w:val="00DD2905"/>
    <w:rsid w:val="00DF5AD3"/>
    <w:rsid w:val="00E35ED0"/>
    <w:rsid w:val="00E67F36"/>
    <w:rsid w:val="00EB17B2"/>
    <w:rsid w:val="00EF45BD"/>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3858F1-8FB4-4221-8511-D5B2B7B5E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ACB"/>
    <w:pPr>
      <w:spacing w:after="0" w:line="480" w:lineRule="auto"/>
    </w:pPr>
    <w:rPr>
      <w:rFonts w:ascii="Times New Roman" w:eastAsia="Times New Roman" w:hAnsi="Times New Roman" w:cs="Times New Roman"/>
      <w:sz w:val="24"/>
      <w:szCs w:val="24"/>
      <w:lang w:eastAsia="en-GB"/>
    </w:rPr>
  </w:style>
  <w:style w:type="paragraph" w:styleId="Heading1">
    <w:name w:val="heading 1"/>
    <w:basedOn w:val="Normal"/>
    <w:next w:val="Paragraph"/>
    <w:link w:val="Heading1Char"/>
    <w:qFormat/>
    <w:rsid w:val="00465ACB"/>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465AC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465ACB"/>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465ACB"/>
    <w:pPr>
      <w:spacing w:before="360"/>
      <w:outlineLvl w:val="3"/>
    </w:pPr>
    <w:rPr>
      <w:bCs/>
      <w:szCs w:val="28"/>
    </w:rPr>
  </w:style>
  <w:style w:type="paragraph" w:styleId="Heading5">
    <w:name w:val="heading 5"/>
    <w:basedOn w:val="Normal"/>
    <w:next w:val="Normal"/>
    <w:link w:val="Heading5Char"/>
    <w:uiPriority w:val="9"/>
    <w:semiHidden/>
    <w:unhideWhenUsed/>
    <w:qFormat/>
    <w:rsid w:val="00465ACB"/>
    <w:pPr>
      <w:keepNext/>
      <w:keepLines/>
      <w:numPr>
        <w:ilvl w:val="4"/>
        <w:numId w:val="3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65ACB"/>
    <w:pPr>
      <w:keepNext/>
      <w:keepLines/>
      <w:numPr>
        <w:ilvl w:val="5"/>
        <w:numId w:val="3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65ACB"/>
    <w:pPr>
      <w:keepNext/>
      <w:keepLines/>
      <w:numPr>
        <w:ilvl w:val="6"/>
        <w:numId w:val="3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65ACB"/>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65ACB"/>
    <w:pPr>
      <w:keepNext/>
      <w:keepLines/>
      <w:numPr>
        <w:ilvl w:val="8"/>
        <w:numId w:val="3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5ACB"/>
    <w:rPr>
      <w:rFonts w:ascii="Times New Roman" w:eastAsia="Times New Roman" w:hAnsi="Times New Roman" w:cs="Arial"/>
      <w:b/>
      <w:bCs/>
      <w:kern w:val="32"/>
      <w:sz w:val="24"/>
      <w:szCs w:val="32"/>
      <w:lang w:eastAsia="en-GB"/>
    </w:rPr>
  </w:style>
  <w:style w:type="character" w:customStyle="1" w:styleId="Heading2Char">
    <w:name w:val="Heading 2 Char"/>
    <w:basedOn w:val="DefaultParagraphFont"/>
    <w:link w:val="Heading2"/>
    <w:rsid w:val="00465ACB"/>
    <w:rPr>
      <w:rFonts w:ascii="Times New Roman" w:eastAsia="Times New Roman" w:hAnsi="Times New Roman" w:cs="Arial"/>
      <w:b/>
      <w:bCs/>
      <w:i/>
      <w:iCs/>
      <w:sz w:val="24"/>
      <w:szCs w:val="28"/>
      <w:lang w:eastAsia="en-GB"/>
    </w:rPr>
  </w:style>
  <w:style w:type="character" w:customStyle="1" w:styleId="Heading3Char">
    <w:name w:val="Heading 3 Char"/>
    <w:basedOn w:val="DefaultParagraphFont"/>
    <w:link w:val="Heading3"/>
    <w:rsid w:val="00465ACB"/>
    <w:rPr>
      <w:rFonts w:ascii="Times New Roman" w:eastAsia="Times New Roman" w:hAnsi="Times New Roman" w:cs="Arial"/>
      <w:bCs/>
      <w:i/>
      <w:sz w:val="24"/>
      <w:szCs w:val="26"/>
      <w:lang w:eastAsia="en-GB"/>
    </w:rPr>
  </w:style>
  <w:style w:type="character" w:customStyle="1" w:styleId="Heading4Char">
    <w:name w:val="Heading 4 Char"/>
    <w:basedOn w:val="DefaultParagraphFont"/>
    <w:link w:val="Heading4"/>
    <w:rsid w:val="00465ACB"/>
    <w:rPr>
      <w:rFonts w:ascii="Times New Roman" w:eastAsia="Times New Roman" w:hAnsi="Times New Roman" w:cs="Times New Roman"/>
      <w:bCs/>
      <w:sz w:val="24"/>
      <w:szCs w:val="28"/>
      <w:lang w:eastAsia="en-GB"/>
    </w:rPr>
  </w:style>
  <w:style w:type="character" w:customStyle="1" w:styleId="Heading5Char">
    <w:name w:val="Heading 5 Char"/>
    <w:basedOn w:val="DefaultParagraphFont"/>
    <w:link w:val="Heading5"/>
    <w:uiPriority w:val="9"/>
    <w:semiHidden/>
    <w:rsid w:val="00465ACB"/>
    <w:rPr>
      <w:rFonts w:asciiTheme="majorHAnsi" w:eastAsiaTheme="majorEastAsia" w:hAnsiTheme="majorHAnsi" w:cstheme="majorBidi"/>
      <w:color w:val="2E74B5" w:themeColor="accent1" w:themeShade="BF"/>
      <w:sz w:val="24"/>
      <w:szCs w:val="24"/>
      <w:lang w:eastAsia="en-GB"/>
    </w:rPr>
  </w:style>
  <w:style w:type="character" w:customStyle="1" w:styleId="Heading6Char">
    <w:name w:val="Heading 6 Char"/>
    <w:basedOn w:val="DefaultParagraphFont"/>
    <w:link w:val="Heading6"/>
    <w:uiPriority w:val="9"/>
    <w:semiHidden/>
    <w:rsid w:val="00465ACB"/>
    <w:rPr>
      <w:rFonts w:asciiTheme="majorHAnsi" w:eastAsiaTheme="majorEastAsia" w:hAnsiTheme="majorHAnsi" w:cstheme="majorBidi"/>
      <w:color w:val="1F4D78" w:themeColor="accent1" w:themeShade="7F"/>
      <w:sz w:val="24"/>
      <w:szCs w:val="24"/>
      <w:lang w:eastAsia="en-GB"/>
    </w:rPr>
  </w:style>
  <w:style w:type="character" w:customStyle="1" w:styleId="Heading7Char">
    <w:name w:val="Heading 7 Char"/>
    <w:basedOn w:val="DefaultParagraphFont"/>
    <w:link w:val="Heading7"/>
    <w:uiPriority w:val="9"/>
    <w:semiHidden/>
    <w:rsid w:val="00465ACB"/>
    <w:rPr>
      <w:rFonts w:asciiTheme="majorHAnsi" w:eastAsiaTheme="majorEastAsia" w:hAnsiTheme="majorHAnsi" w:cstheme="majorBidi"/>
      <w:i/>
      <w:iCs/>
      <w:color w:val="1F4D78" w:themeColor="accent1" w:themeShade="7F"/>
      <w:sz w:val="24"/>
      <w:szCs w:val="24"/>
      <w:lang w:eastAsia="en-GB"/>
    </w:rPr>
  </w:style>
  <w:style w:type="character" w:customStyle="1" w:styleId="Heading8Char">
    <w:name w:val="Heading 8 Char"/>
    <w:basedOn w:val="DefaultParagraphFont"/>
    <w:link w:val="Heading8"/>
    <w:uiPriority w:val="9"/>
    <w:semiHidden/>
    <w:rsid w:val="00465ACB"/>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465ACB"/>
    <w:rPr>
      <w:rFonts w:asciiTheme="majorHAnsi" w:eastAsiaTheme="majorEastAsia" w:hAnsiTheme="majorHAnsi" w:cstheme="majorBidi"/>
      <w:i/>
      <w:iCs/>
      <w:color w:val="272727" w:themeColor="text1" w:themeTint="D8"/>
      <w:sz w:val="21"/>
      <w:szCs w:val="21"/>
      <w:lang w:eastAsia="en-GB"/>
    </w:rPr>
  </w:style>
  <w:style w:type="paragraph" w:customStyle="1" w:styleId="EndNoteBibliographyTitle">
    <w:name w:val="EndNote Bibliography Title"/>
    <w:basedOn w:val="Normal"/>
    <w:link w:val="EndNoteBibliographyTitleChar"/>
    <w:rsid w:val="00465ACB"/>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465ACB"/>
    <w:rPr>
      <w:rFonts w:ascii="Calibri" w:eastAsia="Times New Roman" w:hAnsi="Calibri" w:cs="Calibri"/>
      <w:noProof/>
      <w:sz w:val="24"/>
      <w:szCs w:val="24"/>
      <w:lang w:eastAsia="en-GB"/>
    </w:rPr>
  </w:style>
  <w:style w:type="paragraph" w:customStyle="1" w:styleId="EndNoteBibliography">
    <w:name w:val="EndNote Bibliography"/>
    <w:basedOn w:val="Normal"/>
    <w:link w:val="EndNoteBibliographyChar"/>
    <w:rsid w:val="00465ACB"/>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465ACB"/>
    <w:rPr>
      <w:rFonts w:ascii="Calibri" w:eastAsia="Times New Roman" w:hAnsi="Calibri" w:cs="Calibri"/>
      <w:noProof/>
      <w:sz w:val="24"/>
      <w:szCs w:val="24"/>
      <w:lang w:eastAsia="en-GB"/>
    </w:rPr>
  </w:style>
  <w:style w:type="character" w:styleId="Hyperlink">
    <w:name w:val="Hyperlink"/>
    <w:basedOn w:val="DefaultParagraphFont"/>
    <w:uiPriority w:val="99"/>
    <w:unhideWhenUsed/>
    <w:rsid w:val="00465ACB"/>
    <w:rPr>
      <w:color w:val="0563C1" w:themeColor="hyperlink"/>
      <w:u w:val="single"/>
    </w:rPr>
  </w:style>
  <w:style w:type="table" w:styleId="TableGrid">
    <w:name w:val="Table Grid"/>
    <w:basedOn w:val="TableNormal"/>
    <w:uiPriority w:val="39"/>
    <w:rsid w:val="00465AC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65ACB"/>
    <w:pPr>
      <w:spacing w:after="0" w:line="240" w:lineRule="auto"/>
    </w:pPr>
    <w:rPr>
      <w:rFonts w:eastAsiaTheme="minorEastAsia"/>
      <w:sz w:val="24"/>
      <w:szCs w:val="24"/>
      <w:lang w:val="en-US"/>
    </w:rPr>
  </w:style>
  <w:style w:type="character" w:customStyle="1" w:styleId="NoSpacingChar">
    <w:name w:val="No Spacing Char"/>
    <w:basedOn w:val="DefaultParagraphFont"/>
    <w:link w:val="NoSpacing"/>
    <w:uiPriority w:val="1"/>
    <w:rsid w:val="00465ACB"/>
    <w:rPr>
      <w:rFonts w:eastAsiaTheme="minorEastAsia"/>
      <w:sz w:val="24"/>
      <w:szCs w:val="24"/>
      <w:lang w:val="en-US"/>
    </w:rPr>
  </w:style>
  <w:style w:type="character" w:styleId="CommentReference">
    <w:name w:val="annotation reference"/>
    <w:basedOn w:val="DefaultParagraphFont"/>
    <w:uiPriority w:val="99"/>
    <w:semiHidden/>
    <w:unhideWhenUsed/>
    <w:rsid w:val="00465ACB"/>
    <w:rPr>
      <w:sz w:val="16"/>
      <w:szCs w:val="16"/>
    </w:rPr>
  </w:style>
  <w:style w:type="paragraph" w:styleId="CommentText">
    <w:name w:val="annotation text"/>
    <w:basedOn w:val="Normal"/>
    <w:link w:val="CommentTextChar"/>
    <w:uiPriority w:val="99"/>
    <w:unhideWhenUsed/>
    <w:rsid w:val="00465ACB"/>
    <w:pPr>
      <w:spacing w:line="240" w:lineRule="auto"/>
    </w:pPr>
    <w:rPr>
      <w:sz w:val="20"/>
      <w:szCs w:val="20"/>
    </w:rPr>
  </w:style>
  <w:style w:type="character" w:customStyle="1" w:styleId="CommentTextChar">
    <w:name w:val="Comment Text Char"/>
    <w:basedOn w:val="DefaultParagraphFont"/>
    <w:link w:val="CommentText"/>
    <w:uiPriority w:val="99"/>
    <w:rsid w:val="00465AC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65ACB"/>
    <w:rPr>
      <w:b/>
      <w:bCs/>
    </w:rPr>
  </w:style>
  <w:style w:type="character" w:customStyle="1" w:styleId="CommentSubjectChar">
    <w:name w:val="Comment Subject Char"/>
    <w:basedOn w:val="CommentTextChar"/>
    <w:link w:val="CommentSubject"/>
    <w:uiPriority w:val="99"/>
    <w:semiHidden/>
    <w:rsid w:val="00465ACB"/>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465AC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ACB"/>
    <w:rPr>
      <w:rFonts w:ascii="Segoe UI" w:eastAsia="Times New Roman" w:hAnsi="Segoe UI" w:cs="Segoe UI"/>
      <w:sz w:val="18"/>
      <w:szCs w:val="18"/>
      <w:lang w:eastAsia="en-GB"/>
    </w:rPr>
  </w:style>
  <w:style w:type="paragraph" w:styleId="Title">
    <w:name w:val="Title"/>
    <w:basedOn w:val="Normal"/>
    <w:next w:val="Normal"/>
    <w:link w:val="TitleChar"/>
    <w:uiPriority w:val="10"/>
    <w:qFormat/>
    <w:rsid w:val="00465AC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ACB"/>
    <w:rPr>
      <w:rFonts w:asciiTheme="majorHAnsi" w:eastAsiaTheme="majorEastAsia" w:hAnsiTheme="majorHAnsi" w:cstheme="majorBidi"/>
      <w:spacing w:val="-10"/>
      <w:kern w:val="28"/>
      <w:sz w:val="56"/>
      <w:szCs w:val="56"/>
      <w:lang w:eastAsia="en-GB"/>
    </w:rPr>
  </w:style>
  <w:style w:type="paragraph" w:styleId="NormalWeb">
    <w:name w:val="Normal (Web)"/>
    <w:basedOn w:val="Normal"/>
    <w:uiPriority w:val="99"/>
    <w:unhideWhenUsed/>
    <w:rsid w:val="00465ACB"/>
    <w:pPr>
      <w:spacing w:before="100" w:beforeAutospacing="1" w:after="100" w:afterAutospacing="1" w:line="240" w:lineRule="auto"/>
    </w:pPr>
    <w:rPr>
      <w:lang w:val="en-SG" w:eastAsia="ko-KR"/>
    </w:rPr>
  </w:style>
  <w:style w:type="table" w:customStyle="1" w:styleId="ListTable21">
    <w:name w:val="List Table 21"/>
    <w:basedOn w:val="TableNormal"/>
    <w:uiPriority w:val="47"/>
    <w:rsid w:val="00465ACB"/>
    <w:pPr>
      <w:spacing w:after="0" w:line="240" w:lineRule="auto"/>
    </w:pPr>
    <w:rPr>
      <w:rFonts w:ascii="Times New Roman" w:eastAsia="SimSun" w:hAnsi="Times New Roman" w:cs="Times New Roman"/>
      <w:sz w:val="24"/>
      <w:szCs w:val="24"/>
      <w:lang w:eastAsia="en-GB"/>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465ACB"/>
    <w:pPr>
      <w:spacing w:after="0" w:line="240" w:lineRule="auto"/>
    </w:pPr>
    <w:rPr>
      <w:rFonts w:ascii="Times New Roman" w:eastAsiaTheme="minorEastAsia" w:hAnsi="Times New Roman"/>
      <w:sz w:val="24"/>
      <w:szCs w:val="24"/>
      <w:lang w:val="en-US"/>
    </w:rPr>
  </w:style>
  <w:style w:type="paragraph" w:styleId="DocumentMap">
    <w:name w:val="Document Map"/>
    <w:basedOn w:val="Normal"/>
    <w:link w:val="DocumentMapChar"/>
    <w:uiPriority w:val="99"/>
    <w:semiHidden/>
    <w:unhideWhenUsed/>
    <w:rsid w:val="00465ACB"/>
    <w:pPr>
      <w:spacing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465ACB"/>
    <w:rPr>
      <w:rFonts w:ascii="Lucida Grande" w:eastAsia="Times New Roman" w:hAnsi="Lucida Grande" w:cs="Lucida Grande"/>
      <w:sz w:val="24"/>
      <w:szCs w:val="24"/>
      <w:lang w:eastAsia="en-GB"/>
    </w:rPr>
  </w:style>
  <w:style w:type="paragraph" w:styleId="Header">
    <w:name w:val="header"/>
    <w:basedOn w:val="Normal"/>
    <w:link w:val="HeaderChar"/>
    <w:rsid w:val="00465ACB"/>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465ACB"/>
    <w:rPr>
      <w:rFonts w:ascii="Times New Roman" w:eastAsia="Times New Roman" w:hAnsi="Times New Roman" w:cs="Times New Roman"/>
      <w:sz w:val="24"/>
      <w:szCs w:val="24"/>
      <w:lang w:eastAsia="en-GB"/>
    </w:rPr>
  </w:style>
  <w:style w:type="paragraph" w:styleId="Footer">
    <w:name w:val="footer"/>
    <w:basedOn w:val="Normal"/>
    <w:link w:val="FooterChar"/>
    <w:rsid w:val="00465ACB"/>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465ACB"/>
    <w:rPr>
      <w:rFonts w:ascii="Times New Roman" w:eastAsia="Times New Roman" w:hAnsi="Times New Roman" w:cs="Times New Roman"/>
      <w:sz w:val="24"/>
      <w:szCs w:val="24"/>
      <w:lang w:eastAsia="en-GB"/>
    </w:rPr>
  </w:style>
  <w:style w:type="table" w:customStyle="1" w:styleId="GridTable1Light1">
    <w:name w:val="Grid Table 1 Light1"/>
    <w:basedOn w:val="TableNormal"/>
    <w:uiPriority w:val="46"/>
    <w:rsid w:val="00465ACB"/>
    <w:pPr>
      <w:spacing w:after="0" w:line="240" w:lineRule="auto"/>
    </w:pPr>
    <w:rPr>
      <w:rFonts w:eastAsiaTheme="minorEastAsia"/>
      <w:lang w:val="en-SG" w:eastAsia="ko-K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465ACB"/>
    <w:pPr>
      <w:spacing w:line="240" w:lineRule="auto"/>
      <w:ind w:left="720"/>
      <w:contextualSpacing/>
    </w:pPr>
  </w:style>
  <w:style w:type="paragraph" w:customStyle="1" w:styleId="Numberedpara">
    <w:name w:val="Numbered para"/>
    <w:basedOn w:val="Normal"/>
    <w:link w:val="NumberedparaCharChar"/>
    <w:autoRedefine/>
    <w:rsid w:val="00465ACB"/>
    <w:pPr>
      <w:tabs>
        <w:tab w:val="left" w:pos="90"/>
      </w:tabs>
      <w:spacing w:line="240" w:lineRule="auto"/>
      <w:ind w:right="1"/>
    </w:pPr>
    <w:rPr>
      <w:rFonts w:ascii="Arial" w:eastAsia="SimSun" w:hAnsi="Arial" w:cs="Arial"/>
      <w:szCs w:val="22"/>
      <w:lang w:eastAsia="zh-CN"/>
    </w:rPr>
  </w:style>
  <w:style w:type="character" w:customStyle="1" w:styleId="NumberedparaCharChar">
    <w:name w:val="Numbered para Char Char"/>
    <w:link w:val="Numberedpara"/>
    <w:rsid w:val="00465ACB"/>
    <w:rPr>
      <w:rFonts w:ascii="Arial" w:eastAsia="SimSun" w:hAnsi="Arial" w:cs="Arial"/>
      <w:sz w:val="24"/>
      <w:lang w:eastAsia="zh-CN"/>
    </w:rPr>
  </w:style>
  <w:style w:type="paragraph" w:styleId="FootnoteText">
    <w:name w:val="footnote text"/>
    <w:basedOn w:val="Normal"/>
    <w:link w:val="FootnoteTextChar"/>
    <w:autoRedefine/>
    <w:rsid w:val="00465ACB"/>
    <w:pPr>
      <w:ind w:left="284" w:hanging="284"/>
    </w:pPr>
    <w:rPr>
      <w:sz w:val="22"/>
      <w:szCs w:val="20"/>
    </w:rPr>
  </w:style>
  <w:style w:type="character" w:customStyle="1" w:styleId="FootnoteTextChar">
    <w:name w:val="Footnote Text Char"/>
    <w:basedOn w:val="DefaultParagraphFont"/>
    <w:link w:val="FootnoteText"/>
    <w:rsid w:val="00465ACB"/>
    <w:rPr>
      <w:rFonts w:ascii="Times New Roman" w:eastAsia="Times New Roman" w:hAnsi="Times New Roman" w:cs="Times New Roman"/>
      <w:szCs w:val="20"/>
      <w:lang w:eastAsia="en-GB"/>
    </w:rPr>
  </w:style>
  <w:style w:type="character" w:styleId="FootnoteReference">
    <w:name w:val="footnote reference"/>
    <w:basedOn w:val="DefaultParagraphFont"/>
    <w:rsid w:val="00465ACB"/>
    <w:rPr>
      <w:vertAlign w:val="superscript"/>
    </w:rPr>
  </w:style>
  <w:style w:type="table" w:styleId="LightShading">
    <w:name w:val="Light Shading"/>
    <w:basedOn w:val="TableNormal"/>
    <w:uiPriority w:val="60"/>
    <w:rsid w:val="00465ACB"/>
    <w:pPr>
      <w:spacing w:after="0" w:line="240" w:lineRule="auto"/>
    </w:pPr>
    <w:rPr>
      <w:rFonts w:eastAsiaTheme="minorEastAsia"/>
      <w:color w:val="000000" w:themeColor="text1" w:themeShade="BF"/>
      <w:lang w:val="en-S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PlainTable2">
    <w:name w:val="Plain Table 2"/>
    <w:basedOn w:val="TableNormal"/>
    <w:uiPriority w:val="42"/>
    <w:rsid w:val="00465ACB"/>
    <w:pPr>
      <w:spacing w:after="0" w:line="240" w:lineRule="auto"/>
    </w:pPr>
    <w:rPr>
      <w:rFonts w:eastAsiaTheme="minorEastAsia"/>
      <w:sz w:val="24"/>
      <w:szCs w:val="24"/>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465ACB"/>
    <w:pPr>
      <w:spacing w:after="0" w:line="240" w:lineRule="auto"/>
    </w:pPr>
    <w:rPr>
      <w:rFonts w:eastAsiaTheme="minorEastAsia"/>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2">
    <w:name w:val="List Table 2"/>
    <w:basedOn w:val="TableNormal"/>
    <w:uiPriority w:val="47"/>
    <w:rsid w:val="00465ACB"/>
    <w:pPr>
      <w:spacing w:after="0" w:line="240" w:lineRule="auto"/>
    </w:pPr>
    <w:rPr>
      <w:rFonts w:eastAsiaTheme="minorEastAsia"/>
      <w:sz w:val="24"/>
      <w:szCs w:val="24"/>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keywords">
    <w:name w:val="keywords"/>
    <w:basedOn w:val="Normal"/>
    <w:rsid w:val="00465ACB"/>
    <w:pPr>
      <w:spacing w:before="360" w:after="600" w:line="240" w:lineRule="auto"/>
    </w:pPr>
    <w:rPr>
      <w:i/>
      <w:sz w:val="20"/>
      <w:szCs w:val="20"/>
      <w:lang w:eastAsia="it-IT"/>
    </w:rPr>
  </w:style>
  <w:style w:type="paragraph" w:customStyle="1" w:styleId="Articletitle">
    <w:name w:val="Article title"/>
    <w:basedOn w:val="Normal"/>
    <w:next w:val="Normal"/>
    <w:qFormat/>
    <w:rsid w:val="00465ACB"/>
    <w:pPr>
      <w:spacing w:after="120" w:line="360" w:lineRule="auto"/>
    </w:pPr>
    <w:rPr>
      <w:b/>
      <w:sz w:val="28"/>
    </w:rPr>
  </w:style>
  <w:style w:type="paragraph" w:customStyle="1" w:styleId="Authornames">
    <w:name w:val="Author names"/>
    <w:basedOn w:val="Normal"/>
    <w:next w:val="Normal"/>
    <w:qFormat/>
    <w:rsid w:val="00465ACB"/>
    <w:pPr>
      <w:spacing w:before="240" w:line="360" w:lineRule="auto"/>
    </w:pPr>
    <w:rPr>
      <w:sz w:val="28"/>
    </w:rPr>
  </w:style>
  <w:style w:type="paragraph" w:customStyle="1" w:styleId="Affiliation">
    <w:name w:val="Affiliation"/>
    <w:basedOn w:val="Normal"/>
    <w:qFormat/>
    <w:rsid w:val="00465ACB"/>
    <w:pPr>
      <w:spacing w:before="240" w:line="360" w:lineRule="auto"/>
    </w:pPr>
    <w:rPr>
      <w:i/>
    </w:rPr>
  </w:style>
  <w:style w:type="paragraph" w:customStyle="1" w:styleId="Receiveddates">
    <w:name w:val="Received dates"/>
    <w:basedOn w:val="Affiliation"/>
    <w:next w:val="Normal"/>
    <w:qFormat/>
    <w:rsid w:val="00465ACB"/>
  </w:style>
  <w:style w:type="paragraph" w:customStyle="1" w:styleId="Abstract">
    <w:name w:val="Abstract"/>
    <w:basedOn w:val="Normal"/>
    <w:next w:val="Keywords0"/>
    <w:qFormat/>
    <w:rsid w:val="00465ACB"/>
    <w:pPr>
      <w:spacing w:before="360" w:after="300" w:line="360" w:lineRule="auto"/>
      <w:ind w:left="720" w:right="567"/>
    </w:pPr>
    <w:rPr>
      <w:sz w:val="22"/>
    </w:rPr>
  </w:style>
  <w:style w:type="paragraph" w:customStyle="1" w:styleId="Keywords0">
    <w:name w:val="Keywords"/>
    <w:basedOn w:val="Normal"/>
    <w:next w:val="Paragraph"/>
    <w:qFormat/>
    <w:rsid w:val="00465ACB"/>
    <w:pPr>
      <w:spacing w:before="240" w:after="240" w:line="360" w:lineRule="auto"/>
      <w:ind w:left="720" w:right="567"/>
    </w:pPr>
    <w:rPr>
      <w:sz w:val="22"/>
    </w:rPr>
  </w:style>
  <w:style w:type="paragraph" w:customStyle="1" w:styleId="Correspondencedetails">
    <w:name w:val="Correspondence details"/>
    <w:basedOn w:val="Normal"/>
    <w:qFormat/>
    <w:rsid w:val="00465ACB"/>
    <w:pPr>
      <w:spacing w:before="240" w:line="360" w:lineRule="auto"/>
    </w:pPr>
  </w:style>
  <w:style w:type="paragraph" w:customStyle="1" w:styleId="Displayedquotation">
    <w:name w:val="Displayed quotation"/>
    <w:basedOn w:val="Normal"/>
    <w:qFormat/>
    <w:rsid w:val="00465ACB"/>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465ACB"/>
    <w:pPr>
      <w:widowControl/>
      <w:numPr>
        <w:numId w:val="15"/>
      </w:numPr>
      <w:spacing w:after="240"/>
      <w:contextualSpacing/>
    </w:pPr>
  </w:style>
  <w:style w:type="paragraph" w:customStyle="1" w:styleId="Displayedequation">
    <w:name w:val="Displayed equation"/>
    <w:basedOn w:val="Normal"/>
    <w:next w:val="Paragraph"/>
    <w:qFormat/>
    <w:rsid w:val="00465ACB"/>
    <w:pPr>
      <w:tabs>
        <w:tab w:val="center" w:pos="4253"/>
        <w:tab w:val="right" w:pos="8222"/>
      </w:tabs>
      <w:spacing w:before="240" w:after="240"/>
      <w:jc w:val="center"/>
    </w:pPr>
  </w:style>
  <w:style w:type="paragraph" w:customStyle="1" w:styleId="Acknowledgements">
    <w:name w:val="Acknowledgements"/>
    <w:basedOn w:val="Normal"/>
    <w:next w:val="Normal"/>
    <w:qFormat/>
    <w:rsid w:val="00465ACB"/>
    <w:pPr>
      <w:spacing w:before="120" w:line="360" w:lineRule="auto"/>
    </w:pPr>
    <w:rPr>
      <w:sz w:val="22"/>
    </w:rPr>
  </w:style>
  <w:style w:type="paragraph" w:customStyle="1" w:styleId="Tabletitle">
    <w:name w:val="Table title"/>
    <w:basedOn w:val="Normal"/>
    <w:next w:val="Normal"/>
    <w:qFormat/>
    <w:rsid w:val="00465ACB"/>
    <w:pPr>
      <w:spacing w:before="240" w:line="360" w:lineRule="auto"/>
    </w:pPr>
  </w:style>
  <w:style w:type="paragraph" w:customStyle="1" w:styleId="Figurecaption">
    <w:name w:val="Figure caption"/>
    <w:basedOn w:val="Normal"/>
    <w:next w:val="Normal"/>
    <w:qFormat/>
    <w:rsid w:val="00465ACB"/>
    <w:pPr>
      <w:spacing w:before="240" w:line="360" w:lineRule="auto"/>
    </w:pPr>
  </w:style>
  <w:style w:type="paragraph" w:customStyle="1" w:styleId="Footnotes">
    <w:name w:val="Footnotes"/>
    <w:basedOn w:val="Normal"/>
    <w:qFormat/>
    <w:rsid w:val="00465ACB"/>
    <w:pPr>
      <w:spacing w:before="120" w:line="360" w:lineRule="auto"/>
      <w:ind w:left="482" w:hanging="482"/>
      <w:contextualSpacing/>
    </w:pPr>
    <w:rPr>
      <w:sz w:val="22"/>
    </w:rPr>
  </w:style>
  <w:style w:type="paragraph" w:customStyle="1" w:styleId="Notesoncontributors">
    <w:name w:val="Notes on contributors"/>
    <w:basedOn w:val="Normal"/>
    <w:qFormat/>
    <w:rsid w:val="00465ACB"/>
    <w:pPr>
      <w:spacing w:before="240" w:line="360" w:lineRule="auto"/>
    </w:pPr>
    <w:rPr>
      <w:sz w:val="22"/>
    </w:rPr>
  </w:style>
  <w:style w:type="paragraph" w:customStyle="1" w:styleId="Normalparagraphstyle">
    <w:name w:val="Normal paragraph style"/>
    <w:basedOn w:val="Normal"/>
    <w:next w:val="Normal"/>
    <w:rsid w:val="00465ACB"/>
  </w:style>
  <w:style w:type="paragraph" w:customStyle="1" w:styleId="Paragraph">
    <w:name w:val="Paragraph"/>
    <w:basedOn w:val="Normal"/>
    <w:next w:val="Newparagraph"/>
    <w:qFormat/>
    <w:rsid w:val="00465ACB"/>
    <w:pPr>
      <w:widowControl w:val="0"/>
      <w:spacing w:before="240"/>
    </w:pPr>
  </w:style>
  <w:style w:type="paragraph" w:customStyle="1" w:styleId="Newparagraph">
    <w:name w:val="New paragraph"/>
    <w:basedOn w:val="Normal"/>
    <w:qFormat/>
    <w:rsid w:val="00465ACB"/>
    <w:pPr>
      <w:ind w:firstLine="720"/>
    </w:pPr>
  </w:style>
  <w:style w:type="paragraph" w:styleId="NormalIndent">
    <w:name w:val="Normal Indent"/>
    <w:basedOn w:val="Normal"/>
    <w:rsid w:val="00465ACB"/>
    <w:pPr>
      <w:ind w:left="720"/>
    </w:pPr>
  </w:style>
  <w:style w:type="paragraph" w:customStyle="1" w:styleId="References">
    <w:name w:val="References"/>
    <w:basedOn w:val="Normal"/>
    <w:qFormat/>
    <w:rsid w:val="00465ACB"/>
    <w:pPr>
      <w:spacing w:before="120" w:line="360" w:lineRule="auto"/>
      <w:ind w:left="720" w:hanging="720"/>
      <w:contextualSpacing/>
    </w:pPr>
  </w:style>
  <w:style w:type="paragraph" w:customStyle="1" w:styleId="Subjectcodes">
    <w:name w:val="Subject codes"/>
    <w:basedOn w:val="Keywords0"/>
    <w:next w:val="Paragraph"/>
    <w:qFormat/>
    <w:rsid w:val="00465ACB"/>
  </w:style>
  <w:style w:type="paragraph" w:customStyle="1" w:styleId="Bulletedlist">
    <w:name w:val="Bulleted list"/>
    <w:basedOn w:val="Paragraph"/>
    <w:next w:val="Paragraph"/>
    <w:qFormat/>
    <w:rsid w:val="00465ACB"/>
    <w:pPr>
      <w:widowControl/>
      <w:numPr>
        <w:numId w:val="16"/>
      </w:numPr>
      <w:spacing w:after="240"/>
      <w:contextualSpacing/>
    </w:pPr>
  </w:style>
  <w:style w:type="paragraph" w:styleId="EndnoteText">
    <w:name w:val="endnote text"/>
    <w:basedOn w:val="Normal"/>
    <w:link w:val="EndnoteTextChar"/>
    <w:autoRedefine/>
    <w:rsid w:val="00465ACB"/>
    <w:pPr>
      <w:ind w:left="284" w:hanging="284"/>
    </w:pPr>
    <w:rPr>
      <w:sz w:val="22"/>
      <w:szCs w:val="20"/>
    </w:rPr>
  </w:style>
  <w:style w:type="character" w:customStyle="1" w:styleId="EndnoteTextChar">
    <w:name w:val="Endnote Text Char"/>
    <w:basedOn w:val="DefaultParagraphFont"/>
    <w:link w:val="EndnoteText"/>
    <w:rsid w:val="00465ACB"/>
    <w:rPr>
      <w:rFonts w:ascii="Times New Roman" w:eastAsia="Times New Roman" w:hAnsi="Times New Roman" w:cs="Times New Roman"/>
      <w:szCs w:val="20"/>
      <w:lang w:eastAsia="en-GB"/>
    </w:rPr>
  </w:style>
  <w:style w:type="character" w:styleId="EndnoteReference">
    <w:name w:val="endnote reference"/>
    <w:basedOn w:val="DefaultParagraphFont"/>
    <w:rsid w:val="00465ACB"/>
    <w:rPr>
      <w:vertAlign w:val="superscript"/>
    </w:rPr>
  </w:style>
  <w:style w:type="paragraph" w:customStyle="1" w:styleId="Heading4Paragraph">
    <w:name w:val="Heading 4 + Paragraph"/>
    <w:basedOn w:val="Paragraph"/>
    <w:next w:val="Newparagraph"/>
    <w:qFormat/>
    <w:rsid w:val="00465ACB"/>
    <w:pPr>
      <w:widowControl/>
      <w:spacing w:before="360"/>
    </w:pPr>
  </w:style>
  <w:style w:type="paragraph" w:customStyle="1" w:styleId="Default">
    <w:name w:val="Default"/>
    <w:rsid w:val="00465ACB"/>
    <w:pPr>
      <w:autoSpaceDE w:val="0"/>
      <w:autoSpaceDN w:val="0"/>
      <w:adjustRightInd w:val="0"/>
      <w:spacing w:after="0" w:line="240" w:lineRule="auto"/>
    </w:pPr>
    <w:rPr>
      <w:rFonts w:ascii="BBEAE E+ Gulliver" w:eastAsiaTheme="minorEastAsia" w:hAnsi="BBEAE E+ Gulliver" w:cs="BBEAE E+ Gulliver"/>
      <w:color w:val="000000"/>
      <w:sz w:val="24"/>
      <w:szCs w:val="24"/>
    </w:rPr>
  </w:style>
  <w:style w:type="table" w:styleId="GridTable3-Accent4">
    <w:name w:val="Grid Table 3 Accent 4"/>
    <w:basedOn w:val="TableNormal"/>
    <w:uiPriority w:val="48"/>
    <w:rsid w:val="00465ACB"/>
    <w:pPr>
      <w:spacing w:after="0" w:line="240" w:lineRule="auto"/>
    </w:pPr>
    <w:rPr>
      <w:rFonts w:eastAsiaTheme="minorEastAsia"/>
      <w:sz w:val="24"/>
      <w:szCs w:val="24"/>
      <w:lang w:val="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character" w:customStyle="1" w:styleId="number">
    <w:name w:val="number"/>
    <w:basedOn w:val="DefaultParagraphFont"/>
    <w:rsid w:val="00465ACB"/>
  </w:style>
  <w:style w:type="character" w:styleId="Emphasis">
    <w:name w:val="Emphasis"/>
    <w:basedOn w:val="DefaultParagraphFont"/>
    <w:uiPriority w:val="20"/>
    <w:qFormat/>
    <w:rsid w:val="00465ACB"/>
    <w:rPr>
      <w:i/>
      <w:iCs/>
    </w:rPr>
  </w:style>
  <w:style w:type="character" w:customStyle="1" w:styleId="creators">
    <w:name w:val="creators"/>
    <w:basedOn w:val="DefaultParagraphFont"/>
    <w:rsid w:val="00465ACB"/>
  </w:style>
  <w:style w:type="character" w:customStyle="1" w:styleId="personname">
    <w:name w:val="person_name"/>
    <w:basedOn w:val="DefaultParagraphFont"/>
    <w:rsid w:val="00465ACB"/>
  </w:style>
  <w:style w:type="character" w:customStyle="1" w:styleId="Date1">
    <w:name w:val="Date1"/>
    <w:basedOn w:val="DefaultParagraphFont"/>
    <w:rsid w:val="00465ACB"/>
  </w:style>
  <w:style w:type="character" w:customStyle="1" w:styleId="Title1">
    <w:name w:val="Title1"/>
    <w:basedOn w:val="DefaultParagraphFont"/>
    <w:rsid w:val="00465ACB"/>
  </w:style>
  <w:style w:type="character" w:customStyle="1" w:styleId="volume">
    <w:name w:val="volume"/>
    <w:basedOn w:val="DefaultParagraphFont"/>
    <w:rsid w:val="00465ACB"/>
  </w:style>
  <w:style w:type="character" w:customStyle="1" w:styleId="pagerange">
    <w:name w:val="pagerange"/>
    <w:basedOn w:val="DefaultParagraphFont"/>
    <w:rsid w:val="00465ACB"/>
  </w:style>
  <w:style w:type="character" w:customStyle="1" w:styleId="doi">
    <w:name w:val="doi"/>
    <w:basedOn w:val="DefaultParagraphFont"/>
    <w:rsid w:val="00465ACB"/>
  </w:style>
  <w:style w:type="character" w:styleId="FollowedHyperlink">
    <w:name w:val="FollowedHyperlink"/>
    <w:basedOn w:val="DefaultParagraphFont"/>
    <w:uiPriority w:val="99"/>
    <w:semiHidden/>
    <w:unhideWhenUsed/>
    <w:rsid w:val="00465ACB"/>
    <w:rPr>
      <w:color w:val="954F72" w:themeColor="followedHyperlink"/>
      <w:u w:val="single"/>
    </w:rPr>
  </w:style>
  <w:style w:type="character" w:customStyle="1" w:styleId="ref-overlay2">
    <w:name w:val="ref-overlay2"/>
    <w:basedOn w:val="DefaultParagraphFont"/>
    <w:rsid w:val="00465ACB"/>
    <w:rPr>
      <w:shd w:val="clear" w:color="auto" w:fill="FFFFFF"/>
    </w:rPr>
  </w:style>
  <w:style w:type="character" w:customStyle="1" w:styleId="hlfld-contribauthor">
    <w:name w:val="hlfld-contribauthor"/>
    <w:basedOn w:val="DefaultParagraphFont"/>
    <w:rsid w:val="00465ACB"/>
  </w:style>
  <w:style w:type="character" w:customStyle="1" w:styleId="nlmgiven-names">
    <w:name w:val="nlm_given-names"/>
    <w:basedOn w:val="DefaultParagraphFont"/>
    <w:rsid w:val="00465ACB"/>
  </w:style>
  <w:style w:type="character" w:customStyle="1" w:styleId="nlmyear">
    <w:name w:val="nlm_year"/>
    <w:basedOn w:val="DefaultParagraphFont"/>
    <w:rsid w:val="00465ACB"/>
  </w:style>
  <w:style w:type="character" w:customStyle="1" w:styleId="nlmarticle-title">
    <w:name w:val="nlm_article-title"/>
    <w:basedOn w:val="DefaultParagraphFont"/>
    <w:rsid w:val="00465ACB"/>
  </w:style>
  <w:style w:type="character" w:customStyle="1" w:styleId="nlmfpage">
    <w:name w:val="nlm_fpage"/>
    <w:basedOn w:val="DefaultParagraphFont"/>
    <w:rsid w:val="00465ACB"/>
  </w:style>
  <w:style w:type="character" w:customStyle="1" w:styleId="nlmlpage">
    <w:name w:val="nlm_lpage"/>
    <w:basedOn w:val="DefaultParagraphFont"/>
    <w:rsid w:val="00465ACB"/>
  </w:style>
  <w:style w:type="character" w:customStyle="1" w:styleId="nlmpub-id">
    <w:name w:val="nlm_pub-id"/>
    <w:basedOn w:val="DefaultParagraphFont"/>
    <w:rsid w:val="00465ACB"/>
  </w:style>
  <w:style w:type="character" w:styleId="Strong">
    <w:name w:val="Strong"/>
    <w:basedOn w:val="DefaultParagraphFont"/>
    <w:uiPriority w:val="22"/>
    <w:qFormat/>
    <w:rsid w:val="002978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342146">
      <w:bodyDiv w:val="1"/>
      <w:marLeft w:val="0"/>
      <w:marRight w:val="0"/>
      <w:marTop w:val="0"/>
      <w:marBottom w:val="0"/>
      <w:divBdr>
        <w:top w:val="none" w:sz="0" w:space="0" w:color="auto"/>
        <w:left w:val="none" w:sz="0" w:space="0" w:color="auto"/>
        <w:bottom w:val="none" w:sz="0" w:space="0" w:color="auto"/>
        <w:right w:val="none" w:sz="0" w:space="0" w:color="auto"/>
      </w:divBdr>
      <w:divsChild>
        <w:div w:id="1349452933">
          <w:marLeft w:val="0"/>
          <w:marRight w:val="0"/>
          <w:marTop w:val="0"/>
          <w:marBottom w:val="0"/>
          <w:divBdr>
            <w:top w:val="none" w:sz="0" w:space="0" w:color="auto"/>
            <w:left w:val="none" w:sz="0" w:space="0" w:color="auto"/>
            <w:bottom w:val="none" w:sz="0" w:space="0" w:color="auto"/>
            <w:right w:val="none" w:sz="0" w:space="0" w:color="auto"/>
          </w:divBdr>
          <w:divsChild>
            <w:div w:id="298415661">
              <w:marLeft w:val="0"/>
              <w:marRight w:val="0"/>
              <w:marTop w:val="100"/>
              <w:marBottom w:val="100"/>
              <w:divBdr>
                <w:top w:val="none" w:sz="0" w:space="0" w:color="auto"/>
                <w:left w:val="none" w:sz="0" w:space="0" w:color="auto"/>
                <w:bottom w:val="none" w:sz="0" w:space="0" w:color="auto"/>
                <w:right w:val="none" w:sz="0" w:space="0" w:color="auto"/>
              </w:divBdr>
              <w:divsChild>
                <w:div w:id="464859140">
                  <w:marLeft w:val="0"/>
                  <w:marRight w:val="0"/>
                  <w:marTop w:val="0"/>
                  <w:marBottom w:val="0"/>
                  <w:divBdr>
                    <w:top w:val="none" w:sz="0" w:space="0" w:color="auto"/>
                    <w:left w:val="none" w:sz="0" w:space="0" w:color="auto"/>
                    <w:bottom w:val="none" w:sz="0" w:space="0" w:color="auto"/>
                    <w:right w:val="none" w:sz="0" w:space="0" w:color="auto"/>
                  </w:divBdr>
                  <w:divsChild>
                    <w:div w:id="1828668108">
                      <w:marLeft w:val="0"/>
                      <w:marRight w:val="0"/>
                      <w:marTop w:val="0"/>
                      <w:marBottom w:val="0"/>
                      <w:divBdr>
                        <w:top w:val="none" w:sz="0" w:space="0" w:color="auto"/>
                        <w:left w:val="none" w:sz="0" w:space="0" w:color="auto"/>
                        <w:bottom w:val="none" w:sz="0" w:space="0" w:color="auto"/>
                        <w:right w:val="none" w:sz="0" w:space="0" w:color="auto"/>
                      </w:divBdr>
                      <w:divsChild>
                        <w:div w:id="708410927">
                          <w:marLeft w:val="0"/>
                          <w:marRight w:val="0"/>
                          <w:marTop w:val="100"/>
                          <w:marBottom w:val="100"/>
                          <w:divBdr>
                            <w:top w:val="none" w:sz="0" w:space="0" w:color="auto"/>
                            <w:left w:val="none" w:sz="0" w:space="0" w:color="auto"/>
                            <w:bottom w:val="none" w:sz="0" w:space="0" w:color="auto"/>
                            <w:right w:val="none" w:sz="0" w:space="0" w:color="auto"/>
                          </w:divBdr>
                          <w:divsChild>
                            <w:div w:id="925650679">
                              <w:marLeft w:val="0"/>
                              <w:marRight w:val="0"/>
                              <w:marTop w:val="0"/>
                              <w:marBottom w:val="0"/>
                              <w:divBdr>
                                <w:top w:val="none" w:sz="0" w:space="0" w:color="auto"/>
                                <w:left w:val="none" w:sz="0" w:space="0" w:color="auto"/>
                                <w:bottom w:val="none" w:sz="0" w:space="0" w:color="auto"/>
                                <w:right w:val="none" w:sz="0" w:space="0" w:color="auto"/>
                              </w:divBdr>
                            </w:div>
                            <w:div w:id="174287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c.bayer@soton.ac.uk" TargetMode="External"/><Relationship Id="rId12" Type="http://schemas.openxmlformats.org/officeDocument/2006/relationships/image" Target="media/image5.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1u16\AppData\Roaming\Microsoft\Templates\UOS%20Templates\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TF_Template_Word_Windows_2016.dotx</Template>
  <TotalTime>0</TotalTime>
  <Pages>43</Pages>
  <Words>9502</Words>
  <Characters>54163</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Bayer S.C.</dc:creator>
  <cp:keywords/>
  <dc:description/>
  <cp:lastModifiedBy>Bayer S.C.</cp:lastModifiedBy>
  <cp:revision>2</cp:revision>
  <dcterms:created xsi:type="dcterms:W3CDTF">2020-05-18T13:24:00Z</dcterms:created>
  <dcterms:modified xsi:type="dcterms:W3CDTF">2020-05-18T13:24:00Z</dcterms:modified>
</cp:coreProperties>
</file>