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1B9B5" w14:textId="77777777" w:rsidR="00C54CF2" w:rsidRPr="00C54CF2" w:rsidRDefault="00C54CF2" w:rsidP="00C54CF2">
      <w:pPr>
        <w:spacing w:line="480" w:lineRule="auto"/>
        <w:jc w:val="center"/>
        <w:rPr>
          <w:b/>
        </w:rPr>
      </w:pPr>
      <w:r w:rsidRPr="00C54CF2">
        <w:rPr>
          <w:b/>
        </w:rPr>
        <w:t>Prevalence and predictors of sexual difficulties and associated distress among partnered, sexually active older women in Norway, Denmark, Belgium and Portugal</w:t>
      </w:r>
    </w:p>
    <w:p w14:paraId="59BFAD52" w14:textId="77777777" w:rsidR="00C54CF2" w:rsidRPr="00C54CF2" w:rsidRDefault="00C54CF2" w:rsidP="00C54CF2">
      <w:pPr>
        <w:spacing w:line="480" w:lineRule="auto"/>
        <w:jc w:val="center"/>
        <w:rPr>
          <w:b/>
        </w:rPr>
      </w:pPr>
      <w:bookmarkStart w:id="0" w:name="_GoBack"/>
      <w:bookmarkEnd w:id="0"/>
    </w:p>
    <w:p w14:paraId="296910C9" w14:textId="77777777" w:rsidR="00C54CF2" w:rsidRPr="00C54CF2" w:rsidRDefault="00C54CF2" w:rsidP="00C54CF2">
      <w:pPr>
        <w:spacing w:line="480" w:lineRule="auto"/>
        <w:jc w:val="center"/>
        <w:rPr>
          <w:b/>
        </w:rPr>
      </w:pPr>
    </w:p>
    <w:p w14:paraId="3EB5BB5F" w14:textId="77777777" w:rsidR="00C54CF2" w:rsidRPr="00C54CF2" w:rsidRDefault="00C54CF2" w:rsidP="00C54CF2">
      <w:pPr>
        <w:spacing w:line="480" w:lineRule="auto"/>
        <w:jc w:val="center"/>
        <w:rPr>
          <w:vertAlign w:val="superscript"/>
        </w:rPr>
      </w:pPr>
      <w:r w:rsidRPr="00C54CF2">
        <w:t>Cynthia A. Graham, PhD,</w:t>
      </w:r>
      <w:r w:rsidRPr="00C54CF2">
        <w:rPr>
          <w:vertAlign w:val="superscript"/>
        </w:rPr>
        <w:t xml:space="preserve">1 </w:t>
      </w:r>
      <w:proofErr w:type="spellStart"/>
      <w:r w:rsidRPr="00C54CF2">
        <w:t>Aleksandar</w:t>
      </w:r>
      <w:proofErr w:type="spellEnd"/>
      <w:r w:rsidRPr="00C54CF2">
        <w:t xml:space="preserve"> </w:t>
      </w:r>
      <w:proofErr w:type="spellStart"/>
      <w:r w:rsidRPr="00C54CF2">
        <w:t>Štulhofer</w:t>
      </w:r>
      <w:proofErr w:type="spellEnd"/>
      <w:r w:rsidRPr="00C54CF2">
        <w:t>, PhD,</w:t>
      </w:r>
      <w:r w:rsidRPr="00C54CF2">
        <w:rPr>
          <w:vertAlign w:val="superscript"/>
        </w:rPr>
        <w:t>2</w:t>
      </w:r>
      <w:r w:rsidRPr="00C54CF2">
        <w:t xml:space="preserve"> </w:t>
      </w:r>
      <w:proofErr w:type="spellStart"/>
      <w:r w:rsidRPr="00C54CF2">
        <w:t>Theis</w:t>
      </w:r>
      <w:proofErr w:type="spellEnd"/>
      <w:r w:rsidRPr="00C54CF2">
        <w:t xml:space="preserve"> Lange, PhD</w:t>
      </w:r>
      <w:r w:rsidRPr="00C54CF2">
        <w:rPr>
          <w:vertAlign w:val="superscript"/>
        </w:rPr>
        <w:t>3</w:t>
      </w:r>
      <w:r w:rsidRPr="00C54CF2">
        <w:t xml:space="preserve"> </w:t>
      </w:r>
      <w:proofErr w:type="spellStart"/>
      <w:r w:rsidRPr="00C54CF2">
        <w:t>Gert</w:t>
      </w:r>
      <w:proofErr w:type="spellEnd"/>
      <w:r w:rsidRPr="00C54CF2">
        <w:t xml:space="preserve"> Martin </w:t>
      </w:r>
      <w:proofErr w:type="spellStart"/>
      <w:r w:rsidRPr="00C54CF2">
        <w:t>Hald</w:t>
      </w:r>
      <w:proofErr w:type="spellEnd"/>
      <w:r w:rsidRPr="00C54CF2">
        <w:t>, PhD</w:t>
      </w:r>
      <w:r w:rsidRPr="00C54CF2">
        <w:rPr>
          <w:vertAlign w:val="superscript"/>
        </w:rPr>
        <w:t>4</w:t>
      </w:r>
      <w:r w:rsidRPr="00C54CF2">
        <w:t xml:space="preserve"> Ana A. </w:t>
      </w:r>
      <w:proofErr w:type="spellStart"/>
      <w:r w:rsidRPr="00C54CF2">
        <w:t>Carvalheira</w:t>
      </w:r>
      <w:proofErr w:type="spellEnd"/>
      <w:r w:rsidRPr="00C54CF2">
        <w:t>, PhD</w:t>
      </w:r>
      <w:r w:rsidRPr="00C54CF2">
        <w:rPr>
          <w:vertAlign w:val="superscript"/>
        </w:rPr>
        <w:t>5</w:t>
      </w:r>
      <w:r w:rsidRPr="00C54CF2">
        <w:t xml:space="preserve"> Paul </w:t>
      </w:r>
      <w:proofErr w:type="spellStart"/>
      <w:r w:rsidRPr="00C54CF2">
        <w:t>Enzlin</w:t>
      </w:r>
      <w:proofErr w:type="spellEnd"/>
      <w:r w:rsidRPr="00C54CF2">
        <w:t>, PhD</w:t>
      </w:r>
      <w:r w:rsidRPr="00C54CF2">
        <w:rPr>
          <w:vertAlign w:val="superscript"/>
        </w:rPr>
        <w:t>6</w:t>
      </w:r>
      <w:r w:rsidRPr="00C54CF2">
        <w:t xml:space="preserve"> </w:t>
      </w:r>
      <w:proofErr w:type="spellStart"/>
      <w:r w:rsidRPr="00C54CF2">
        <w:t>Bente</w:t>
      </w:r>
      <w:proofErr w:type="spellEnd"/>
      <w:r w:rsidRPr="00C54CF2">
        <w:t xml:space="preserve"> </w:t>
      </w:r>
      <w:proofErr w:type="spellStart"/>
      <w:r w:rsidRPr="00C54CF2">
        <w:t>Træen</w:t>
      </w:r>
      <w:proofErr w:type="spellEnd"/>
      <w:r w:rsidRPr="00C54CF2">
        <w:t xml:space="preserve"> PhD</w:t>
      </w:r>
      <w:r w:rsidRPr="00C54CF2">
        <w:rPr>
          <w:vertAlign w:val="superscript"/>
        </w:rPr>
        <w:t>7</w:t>
      </w:r>
    </w:p>
    <w:p w14:paraId="667B3949" w14:textId="77777777" w:rsidR="00C54CF2" w:rsidRPr="00C54CF2" w:rsidRDefault="00C54CF2" w:rsidP="00C54CF2">
      <w:pPr>
        <w:spacing w:line="480" w:lineRule="auto"/>
        <w:jc w:val="center"/>
        <w:rPr>
          <w:vertAlign w:val="superscript"/>
        </w:rPr>
      </w:pPr>
    </w:p>
    <w:p w14:paraId="2051A367" w14:textId="77777777" w:rsidR="00C54CF2" w:rsidRPr="00C54CF2" w:rsidRDefault="00C54CF2" w:rsidP="00C54CF2">
      <w:pPr>
        <w:spacing w:line="480" w:lineRule="auto"/>
        <w:jc w:val="center"/>
      </w:pPr>
      <w:r w:rsidRPr="00C54CF2">
        <w:rPr>
          <w:vertAlign w:val="superscript"/>
        </w:rPr>
        <w:t xml:space="preserve">1 </w:t>
      </w:r>
      <w:r w:rsidRPr="00C54CF2">
        <w:t xml:space="preserve">Department of Psychology, University of Southampton, Southampton, United Kingdom </w:t>
      </w:r>
    </w:p>
    <w:p w14:paraId="64C96D84" w14:textId="77777777" w:rsidR="00C54CF2" w:rsidRPr="00C54CF2" w:rsidRDefault="00C54CF2" w:rsidP="00C54CF2">
      <w:pPr>
        <w:spacing w:line="480" w:lineRule="auto"/>
        <w:jc w:val="center"/>
      </w:pPr>
      <w:r w:rsidRPr="00C54CF2">
        <w:rPr>
          <w:vertAlign w:val="superscript"/>
        </w:rPr>
        <w:t>2</w:t>
      </w:r>
      <w:r w:rsidRPr="00C54CF2">
        <w:t xml:space="preserve"> Department of Sociology, University of Zagreb, Zagreb, Croatia</w:t>
      </w:r>
    </w:p>
    <w:p w14:paraId="7AD5B508" w14:textId="77777777" w:rsidR="00C54CF2" w:rsidRPr="00C54CF2" w:rsidRDefault="00C54CF2" w:rsidP="00C54CF2">
      <w:pPr>
        <w:spacing w:line="480" w:lineRule="auto"/>
        <w:jc w:val="center"/>
      </w:pPr>
      <w:r w:rsidRPr="00C54CF2">
        <w:rPr>
          <w:vertAlign w:val="superscript"/>
        </w:rPr>
        <w:t>3</w:t>
      </w:r>
      <w:r w:rsidRPr="00C54CF2">
        <w:t xml:space="preserve"> Section of Biostatistics, University of Copenhagen, Copenhagen, Denmark</w:t>
      </w:r>
    </w:p>
    <w:p w14:paraId="4EA4E301" w14:textId="77777777" w:rsidR="00C54CF2" w:rsidRPr="00C54CF2" w:rsidRDefault="00C54CF2" w:rsidP="00C54CF2">
      <w:pPr>
        <w:spacing w:line="480" w:lineRule="auto"/>
        <w:jc w:val="center"/>
      </w:pPr>
      <w:r w:rsidRPr="00C54CF2">
        <w:rPr>
          <w:vertAlign w:val="superscript"/>
        </w:rPr>
        <w:t>4</w:t>
      </w:r>
      <w:r w:rsidRPr="00C54CF2">
        <w:t xml:space="preserve"> Department of Public Health, University of Copenhagen, Copenhagen, Denmark</w:t>
      </w:r>
    </w:p>
    <w:p w14:paraId="355F119D" w14:textId="77777777" w:rsidR="00C54CF2" w:rsidRPr="00C54CF2" w:rsidRDefault="00C54CF2" w:rsidP="00C54CF2">
      <w:pPr>
        <w:spacing w:line="480" w:lineRule="auto"/>
        <w:jc w:val="center"/>
      </w:pPr>
      <w:r w:rsidRPr="00C54CF2">
        <w:rPr>
          <w:vertAlign w:val="superscript"/>
        </w:rPr>
        <w:t>5</w:t>
      </w:r>
      <w:r w:rsidRPr="00C54CF2">
        <w:t xml:space="preserve"> Department of Psychology, University of Lisbon, Lisbon, Portugal</w:t>
      </w:r>
    </w:p>
    <w:p w14:paraId="241B98F2" w14:textId="77777777" w:rsidR="00C54CF2" w:rsidRPr="00C54CF2" w:rsidRDefault="00C54CF2" w:rsidP="00C54CF2">
      <w:pPr>
        <w:spacing w:line="480" w:lineRule="auto"/>
        <w:jc w:val="center"/>
      </w:pPr>
      <w:r w:rsidRPr="00C54CF2">
        <w:rPr>
          <w:vertAlign w:val="superscript"/>
        </w:rPr>
        <w:t>6</w:t>
      </w:r>
      <w:r w:rsidRPr="00C54CF2">
        <w:t xml:space="preserve"> Institute for Family and Sexuality Studies, Department of Neurosciences, KU </w:t>
      </w:r>
      <w:proofErr w:type="gramStart"/>
      <w:r w:rsidRPr="00C54CF2">
        <w:t>Leuven ,</w:t>
      </w:r>
      <w:proofErr w:type="gramEnd"/>
      <w:r w:rsidRPr="00C54CF2">
        <w:t xml:space="preserve"> </w:t>
      </w:r>
      <w:proofErr w:type="spellStart"/>
      <w:r w:rsidRPr="00C54CF2">
        <w:t>Leuven</w:t>
      </w:r>
      <w:proofErr w:type="spellEnd"/>
      <w:r w:rsidRPr="00C54CF2">
        <w:t>, Belgium</w:t>
      </w:r>
    </w:p>
    <w:p w14:paraId="63CD85D7" w14:textId="77777777" w:rsidR="00C54CF2" w:rsidRPr="00C54CF2" w:rsidRDefault="00C54CF2" w:rsidP="00C54CF2">
      <w:pPr>
        <w:spacing w:line="480" w:lineRule="auto"/>
        <w:jc w:val="center"/>
      </w:pPr>
      <w:r w:rsidRPr="00C54CF2">
        <w:rPr>
          <w:vertAlign w:val="superscript"/>
        </w:rPr>
        <w:t>7</w:t>
      </w:r>
      <w:r w:rsidRPr="00C54CF2">
        <w:t xml:space="preserve"> Department of Psychology, University of Oslo, Oslo, Norway</w:t>
      </w:r>
    </w:p>
    <w:p w14:paraId="001D1323" w14:textId="77777777" w:rsidR="00C54CF2" w:rsidRPr="00C54CF2" w:rsidRDefault="00C54CF2" w:rsidP="00C54CF2">
      <w:pPr>
        <w:spacing w:line="480" w:lineRule="auto"/>
        <w:jc w:val="center"/>
        <w:rPr>
          <w:i/>
        </w:rPr>
      </w:pPr>
    </w:p>
    <w:p w14:paraId="7673E6D3" w14:textId="77777777" w:rsidR="00C54CF2" w:rsidRPr="00C54CF2" w:rsidRDefault="00C54CF2" w:rsidP="00C54CF2">
      <w:pPr>
        <w:spacing w:line="480" w:lineRule="auto"/>
        <w:jc w:val="center"/>
      </w:pPr>
      <w:r w:rsidRPr="00C54CF2">
        <w:t>Corresponding author: Professor Cynthia A. Graham, Department of Psychology, Faculty of Environmental &amp; Life Sciences, Shackleton Building (B44), Room 44/3073, University of Southampton, Southampton SO17 1BJ United Kingdom</w:t>
      </w:r>
      <w:r w:rsidRPr="00C54CF2">
        <w:br/>
      </w:r>
      <w:proofErr w:type="spellStart"/>
      <w:r w:rsidRPr="00C54CF2">
        <w:t>tel</w:t>
      </w:r>
      <w:proofErr w:type="spellEnd"/>
      <w:r w:rsidRPr="00C54CF2">
        <w:t xml:space="preserve">: 023 8059 3091; </w:t>
      </w:r>
      <w:hyperlink r:id="rId8" w:history="1">
        <w:r w:rsidRPr="00C54CF2">
          <w:rPr>
            <w:rStyle w:val="Hyperlink"/>
          </w:rPr>
          <w:t>C.A.Graham@soton.ac.uk</w:t>
        </w:r>
      </w:hyperlink>
    </w:p>
    <w:p w14:paraId="44C197D5" w14:textId="77777777" w:rsidR="00C54CF2" w:rsidRPr="00C54CF2" w:rsidRDefault="00C54CF2" w:rsidP="00C54CF2">
      <w:pPr>
        <w:spacing w:line="480" w:lineRule="auto"/>
        <w:jc w:val="center"/>
      </w:pPr>
      <w:r w:rsidRPr="00C54CF2">
        <w:t>Conflicts of interest: The authors declare that they have no conflict of interest.</w:t>
      </w:r>
    </w:p>
    <w:p w14:paraId="3313DEDE" w14:textId="77777777" w:rsidR="00C54CF2" w:rsidRPr="00C54CF2" w:rsidRDefault="00C54CF2" w:rsidP="00C54CF2">
      <w:pPr>
        <w:spacing w:line="480" w:lineRule="auto"/>
        <w:jc w:val="center"/>
      </w:pPr>
      <w:r w:rsidRPr="00C54CF2">
        <w:t>Funding:</w:t>
      </w:r>
      <w:r w:rsidRPr="00C54CF2">
        <w:rPr>
          <w:i/>
        </w:rPr>
        <w:t xml:space="preserve"> </w:t>
      </w:r>
      <w:r w:rsidRPr="00C54CF2">
        <w:t>This study was funded by Norwegian Research Council Grant 250637.</w:t>
      </w:r>
    </w:p>
    <w:p w14:paraId="1C59BB46" w14:textId="77777777" w:rsidR="00C54CF2" w:rsidRPr="00C54CF2" w:rsidRDefault="00C54CF2" w:rsidP="00C54CF2">
      <w:pPr>
        <w:spacing w:line="480" w:lineRule="auto"/>
        <w:jc w:val="center"/>
        <w:rPr>
          <w:b/>
        </w:rPr>
      </w:pPr>
    </w:p>
    <w:p w14:paraId="397230FD" w14:textId="77777777" w:rsidR="00C54CF2" w:rsidRPr="00C54CF2" w:rsidRDefault="00C54CF2" w:rsidP="00C54CF2">
      <w:pPr>
        <w:spacing w:line="480" w:lineRule="auto"/>
        <w:jc w:val="center"/>
        <w:rPr>
          <w:b/>
        </w:rPr>
      </w:pPr>
    </w:p>
    <w:p w14:paraId="693BA573" w14:textId="7A166B7D" w:rsidR="001C5930" w:rsidRPr="001C5930" w:rsidRDefault="001C5930" w:rsidP="00D229EA">
      <w:pPr>
        <w:spacing w:line="480" w:lineRule="auto"/>
        <w:jc w:val="center"/>
        <w:rPr>
          <w:b/>
        </w:rPr>
      </w:pPr>
      <w:r w:rsidRPr="001C5930">
        <w:rPr>
          <w:b/>
        </w:rPr>
        <w:t xml:space="preserve">Prevalence and predictors of sexual difficulties and associated distress </w:t>
      </w:r>
      <w:r w:rsidR="006A144E">
        <w:rPr>
          <w:b/>
        </w:rPr>
        <w:t>among partnered, sexually active</w:t>
      </w:r>
      <w:r w:rsidR="006A144E" w:rsidRPr="001C5930">
        <w:rPr>
          <w:b/>
        </w:rPr>
        <w:t xml:space="preserve"> </w:t>
      </w:r>
      <w:r w:rsidRPr="001C5930">
        <w:rPr>
          <w:b/>
        </w:rPr>
        <w:t>older women in Norway, Denmark, Belgium and Portugal</w:t>
      </w:r>
    </w:p>
    <w:p w14:paraId="3047117B" w14:textId="77777777" w:rsidR="001C5930" w:rsidRPr="001C5930" w:rsidRDefault="001C5930" w:rsidP="00D229EA">
      <w:pPr>
        <w:spacing w:line="480" w:lineRule="auto"/>
        <w:jc w:val="center"/>
        <w:rPr>
          <w:b/>
        </w:rPr>
      </w:pPr>
    </w:p>
    <w:p w14:paraId="31767A52" w14:textId="77777777" w:rsidR="005A1C9C" w:rsidRDefault="00204A1F" w:rsidP="00320A9D">
      <w:pPr>
        <w:spacing w:line="480" w:lineRule="auto"/>
        <w:ind w:firstLine="810"/>
        <w:jc w:val="center"/>
        <w:rPr>
          <w:b/>
        </w:rPr>
      </w:pPr>
      <w:r w:rsidRPr="00F120E2">
        <w:rPr>
          <w:b/>
        </w:rPr>
        <w:t>Abstract</w:t>
      </w:r>
    </w:p>
    <w:p w14:paraId="293F5F14" w14:textId="7E113D6E" w:rsidR="008855E7" w:rsidRDefault="00867DAC" w:rsidP="00D229EA">
      <w:pPr>
        <w:spacing w:line="480" w:lineRule="auto"/>
      </w:pPr>
      <w:r>
        <w:t xml:space="preserve">There </w:t>
      </w:r>
      <w:r w:rsidR="00E46096">
        <w:t>has been</w:t>
      </w:r>
      <w:r>
        <w:t xml:space="preserve"> little comparative, cross-cultural research on sexual difficulties and associated distress</w:t>
      </w:r>
      <w:r w:rsidR="00FE6553">
        <w:t>, and factors associated with these,</w:t>
      </w:r>
      <w:r>
        <w:t xml:space="preserve"> among older </w:t>
      </w:r>
      <w:r w:rsidRPr="00427512">
        <w:t>women.</w:t>
      </w:r>
      <w:r w:rsidR="00E43210" w:rsidRPr="0078621B">
        <w:t xml:space="preserve"> </w:t>
      </w:r>
      <w:r w:rsidR="00427512" w:rsidRPr="0078621B">
        <w:t>Therefore,</w:t>
      </w:r>
      <w:r w:rsidR="00427512">
        <w:rPr>
          <w:b/>
        </w:rPr>
        <w:t xml:space="preserve"> </w:t>
      </w:r>
      <w:r w:rsidR="00D70329">
        <w:t>t</w:t>
      </w:r>
      <w:r w:rsidR="00A93585">
        <w:t>he aim of this study was to investigate prevalence rates of sexual difficulties, distress</w:t>
      </w:r>
      <w:r w:rsidR="008855E7">
        <w:t xml:space="preserve"> related to these</w:t>
      </w:r>
      <w:r w:rsidR="006252FB">
        <w:t xml:space="preserve"> difficulties</w:t>
      </w:r>
      <w:r w:rsidR="00A93585">
        <w:t xml:space="preserve">, and </w:t>
      </w:r>
      <w:r w:rsidR="00FE6553">
        <w:t>associated socio-demographic, relational, and health factors</w:t>
      </w:r>
      <w:r w:rsidR="00A93585">
        <w:t xml:space="preserve">, among </w:t>
      </w:r>
      <w:r w:rsidR="00427512">
        <w:t xml:space="preserve">sexually active </w:t>
      </w:r>
      <w:r w:rsidR="00A93585">
        <w:t xml:space="preserve">older women (60-75 years) </w:t>
      </w:r>
      <w:r w:rsidR="00427512">
        <w:t xml:space="preserve">in committed relationships </w:t>
      </w:r>
      <w:r w:rsidR="00A93585">
        <w:t>across four European countries (Norway, Denmark, Belgium, and Portugal).</w:t>
      </w:r>
      <w:r w:rsidR="00E43210">
        <w:rPr>
          <w:b/>
        </w:rPr>
        <w:t xml:space="preserve"> </w:t>
      </w:r>
      <w:r w:rsidR="003B3693">
        <w:t xml:space="preserve">These data could inform us about </w:t>
      </w:r>
      <w:r w:rsidR="00427512" w:rsidRPr="002C1E97">
        <w:t xml:space="preserve">what differentiates women who do and do not experience distressing sexual difficulties </w:t>
      </w:r>
      <w:r w:rsidR="00405A5E">
        <w:t>and</w:t>
      </w:r>
      <w:r w:rsidR="003B3693">
        <w:t xml:space="preserve"> </w:t>
      </w:r>
      <w:r w:rsidR="00427512" w:rsidRPr="002C1E97">
        <w:t xml:space="preserve">facilitate the identification of older women who might benefit from clinical interventions </w:t>
      </w:r>
      <w:r w:rsidR="00405A5E">
        <w:t>as well as</w:t>
      </w:r>
      <w:r w:rsidR="00427512" w:rsidRPr="002C1E97">
        <w:t xml:space="preserve"> the development of</w:t>
      </w:r>
      <w:r w:rsidR="00405A5E">
        <w:t xml:space="preserve"> new</w:t>
      </w:r>
      <w:r w:rsidR="00427512" w:rsidRPr="002C1E97">
        <w:t xml:space="preserve"> interventions. </w:t>
      </w:r>
      <w:r w:rsidR="00270E02" w:rsidRPr="00270E02">
        <w:t>In total</w:t>
      </w:r>
      <w:r w:rsidR="00270E02">
        <w:t>, 1</w:t>
      </w:r>
      <w:r w:rsidR="00696933">
        <w:t>,</w:t>
      </w:r>
      <w:r w:rsidR="00270E02">
        <w:t xml:space="preserve">057 women </w:t>
      </w:r>
      <w:r w:rsidR="003B3693">
        <w:t>(357 Norwegian; 322 Danish; 237 Belgian; 141 Portuguese)</w:t>
      </w:r>
      <w:r w:rsidR="00D420ED">
        <w:t xml:space="preserve"> </w:t>
      </w:r>
      <w:r w:rsidR="003B3693">
        <w:t>completed a cross-sectional questionnaire assessing s</w:t>
      </w:r>
      <w:r w:rsidR="007D1E7E">
        <w:t xml:space="preserve">ix </w:t>
      </w:r>
      <w:r>
        <w:t>sexual difficulties</w:t>
      </w:r>
      <w:r w:rsidR="003B3693">
        <w:t xml:space="preserve"> – vaginal dryness, orgasmic difficulties, lacking interest in sex, lacking enjoyment in sex, pain during sex, and no excitement/arousal during sex</w:t>
      </w:r>
      <w:r w:rsidR="00320A9D">
        <w:t xml:space="preserve"> </w:t>
      </w:r>
      <w:r w:rsidR="003B3693">
        <w:t xml:space="preserve">– </w:t>
      </w:r>
      <w:r w:rsidR="00320A9D">
        <w:t>and associated distress</w:t>
      </w:r>
      <w:r>
        <w:t>.</w:t>
      </w:r>
      <w:r w:rsidR="00E43210">
        <w:rPr>
          <w:b/>
        </w:rPr>
        <w:t xml:space="preserve"> </w:t>
      </w:r>
      <w:r w:rsidR="004E55A2" w:rsidRPr="004E55A2">
        <w:t>We found a high prevalence of sexual difficulties lasting three months or longer in the past year (between 23.5% to 50.2%, depending on the specific difficulty). With the exception of vaginal dryness and pain during sex, however, the majority of women reporting sexual difficulties (50.0% to 86.1%, depending on the specific difficulty) reported no or mild distress</w:t>
      </w:r>
      <w:r w:rsidR="007D1E7E">
        <w:t>. There were relatively few cross-country differences, either in the prevalence of sexual difficulties</w:t>
      </w:r>
      <w:r w:rsidR="0096311B">
        <w:t xml:space="preserve"> or </w:t>
      </w:r>
      <w:r w:rsidR="008855E7">
        <w:t>related distress</w:t>
      </w:r>
      <w:r w:rsidR="007D1E7E">
        <w:t xml:space="preserve">. </w:t>
      </w:r>
      <w:r w:rsidR="0053597B">
        <w:t xml:space="preserve">Few sociodemographic or health variables were associated with distressing sexual difficulties, but higher sexual intimacy, </w:t>
      </w:r>
      <w:r w:rsidR="00320A9D">
        <w:t xml:space="preserve">higher </w:t>
      </w:r>
      <w:r w:rsidR="0053597B">
        <w:lastRenderedPageBreak/>
        <w:t xml:space="preserve">emotional intimacy, and </w:t>
      </w:r>
      <w:r w:rsidR="00320A9D">
        <w:t xml:space="preserve">better </w:t>
      </w:r>
      <w:r w:rsidR="0053597B">
        <w:t xml:space="preserve">mental health were associated with </w:t>
      </w:r>
      <w:r w:rsidR="00320A9D">
        <w:t xml:space="preserve">less </w:t>
      </w:r>
      <w:r w:rsidR="0053597B">
        <w:t>distress about some sexual difficulties.</w:t>
      </w:r>
      <w:r w:rsidR="00E43210">
        <w:rPr>
          <w:b/>
        </w:rPr>
        <w:t xml:space="preserve"> </w:t>
      </w:r>
      <w:r w:rsidR="001E4097">
        <w:t>The findings underline the importan</w:t>
      </w:r>
      <w:r w:rsidR="00E46096">
        <w:t xml:space="preserve">ce </w:t>
      </w:r>
      <w:r w:rsidR="001E4097">
        <w:t>of healthcare professional</w:t>
      </w:r>
      <w:r w:rsidR="00E46096">
        <w:t>s</w:t>
      </w:r>
      <w:r w:rsidR="001E4097">
        <w:t xml:space="preserve"> </w:t>
      </w:r>
      <w:r w:rsidR="0096311B">
        <w:t>asking</w:t>
      </w:r>
      <w:r w:rsidR="001E4097">
        <w:t xml:space="preserve"> older women</w:t>
      </w:r>
      <w:r w:rsidR="0096311B">
        <w:t xml:space="preserve"> about sexual function</w:t>
      </w:r>
      <w:r w:rsidR="008855E7">
        <w:t xml:space="preserve"> and </w:t>
      </w:r>
      <w:r w:rsidR="006B73DA">
        <w:t xml:space="preserve">especially </w:t>
      </w:r>
      <w:r w:rsidR="008855E7">
        <w:t>associated distress</w:t>
      </w:r>
      <w:r w:rsidR="003B3693">
        <w:t>,</w:t>
      </w:r>
      <w:r w:rsidR="008855E7">
        <w:t xml:space="preserve"> and suggest that careful attention to the </w:t>
      </w:r>
      <w:r w:rsidR="001E4097">
        <w:t xml:space="preserve">psychological and relationship context of </w:t>
      </w:r>
      <w:r w:rsidR="008855E7">
        <w:t xml:space="preserve">these sexual </w:t>
      </w:r>
      <w:r w:rsidR="001E4097">
        <w:t>difficulties</w:t>
      </w:r>
      <w:r w:rsidR="0096311B">
        <w:t xml:space="preserve"> </w:t>
      </w:r>
      <w:r w:rsidR="008855E7">
        <w:t>is</w:t>
      </w:r>
      <w:r w:rsidR="00D420ED">
        <w:t xml:space="preserve"> </w:t>
      </w:r>
      <w:r w:rsidR="008855E7">
        <w:t>needed, as these could be important targets in the treatment process.</w:t>
      </w:r>
    </w:p>
    <w:p w14:paraId="7F2F3A15" w14:textId="77777777" w:rsidR="002C1E97" w:rsidRDefault="006E4507" w:rsidP="00D229EA">
      <w:pPr>
        <w:spacing w:line="480" w:lineRule="auto"/>
      </w:pPr>
      <w:r w:rsidRPr="006E4507">
        <w:rPr>
          <w:b/>
        </w:rPr>
        <w:t>Key words:</w:t>
      </w:r>
      <w:r>
        <w:rPr>
          <w:b/>
        </w:rPr>
        <w:t xml:space="preserve"> </w:t>
      </w:r>
      <w:r>
        <w:t>Sexual Problems; Sexual Function; Sexual Distress; Cross-Cultural; Older Women</w:t>
      </w:r>
    </w:p>
    <w:p w14:paraId="51D44432" w14:textId="342625EF" w:rsidR="00C8136C" w:rsidRPr="00F120E2" w:rsidRDefault="002C1E97" w:rsidP="00674DAE">
      <w:pPr>
        <w:spacing w:line="480" w:lineRule="auto"/>
        <w:ind w:firstLine="720"/>
      </w:pPr>
      <w:r>
        <w:br w:type="column"/>
      </w:r>
      <w:r w:rsidR="00A80380">
        <w:lastRenderedPageBreak/>
        <w:t>Research</w:t>
      </w:r>
      <w:r w:rsidR="00072DB7" w:rsidRPr="00F120E2">
        <w:t xml:space="preserve"> suggest</w:t>
      </w:r>
      <w:r w:rsidR="00A80380">
        <w:t>s</w:t>
      </w:r>
      <w:r w:rsidR="00072DB7" w:rsidRPr="00F120E2">
        <w:t xml:space="preserve"> that while sexual </w:t>
      </w:r>
      <w:r w:rsidR="00A80380">
        <w:t>difficulties</w:t>
      </w:r>
      <w:r w:rsidR="00072DB7" w:rsidRPr="00F120E2">
        <w:t xml:space="preserve"> are more prevalent among older w</w:t>
      </w:r>
      <w:r w:rsidR="00320A9D">
        <w:t>omen compared to younger women</w:t>
      </w:r>
      <w:r w:rsidR="009B49A7">
        <w:t xml:space="preserve"> (Hayes &amp; </w:t>
      </w:r>
      <w:proofErr w:type="spellStart"/>
      <w:r w:rsidR="009B49A7">
        <w:t>Dennerstein</w:t>
      </w:r>
      <w:proofErr w:type="spellEnd"/>
      <w:r w:rsidR="009B49A7">
        <w:t xml:space="preserve">, 2005; </w:t>
      </w:r>
      <w:proofErr w:type="spellStart"/>
      <w:r w:rsidR="009B49A7" w:rsidRPr="009054B6">
        <w:t>Hendrickx</w:t>
      </w:r>
      <w:proofErr w:type="spellEnd"/>
      <w:r w:rsidR="009B49A7">
        <w:t xml:space="preserve">, </w:t>
      </w:r>
      <w:r w:rsidR="009B49A7" w:rsidRPr="009054B6">
        <w:t>Gijs</w:t>
      </w:r>
      <w:r w:rsidR="009B49A7">
        <w:t>, &amp;</w:t>
      </w:r>
      <w:r w:rsidR="009B49A7" w:rsidRPr="009054B6">
        <w:t xml:space="preserve"> </w:t>
      </w:r>
      <w:proofErr w:type="spellStart"/>
      <w:r w:rsidR="009B49A7" w:rsidRPr="009054B6">
        <w:t>Enzlin</w:t>
      </w:r>
      <w:proofErr w:type="spellEnd"/>
      <w:r w:rsidR="009B49A7">
        <w:t xml:space="preserve">, 2015; Mitchell et al., 2013; </w:t>
      </w:r>
      <w:proofErr w:type="spellStart"/>
      <w:r w:rsidR="009B49A7">
        <w:t>Peixoto</w:t>
      </w:r>
      <w:proofErr w:type="spellEnd"/>
      <w:r w:rsidR="009B49A7">
        <w:t xml:space="preserve"> &amp; </w:t>
      </w:r>
      <w:proofErr w:type="spellStart"/>
      <w:r w:rsidR="009B49A7">
        <w:t>Nobre</w:t>
      </w:r>
      <w:proofErr w:type="spellEnd"/>
      <w:r w:rsidR="009B49A7">
        <w:t>, 2015)</w:t>
      </w:r>
      <w:r w:rsidR="00320A9D">
        <w:t>,</w:t>
      </w:r>
      <w:r w:rsidR="009B49A7">
        <w:t xml:space="preserve"> </w:t>
      </w:r>
      <w:r w:rsidR="00072DB7" w:rsidRPr="00F120E2">
        <w:t>older populations of women</w:t>
      </w:r>
      <w:r w:rsidR="006B4346" w:rsidRPr="00F120E2">
        <w:t xml:space="preserve"> </w:t>
      </w:r>
      <w:r w:rsidR="00AC6A42" w:rsidRPr="00F120E2">
        <w:t>tend to</w:t>
      </w:r>
      <w:r w:rsidR="007C3513" w:rsidRPr="00F120E2">
        <w:t xml:space="preserve"> </w:t>
      </w:r>
      <w:r w:rsidR="006B4346" w:rsidRPr="00F120E2">
        <w:t xml:space="preserve">report </w:t>
      </w:r>
      <w:r w:rsidR="006B4346" w:rsidRPr="00F120E2">
        <w:rPr>
          <w:i/>
        </w:rPr>
        <w:t xml:space="preserve">less </w:t>
      </w:r>
      <w:r w:rsidR="006B4346" w:rsidRPr="00F120E2">
        <w:t xml:space="preserve">distress about </w:t>
      </w:r>
      <w:r w:rsidR="00A80380">
        <w:t>sexual difficulties</w:t>
      </w:r>
      <w:r w:rsidR="00390E7E">
        <w:t xml:space="preserve"> (Bancroft, Loftus, &amp; Long, 2003; </w:t>
      </w:r>
      <w:r w:rsidR="00390E7E" w:rsidRPr="009054B6">
        <w:t>Lee</w:t>
      </w:r>
      <w:r w:rsidR="00390E7E">
        <w:t xml:space="preserve">, </w:t>
      </w:r>
      <w:proofErr w:type="spellStart"/>
      <w:r w:rsidR="00390E7E" w:rsidRPr="009054B6">
        <w:t>Nazroo</w:t>
      </w:r>
      <w:proofErr w:type="spellEnd"/>
      <w:r w:rsidR="00390E7E">
        <w:t xml:space="preserve">, </w:t>
      </w:r>
      <w:r w:rsidR="00390E7E" w:rsidRPr="009054B6">
        <w:t>O’Connor</w:t>
      </w:r>
      <w:r w:rsidR="00390E7E">
        <w:t xml:space="preserve">, </w:t>
      </w:r>
      <w:r w:rsidR="00390E7E" w:rsidRPr="00374744">
        <w:t>Blake, &amp; Pendleton</w:t>
      </w:r>
      <w:r w:rsidR="00390E7E">
        <w:t>, 2016; Santos-Iglesias, &amp; Byers, 2016).</w:t>
      </w:r>
      <w:r w:rsidR="00026FC7" w:rsidRPr="00F120E2">
        <w:t xml:space="preserve"> In the English Longitudinal Study of Ageing, with increasing age, women reported </w:t>
      </w:r>
      <w:r w:rsidR="00026FC7" w:rsidRPr="00A85F05">
        <w:rPr>
          <w:i/>
        </w:rPr>
        <w:t xml:space="preserve">less </w:t>
      </w:r>
      <w:r w:rsidR="00026FC7" w:rsidRPr="00F120E2">
        <w:t>concern about sexual problems</w:t>
      </w:r>
      <w:r w:rsidR="00500410">
        <w:t>,</w:t>
      </w:r>
      <w:r w:rsidR="00026FC7" w:rsidRPr="00F120E2">
        <w:t xml:space="preserve"> and</w:t>
      </w:r>
      <w:r w:rsidR="003A3C09" w:rsidRPr="00F120E2">
        <w:t xml:space="preserve"> </w:t>
      </w:r>
      <w:r w:rsidR="00AD5C6E" w:rsidRPr="00F120E2">
        <w:t>lower levels of concern compared to men</w:t>
      </w:r>
      <w:r w:rsidR="00390E7E">
        <w:t xml:space="preserve"> (Lee et al., 2016). </w:t>
      </w:r>
      <w:r w:rsidR="00026FC7" w:rsidRPr="00F120E2">
        <w:t>Among</w:t>
      </w:r>
      <w:r w:rsidR="007C3513" w:rsidRPr="00F120E2">
        <w:t xml:space="preserve"> sexually active women aged 65-74 years</w:t>
      </w:r>
      <w:r w:rsidR="00FF7F5E" w:rsidRPr="00F120E2">
        <w:t xml:space="preserve"> in the third wave</w:t>
      </w:r>
      <w:r w:rsidR="00A80380">
        <w:t xml:space="preserve"> of the British National Surveys </w:t>
      </w:r>
      <w:r w:rsidR="00FF7F5E" w:rsidRPr="00F120E2">
        <w:t>of Sexual Attitudes and Lifestyles (Natsal-3)</w:t>
      </w:r>
      <w:r w:rsidR="007C3513" w:rsidRPr="00F120E2">
        <w:t>, 55.7% reported one or more sexual problem</w:t>
      </w:r>
      <w:r w:rsidR="00AD5C6E" w:rsidRPr="00F120E2">
        <w:t>s</w:t>
      </w:r>
      <w:r w:rsidR="007C3513" w:rsidRPr="00F120E2">
        <w:t xml:space="preserve"> lasting three months or longer in the la</w:t>
      </w:r>
      <w:r w:rsidR="00FF7F5E" w:rsidRPr="00F120E2">
        <w:t>st year</w:t>
      </w:r>
      <w:r w:rsidR="00A253C9">
        <w:t xml:space="preserve"> (Mitchell et al., 2016). </w:t>
      </w:r>
      <w:r w:rsidR="00FF7F5E" w:rsidRPr="00F120E2">
        <w:t>T</w:t>
      </w:r>
      <w:r w:rsidR="007C3513" w:rsidRPr="00F120E2">
        <w:t>he most common problems were lacking interest in sex, “uncomfortably dry vagina,” and difficulty reaching orgasm</w:t>
      </w:r>
      <w:r w:rsidR="007C3513" w:rsidRPr="00F120E2">
        <w:rPr>
          <w:i/>
        </w:rPr>
        <w:t>.</w:t>
      </w:r>
      <w:r w:rsidR="001A5066" w:rsidRPr="00F120E2">
        <w:rPr>
          <w:i/>
        </w:rPr>
        <w:t xml:space="preserve"> </w:t>
      </w:r>
      <w:r w:rsidR="001A5066" w:rsidRPr="00F120E2">
        <w:t>However, only 9.5% of women in this age group reported “distress” or “worry” about their sex life (compared with 12.7% of women aged 45-54 years).</w:t>
      </w:r>
      <w:r w:rsidR="009C5A4F" w:rsidRPr="00F120E2">
        <w:t xml:space="preserve"> </w:t>
      </w:r>
      <w:r w:rsidR="00FF7F5E" w:rsidRPr="00F120E2">
        <w:t>In a further analysis of Natsal-3 data,</w:t>
      </w:r>
      <w:r w:rsidR="00C34E76" w:rsidRPr="00F120E2">
        <w:t xml:space="preserve"> estimates of</w:t>
      </w:r>
      <w:r w:rsidR="00FF7F5E" w:rsidRPr="00F120E2">
        <w:t xml:space="preserve"> </w:t>
      </w:r>
      <w:r w:rsidR="00C34E76" w:rsidRPr="00F120E2">
        <w:t xml:space="preserve">the </w:t>
      </w:r>
      <w:r w:rsidR="00FF7F5E" w:rsidRPr="00F120E2">
        <w:t>prevalence of</w:t>
      </w:r>
      <w:r w:rsidR="009C5A4F" w:rsidRPr="00F120E2">
        <w:t xml:space="preserve"> sexual function problems meeting </w:t>
      </w:r>
      <w:r w:rsidR="00C34E76" w:rsidRPr="00F120E2">
        <w:t xml:space="preserve">Diagnostic and Statistical Manual </w:t>
      </w:r>
      <w:r w:rsidR="00C8136C" w:rsidRPr="00F120E2">
        <w:t xml:space="preserve">of Mental Disorders </w:t>
      </w:r>
      <w:r w:rsidR="00C34E76" w:rsidRPr="00F120E2">
        <w:t>(DSM-5)</w:t>
      </w:r>
      <w:r w:rsidR="009C5A4F" w:rsidRPr="00F120E2">
        <w:t xml:space="preserve"> </w:t>
      </w:r>
      <w:r w:rsidR="00571BE1">
        <w:t>(American Psychiatric Association, 2013)</w:t>
      </w:r>
      <w:r w:rsidR="00D668ED" w:rsidRPr="00F120E2">
        <w:t xml:space="preserve"> </w:t>
      </w:r>
      <w:r w:rsidR="009C5A4F" w:rsidRPr="00F120E2">
        <w:t>morbidity criteria (</w:t>
      </w:r>
      <w:r w:rsidR="00C8136C" w:rsidRPr="00F120E2">
        <w:t>“</w:t>
      </w:r>
      <w:r w:rsidR="0085730F" w:rsidRPr="00F120E2">
        <w:t>fairly</w:t>
      </w:r>
      <w:r w:rsidR="00C8136C" w:rsidRPr="00F120E2">
        <w:t>”</w:t>
      </w:r>
      <w:r w:rsidR="0085730F" w:rsidRPr="00F120E2">
        <w:t xml:space="preserve"> or </w:t>
      </w:r>
      <w:r w:rsidR="00C8136C" w:rsidRPr="00F120E2">
        <w:t>“</w:t>
      </w:r>
      <w:r w:rsidR="0085730F" w:rsidRPr="00F120E2">
        <w:t>very</w:t>
      </w:r>
      <w:r w:rsidR="00C8136C" w:rsidRPr="00F120E2">
        <w:t>”</w:t>
      </w:r>
      <w:r w:rsidR="0085730F" w:rsidRPr="00F120E2">
        <w:t xml:space="preserve"> distressed</w:t>
      </w:r>
      <w:r w:rsidR="009C5A4F" w:rsidRPr="00F120E2">
        <w:t>, duration of problem</w:t>
      </w:r>
      <w:r w:rsidR="00C8136C" w:rsidRPr="00F120E2">
        <w:t xml:space="preserve"> at least</w:t>
      </w:r>
      <w:r w:rsidR="009C5A4F" w:rsidRPr="00F120E2">
        <w:t xml:space="preserve"> six months,</w:t>
      </w:r>
      <w:r w:rsidR="0085730F" w:rsidRPr="00F120E2">
        <w:t xml:space="preserve"> </w:t>
      </w:r>
      <w:r w:rsidR="00FF7F5E" w:rsidRPr="00F120E2">
        <w:t xml:space="preserve">and </w:t>
      </w:r>
      <w:r w:rsidR="0085730F" w:rsidRPr="00F120E2">
        <w:t xml:space="preserve">symptoms occur </w:t>
      </w:r>
      <w:r w:rsidR="00C8136C" w:rsidRPr="00F120E2">
        <w:t>“</w:t>
      </w:r>
      <w:r w:rsidR="0085730F" w:rsidRPr="00F120E2">
        <w:t>very often</w:t>
      </w:r>
      <w:r w:rsidR="00C8136C" w:rsidRPr="00F120E2">
        <w:t xml:space="preserve">” </w:t>
      </w:r>
      <w:r w:rsidR="0085730F" w:rsidRPr="00F120E2">
        <w:t xml:space="preserve">or </w:t>
      </w:r>
      <w:r w:rsidR="00C8136C" w:rsidRPr="00F120E2">
        <w:t>“</w:t>
      </w:r>
      <w:r w:rsidR="0085730F" w:rsidRPr="00F120E2">
        <w:t>always</w:t>
      </w:r>
      <w:r w:rsidR="00C8136C" w:rsidRPr="00F120E2">
        <w:t>”</w:t>
      </w:r>
      <w:r w:rsidR="00FF7F5E" w:rsidRPr="00F120E2">
        <w:t xml:space="preserve">) </w:t>
      </w:r>
      <w:r w:rsidR="00C34E76" w:rsidRPr="00F120E2">
        <w:t>were obtained</w:t>
      </w:r>
      <w:r w:rsidR="00A17766" w:rsidRPr="00F120E2">
        <w:t xml:space="preserve"> (Mitchell et al., 2016)</w:t>
      </w:r>
      <w:r w:rsidR="0085730F" w:rsidRPr="00F120E2">
        <w:t xml:space="preserve">. </w:t>
      </w:r>
      <w:r w:rsidR="003F7803" w:rsidRPr="00F120E2">
        <w:t xml:space="preserve">For women </w:t>
      </w:r>
      <w:r w:rsidR="00C34E76" w:rsidRPr="00F120E2">
        <w:t>aged</w:t>
      </w:r>
      <w:r w:rsidR="003F7803" w:rsidRPr="00F120E2">
        <w:t xml:space="preserve"> </w:t>
      </w:r>
      <w:r w:rsidR="00C34E76" w:rsidRPr="00F120E2">
        <w:t>65-74 years</w:t>
      </w:r>
      <w:r w:rsidR="003F7803" w:rsidRPr="00F120E2">
        <w:t>,</w:t>
      </w:r>
      <w:r w:rsidR="002F475C" w:rsidRPr="00F120E2">
        <w:t xml:space="preserve"> </w:t>
      </w:r>
      <w:r w:rsidR="00191EA5" w:rsidRPr="00F120E2">
        <w:t>less than two percent</w:t>
      </w:r>
      <w:r w:rsidR="003F7803" w:rsidRPr="00F120E2">
        <w:t xml:space="preserve"> met all of the</w:t>
      </w:r>
      <w:r w:rsidR="00A17766" w:rsidRPr="00F120E2">
        <w:t xml:space="preserve"> above </w:t>
      </w:r>
      <w:r w:rsidR="00C34E76" w:rsidRPr="00F120E2">
        <w:t xml:space="preserve">morbidity </w:t>
      </w:r>
      <w:r w:rsidR="003F7803" w:rsidRPr="00F120E2">
        <w:t>criteria</w:t>
      </w:r>
      <w:r w:rsidR="00EC7592">
        <w:t xml:space="preserve">, </w:t>
      </w:r>
      <w:r w:rsidR="003F7803" w:rsidRPr="00F120E2">
        <w:t xml:space="preserve">compared to 2.8% to 5.3% in the </w:t>
      </w:r>
      <w:r w:rsidR="00C34E76" w:rsidRPr="00F120E2">
        <w:t>younger</w:t>
      </w:r>
      <w:r w:rsidR="003F7803" w:rsidRPr="00F120E2">
        <w:t xml:space="preserve"> age groups.</w:t>
      </w:r>
      <w:r w:rsidR="00B629F2" w:rsidRPr="00F120E2">
        <w:t xml:space="preserve"> </w:t>
      </w:r>
    </w:p>
    <w:p w14:paraId="574902B6" w14:textId="77777777" w:rsidR="00A16C7B" w:rsidRDefault="00A80380" w:rsidP="00A85F05">
      <w:pPr>
        <w:spacing w:line="480" w:lineRule="auto"/>
        <w:ind w:firstLine="720"/>
        <w:outlineLvl w:val="0"/>
      </w:pPr>
      <w:r>
        <w:t>Although most surveys in recent years have assessed distress about sexual difficulties in addition to sexual diffi</w:t>
      </w:r>
      <w:r w:rsidR="00AE23FB">
        <w:t>culty symptoms</w:t>
      </w:r>
      <w:r>
        <w:t>, w</w:t>
      </w:r>
      <w:r w:rsidR="00B629F2" w:rsidRPr="00F120E2">
        <w:t xml:space="preserve">e know surprisingly little about what differentiates women (of any age group) who report distress about a sexual </w:t>
      </w:r>
      <w:r>
        <w:t>difficulty</w:t>
      </w:r>
      <w:r w:rsidR="00B629F2" w:rsidRPr="00F120E2">
        <w:t xml:space="preserve"> from those who do not. </w:t>
      </w:r>
      <w:r>
        <w:t>M</w:t>
      </w:r>
      <w:r w:rsidR="00B629F2" w:rsidRPr="00F120E2">
        <w:t xml:space="preserve">ost studies to date have focused on possible psychosocial, sociodemographic, and relationship </w:t>
      </w:r>
      <w:r w:rsidR="00B629F2" w:rsidRPr="00F120E2">
        <w:lastRenderedPageBreak/>
        <w:t>predicto</w:t>
      </w:r>
      <w:r>
        <w:t xml:space="preserve">rs of the occurrence of sexual difficulties </w:t>
      </w:r>
      <w:r w:rsidR="00B629F2" w:rsidRPr="00F120E2">
        <w:t>and not on predictors of associated distress</w:t>
      </w:r>
      <w:r w:rsidR="00D74A40">
        <w:t>; this literature is reviewed below.</w:t>
      </w:r>
    </w:p>
    <w:p w14:paraId="5BAF6C37" w14:textId="77777777" w:rsidR="00943626" w:rsidRPr="00F120E2" w:rsidRDefault="00A32D5E" w:rsidP="00D229EA">
      <w:pPr>
        <w:spacing w:line="480" w:lineRule="auto"/>
        <w:outlineLvl w:val="0"/>
      </w:pPr>
      <w:r w:rsidRPr="00F120E2">
        <w:rPr>
          <w:b/>
        </w:rPr>
        <w:t xml:space="preserve">Sociodemographic factors </w:t>
      </w:r>
      <w:r w:rsidR="00943626" w:rsidRPr="00F120E2">
        <w:rPr>
          <w:b/>
        </w:rPr>
        <w:t>associated with sexual problems and associated distress</w:t>
      </w:r>
    </w:p>
    <w:p w14:paraId="73D76679" w14:textId="26DA625A" w:rsidR="00026FC7" w:rsidRPr="00F120E2" w:rsidRDefault="00943626" w:rsidP="00D229EA">
      <w:pPr>
        <w:spacing w:line="480" w:lineRule="auto"/>
        <w:ind w:firstLine="806"/>
      </w:pPr>
      <w:r w:rsidRPr="00F120E2">
        <w:t>R</w:t>
      </w:r>
      <w:r w:rsidR="00A32D5E" w:rsidRPr="00F120E2">
        <w:t xml:space="preserve">esearch on </w:t>
      </w:r>
      <w:r w:rsidR="00404466" w:rsidRPr="00F120E2">
        <w:t>the role of</w:t>
      </w:r>
      <w:r w:rsidR="00A32D5E" w:rsidRPr="00F120E2">
        <w:t xml:space="preserve"> sociodemographic factors such as age, education, and </w:t>
      </w:r>
      <w:r w:rsidR="00404466" w:rsidRPr="00F120E2">
        <w:t>religiosity as predictors of</w:t>
      </w:r>
      <w:r w:rsidR="009E148B" w:rsidRPr="00F120E2">
        <w:t xml:space="preserve"> sexual problems </w:t>
      </w:r>
      <w:r w:rsidR="00A32D5E" w:rsidRPr="00F120E2">
        <w:t>amo</w:t>
      </w:r>
      <w:r w:rsidR="001E03E2" w:rsidRPr="00F120E2">
        <w:t>ng older adult women is limited</w:t>
      </w:r>
      <w:r w:rsidR="00D86FC8">
        <w:t xml:space="preserve"> (</w:t>
      </w:r>
      <w:proofErr w:type="spellStart"/>
      <w:r w:rsidR="00D86FC8" w:rsidRPr="00E448C4">
        <w:rPr>
          <w:lang w:val="en-US"/>
        </w:rPr>
        <w:t>Træen</w:t>
      </w:r>
      <w:proofErr w:type="spellEnd"/>
      <w:r w:rsidR="00D86FC8" w:rsidRPr="00E448C4">
        <w:rPr>
          <w:lang w:val="en-US"/>
        </w:rPr>
        <w:t xml:space="preserve"> et al., 2016)</w:t>
      </w:r>
      <w:r w:rsidR="00D86FC8">
        <w:t>.</w:t>
      </w:r>
      <w:r w:rsidR="001E03E2" w:rsidRPr="00F120E2">
        <w:t xml:space="preserve"> </w:t>
      </w:r>
      <w:r w:rsidR="001A6EF3" w:rsidRPr="00F120E2">
        <w:t>There are inconsistent f</w:t>
      </w:r>
      <w:r w:rsidR="007E4BAB" w:rsidRPr="00F120E2">
        <w:t>indings on the association</w:t>
      </w:r>
      <w:r w:rsidR="00C8136C" w:rsidRPr="00F120E2">
        <w:t>s</w:t>
      </w:r>
      <w:r w:rsidR="007E4BAB" w:rsidRPr="00F120E2">
        <w:t xml:space="preserve"> of age with sexual problems in women </w:t>
      </w:r>
      <w:r w:rsidR="00C8136C" w:rsidRPr="00F120E2">
        <w:t xml:space="preserve">of mixed ages </w:t>
      </w:r>
      <w:r w:rsidR="001841F3" w:rsidRPr="00F120E2">
        <w:t xml:space="preserve">(for review, see </w:t>
      </w:r>
      <w:proofErr w:type="spellStart"/>
      <w:r w:rsidR="0075695F" w:rsidRPr="00E448C4">
        <w:rPr>
          <w:lang w:val="en-US"/>
        </w:rPr>
        <w:t>Træen</w:t>
      </w:r>
      <w:proofErr w:type="spellEnd"/>
      <w:r w:rsidR="0075695F" w:rsidRPr="00E448C4">
        <w:rPr>
          <w:lang w:val="en-US"/>
        </w:rPr>
        <w:t xml:space="preserve"> et al., 2016</w:t>
      </w:r>
      <w:r w:rsidR="001841F3" w:rsidRPr="00F120E2">
        <w:t>)</w:t>
      </w:r>
      <w:r w:rsidR="007E251E" w:rsidRPr="00F120E2">
        <w:t xml:space="preserve">. </w:t>
      </w:r>
    </w:p>
    <w:p w14:paraId="298330C3" w14:textId="2E7837A5" w:rsidR="004C677B" w:rsidRPr="00F120E2" w:rsidRDefault="004C677B" w:rsidP="00D229EA">
      <w:pPr>
        <w:spacing w:line="480" w:lineRule="auto"/>
        <w:ind w:firstLine="806"/>
      </w:pPr>
      <w:r w:rsidRPr="00F120E2">
        <w:t>There may also be diff</w:t>
      </w:r>
      <w:r w:rsidR="00E84843" w:rsidRPr="00F120E2">
        <w:t>erential</w:t>
      </w:r>
      <w:r w:rsidRPr="00F120E2">
        <w:t xml:space="preserve"> associations between age and </w:t>
      </w:r>
      <w:r w:rsidRPr="00F120E2">
        <w:rPr>
          <w:i/>
        </w:rPr>
        <w:t>specific</w:t>
      </w:r>
      <w:r w:rsidRPr="00F120E2">
        <w:t xml:space="preserve"> sexual difficulties</w:t>
      </w:r>
      <w:r w:rsidR="00026FC7" w:rsidRPr="00F120E2">
        <w:t>.</w:t>
      </w:r>
      <w:r w:rsidRPr="00F120E2">
        <w:t xml:space="preserve"> </w:t>
      </w:r>
      <w:r w:rsidR="00026FC7" w:rsidRPr="00F120E2">
        <w:t>F</w:t>
      </w:r>
      <w:r w:rsidRPr="00F120E2">
        <w:t>or example, most studies have reported a positive relationship between age and lubrication difficulties</w:t>
      </w:r>
      <w:r w:rsidR="0075695F">
        <w:t xml:space="preserve"> (</w:t>
      </w:r>
      <w:proofErr w:type="spellStart"/>
      <w:r w:rsidR="0075695F">
        <w:t>Laumann</w:t>
      </w:r>
      <w:proofErr w:type="spellEnd"/>
      <w:r w:rsidR="0075695F">
        <w:t xml:space="preserve">, Das, &amp; Waite, 2008; </w:t>
      </w:r>
      <w:proofErr w:type="spellStart"/>
      <w:r w:rsidR="0075695F">
        <w:t>Peixoto</w:t>
      </w:r>
      <w:proofErr w:type="spellEnd"/>
      <w:r w:rsidR="0075695F">
        <w:t xml:space="preserve"> &amp; </w:t>
      </w:r>
      <w:proofErr w:type="spellStart"/>
      <w:r w:rsidR="0075695F">
        <w:t>Nobre</w:t>
      </w:r>
      <w:proofErr w:type="spellEnd"/>
      <w:r w:rsidR="0075695F">
        <w:t xml:space="preserve">, 2015). </w:t>
      </w:r>
      <w:r w:rsidR="00A5435A">
        <w:t xml:space="preserve">However, </w:t>
      </w:r>
      <w:r w:rsidRPr="00F120E2">
        <w:t>in the Global Survey of Sexual Attitudes and Lifestyle</w:t>
      </w:r>
      <w:r w:rsidR="00C8136C" w:rsidRPr="00F120E2">
        <w:t>s</w:t>
      </w:r>
      <w:r w:rsidR="00E84843" w:rsidRPr="00F120E2">
        <w:t xml:space="preserve">, </w:t>
      </w:r>
      <w:r w:rsidRPr="00F120E2">
        <w:t>women aged 70-80 years were no more likely to report lubrication problems than women aged 40-49</w:t>
      </w:r>
      <w:r w:rsidR="0075695F">
        <w:t xml:space="preserve"> (</w:t>
      </w:r>
      <w:proofErr w:type="spellStart"/>
      <w:r w:rsidR="0075695F">
        <w:t>Laumann</w:t>
      </w:r>
      <w:proofErr w:type="spellEnd"/>
      <w:r w:rsidR="0075695F">
        <w:t xml:space="preserve"> et al, 2006).</w:t>
      </w:r>
      <w:r w:rsidR="004024DA" w:rsidRPr="00F120E2">
        <w:t xml:space="preserve"> </w:t>
      </w:r>
      <w:r w:rsidR="00D55D85">
        <w:t>Pain during sex, on the other hand, tends to be more common among younger than older women</w:t>
      </w:r>
      <w:r w:rsidR="0075695F">
        <w:t xml:space="preserve"> (Mitchell et al., 2017)</w:t>
      </w:r>
      <w:r w:rsidR="00756AF2">
        <w:t xml:space="preserve">. </w:t>
      </w:r>
      <w:r w:rsidR="00E448C4" w:rsidRPr="00E448C4">
        <w:t xml:space="preserve">In one of the few studies on predictors of sexual distress, </w:t>
      </w:r>
      <w:proofErr w:type="spellStart"/>
      <w:r w:rsidR="00E448C4" w:rsidRPr="00E448C4">
        <w:t>Hendrickx</w:t>
      </w:r>
      <w:proofErr w:type="spellEnd"/>
      <w:r w:rsidR="00E448C4" w:rsidRPr="00E448C4">
        <w:t xml:space="preserve"> et al. (2015) sampled 15,048 heterosexual women and found that overall sexual distress was more common among </w:t>
      </w:r>
      <w:r w:rsidR="00E448C4" w:rsidRPr="00E448C4">
        <w:rPr>
          <w:i/>
        </w:rPr>
        <w:t xml:space="preserve">younger </w:t>
      </w:r>
      <w:r w:rsidR="00E448C4" w:rsidRPr="00E448C4">
        <w:t xml:space="preserve">women than older women. </w:t>
      </w:r>
      <w:r w:rsidR="00FE3CA3" w:rsidRPr="00FE3CA3">
        <w:t xml:space="preserve">The prevalence of two sexual problems – orgasm difficulties and painful sex – showed a U-shaped association with age, being </w:t>
      </w:r>
      <w:r w:rsidR="003E6FEA">
        <w:t>lowest in women aged 40-49 years old, and higher in both younger and older women</w:t>
      </w:r>
      <w:r w:rsidR="00FE3CA3" w:rsidRPr="00FE3CA3">
        <w:t xml:space="preserve">.  </w:t>
      </w:r>
    </w:p>
    <w:p w14:paraId="28F2659C" w14:textId="77777777" w:rsidR="00F21A89" w:rsidRPr="00F120E2" w:rsidRDefault="00026FC7" w:rsidP="00D229EA">
      <w:pPr>
        <w:spacing w:line="480" w:lineRule="auto"/>
        <w:ind w:firstLine="806"/>
      </w:pPr>
      <w:r w:rsidRPr="00F120E2">
        <w:t xml:space="preserve">Evidence on the associations </w:t>
      </w:r>
      <w:r w:rsidR="00C8136C" w:rsidRPr="00F120E2">
        <w:t>between</w:t>
      </w:r>
      <w:r w:rsidRPr="00F120E2">
        <w:t xml:space="preserve"> educational background and sexual </w:t>
      </w:r>
      <w:r w:rsidR="00A5435A">
        <w:t>difficulties</w:t>
      </w:r>
      <w:r w:rsidRPr="00F120E2">
        <w:t xml:space="preserve"> has also been </w:t>
      </w:r>
      <w:r w:rsidR="004A680E" w:rsidRPr="00F120E2">
        <w:t>mixed</w:t>
      </w:r>
      <w:r w:rsidRPr="00F120E2">
        <w:t>.</w:t>
      </w:r>
      <w:r w:rsidRPr="00F120E2">
        <w:rPr>
          <w:b/>
        </w:rPr>
        <w:t xml:space="preserve"> </w:t>
      </w:r>
      <w:r w:rsidR="009E148B" w:rsidRPr="00F120E2">
        <w:t xml:space="preserve">Several studies of mixed-age groups </w:t>
      </w:r>
      <w:r w:rsidR="00C8136C" w:rsidRPr="00F120E2">
        <w:t xml:space="preserve">reported </w:t>
      </w:r>
      <w:r w:rsidR="009E148B" w:rsidRPr="00F120E2">
        <w:t xml:space="preserve">that women with higher levels of education </w:t>
      </w:r>
      <w:r w:rsidR="00345C55" w:rsidRPr="00F120E2">
        <w:t>were less likely to report</w:t>
      </w:r>
      <w:r w:rsidR="009E148B" w:rsidRPr="00F120E2">
        <w:t xml:space="preserve"> sexual problems</w:t>
      </w:r>
      <w:r w:rsidR="00756AF2">
        <w:t xml:space="preserve"> </w:t>
      </w:r>
      <w:r w:rsidR="0075695F">
        <w:t>(</w:t>
      </w:r>
      <w:proofErr w:type="spellStart"/>
      <w:r w:rsidR="0075695F">
        <w:t>Abdo</w:t>
      </w:r>
      <w:proofErr w:type="spellEnd"/>
      <w:r w:rsidR="0075695F">
        <w:t xml:space="preserve"> et al., 2004; </w:t>
      </w:r>
      <w:proofErr w:type="spellStart"/>
      <w:r w:rsidR="0075695F">
        <w:t>Cayan</w:t>
      </w:r>
      <w:proofErr w:type="spellEnd"/>
      <w:r w:rsidR="0075695F">
        <w:t xml:space="preserve"> et al., 2004; </w:t>
      </w:r>
      <w:proofErr w:type="spellStart"/>
      <w:r w:rsidR="0075695F">
        <w:t>Peixoto</w:t>
      </w:r>
      <w:proofErr w:type="spellEnd"/>
      <w:r w:rsidR="0075695F">
        <w:t xml:space="preserve"> &amp; </w:t>
      </w:r>
      <w:proofErr w:type="spellStart"/>
      <w:r w:rsidR="0075695F">
        <w:t>Nobre</w:t>
      </w:r>
      <w:proofErr w:type="spellEnd"/>
      <w:r w:rsidR="0075695F">
        <w:t xml:space="preserve">, 2015; </w:t>
      </w:r>
      <w:proofErr w:type="spellStart"/>
      <w:r w:rsidR="0075695F">
        <w:t>Shifren</w:t>
      </w:r>
      <w:proofErr w:type="spellEnd"/>
      <w:r w:rsidR="0075695F">
        <w:t xml:space="preserve"> et al., 2008)</w:t>
      </w:r>
      <w:r w:rsidR="00320A9D">
        <w:t>,</w:t>
      </w:r>
      <w:r w:rsidR="009E148B" w:rsidRPr="00F120E2">
        <w:t xml:space="preserve"> </w:t>
      </w:r>
      <w:r w:rsidR="000F16B3" w:rsidRPr="00F120E2">
        <w:t>although some studies have found the opposite</w:t>
      </w:r>
      <w:r w:rsidR="0075695F">
        <w:t xml:space="preserve"> (Christensen et al., 2011).</w:t>
      </w:r>
      <w:r w:rsidR="00345C55" w:rsidRPr="00F120E2">
        <w:t xml:space="preserve"> </w:t>
      </w:r>
    </w:p>
    <w:p w14:paraId="7630D10F" w14:textId="7A646D58" w:rsidR="00F21A89" w:rsidRPr="00F120E2" w:rsidRDefault="005F5CE7" w:rsidP="00D229EA">
      <w:pPr>
        <w:spacing w:line="480" w:lineRule="auto"/>
        <w:ind w:firstLine="806"/>
      </w:pPr>
      <w:r>
        <w:lastRenderedPageBreak/>
        <w:t>Few studies have assessed associations between religiosity and sexual difficulties, but l</w:t>
      </w:r>
      <w:r w:rsidR="008F23A4" w:rsidRPr="00F120E2">
        <w:t xml:space="preserve">evels of religiosity have been associated with sexual behaviour in older adults. </w:t>
      </w:r>
      <w:r w:rsidR="00191EA5" w:rsidRPr="00F120E2">
        <w:t xml:space="preserve">In </w:t>
      </w:r>
      <w:r w:rsidR="006F7002">
        <w:t xml:space="preserve">the </w:t>
      </w:r>
      <w:proofErr w:type="gramStart"/>
      <w:r w:rsidR="00191EA5" w:rsidRPr="00F120E2">
        <w:t>U.S.</w:t>
      </w:r>
      <w:proofErr w:type="gramEnd"/>
      <w:r w:rsidR="00A37E1F">
        <w:t xml:space="preserve"> </w:t>
      </w:r>
      <w:r w:rsidR="002C3F87" w:rsidRPr="00F120E2">
        <w:t>National Health and Social Life Survey,</w:t>
      </w:r>
      <w:r w:rsidR="00F21A89" w:rsidRPr="00F120E2">
        <w:t xml:space="preserve"> religious older adults were less likely to think about sex </w:t>
      </w:r>
      <w:r w:rsidR="00EA5194">
        <w:t xml:space="preserve">and less likely to </w:t>
      </w:r>
      <w:r w:rsidR="00F21A89" w:rsidRPr="00F120E2">
        <w:t>engage in varied sexual activities such as oral sex or anal sex, masturbate, or have multiple partners</w:t>
      </w:r>
      <w:r w:rsidR="0014680B">
        <w:t xml:space="preserve"> (</w:t>
      </w:r>
      <w:proofErr w:type="spellStart"/>
      <w:r w:rsidR="0014680B">
        <w:t>Laumann</w:t>
      </w:r>
      <w:proofErr w:type="spellEnd"/>
      <w:r w:rsidR="0014680B">
        <w:t xml:space="preserve">, </w:t>
      </w:r>
      <w:r w:rsidR="0014680B" w:rsidRPr="0014680B">
        <w:t>Gagnon,</w:t>
      </w:r>
      <w:r w:rsidR="0014680B">
        <w:t xml:space="preserve"> </w:t>
      </w:r>
      <w:r w:rsidR="0014680B" w:rsidRPr="0014680B">
        <w:t>Michaels</w:t>
      </w:r>
      <w:r w:rsidR="0014680B">
        <w:t xml:space="preserve">, </w:t>
      </w:r>
      <w:r w:rsidR="0014680B" w:rsidRPr="0014680B">
        <w:t>&amp; Michaels</w:t>
      </w:r>
      <w:r w:rsidR="0014680B">
        <w:t>, 1994)</w:t>
      </w:r>
      <w:r w:rsidR="00756AF2">
        <w:t>.</w:t>
      </w:r>
      <w:r w:rsidR="002C3F87" w:rsidRPr="00F120E2">
        <w:t xml:space="preserve"> </w:t>
      </w:r>
      <w:r>
        <w:t>I</w:t>
      </w:r>
      <w:r w:rsidR="00967E03" w:rsidRPr="00F120E2">
        <w:t>n a more recent</w:t>
      </w:r>
      <w:r>
        <w:t>,</w:t>
      </w:r>
      <w:r w:rsidR="00967E03" w:rsidRPr="00F120E2">
        <w:t xml:space="preserve"> nationally representative survey of older adults,</w:t>
      </w:r>
      <w:r w:rsidR="00F67B80" w:rsidRPr="00F120E2">
        <w:t xml:space="preserve"> stronger religious influence was associated with </w:t>
      </w:r>
      <w:r w:rsidR="00F67B80" w:rsidRPr="00F120E2">
        <w:rPr>
          <w:i/>
        </w:rPr>
        <w:t xml:space="preserve">higher </w:t>
      </w:r>
      <w:r w:rsidR="00F67B80" w:rsidRPr="00F120E2">
        <w:t>physical and emotional satisfac</w:t>
      </w:r>
      <w:r w:rsidR="00756AF2">
        <w:t>tion with sex, but only for men</w:t>
      </w:r>
      <w:r w:rsidR="0014680B">
        <w:t xml:space="preserve"> (</w:t>
      </w:r>
      <w:proofErr w:type="spellStart"/>
      <w:r w:rsidR="0014680B" w:rsidRPr="009054B6">
        <w:t>Iveniuk</w:t>
      </w:r>
      <w:proofErr w:type="spellEnd"/>
      <w:r w:rsidR="0014680B">
        <w:t>,</w:t>
      </w:r>
      <w:r w:rsidR="00CB798C">
        <w:t xml:space="preserve"> </w:t>
      </w:r>
      <w:proofErr w:type="spellStart"/>
      <w:r w:rsidR="0014680B" w:rsidRPr="009054B6">
        <w:t>O’Muircheartaigh</w:t>
      </w:r>
      <w:proofErr w:type="spellEnd"/>
      <w:r w:rsidR="0014680B">
        <w:t>,</w:t>
      </w:r>
      <w:r w:rsidR="0014680B" w:rsidRPr="009054B6">
        <w:t xml:space="preserve"> </w:t>
      </w:r>
      <w:r w:rsidR="0014680B">
        <w:t xml:space="preserve">&amp; </w:t>
      </w:r>
      <w:r w:rsidR="0014680B" w:rsidRPr="009054B6">
        <w:t>Cagney</w:t>
      </w:r>
      <w:r w:rsidR="0014680B">
        <w:t>, 2016)</w:t>
      </w:r>
      <w:r w:rsidR="00756AF2">
        <w:t xml:space="preserve">. </w:t>
      </w:r>
      <w:r w:rsidR="00C8136C" w:rsidRPr="00F120E2">
        <w:t>Studies on p</w:t>
      </w:r>
      <w:r w:rsidR="004A680E" w:rsidRPr="00F120E2">
        <w:t xml:space="preserve">ossible associations between religiosity and sexual </w:t>
      </w:r>
      <w:r w:rsidR="006F7002">
        <w:t>difficulties</w:t>
      </w:r>
      <w:r w:rsidR="004A680E" w:rsidRPr="00F120E2">
        <w:t xml:space="preserve"> and associated distress among older adults </w:t>
      </w:r>
      <w:r w:rsidR="00C8136C" w:rsidRPr="00F120E2">
        <w:t>are lacking</w:t>
      </w:r>
      <w:r w:rsidR="004A680E" w:rsidRPr="00F120E2">
        <w:t>.</w:t>
      </w:r>
      <w:r w:rsidR="008F23A4" w:rsidRPr="00F120E2">
        <w:t xml:space="preserve"> </w:t>
      </w:r>
    </w:p>
    <w:p w14:paraId="49D11FEA" w14:textId="77777777" w:rsidR="00826A93" w:rsidRDefault="00826A93" w:rsidP="00D229EA">
      <w:pPr>
        <w:spacing w:line="480" w:lineRule="auto"/>
        <w:outlineLvl w:val="0"/>
        <w:rPr>
          <w:b/>
        </w:rPr>
      </w:pPr>
      <w:r>
        <w:rPr>
          <w:b/>
        </w:rPr>
        <w:t>Psychosocial and relationship factors associated with sexual problems and associated distress</w:t>
      </w:r>
    </w:p>
    <w:p w14:paraId="76C22A66" w14:textId="77777777" w:rsidR="00A32D5E" w:rsidRPr="00C73B30" w:rsidRDefault="004A680E" w:rsidP="00C73B30">
      <w:pPr>
        <w:spacing w:line="480" w:lineRule="auto"/>
        <w:outlineLvl w:val="0"/>
        <w:rPr>
          <w:b/>
          <w:i/>
        </w:rPr>
      </w:pPr>
      <w:r w:rsidRPr="00C73B30">
        <w:rPr>
          <w:b/>
          <w:i/>
        </w:rPr>
        <w:t>E</w:t>
      </w:r>
      <w:r w:rsidR="008F23A4" w:rsidRPr="00C73B30">
        <w:rPr>
          <w:b/>
          <w:i/>
        </w:rPr>
        <w:t>motional and sexual intimacy</w:t>
      </w:r>
    </w:p>
    <w:p w14:paraId="11E17575" w14:textId="4E482245" w:rsidR="00353845" w:rsidRPr="00F120E2" w:rsidRDefault="00CB1F88" w:rsidP="00D229EA">
      <w:pPr>
        <w:spacing w:line="480" w:lineRule="auto"/>
        <w:ind w:firstLine="720"/>
      </w:pPr>
      <w:r>
        <w:t>It has been suggested that e</w:t>
      </w:r>
      <w:r w:rsidRPr="00CB1F88">
        <w:t xml:space="preserve">motional and sexual intimacy </w:t>
      </w:r>
      <w:r>
        <w:t xml:space="preserve">should be seen as </w:t>
      </w:r>
      <w:r w:rsidRPr="00CF69A9">
        <w:t>two different constructs</w:t>
      </w:r>
      <w:r w:rsidRPr="00CB1F88">
        <w:t xml:space="preserve"> </w:t>
      </w:r>
      <w:r>
        <w:t xml:space="preserve">that both </w:t>
      </w:r>
      <w:r w:rsidRPr="00CB1F88">
        <w:t xml:space="preserve">may be particularly important predictors of </w:t>
      </w:r>
      <w:r>
        <w:t xml:space="preserve">sexual problems and associated </w:t>
      </w:r>
      <w:r w:rsidRPr="00CB1F88">
        <w:t>distress among older populations of women</w:t>
      </w:r>
      <w:r w:rsidR="0075672D">
        <w:t xml:space="preserve"> (</w:t>
      </w:r>
      <w:proofErr w:type="spellStart"/>
      <w:r w:rsidR="0075672D" w:rsidRPr="009054B6">
        <w:t>Štulhofer</w:t>
      </w:r>
      <w:proofErr w:type="spellEnd"/>
      <w:r w:rsidR="0075672D">
        <w:t xml:space="preserve">, </w:t>
      </w:r>
      <w:proofErr w:type="spellStart"/>
      <w:r w:rsidR="0075672D">
        <w:t>Jurin</w:t>
      </w:r>
      <w:proofErr w:type="spellEnd"/>
      <w:r w:rsidR="0075672D">
        <w:t xml:space="preserve">, Graham, </w:t>
      </w:r>
      <w:proofErr w:type="spellStart"/>
      <w:r w:rsidR="0075672D">
        <w:t>Enzlin</w:t>
      </w:r>
      <w:proofErr w:type="spellEnd"/>
      <w:r w:rsidR="0075672D">
        <w:t xml:space="preserve">, &amp; </w:t>
      </w:r>
      <w:proofErr w:type="spellStart"/>
      <w:r w:rsidR="00A37E1F" w:rsidRPr="00E448C4">
        <w:rPr>
          <w:lang w:val="en-US"/>
        </w:rPr>
        <w:t>Træen</w:t>
      </w:r>
      <w:proofErr w:type="spellEnd"/>
      <w:r w:rsidR="00A37E1F">
        <w:rPr>
          <w:lang w:val="en-US"/>
        </w:rPr>
        <w:t>, 2018)</w:t>
      </w:r>
      <w:r w:rsidRPr="00CB1F88">
        <w:t xml:space="preserve">. </w:t>
      </w:r>
      <w:r>
        <w:t>While e</w:t>
      </w:r>
      <w:r w:rsidR="00CF69A9" w:rsidRPr="00CF69A9">
        <w:t xml:space="preserve">motional intimacy refers to the overall quality of closeness an individual has with their partner (Sinclair &amp; Dowdy, 2005), sexual intimacy is the degree of closeness an individual has with their partner when they have sex together. </w:t>
      </w:r>
      <w:r>
        <w:t>Indeed, a</w:t>
      </w:r>
      <w:r w:rsidR="004A680E" w:rsidRPr="00F120E2">
        <w:t xml:space="preserve">mong samples of women of varied ages, emotional closeness with </w:t>
      </w:r>
      <w:r w:rsidR="002F6C38">
        <w:t xml:space="preserve">a </w:t>
      </w:r>
      <w:r w:rsidR="004A680E" w:rsidRPr="00F120E2">
        <w:t>partner during sexual activity</w:t>
      </w:r>
      <w:r w:rsidR="00387E07">
        <w:t xml:space="preserve"> has been linked to less distress about sex</w:t>
      </w:r>
      <w:r w:rsidR="004A680E" w:rsidRPr="00F120E2">
        <w:t xml:space="preserve">. </w:t>
      </w:r>
      <w:r w:rsidR="002C3F87" w:rsidRPr="00F120E2">
        <w:t>In</w:t>
      </w:r>
      <w:r w:rsidR="00622556" w:rsidRPr="00F120E2">
        <w:t xml:space="preserve"> a national survey of American women aged 20-65 years, one of the strongest predictors of distress about their sexual relationships was </w:t>
      </w:r>
      <w:r w:rsidR="00004843" w:rsidRPr="00F120E2">
        <w:t>a measure of the “emotional relationship” with partners</w:t>
      </w:r>
      <w:r w:rsidR="00622556" w:rsidRPr="00F120E2">
        <w:t xml:space="preserve"> during sexual activity</w:t>
      </w:r>
      <w:r w:rsidR="0014680B">
        <w:t xml:space="preserve"> (Bancroft et al., 2003)</w:t>
      </w:r>
      <w:r w:rsidR="00756AF2">
        <w:t xml:space="preserve">. </w:t>
      </w:r>
      <w:r>
        <w:t>Furthermore, o</w:t>
      </w:r>
      <w:r w:rsidR="0048736C" w:rsidRPr="00F120E2">
        <w:t xml:space="preserve">lder </w:t>
      </w:r>
      <w:r w:rsidR="00C8136C" w:rsidRPr="00F120E2">
        <w:t>individuals</w:t>
      </w:r>
      <w:r w:rsidR="0048736C" w:rsidRPr="00F120E2">
        <w:t xml:space="preserve"> consider a wider range of sexual behaviours as sexual ac</w:t>
      </w:r>
      <w:r w:rsidR="004A680E" w:rsidRPr="00F120E2">
        <w:t>tivity</w:t>
      </w:r>
      <w:r w:rsidR="0014680B">
        <w:t xml:space="preserve"> (</w:t>
      </w:r>
      <w:proofErr w:type="spellStart"/>
      <w:r w:rsidR="0014680B">
        <w:t>Hinchliff</w:t>
      </w:r>
      <w:proofErr w:type="spellEnd"/>
      <w:r w:rsidR="0014680B">
        <w:t xml:space="preserve"> &amp; </w:t>
      </w:r>
      <w:proofErr w:type="spellStart"/>
      <w:r w:rsidR="0014680B">
        <w:t>Gott</w:t>
      </w:r>
      <w:proofErr w:type="spellEnd"/>
      <w:r w:rsidR="0014680B">
        <w:t>, 2004),</w:t>
      </w:r>
      <w:r w:rsidR="004A680E" w:rsidRPr="00F120E2">
        <w:t xml:space="preserve"> and</w:t>
      </w:r>
      <w:r w:rsidR="00C8136C" w:rsidRPr="00F120E2">
        <w:t xml:space="preserve"> there is </w:t>
      </w:r>
      <w:r w:rsidR="00C8136C" w:rsidRPr="00F120E2">
        <w:lastRenderedPageBreak/>
        <w:t>evidence that</w:t>
      </w:r>
      <w:r w:rsidR="00353845" w:rsidRPr="00F120E2">
        <w:t xml:space="preserve"> </w:t>
      </w:r>
      <w:r w:rsidR="009150D3" w:rsidRPr="00F120E2">
        <w:t xml:space="preserve">emotional and physical </w:t>
      </w:r>
      <w:r w:rsidR="00353845" w:rsidRPr="00F120E2">
        <w:t xml:space="preserve">intimacy </w:t>
      </w:r>
      <w:r w:rsidR="004A680E" w:rsidRPr="00F120E2">
        <w:t>become</w:t>
      </w:r>
      <w:r w:rsidR="009150D3" w:rsidRPr="00F120E2">
        <w:t xml:space="preserve"> increasingly important </w:t>
      </w:r>
      <w:r w:rsidR="00C8136C" w:rsidRPr="00F120E2">
        <w:t>as people</w:t>
      </w:r>
      <w:r w:rsidR="004A680E" w:rsidRPr="00F120E2">
        <w:t xml:space="preserve"> age</w:t>
      </w:r>
      <w:r w:rsidR="0014680B">
        <w:t xml:space="preserve"> (</w:t>
      </w:r>
      <w:proofErr w:type="spellStart"/>
      <w:r w:rsidR="0014680B">
        <w:t>Fileborn</w:t>
      </w:r>
      <w:proofErr w:type="spellEnd"/>
      <w:r w:rsidR="0014680B">
        <w:t xml:space="preserve"> et al., </w:t>
      </w:r>
      <w:r w:rsidR="00D7732F">
        <w:t>2017; Freak-</w:t>
      </w:r>
      <w:proofErr w:type="spellStart"/>
      <w:r w:rsidR="00D7732F">
        <w:t>Poli</w:t>
      </w:r>
      <w:proofErr w:type="spellEnd"/>
      <w:r w:rsidR="00D7732F">
        <w:t xml:space="preserve"> et al., 2017; Heiman et al., 2011; </w:t>
      </w:r>
      <w:proofErr w:type="spellStart"/>
      <w:r w:rsidR="0014680B">
        <w:t>Laumann</w:t>
      </w:r>
      <w:proofErr w:type="spellEnd"/>
      <w:r w:rsidR="0014680B">
        <w:t xml:space="preserve"> e</w:t>
      </w:r>
      <w:r w:rsidR="00D7732F">
        <w:t>t al., 2006)</w:t>
      </w:r>
      <w:r w:rsidR="0014680B">
        <w:t>.</w:t>
      </w:r>
      <w:r w:rsidR="009150D3" w:rsidRPr="00F120E2">
        <w:t xml:space="preserve"> In a </w:t>
      </w:r>
      <w:r w:rsidR="00EA0AE9" w:rsidRPr="00F120E2">
        <w:t xml:space="preserve">longitudinal </w:t>
      </w:r>
      <w:r w:rsidR="009150D3" w:rsidRPr="00F120E2">
        <w:t xml:space="preserve">population-based </w:t>
      </w:r>
      <w:r w:rsidR="006C7ECA" w:rsidRPr="00F120E2">
        <w:t>study</w:t>
      </w:r>
      <w:r w:rsidR="009150D3" w:rsidRPr="00F120E2">
        <w:t xml:space="preserve"> of older German women and men</w:t>
      </w:r>
      <w:r w:rsidR="0058772E" w:rsidRPr="00F120E2">
        <w:t xml:space="preserve"> that assessed individuals</w:t>
      </w:r>
      <w:r w:rsidR="00EA0AE9" w:rsidRPr="00F120E2">
        <w:t xml:space="preserve"> at ages 63, 67, and 74 years</w:t>
      </w:r>
      <w:r w:rsidR="00D63FB8" w:rsidRPr="00F120E2">
        <w:t xml:space="preserve">, </w:t>
      </w:r>
      <w:r w:rsidR="00EA0AE9" w:rsidRPr="00F120E2">
        <w:t>both men and women</w:t>
      </w:r>
      <w:r w:rsidR="00D63FB8" w:rsidRPr="00F120E2">
        <w:t xml:space="preserve"> at age 74</w:t>
      </w:r>
      <w:r w:rsidR="00EA0AE9" w:rsidRPr="00F120E2">
        <w:t xml:space="preserve"> </w:t>
      </w:r>
      <w:r w:rsidR="009150D3" w:rsidRPr="00F120E2">
        <w:t>rated “affection” as more important than sexual activity</w:t>
      </w:r>
      <w:r w:rsidR="00D7732F">
        <w:t xml:space="preserve"> (</w:t>
      </w:r>
      <w:r w:rsidR="00D7732F" w:rsidRPr="009054B6">
        <w:t>Müller</w:t>
      </w:r>
      <w:r w:rsidR="00D7732F">
        <w:t xml:space="preserve">, </w:t>
      </w:r>
      <w:proofErr w:type="spellStart"/>
      <w:r w:rsidR="00D7732F" w:rsidRPr="009054B6">
        <w:t>Nienaber</w:t>
      </w:r>
      <w:proofErr w:type="spellEnd"/>
      <w:r w:rsidR="00D7732F">
        <w:t xml:space="preserve">, </w:t>
      </w:r>
      <w:r w:rsidR="00D7732F" w:rsidRPr="009054B6">
        <w:t>Reis</w:t>
      </w:r>
      <w:r w:rsidR="00D7732F">
        <w:t xml:space="preserve">, </w:t>
      </w:r>
      <w:proofErr w:type="spellStart"/>
      <w:r w:rsidR="00D7732F">
        <w:t>Kropp</w:t>
      </w:r>
      <w:proofErr w:type="spellEnd"/>
      <w:r w:rsidR="00D7732F">
        <w:t xml:space="preserve">, </w:t>
      </w:r>
      <w:r w:rsidR="00D7732F" w:rsidRPr="00B84231">
        <w:t>&amp; Meyer</w:t>
      </w:r>
      <w:r w:rsidR="00D7732F">
        <w:t>, 2014)</w:t>
      </w:r>
      <w:r w:rsidR="00756AF2">
        <w:t xml:space="preserve">. </w:t>
      </w:r>
      <w:r w:rsidR="009150D3" w:rsidRPr="00F120E2">
        <w:t>Several qualitative studies have</w:t>
      </w:r>
      <w:r w:rsidR="00D63FB8" w:rsidRPr="00F120E2">
        <w:t xml:space="preserve"> also</w:t>
      </w:r>
      <w:r w:rsidR="009150D3" w:rsidRPr="00F120E2">
        <w:t xml:space="preserve"> </w:t>
      </w:r>
      <w:r w:rsidR="002A1DA4" w:rsidRPr="00F120E2">
        <w:t>highlighted the importance of emotional closeness and intimacy during sexual activity for older adults</w:t>
      </w:r>
      <w:r w:rsidR="00D7732F">
        <w:t xml:space="preserve"> (</w:t>
      </w:r>
      <w:proofErr w:type="spellStart"/>
      <w:r w:rsidR="00D7732F">
        <w:t>Fileborn</w:t>
      </w:r>
      <w:proofErr w:type="spellEnd"/>
      <w:r w:rsidR="00D7732F">
        <w:t xml:space="preserve"> et al., 2017;</w:t>
      </w:r>
      <w:r w:rsidR="00D7732F" w:rsidRPr="00D7732F">
        <w:t xml:space="preserve"> </w:t>
      </w:r>
      <w:proofErr w:type="spellStart"/>
      <w:r w:rsidR="00D7732F" w:rsidRPr="009054B6">
        <w:t>Ménard</w:t>
      </w:r>
      <w:proofErr w:type="spellEnd"/>
      <w:r w:rsidR="00D7732F">
        <w:t xml:space="preserve"> et al., 2015).</w:t>
      </w:r>
      <w:r w:rsidR="00622556" w:rsidRPr="00F120E2">
        <w:t xml:space="preserve"> </w:t>
      </w:r>
    </w:p>
    <w:p w14:paraId="1163BA49" w14:textId="77777777" w:rsidR="00C51008" w:rsidRPr="00C73B30" w:rsidRDefault="00C51008" w:rsidP="00D229EA">
      <w:pPr>
        <w:spacing w:line="480" w:lineRule="auto"/>
        <w:outlineLvl w:val="0"/>
        <w:rPr>
          <w:i/>
        </w:rPr>
      </w:pPr>
      <w:r w:rsidRPr="00C73B30">
        <w:rPr>
          <w:b/>
          <w:i/>
        </w:rPr>
        <w:t>Mental and physical health</w:t>
      </w:r>
    </w:p>
    <w:p w14:paraId="39EE3F83" w14:textId="766EA622" w:rsidR="003B5DAA" w:rsidRPr="00FB6C80" w:rsidRDefault="003B5DAA" w:rsidP="00D229EA">
      <w:pPr>
        <w:spacing w:line="480" w:lineRule="auto"/>
        <w:ind w:firstLine="720"/>
      </w:pPr>
      <w:r w:rsidRPr="00F120E2">
        <w:t>Sexual problems in older adults are associated with poor</w:t>
      </w:r>
      <w:r w:rsidR="00500410">
        <w:t>er</w:t>
      </w:r>
      <w:r w:rsidRPr="00F120E2">
        <w:t xml:space="preserve"> physical health </w:t>
      </w:r>
      <w:r w:rsidR="00D7732F">
        <w:t>(</w:t>
      </w:r>
      <w:proofErr w:type="spellStart"/>
      <w:r w:rsidR="00D7732F">
        <w:t>DeLamater</w:t>
      </w:r>
      <w:proofErr w:type="spellEnd"/>
      <w:r w:rsidR="00D7732F">
        <w:t>, 2012; Field et al., 2013)</w:t>
      </w:r>
      <w:r w:rsidRPr="00F120E2">
        <w:t xml:space="preserve"> and</w:t>
      </w:r>
      <w:r w:rsidR="00C51008" w:rsidRPr="00F120E2">
        <w:t xml:space="preserve"> there is</w:t>
      </w:r>
      <w:r w:rsidRPr="00F120E2">
        <w:t xml:space="preserve"> some evidence that physical health</w:t>
      </w:r>
      <w:r w:rsidR="00C51008" w:rsidRPr="00F120E2">
        <w:t xml:space="preserve"> problems</w:t>
      </w:r>
      <w:r w:rsidRPr="00F120E2">
        <w:t xml:space="preserve"> may have greater negative effects on </w:t>
      </w:r>
      <w:r w:rsidR="00BE3B74">
        <w:t>sexual</w:t>
      </w:r>
      <w:r w:rsidR="00032D49">
        <w:t xml:space="preserve"> function </w:t>
      </w:r>
      <w:r w:rsidR="00320A9D">
        <w:t>for wom</w:t>
      </w:r>
      <w:r w:rsidRPr="00F120E2">
        <w:t xml:space="preserve">en than </w:t>
      </w:r>
      <w:r w:rsidR="00320A9D">
        <w:t>for</w:t>
      </w:r>
      <w:r w:rsidR="00500410">
        <w:t xml:space="preserve"> </w:t>
      </w:r>
      <w:r w:rsidRPr="00F120E2">
        <w:t>men</w:t>
      </w:r>
      <w:r w:rsidR="00D7732F">
        <w:t xml:space="preserve"> (</w:t>
      </w:r>
      <w:proofErr w:type="spellStart"/>
      <w:r w:rsidR="00D7732F">
        <w:t>Erens</w:t>
      </w:r>
      <w:proofErr w:type="spellEnd"/>
      <w:r w:rsidR="00D7732F">
        <w:t xml:space="preserve"> et al., 2019; </w:t>
      </w:r>
      <w:proofErr w:type="spellStart"/>
      <w:r w:rsidR="00D7732F">
        <w:t>Laumann</w:t>
      </w:r>
      <w:proofErr w:type="spellEnd"/>
      <w:r w:rsidR="00D7732F">
        <w:t xml:space="preserve"> &amp; Waite, 2008)</w:t>
      </w:r>
      <w:r w:rsidR="00756AF2">
        <w:t xml:space="preserve">. </w:t>
      </w:r>
      <w:r w:rsidRPr="00F120E2">
        <w:t xml:space="preserve">Fewer studies have focused on the association between mental health and sexual problems in older </w:t>
      </w:r>
      <w:r w:rsidR="001509AD">
        <w:t>adults</w:t>
      </w:r>
      <w:r w:rsidRPr="00F120E2">
        <w:t>. In one population-based U.S. study of older adults aged 50-99, all of whom had a partner, depressive symptoms were negatively associated with all aspects of sexual health, even after adjusting for age and physical health</w:t>
      </w:r>
      <w:r w:rsidR="00D7732F">
        <w:t xml:space="preserve"> (</w:t>
      </w:r>
      <w:r w:rsidR="00D7732F" w:rsidRPr="00FB6C80">
        <w:t>Wang</w:t>
      </w:r>
      <w:r w:rsidR="00D7732F">
        <w:t xml:space="preserve"> et al., 2015).</w:t>
      </w:r>
      <w:r w:rsidRPr="00F120E2">
        <w:t xml:space="preserve"> </w:t>
      </w:r>
      <w:r w:rsidR="00571F56">
        <w:t>In th</w:t>
      </w:r>
      <w:r w:rsidR="005A3374">
        <w:t>is</w:t>
      </w:r>
      <w:r w:rsidR="00571F56">
        <w:t xml:space="preserve"> study, Wang et al. (2015) </w:t>
      </w:r>
      <w:r w:rsidR="00571F56" w:rsidRPr="00FB6C80">
        <w:t xml:space="preserve">defined </w:t>
      </w:r>
      <w:r w:rsidR="00571F56">
        <w:t>s</w:t>
      </w:r>
      <w:r w:rsidR="00FB6C80" w:rsidRPr="00FB6C80">
        <w:t>exual health broadly as including “problems with the relationship, discussing sex, frequency of activity, satisfaction</w:t>
      </w:r>
      <w:r w:rsidR="00571F56">
        <w:t>,</w:t>
      </w:r>
      <w:r w:rsidR="00FB6C80" w:rsidRPr="00FB6C80">
        <w:t xml:space="preserve"> desire, rejection of sexual overtures, and dysfunction</w:t>
      </w:r>
      <w:r w:rsidR="00571F56">
        <w:t>”</w:t>
      </w:r>
      <w:r w:rsidR="00FB6C80" w:rsidRPr="00FB6C80">
        <w:t xml:space="preserve"> (p. 3)</w:t>
      </w:r>
      <w:r w:rsidR="00A144FB">
        <w:t>.</w:t>
      </w:r>
    </w:p>
    <w:p w14:paraId="040758E3" w14:textId="77777777" w:rsidR="0085427C" w:rsidRPr="00F74857" w:rsidRDefault="00550DE6" w:rsidP="00D229EA">
      <w:pPr>
        <w:spacing w:line="480" w:lineRule="auto"/>
        <w:outlineLvl w:val="0"/>
      </w:pPr>
      <w:r w:rsidRPr="00F74857">
        <w:rPr>
          <w:b/>
        </w:rPr>
        <w:t>C</w:t>
      </w:r>
      <w:r w:rsidR="00F561D4" w:rsidRPr="00F74857">
        <w:rPr>
          <w:b/>
        </w:rPr>
        <w:t>ross-cultural</w:t>
      </w:r>
      <w:r w:rsidR="0085427C" w:rsidRPr="00F74857">
        <w:rPr>
          <w:b/>
        </w:rPr>
        <w:t xml:space="preserve"> </w:t>
      </w:r>
      <w:r w:rsidR="00752596" w:rsidRPr="00F74857">
        <w:rPr>
          <w:b/>
        </w:rPr>
        <w:t>aspects</w:t>
      </w:r>
    </w:p>
    <w:p w14:paraId="28E9BD34" w14:textId="0DE86C40" w:rsidR="00667F5F" w:rsidRPr="00F120E2" w:rsidRDefault="00571F56" w:rsidP="00571F56">
      <w:pPr>
        <w:spacing w:line="480" w:lineRule="auto"/>
      </w:pPr>
      <w:r>
        <w:tab/>
      </w:r>
      <w:r w:rsidR="00A66157" w:rsidRPr="00F120E2">
        <w:t>There has been v</w:t>
      </w:r>
      <w:r w:rsidR="007E4BAB" w:rsidRPr="00F120E2">
        <w:t xml:space="preserve">ery little </w:t>
      </w:r>
      <w:r w:rsidR="00A66157" w:rsidRPr="00F120E2">
        <w:t>comparative research</w:t>
      </w:r>
      <w:r w:rsidR="007E4BAB" w:rsidRPr="00F120E2">
        <w:t xml:space="preserve"> on </w:t>
      </w:r>
      <w:r w:rsidR="00A73EE4">
        <w:t xml:space="preserve">sexual difficulties and </w:t>
      </w:r>
      <w:r>
        <w:t xml:space="preserve">associated </w:t>
      </w:r>
      <w:r w:rsidR="00A73EE4">
        <w:t>distress</w:t>
      </w:r>
      <w:r>
        <w:t xml:space="preserve"> </w:t>
      </w:r>
      <w:r w:rsidR="007E4BAB" w:rsidRPr="00F120E2">
        <w:t>among older populations</w:t>
      </w:r>
      <w:r w:rsidR="00D7732F">
        <w:t xml:space="preserve"> (Heiman et al., 2011; </w:t>
      </w:r>
      <w:proofErr w:type="spellStart"/>
      <w:r w:rsidR="00D7732F">
        <w:t>Laumann</w:t>
      </w:r>
      <w:proofErr w:type="spellEnd"/>
      <w:r w:rsidR="00D7732F">
        <w:t xml:space="preserve"> et al., 2006)</w:t>
      </w:r>
      <w:r>
        <w:t xml:space="preserve">. This </w:t>
      </w:r>
      <w:r w:rsidR="00A66157" w:rsidRPr="00F120E2">
        <w:t xml:space="preserve">is surprising </w:t>
      </w:r>
      <w:r w:rsidR="00752596" w:rsidRPr="00F120E2">
        <w:t>given that</w:t>
      </w:r>
      <w:r w:rsidR="00667F5F" w:rsidRPr="00F120E2">
        <w:t xml:space="preserve"> </w:t>
      </w:r>
      <w:r w:rsidR="00A66157" w:rsidRPr="00F120E2">
        <w:t xml:space="preserve">gender roles and attitudes towards sex show </w:t>
      </w:r>
      <w:r w:rsidR="00667F5F" w:rsidRPr="00F120E2">
        <w:t>considerable</w:t>
      </w:r>
      <w:r w:rsidR="00A66157" w:rsidRPr="00F120E2">
        <w:t xml:space="preserve"> cross-cultural variation. </w:t>
      </w:r>
      <w:r w:rsidR="009237C9" w:rsidRPr="00F120E2">
        <w:t>F</w:t>
      </w:r>
      <w:r w:rsidR="00A66157" w:rsidRPr="00F120E2">
        <w:t xml:space="preserve">ew studies have examined associations between these attitudes and </w:t>
      </w:r>
      <w:r w:rsidR="006E785D" w:rsidRPr="00F120E2">
        <w:t xml:space="preserve">the </w:t>
      </w:r>
      <w:r w:rsidR="00A66157" w:rsidRPr="00F120E2">
        <w:t xml:space="preserve">prevalence of sexual </w:t>
      </w:r>
      <w:r w:rsidR="00A66157" w:rsidRPr="00F120E2">
        <w:lastRenderedPageBreak/>
        <w:t>pr</w:t>
      </w:r>
      <w:r w:rsidR="009237C9" w:rsidRPr="00F120E2">
        <w:t>oblems and associated distress. In the UK Natsal-3 study,</w:t>
      </w:r>
      <w:r w:rsidR="00752596" w:rsidRPr="00F120E2">
        <w:t xml:space="preserve"> </w:t>
      </w:r>
      <w:r w:rsidR="009237C9" w:rsidRPr="00F120E2">
        <w:t xml:space="preserve">male and female respondents </w:t>
      </w:r>
      <w:r w:rsidR="00301B4D">
        <w:t xml:space="preserve">across all ages </w:t>
      </w:r>
      <w:r w:rsidR="009237C9" w:rsidRPr="00F120E2">
        <w:t xml:space="preserve">who endorsed the statement “people want less sex as they age” were more likely to report lack of interest </w:t>
      </w:r>
      <w:r w:rsidR="006E785D" w:rsidRPr="00F120E2">
        <w:t>in sex</w:t>
      </w:r>
      <w:r w:rsidR="00581133">
        <w:t xml:space="preserve"> (Graham et al., 2013). </w:t>
      </w:r>
      <w:r w:rsidR="00510DAA">
        <w:t>Similarly, w</w:t>
      </w:r>
      <w:r w:rsidR="00667F5F" w:rsidRPr="00F120E2">
        <w:t>omen who endorsed the view that “men have a higher sex drive than women” were</w:t>
      </w:r>
      <w:r w:rsidR="00752596" w:rsidRPr="00F120E2">
        <w:t xml:space="preserve"> also</w:t>
      </w:r>
      <w:r w:rsidR="00667F5F" w:rsidRPr="00F120E2">
        <w:t xml:space="preserve"> significantly </w:t>
      </w:r>
      <w:r w:rsidR="00667F5F" w:rsidRPr="00F120E2">
        <w:rPr>
          <w:iCs/>
        </w:rPr>
        <w:t xml:space="preserve">more </w:t>
      </w:r>
      <w:r w:rsidR="0058772E" w:rsidRPr="00F120E2">
        <w:t>likely to report lack of</w:t>
      </w:r>
      <w:r w:rsidR="00667F5F" w:rsidRPr="00F120E2">
        <w:t xml:space="preserve"> interest in sex (the opposite relationship was found for men). </w:t>
      </w:r>
    </w:p>
    <w:p w14:paraId="2A0C4B55" w14:textId="05FB06AA" w:rsidR="009237C9" w:rsidRPr="000A7994" w:rsidRDefault="00752596" w:rsidP="00D229EA">
      <w:pPr>
        <w:spacing w:line="480" w:lineRule="auto"/>
        <w:ind w:firstLine="806"/>
      </w:pPr>
      <w:r w:rsidRPr="00F120E2">
        <w:t xml:space="preserve">Some research has pointed to a possible North-South European difference in sexual behaviour </w:t>
      </w:r>
      <w:r w:rsidR="00581133">
        <w:t>(</w:t>
      </w:r>
      <w:proofErr w:type="spellStart"/>
      <w:r w:rsidR="00682AF8" w:rsidRPr="009054B6">
        <w:t>Træen</w:t>
      </w:r>
      <w:proofErr w:type="spellEnd"/>
      <w:r w:rsidR="00682AF8">
        <w:t>,</w:t>
      </w:r>
      <w:r w:rsidR="00682AF8" w:rsidRPr="009054B6">
        <w:t xml:space="preserve"> </w:t>
      </w:r>
      <w:proofErr w:type="spellStart"/>
      <w:r w:rsidR="00682AF8" w:rsidRPr="009054B6">
        <w:t>Štulhofer</w:t>
      </w:r>
      <w:proofErr w:type="spellEnd"/>
      <w:r w:rsidR="00682AF8">
        <w:t>,</w:t>
      </w:r>
      <w:r w:rsidR="00682AF8" w:rsidRPr="009054B6">
        <w:t xml:space="preserve"> </w:t>
      </w:r>
      <w:r w:rsidR="00682AF8">
        <w:t xml:space="preserve">&amp; </w:t>
      </w:r>
      <w:proofErr w:type="spellStart"/>
      <w:r w:rsidR="00682AF8">
        <w:t>Landripet</w:t>
      </w:r>
      <w:proofErr w:type="spellEnd"/>
      <w:r w:rsidR="00682AF8">
        <w:t>, 2011)</w:t>
      </w:r>
      <w:r w:rsidR="00F65252" w:rsidRPr="00F120E2">
        <w:t xml:space="preserve"> and attitudes</w:t>
      </w:r>
      <w:r w:rsidR="00682AF8">
        <w:t xml:space="preserve"> (</w:t>
      </w:r>
      <w:proofErr w:type="spellStart"/>
      <w:r w:rsidR="00682AF8" w:rsidRPr="009054B6">
        <w:t>Træen</w:t>
      </w:r>
      <w:proofErr w:type="spellEnd"/>
      <w:r w:rsidR="00682AF8">
        <w:t xml:space="preserve">, </w:t>
      </w:r>
      <w:proofErr w:type="spellStart"/>
      <w:r w:rsidR="00682AF8" w:rsidRPr="009054B6">
        <w:t>Carvalheira</w:t>
      </w:r>
      <w:proofErr w:type="spellEnd"/>
      <w:r w:rsidR="00682AF8">
        <w:t>,</w:t>
      </w:r>
      <w:r w:rsidR="00682AF8" w:rsidRPr="009054B6">
        <w:t xml:space="preserve"> </w:t>
      </w:r>
      <w:proofErr w:type="spellStart"/>
      <w:r w:rsidR="00682AF8" w:rsidRPr="009054B6">
        <w:t>Hald</w:t>
      </w:r>
      <w:proofErr w:type="spellEnd"/>
      <w:r w:rsidR="00682AF8">
        <w:t xml:space="preserve">, Lange, </w:t>
      </w:r>
      <w:r w:rsidR="00682AF8" w:rsidRPr="00ED7273">
        <w:t xml:space="preserve">&amp; </w:t>
      </w:r>
      <w:proofErr w:type="spellStart"/>
      <w:r w:rsidR="00682AF8" w:rsidRPr="00ED7273">
        <w:t>Kvalem</w:t>
      </w:r>
      <w:proofErr w:type="spellEnd"/>
      <w:r w:rsidR="00682AF8">
        <w:t>, 2019)</w:t>
      </w:r>
      <w:r w:rsidR="00756AF2">
        <w:t>.</w:t>
      </w:r>
      <w:r w:rsidR="00F65252" w:rsidRPr="00F120E2">
        <w:t xml:space="preserve"> </w:t>
      </w:r>
      <w:r w:rsidRPr="00F120E2">
        <w:t>Sexual cultures of Northern European countr</w:t>
      </w:r>
      <w:r w:rsidR="00F65252" w:rsidRPr="00F120E2">
        <w:t xml:space="preserve">ies tend to be characterized as more liberal and more accepting of </w:t>
      </w:r>
      <w:r w:rsidR="006E785D" w:rsidRPr="00F120E2">
        <w:t>sexual equality</w:t>
      </w:r>
      <w:r w:rsidR="00756AF2">
        <w:t xml:space="preserve"> ac</w:t>
      </w:r>
      <w:r w:rsidR="00682AF8">
        <w:t>ross gender and age groups (</w:t>
      </w:r>
      <w:proofErr w:type="spellStart"/>
      <w:r w:rsidR="00682AF8">
        <w:t>Haavio-Mannila</w:t>
      </w:r>
      <w:proofErr w:type="spellEnd"/>
      <w:r w:rsidR="00682AF8">
        <w:t xml:space="preserve"> &amp; </w:t>
      </w:r>
      <w:proofErr w:type="spellStart"/>
      <w:r w:rsidR="00682AF8">
        <w:t>Kontula</w:t>
      </w:r>
      <w:proofErr w:type="spellEnd"/>
      <w:r w:rsidR="00682AF8">
        <w:t>, 2003).</w:t>
      </w:r>
      <w:r w:rsidR="00756AF2">
        <w:t xml:space="preserve"> </w:t>
      </w:r>
      <w:r w:rsidR="00F65252" w:rsidRPr="00F120E2">
        <w:t xml:space="preserve">In contrast, individuals in Southern European countries tend to adhere more strongly to traditional male and female sexual roles that </w:t>
      </w:r>
      <w:r w:rsidR="001B170E">
        <w:t>hold</w:t>
      </w:r>
      <w:r w:rsidR="00F65252" w:rsidRPr="00F120E2">
        <w:t xml:space="preserve"> women </w:t>
      </w:r>
      <w:r w:rsidR="001B170E">
        <w:t>should be</w:t>
      </w:r>
      <w:r w:rsidR="00756AF2">
        <w:t xml:space="preserve"> more passive and submissi</w:t>
      </w:r>
      <w:r w:rsidR="00682AF8">
        <w:t>ve (</w:t>
      </w:r>
      <w:proofErr w:type="spellStart"/>
      <w:r w:rsidR="00682AF8" w:rsidRPr="009054B6">
        <w:t>Štulhofer</w:t>
      </w:r>
      <w:proofErr w:type="spellEnd"/>
      <w:r w:rsidR="00682AF8">
        <w:t>,</w:t>
      </w:r>
      <w:r w:rsidR="00682AF8" w:rsidRPr="009054B6">
        <w:t xml:space="preserve"> </w:t>
      </w:r>
      <w:proofErr w:type="spellStart"/>
      <w:r w:rsidR="00682AF8" w:rsidRPr="009054B6">
        <w:t>Šoh</w:t>
      </w:r>
      <w:proofErr w:type="spellEnd"/>
      <w:r w:rsidR="00682AF8">
        <w:t xml:space="preserve">, </w:t>
      </w:r>
      <w:proofErr w:type="spellStart"/>
      <w:r w:rsidR="00682AF8" w:rsidRPr="009054B6">
        <w:t>Jelaska</w:t>
      </w:r>
      <w:proofErr w:type="spellEnd"/>
      <w:r w:rsidR="00682AF8">
        <w:t xml:space="preserve">, </w:t>
      </w:r>
      <w:proofErr w:type="spellStart"/>
      <w:r w:rsidR="00682AF8">
        <w:t>Baćak</w:t>
      </w:r>
      <w:proofErr w:type="spellEnd"/>
      <w:r w:rsidR="00682AF8">
        <w:t xml:space="preserve">, </w:t>
      </w:r>
      <w:r w:rsidR="00682AF8" w:rsidRPr="00172296">
        <w:t xml:space="preserve">&amp; </w:t>
      </w:r>
      <w:proofErr w:type="spellStart"/>
      <w:r w:rsidR="00682AF8" w:rsidRPr="00172296">
        <w:t>Landripet</w:t>
      </w:r>
      <w:proofErr w:type="spellEnd"/>
      <w:r w:rsidR="00682AF8">
        <w:t xml:space="preserve">, 2011). </w:t>
      </w:r>
      <w:r w:rsidR="00EF4106">
        <w:rPr>
          <w:iCs/>
        </w:rPr>
        <w:t xml:space="preserve">One possible explanation for </w:t>
      </w:r>
      <w:r w:rsidR="000A7994" w:rsidRPr="000A7994">
        <w:rPr>
          <w:iCs/>
        </w:rPr>
        <w:t xml:space="preserve">cross-country differences </w:t>
      </w:r>
      <w:r w:rsidR="00EF4106">
        <w:rPr>
          <w:iCs/>
        </w:rPr>
        <w:t>in</w:t>
      </w:r>
      <w:r w:rsidR="000A7994" w:rsidRPr="000A7994">
        <w:rPr>
          <w:iCs/>
        </w:rPr>
        <w:t xml:space="preserve"> the prevalence of sexual difficulties</w:t>
      </w:r>
      <w:r w:rsidR="00EF4106">
        <w:rPr>
          <w:iCs/>
        </w:rPr>
        <w:t xml:space="preserve"> might be related to these differences in gender roles.</w:t>
      </w:r>
    </w:p>
    <w:p w14:paraId="34B2D4BF" w14:textId="77777777" w:rsidR="00321EF3" w:rsidRPr="00F120E2" w:rsidRDefault="009237C9" w:rsidP="00D229EA">
      <w:pPr>
        <w:spacing w:line="480" w:lineRule="auto"/>
        <w:outlineLvl w:val="0"/>
        <w:rPr>
          <w:b/>
        </w:rPr>
      </w:pPr>
      <w:r w:rsidRPr="00F120E2">
        <w:rPr>
          <w:b/>
        </w:rPr>
        <w:t>The current study</w:t>
      </w:r>
    </w:p>
    <w:p w14:paraId="4B986732" w14:textId="20262578" w:rsidR="00DD1968" w:rsidRPr="00F120E2" w:rsidRDefault="00FE3CA3" w:rsidP="00D229EA">
      <w:pPr>
        <w:spacing w:line="480" w:lineRule="auto"/>
        <w:ind w:firstLine="806"/>
      </w:pPr>
      <w:r w:rsidRPr="00FE3CA3">
        <w:t xml:space="preserve">The </w:t>
      </w:r>
      <w:r w:rsidR="00EB41AA" w:rsidRPr="00FE3CA3">
        <w:t xml:space="preserve">framework of </w:t>
      </w:r>
      <w:r w:rsidR="00710164">
        <w:t>“</w:t>
      </w:r>
      <w:r w:rsidR="00EB41AA" w:rsidRPr="00FE3CA3">
        <w:t>successful aging</w:t>
      </w:r>
      <w:r w:rsidR="00710164">
        <w:t>”</w:t>
      </w:r>
      <w:r w:rsidR="00EB41AA" w:rsidRPr="00FE3CA3">
        <w:t xml:space="preserve"> that recognizes the importance of sexuality for older men and women guided the design of the current study</w:t>
      </w:r>
      <w:r w:rsidRPr="00FE3CA3">
        <w:t>.</w:t>
      </w:r>
      <w:r>
        <w:t xml:space="preserve"> </w:t>
      </w:r>
      <w:r w:rsidR="00EB41AA">
        <w:t>T</w:t>
      </w:r>
      <w:r w:rsidR="00EB41AA" w:rsidRPr="00FE3CA3">
        <w:t xml:space="preserve">he important role of sexuality in successful aging </w:t>
      </w:r>
      <w:r w:rsidR="00912517">
        <w:t>has</w:t>
      </w:r>
      <w:r w:rsidR="00EB41AA">
        <w:t xml:space="preserve"> </w:t>
      </w:r>
      <w:r w:rsidRPr="00FE3CA3">
        <w:t xml:space="preserve">increasingly </w:t>
      </w:r>
      <w:r w:rsidR="00EB41AA">
        <w:t>be</w:t>
      </w:r>
      <w:r w:rsidR="00912517">
        <w:t>en</w:t>
      </w:r>
      <w:r w:rsidR="00EB41AA">
        <w:t xml:space="preserve"> </w:t>
      </w:r>
      <w:r w:rsidRPr="00FE3CA3">
        <w:t>recognized (</w:t>
      </w:r>
      <w:proofErr w:type="spellStart"/>
      <w:r w:rsidRPr="00FE3CA3">
        <w:t>Stulhofer</w:t>
      </w:r>
      <w:proofErr w:type="spellEnd"/>
      <w:r w:rsidRPr="00FE3CA3">
        <w:t xml:space="preserve">, </w:t>
      </w:r>
      <w:proofErr w:type="spellStart"/>
      <w:r w:rsidRPr="00FE3CA3">
        <w:t>Hinchliff</w:t>
      </w:r>
      <w:proofErr w:type="spellEnd"/>
      <w:r w:rsidRPr="00FE3CA3">
        <w:t xml:space="preserve">, </w:t>
      </w:r>
      <w:proofErr w:type="spellStart"/>
      <w:r w:rsidRPr="00FE3CA3">
        <w:t>Jurin</w:t>
      </w:r>
      <w:proofErr w:type="spellEnd"/>
      <w:r w:rsidRPr="00FE3CA3">
        <w:t xml:space="preserve">, </w:t>
      </w:r>
      <w:proofErr w:type="spellStart"/>
      <w:r w:rsidRPr="00FE3CA3">
        <w:t>Hald</w:t>
      </w:r>
      <w:proofErr w:type="spellEnd"/>
      <w:r w:rsidRPr="00FE3CA3">
        <w:t xml:space="preserve">, &amp; </w:t>
      </w:r>
      <w:proofErr w:type="spellStart"/>
      <w:r w:rsidRPr="00FE3CA3">
        <w:t>Træen</w:t>
      </w:r>
      <w:proofErr w:type="spellEnd"/>
      <w:r w:rsidRPr="00FE3CA3">
        <w:t xml:space="preserve">, 2018). </w:t>
      </w:r>
      <w:r w:rsidR="00EB41AA">
        <w:t>S</w:t>
      </w:r>
      <w:r w:rsidR="00EB41AA" w:rsidRPr="00FE3CA3">
        <w:t>uccessful aging has been significantly associated with sexual satisfaction (</w:t>
      </w:r>
      <w:proofErr w:type="spellStart"/>
      <w:r w:rsidR="00EB41AA" w:rsidRPr="00FE3CA3">
        <w:t>Wolitski-Wruble</w:t>
      </w:r>
      <w:proofErr w:type="spellEnd"/>
      <w:r w:rsidR="00EB41AA" w:rsidRPr="00FE3CA3">
        <w:t xml:space="preserve">, </w:t>
      </w:r>
      <w:proofErr w:type="spellStart"/>
      <w:r w:rsidR="00EB41AA" w:rsidRPr="00FE3CA3">
        <w:t>Oliel</w:t>
      </w:r>
      <w:proofErr w:type="spellEnd"/>
      <w:r w:rsidR="00EB41AA" w:rsidRPr="00FE3CA3">
        <w:t xml:space="preserve">, </w:t>
      </w:r>
      <w:proofErr w:type="spellStart"/>
      <w:r w:rsidR="00EB41AA" w:rsidRPr="00FE3CA3">
        <w:t>Leefsma</w:t>
      </w:r>
      <w:proofErr w:type="spellEnd"/>
      <w:r w:rsidR="00EB41AA" w:rsidRPr="00FE3CA3">
        <w:t xml:space="preserve">, &amp; </w:t>
      </w:r>
      <w:proofErr w:type="spellStart"/>
      <w:r w:rsidR="00EB41AA" w:rsidRPr="00FE3CA3">
        <w:t>Hochner-Celnikier</w:t>
      </w:r>
      <w:proofErr w:type="spellEnd"/>
      <w:r w:rsidR="00EB41AA" w:rsidRPr="00FE3CA3">
        <w:t>, 2010)</w:t>
      </w:r>
      <w:r w:rsidR="009F1FCD">
        <w:t>,</w:t>
      </w:r>
      <w:r w:rsidR="00EB41AA" w:rsidRPr="00FE3CA3">
        <w:t xml:space="preserve"> and with sexual desire and activity (Thompson et al., 2011)</w:t>
      </w:r>
      <w:r w:rsidR="009F1FCD">
        <w:t>,</w:t>
      </w:r>
      <w:r w:rsidR="00EB41AA">
        <w:t xml:space="preserve"> even in the context where there are important age-related changes </w:t>
      </w:r>
      <w:r w:rsidRPr="00FE3CA3">
        <w:t>in sexual frequency and function</w:t>
      </w:r>
      <w:r w:rsidR="00EB41AA">
        <w:t>. In this study, we focus</w:t>
      </w:r>
      <w:r w:rsidR="00912517">
        <w:t>ed</w:t>
      </w:r>
      <w:r w:rsidR="00EB41AA">
        <w:t xml:space="preserve"> on sexual problems and associated distress as two possible threats of successful aging and </w:t>
      </w:r>
      <w:r w:rsidR="00912517">
        <w:t>sought</w:t>
      </w:r>
      <w:r w:rsidR="00B515D2" w:rsidRPr="00F120E2">
        <w:t xml:space="preserve"> to address two gaps in the </w:t>
      </w:r>
      <w:r w:rsidR="00B515D2" w:rsidRPr="00F120E2">
        <w:lastRenderedPageBreak/>
        <w:t xml:space="preserve">literature on sexuality among older women: the lack of understanding about what predicts reported distress about specific sexual </w:t>
      </w:r>
      <w:r w:rsidR="00E64F14" w:rsidRPr="00F120E2">
        <w:t>difficulties</w:t>
      </w:r>
      <w:r w:rsidR="009F1FCD">
        <w:t>,</w:t>
      </w:r>
      <w:r w:rsidR="00B515D2" w:rsidRPr="00F120E2">
        <w:t xml:space="preserve"> and the lack of cross-cultural comparative data on sexual </w:t>
      </w:r>
      <w:r w:rsidR="00E64F14" w:rsidRPr="00F120E2">
        <w:t>difficulties</w:t>
      </w:r>
      <w:r w:rsidR="00B515D2" w:rsidRPr="00F120E2">
        <w:t xml:space="preserve"> and associated distress. </w:t>
      </w:r>
      <w:r w:rsidR="00182425" w:rsidRPr="00F120E2">
        <w:t>T</w:t>
      </w:r>
      <w:r w:rsidR="00B515D2" w:rsidRPr="00F120E2">
        <w:t>hus, t</w:t>
      </w:r>
      <w:r w:rsidR="006E785D" w:rsidRPr="00F120E2">
        <w:t>he aim of the</w:t>
      </w:r>
      <w:r w:rsidR="00182425" w:rsidRPr="00F120E2">
        <w:t xml:space="preserve"> </w:t>
      </w:r>
      <w:r w:rsidR="006F40E0">
        <w:t xml:space="preserve">current </w:t>
      </w:r>
      <w:r w:rsidR="00182425" w:rsidRPr="00F120E2">
        <w:t xml:space="preserve">study was to investigate prevalence rates of </w:t>
      </w:r>
      <w:r w:rsidR="001B170E">
        <w:t xml:space="preserve">sexual difficulties, </w:t>
      </w:r>
      <w:r w:rsidR="00182425" w:rsidRPr="00F120E2">
        <w:t>distress</w:t>
      </w:r>
      <w:r w:rsidR="00E64F14" w:rsidRPr="00F120E2">
        <w:t>ing sexual difficulties</w:t>
      </w:r>
      <w:r w:rsidR="00301B4D">
        <w:t xml:space="preserve">, </w:t>
      </w:r>
      <w:r w:rsidR="001B170E">
        <w:t>and factors associated with these</w:t>
      </w:r>
      <w:r w:rsidR="00301B4D">
        <w:t>,</w:t>
      </w:r>
      <w:r w:rsidR="00182425" w:rsidRPr="00F120E2">
        <w:t xml:space="preserve"> among </w:t>
      </w:r>
      <w:r>
        <w:t xml:space="preserve">sexually active </w:t>
      </w:r>
      <w:r w:rsidR="00182425" w:rsidRPr="00F120E2">
        <w:t>older women (</w:t>
      </w:r>
      <w:r w:rsidR="00F561D4" w:rsidRPr="00F120E2">
        <w:t>aged 60</w:t>
      </w:r>
      <w:r w:rsidR="006D0A03" w:rsidRPr="00F120E2">
        <w:t>-75</w:t>
      </w:r>
      <w:r w:rsidR="00F561D4" w:rsidRPr="00F120E2">
        <w:t xml:space="preserve"> years) </w:t>
      </w:r>
      <w:r>
        <w:t xml:space="preserve">in a committed relationship </w:t>
      </w:r>
      <w:r w:rsidR="00F561D4" w:rsidRPr="00F120E2">
        <w:t>in four European countries (Norway, Denmark, Belgium, and Portugal).</w:t>
      </w:r>
      <w:r w:rsidR="00301B4D">
        <w:t xml:space="preserve"> </w:t>
      </w:r>
      <w:r w:rsidR="00912517">
        <w:t>We believe that a</w:t>
      </w:r>
      <w:r w:rsidR="00912517" w:rsidRPr="002C1E97">
        <w:t xml:space="preserve"> better understanding of what differentiates women who do and do not experience distressing sexual difficulties w</w:t>
      </w:r>
      <w:r w:rsidR="00912517">
        <w:t>ill</w:t>
      </w:r>
      <w:r w:rsidR="00912517" w:rsidRPr="002C1E97">
        <w:t xml:space="preserve"> facilitate the identification of older women who might benefit from clinical interventions and inform the development of </w:t>
      </w:r>
      <w:r w:rsidR="006D48E1">
        <w:t xml:space="preserve">new </w:t>
      </w:r>
      <w:r w:rsidR="00912517" w:rsidRPr="002C1E97">
        <w:t xml:space="preserve">interventions. </w:t>
      </w:r>
      <w:r w:rsidR="00301B4D">
        <w:t xml:space="preserve">Because of the dearth of previous evidence on these topics among older adults, no specific hypotheses were formulated. </w:t>
      </w:r>
      <w:r w:rsidR="004C32C7" w:rsidRPr="00F120E2">
        <w:t>The</w:t>
      </w:r>
      <w:r w:rsidR="00B515D2" w:rsidRPr="00F120E2">
        <w:t xml:space="preserve"> specific</w:t>
      </w:r>
      <w:r w:rsidR="004C32C7" w:rsidRPr="00F120E2">
        <w:t xml:space="preserve"> research questions</w:t>
      </w:r>
      <w:r w:rsidR="001B170E">
        <w:t xml:space="preserve"> (RQs)</w:t>
      </w:r>
      <w:r w:rsidR="004C32C7" w:rsidRPr="00F120E2">
        <w:t xml:space="preserve"> were:</w:t>
      </w:r>
    </w:p>
    <w:p w14:paraId="30BBD1C4" w14:textId="77777777" w:rsidR="004C32C7" w:rsidRPr="00301B4D" w:rsidRDefault="001B170E" w:rsidP="00D229EA">
      <w:pPr>
        <w:spacing w:line="480" w:lineRule="auto"/>
        <w:ind w:firstLine="806"/>
        <w:rPr>
          <w:color w:val="000000" w:themeColor="text1"/>
        </w:rPr>
      </w:pPr>
      <w:r>
        <w:t>RQ</w:t>
      </w:r>
      <w:r w:rsidR="00A304BF">
        <w:t xml:space="preserve"> </w:t>
      </w:r>
      <w:r w:rsidR="004C32C7" w:rsidRPr="00F120E2">
        <w:t xml:space="preserve">1: What are the </w:t>
      </w:r>
      <w:r w:rsidR="004C32C7" w:rsidRPr="00301B4D">
        <w:rPr>
          <w:color w:val="000000" w:themeColor="text1"/>
        </w:rPr>
        <w:t xml:space="preserve">prevalence rates of </w:t>
      </w:r>
      <w:r w:rsidR="008D2D73" w:rsidRPr="00301B4D">
        <w:rPr>
          <w:color w:val="000000" w:themeColor="text1"/>
        </w:rPr>
        <w:t xml:space="preserve">sexual difficulties and </w:t>
      </w:r>
      <w:r w:rsidR="00E64F14" w:rsidRPr="00301B4D">
        <w:rPr>
          <w:color w:val="000000" w:themeColor="text1"/>
        </w:rPr>
        <w:t xml:space="preserve">distressing </w:t>
      </w:r>
      <w:r w:rsidR="004C32C7" w:rsidRPr="00301B4D">
        <w:rPr>
          <w:color w:val="000000" w:themeColor="text1"/>
        </w:rPr>
        <w:t xml:space="preserve">sexual </w:t>
      </w:r>
      <w:r w:rsidR="008E1525" w:rsidRPr="00301B4D">
        <w:rPr>
          <w:color w:val="000000" w:themeColor="text1"/>
        </w:rPr>
        <w:t>difficulties</w:t>
      </w:r>
      <w:r w:rsidR="004C32C7" w:rsidRPr="00301B4D">
        <w:rPr>
          <w:color w:val="000000" w:themeColor="text1"/>
        </w:rPr>
        <w:t xml:space="preserve"> in older women</w:t>
      </w:r>
      <w:r w:rsidR="0079384D" w:rsidRPr="00301B4D">
        <w:rPr>
          <w:color w:val="000000" w:themeColor="text1"/>
        </w:rPr>
        <w:t xml:space="preserve"> </w:t>
      </w:r>
      <w:r w:rsidR="004C32C7" w:rsidRPr="00301B4D">
        <w:rPr>
          <w:color w:val="000000" w:themeColor="text1"/>
        </w:rPr>
        <w:t>in Norway, Denmark, Belgium, and Portugal?</w:t>
      </w:r>
    </w:p>
    <w:p w14:paraId="306B158F" w14:textId="77777777" w:rsidR="00A304BF" w:rsidRDefault="004C32C7" w:rsidP="00D229EA">
      <w:pPr>
        <w:spacing w:line="480" w:lineRule="auto"/>
        <w:ind w:firstLine="806"/>
      </w:pPr>
      <w:r w:rsidRPr="00F120E2">
        <w:t xml:space="preserve">RQ2: </w:t>
      </w:r>
      <w:r w:rsidR="007C21BF" w:rsidRPr="00F120E2">
        <w:t>Do</w:t>
      </w:r>
      <w:r w:rsidRPr="00F120E2">
        <w:t xml:space="preserve"> relevant sociodemographic factors (a</w:t>
      </w:r>
      <w:r w:rsidR="00301B4D">
        <w:t xml:space="preserve">ge, education, and religiosity) predict distress about sexual difficulties in older women? </w:t>
      </w:r>
    </w:p>
    <w:p w14:paraId="1726E21F" w14:textId="77777777" w:rsidR="004C32C7" w:rsidRPr="00F120E2" w:rsidRDefault="00A304BF" w:rsidP="00D229EA">
      <w:pPr>
        <w:spacing w:line="480" w:lineRule="auto"/>
        <w:ind w:firstLine="806"/>
      </w:pPr>
      <w:r>
        <w:t xml:space="preserve">RQ3. Are </w:t>
      </w:r>
      <w:r w:rsidR="004C32C7" w:rsidRPr="00F120E2">
        <w:t>relational (emotional and sexual intimacy)</w:t>
      </w:r>
      <w:r w:rsidR="0058772E" w:rsidRPr="00F120E2">
        <w:t>,</w:t>
      </w:r>
      <w:r w:rsidR="004C32C7" w:rsidRPr="00F120E2">
        <w:t xml:space="preserve"> a</w:t>
      </w:r>
      <w:r w:rsidR="006E785D" w:rsidRPr="00F120E2">
        <w:t>nd</w:t>
      </w:r>
      <w:r w:rsidR="007E6E2A">
        <w:t xml:space="preserve"> health (</w:t>
      </w:r>
      <w:r w:rsidR="006E785D" w:rsidRPr="00F120E2">
        <w:t>mental and physical health</w:t>
      </w:r>
      <w:r w:rsidR="007E6E2A">
        <w:t>) factors</w:t>
      </w:r>
      <w:r w:rsidR="004C32C7" w:rsidRPr="00F120E2">
        <w:t xml:space="preserve"> </w:t>
      </w:r>
      <w:r w:rsidR="00301B4D">
        <w:t>associated with</w:t>
      </w:r>
      <w:r w:rsidR="004C32C7" w:rsidRPr="00F120E2">
        <w:t xml:space="preserve"> distress about </w:t>
      </w:r>
      <w:r w:rsidR="0079384D" w:rsidRPr="00F120E2">
        <w:t xml:space="preserve">specific </w:t>
      </w:r>
      <w:r w:rsidR="008E1525" w:rsidRPr="00F120E2">
        <w:t xml:space="preserve">sexual difficulties </w:t>
      </w:r>
      <w:r w:rsidR="0079384D" w:rsidRPr="00F120E2">
        <w:t>in older women</w:t>
      </w:r>
      <w:r w:rsidR="004C32C7" w:rsidRPr="00F120E2">
        <w:t>?</w:t>
      </w:r>
    </w:p>
    <w:p w14:paraId="49BD8A90" w14:textId="77777777" w:rsidR="00DD1968" w:rsidRPr="00F120E2" w:rsidRDefault="00D229EA" w:rsidP="00D229EA">
      <w:pPr>
        <w:spacing w:line="480" w:lineRule="auto"/>
        <w:ind w:firstLine="810"/>
        <w:jc w:val="center"/>
        <w:outlineLvl w:val="0"/>
        <w:rPr>
          <w:b/>
        </w:rPr>
      </w:pPr>
      <w:r>
        <w:rPr>
          <w:b/>
        </w:rPr>
        <w:t>Method</w:t>
      </w:r>
    </w:p>
    <w:p w14:paraId="0779A536" w14:textId="77777777" w:rsidR="004E4FFB" w:rsidRPr="00F120E2" w:rsidRDefault="00CE5959" w:rsidP="00D229EA">
      <w:pPr>
        <w:spacing w:line="480" w:lineRule="auto"/>
        <w:outlineLvl w:val="0"/>
        <w:rPr>
          <w:b/>
        </w:rPr>
      </w:pPr>
      <w:r w:rsidRPr="00F120E2">
        <w:rPr>
          <w:b/>
        </w:rPr>
        <w:t xml:space="preserve">Participants </w:t>
      </w:r>
      <w:r w:rsidR="00B55FDB">
        <w:rPr>
          <w:b/>
        </w:rPr>
        <w:t>and Procedure</w:t>
      </w:r>
    </w:p>
    <w:p w14:paraId="60C3B57F" w14:textId="77777777" w:rsidR="00B55FDB" w:rsidRDefault="00B97E84" w:rsidP="00D229EA">
      <w:pPr>
        <w:spacing w:line="480" w:lineRule="auto"/>
        <w:ind w:firstLine="806"/>
      </w:pPr>
      <w:r w:rsidRPr="00F120E2">
        <w:t>Survey data were collected in national probability-based samples of women aged 60-75 years in Norway, Denmark, Belgium, and Portugal between October 2016 and January 2017. Data collection was conducted by the marketing company IPSOS in cooperation with researchers at the [</w:t>
      </w:r>
      <w:r w:rsidRPr="00A304BF">
        <w:rPr>
          <w:i/>
        </w:rPr>
        <w:t>Blinded for review</w:t>
      </w:r>
      <w:r w:rsidRPr="00F120E2">
        <w:t xml:space="preserve">]. </w:t>
      </w:r>
      <w:r w:rsidR="00B55FDB" w:rsidRPr="00B55FDB">
        <w:t xml:space="preserve">Ethics approval was handled by IPSOS in accordance with European </w:t>
      </w:r>
      <w:r w:rsidR="00B55FDB" w:rsidRPr="00B55FDB">
        <w:lastRenderedPageBreak/>
        <w:t>standards. The ethical procedures followed the standards of The European Society for Opinion and Market Research (ESOMAR). These standards require IPSOS to follow national and international rules and guidelines for what is recognized as professional sounds market analysis. The rules comprise treatment of confidentiality, respondent anonymity, and methods for data collection.</w:t>
      </w:r>
      <w:r w:rsidR="00B55FDB">
        <w:t xml:space="preserve"> </w:t>
      </w:r>
    </w:p>
    <w:p w14:paraId="4F16C1C5" w14:textId="77777777" w:rsidR="00805A83" w:rsidRDefault="00B97E84" w:rsidP="00D229EA">
      <w:pPr>
        <w:spacing w:line="480" w:lineRule="auto"/>
        <w:ind w:firstLine="806"/>
      </w:pPr>
      <w:r w:rsidRPr="00B55FDB">
        <w:t>I</w:t>
      </w:r>
      <w:r w:rsidRPr="00F120E2">
        <w:t>nitial recruitment interviews were done by telephone to obtain nationally representative samples of the population aged 60-75 in each country. Only data obtained from women are presented here; findings related to men are reported elsewhere</w:t>
      </w:r>
      <w:r w:rsidR="00682AF8">
        <w:t xml:space="preserve"> </w:t>
      </w:r>
      <w:r w:rsidR="00320A9D" w:rsidRPr="00F120E2">
        <w:t>[</w:t>
      </w:r>
      <w:r w:rsidR="00320A9D" w:rsidRPr="00A304BF">
        <w:rPr>
          <w:i/>
        </w:rPr>
        <w:t>Blinded for review</w:t>
      </w:r>
      <w:r w:rsidR="00320A9D" w:rsidRPr="00F120E2">
        <w:t>]</w:t>
      </w:r>
      <w:r w:rsidR="00997EBF">
        <w:t xml:space="preserve">. </w:t>
      </w:r>
      <w:r w:rsidR="00E52238" w:rsidRPr="00E52238">
        <w:t>For this analytic sample, inclusion criteria were: women aged 60-75 years</w:t>
      </w:r>
      <w:r w:rsidR="00682AF8">
        <w:t>;</w:t>
      </w:r>
      <w:r w:rsidR="00E52238" w:rsidRPr="00E52238">
        <w:t xml:space="preserve"> </w:t>
      </w:r>
      <w:r w:rsidR="00A304BF" w:rsidRPr="00E52238">
        <w:t>who</w:t>
      </w:r>
      <w:r w:rsidR="00A304BF">
        <w:t xml:space="preserve"> were</w:t>
      </w:r>
      <w:r w:rsidRPr="00F120E2">
        <w:t xml:space="preserve"> </w:t>
      </w:r>
      <w:r w:rsidR="004E2843" w:rsidRPr="00F120E2">
        <w:t>in</w:t>
      </w:r>
      <w:r w:rsidR="00A304BF">
        <w:t xml:space="preserve"> </w:t>
      </w:r>
      <w:r w:rsidR="00500410">
        <w:t xml:space="preserve">a </w:t>
      </w:r>
      <w:r w:rsidR="00A304BF">
        <w:t xml:space="preserve">steady committed relationship (68.5% of the total sample) </w:t>
      </w:r>
      <w:r w:rsidR="004E2843" w:rsidRPr="00F120E2">
        <w:t xml:space="preserve">and who were </w:t>
      </w:r>
      <w:r w:rsidR="003B7F1A" w:rsidRPr="00F120E2">
        <w:t>sexually active during the past 12 months</w:t>
      </w:r>
      <w:r w:rsidR="00A304BF">
        <w:t xml:space="preserve"> (71.7% of the total sample)</w:t>
      </w:r>
      <w:r w:rsidRPr="00F120E2">
        <w:t xml:space="preserve">. </w:t>
      </w:r>
    </w:p>
    <w:p w14:paraId="37148D57" w14:textId="349C8B9C" w:rsidR="00B55FDB" w:rsidRPr="00F120E2" w:rsidRDefault="00B55FDB" w:rsidP="00B55FDB">
      <w:pPr>
        <w:widowControl w:val="0"/>
        <w:autoSpaceDE w:val="0"/>
        <w:autoSpaceDN w:val="0"/>
        <w:adjustRightInd w:val="0"/>
        <w:spacing w:line="480" w:lineRule="auto"/>
        <w:ind w:firstLine="720"/>
        <w:rPr>
          <w:color w:val="000000"/>
        </w:rPr>
      </w:pPr>
      <w:r w:rsidRPr="00F120E2">
        <w:rPr>
          <w:color w:val="000000"/>
        </w:rPr>
        <w:t>The questionnaire was first developed in English and then</w:t>
      </w:r>
      <w:r w:rsidRPr="00F120E2">
        <w:rPr>
          <w:color w:val="000000"/>
          <w:position w:val="-3"/>
        </w:rPr>
        <w:t xml:space="preserve"> </w:t>
      </w:r>
      <w:r w:rsidRPr="00F120E2">
        <w:rPr>
          <w:color w:val="000000"/>
        </w:rPr>
        <w:t xml:space="preserve">translated </w:t>
      </w:r>
      <w:r w:rsidR="00E23265">
        <w:rPr>
          <w:color w:val="000000"/>
        </w:rPr>
        <w:t xml:space="preserve">– using forward and backward translation procedures – </w:t>
      </w:r>
      <w:r w:rsidRPr="00F120E2">
        <w:rPr>
          <w:color w:val="000000"/>
        </w:rPr>
        <w:t xml:space="preserve">into local languages by the principal investigators and by IPSOS staff in each country. When translation was complete, telephone recruitment of participants began. With the exception of Portugal, where a comprehensive telephone register does not exist, national phone registries were used to obtain lists of possible respondents. IPSOS used a </w:t>
      </w:r>
      <w:r w:rsidR="009D3A3A">
        <w:rPr>
          <w:color w:val="000000"/>
        </w:rPr>
        <w:t>common</w:t>
      </w:r>
      <w:r w:rsidRPr="00F120E2">
        <w:rPr>
          <w:color w:val="000000"/>
        </w:rPr>
        <w:t xml:space="preserve"> procedure when recruiting respondents for surveys in Portugal: (1) telephone numbers were first randomly selected from fixed phone directories and IPSOS’s own database of phone numbers; (2) to obtain a distribution representative of the population, participants were selected by age and gender; and (3) due to illiteracy problems, participants who had not completed primary school (ISCED 235 1) were excluded from the sample. For all countries, telephone recruitment was conducted from October to December 2016. </w:t>
      </w:r>
    </w:p>
    <w:p w14:paraId="2A7F163A" w14:textId="4945B9D7" w:rsidR="00253C51" w:rsidRDefault="00B55FDB" w:rsidP="00B55FDB">
      <w:pPr>
        <w:widowControl w:val="0"/>
        <w:autoSpaceDE w:val="0"/>
        <w:autoSpaceDN w:val="0"/>
        <w:adjustRightInd w:val="0"/>
        <w:spacing w:line="480" w:lineRule="auto"/>
        <w:rPr>
          <w:color w:val="000000"/>
          <w:lang w:val="en-US"/>
        </w:rPr>
      </w:pPr>
      <w:r w:rsidRPr="00F120E2">
        <w:rPr>
          <w:color w:val="000000"/>
        </w:rPr>
        <w:tab/>
      </w:r>
      <w:r w:rsidR="006106D9" w:rsidRPr="006106D9">
        <w:rPr>
          <w:color w:val="000000"/>
        </w:rPr>
        <w:t xml:space="preserve">The procedure was as follows: </w:t>
      </w:r>
      <w:r w:rsidR="006106D9" w:rsidRPr="006106D9">
        <w:rPr>
          <w:color w:val="000000"/>
          <w:lang w:val="en-US"/>
        </w:rPr>
        <w:t xml:space="preserve">First, the participants were contacted </w:t>
      </w:r>
      <w:r w:rsidR="0019513D">
        <w:rPr>
          <w:color w:val="000000"/>
          <w:lang w:val="en-US"/>
        </w:rPr>
        <w:t>by</w:t>
      </w:r>
      <w:r w:rsidR="006106D9" w:rsidRPr="006106D9">
        <w:rPr>
          <w:color w:val="000000"/>
          <w:lang w:val="en-US"/>
        </w:rPr>
        <w:t xml:space="preserve"> IPSOS</w:t>
      </w:r>
      <w:r w:rsidR="0019513D">
        <w:rPr>
          <w:color w:val="000000"/>
          <w:lang w:val="en-US"/>
        </w:rPr>
        <w:t xml:space="preserve"> </w:t>
      </w:r>
      <w:r w:rsidR="0019513D" w:rsidRPr="006106D9">
        <w:rPr>
          <w:color w:val="000000"/>
          <w:lang w:val="en-US"/>
        </w:rPr>
        <w:t>by phone</w:t>
      </w:r>
      <w:r w:rsidR="006106D9" w:rsidRPr="006106D9">
        <w:rPr>
          <w:color w:val="000000"/>
          <w:lang w:val="en-US"/>
        </w:rPr>
        <w:t xml:space="preserve">. </w:t>
      </w:r>
      <w:r w:rsidR="006106D9" w:rsidRPr="006106D9">
        <w:rPr>
          <w:color w:val="000000"/>
          <w:lang w:val="en-US"/>
        </w:rPr>
        <w:lastRenderedPageBreak/>
        <w:t xml:space="preserve">If they agreed to participate they answered a short background questionnaire. IPSOS had the names and addresses of participants registered, and a questionnaire was sent to them the following day. This questionnaire was coded, so reminders were only sent to those who did not respond. We as researchers received an anonymized SPSS file </w:t>
      </w:r>
      <w:r w:rsidR="00E23265">
        <w:rPr>
          <w:color w:val="000000"/>
          <w:lang w:val="en-US"/>
        </w:rPr>
        <w:t>that</w:t>
      </w:r>
      <w:r w:rsidR="006106D9" w:rsidRPr="006106D9">
        <w:rPr>
          <w:color w:val="000000"/>
          <w:lang w:val="en-US"/>
        </w:rPr>
        <w:t xml:space="preserve"> could not be traced back to single individuals. To preserve </w:t>
      </w:r>
      <w:r w:rsidR="00E23265">
        <w:rPr>
          <w:color w:val="000000"/>
          <w:lang w:val="en-US"/>
        </w:rPr>
        <w:t xml:space="preserve">participants’ </w:t>
      </w:r>
      <w:r w:rsidR="006106D9" w:rsidRPr="006106D9">
        <w:rPr>
          <w:color w:val="000000"/>
          <w:lang w:val="en-US"/>
        </w:rPr>
        <w:t xml:space="preserve">anonymity, we did not require written consent. </w:t>
      </w:r>
    </w:p>
    <w:p w14:paraId="5424D28C" w14:textId="77777777" w:rsidR="0019513D" w:rsidRDefault="00B55FDB" w:rsidP="009D3A3A">
      <w:pPr>
        <w:widowControl w:val="0"/>
        <w:autoSpaceDE w:val="0"/>
        <w:autoSpaceDN w:val="0"/>
        <w:adjustRightInd w:val="0"/>
        <w:spacing w:line="480" w:lineRule="auto"/>
        <w:ind w:firstLine="720"/>
        <w:rPr>
          <w:color w:val="000000"/>
        </w:rPr>
      </w:pPr>
      <w:r w:rsidRPr="00F120E2">
        <w:rPr>
          <w:color w:val="000000"/>
        </w:rPr>
        <w:t>Women who agreed to participate received a postal, anonymous, self-administered questionnaire, including a Freepost envelope to return the completed questionnaire. Two reminders were sent, the first one week after the questionnaire was received by the participant, and the second one week later. After a discussion with IPSOS</w:t>
      </w:r>
      <w:r w:rsidRPr="00F120E2">
        <w:rPr>
          <w:color w:val="000000"/>
          <w:position w:val="-3"/>
        </w:rPr>
        <w:t xml:space="preserve"> </w:t>
      </w:r>
      <w:r w:rsidRPr="00F120E2">
        <w:rPr>
          <w:color w:val="000000"/>
        </w:rPr>
        <w:t>in Portugal, it was decided to deliver the reminders by phone</w:t>
      </w:r>
      <w:r w:rsidR="0019513D">
        <w:rPr>
          <w:color w:val="000000"/>
        </w:rPr>
        <w:t xml:space="preserve"> there</w:t>
      </w:r>
      <w:r w:rsidRPr="00F120E2">
        <w:rPr>
          <w:color w:val="000000"/>
        </w:rPr>
        <w:t xml:space="preserve">. Unfortunately, 502 potential participants in Portugal could not be reached. Of the 1,498 Portuguese </w:t>
      </w:r>
      <w:r>
        <w:rPr>
          <w:color w:val="000000"/>
        </w:rPr>
        <w:t xml:space="preserve">individuals </w:t>
      </w:r>
      <w:r w:rsidRPr="00F120E2">
        <w:rPr>
          <w:color w:val="000000"/>
        </w:rPr>
        <w:t xml:space="preserve">contacted by phone, 561 declined participation after having received the questionnaire. </w:t>
      </w:r>
    </w:p>
    <w:p w14:paraId="68847DD1" w14:textId="40AA0DCA" w:rsidR="00B55FDB" w:rsidRPr="00F120E2" w:rsidRDefault="00186B70" w:rsidP="009D3A3A">
      <w:pPr>
        <w:widowControl w:val="0"/>
        <w:autoSpaceDE w:val="0"/>
        <w:autoSpaceDN w:val="0"/>
        <w:adjustRightInd w:val="0"/>
        <w:spacing w:line="480" w:lineRule="auto"/>
        <w:ind w:firstLine="720"/>
        <w:rPr>
          <w:color w:val="000000"/>
        </w:rPr>
      </w:pPr>
      <w:r>
        <w:rPr>
          <w:color w:val="000000"/>
        </w:rPr>
        <w:t xml:space="preserve">All participants who returned completed questionnaires received a small gift from IPSOS for their efforts. </w:t>
      </w:r>
      <w:r w:rsidR="00B55FDB" w:rsidRPr="00F120E2">
        <w:rPr>
          <w:color w:val="000000"/>
        </w:rPr>
        <w:t>Overall response rates</w:t>
      </w:r>
      <w:r w:rsidR="00E23265">
        <w:rPr>
          <w:color w:val="000000"/>
        </w:rPr>
        <w:t xml:space="preserve">, i.e., </w:t>
      </w:r>
      <w:r w:rsidR="00C11F19">
        <w:rPr>
          <w:color w:val="000000"/>
        </w:rPr>
        <w:t xml:space="preserve">the </w:t>
      </w:r>
      <w:r w:rsidR="00DB0332">
        <w:rPr>
          <w:color w:val="000000"/>
        </w:rPr>
        <w:t>proportion of women who agreed to participate and completed the questionnaire</w:t>
      </w:r>
      <w:r w:rsidR="00E23265">
        <w:rPr>
          <w:color w:val="000000"/>
        </w:rPr>
        <w:t xml:space="preserve">, </w:t>
      </w:r>
      <w:r w:rsidR="00B55FDB" w:rsidRPr="00F120E2">
        <w:rPr>
          <w:color w:val="000000"/>
        </w:rPr>
        <w:t>were 68% in Norway, 52% in Denmark, 57% in Belgium</w:t>
      </w:r>
      <w:r w:rsidR="00B55FDB">
        <w:rPr>
          <w:color w:val="000000"/>
        </w:rPr>
        <w:t>,</w:t>
      </w:r>
      <w:r w:rsidR="00B55FDB" w:rsidRPr="00F120E2">
        <w:rPr>
          <w:color w:val="000000"/>
        </w:rPr>
        <w:t xml:space="preserve"> and 26% in Portugal. </w:t>
      </w:r>
      <w:r w:rsidR="00B55FDB" w:rsidRPr="00270E02">
        <w:t>In total</w:t>
      </w:r>
      <w:r w:rsidR="00B55FDB">
        <w:t>, 1,057 women participated (357 Norwegian; 322 Danish; 237 Belgian; 141 Portuguese).</w:t>
      </w:r>
      <w:r w:rsidR="00B55FDB">
        <w:rPr>
          <w:b/>
        </w:rPr>
        <w:t xml:space="preserve"> </w:t>
      </w:r>
      <w:r w:rsidR="00B55FDB" w:rsidRPr="00F120E2">
        <w:rPr>
          <w:color w:val="000000"/>
        </w:rPr>
        <w:t>A more detailed description of the sample and the procedure is given elsewhere</w:t>
      </w:r>
      <w:r w:rsidR="00B55FDB">
        <w:rPr>
          <w:color w:val="000000"/>
        </w:rPr>
        <w:t>. [</w:t>
      </w:r>
      <w:r w:rsidR="00B55FDB" w:rsidRPr="00682AF8">
        <w:rPr>
          <w:i/>
          <w:color w:val="000000"/>
        </w:rPr>
        <w:t>Blinded for peer review</w:t>
      </w:r>
      <w:r w:rsidR="00B55FDB">
        <w:rPr>
          <w:color w:val="000000"/>
        </w:rPr>
        <w:t>]</w:t>
      </w:r>
      <w:r w:rsidR="00B55FDB" w:rsidRPr="00F120E2">
        <w:rPr>
          <w:color w:val="000000"/>
        </w:rPr>
        <w:t xml:space="preserve"> </w:t>
      </w:r>
    </w:p>
    <w:p w14:paraId="3DDBB775" w14:textId="77777777" w:rsidR="007D33FD" w:rsidRPr="00F120E2" w:rsidRDefault="00CE5959" w:rsidP="00D229EA">
      <w:pPr>
        <w:spacing w:line="480" w:lineRule="auto"/>
        <w:outlineLvl w:val="0"/>
        <w:rPr>
          <w:b/>
        </w:rPr>
      </w:pPr>
      <w:r w:rsidRPr="00F120E2">
        <w:rPr>
          <w:b/>
        </w:rPr>
        <w:t>Measures</w:t>
      </w:r>
    </w:p>
    <w:p w14:paraId="3119D900" w14:textId="77777777" w:rsidR="00317058" w:rsidRPr="00F120E2" w:rsidRDefault="007D33FD" w:rsidP="00D229EA">
      <w:pPr>
        <w:spacing w:line="480" w:lineRule="auto"/>
        <w:ind w:firstLine="810"/>
        <w:rPr>
          <w:lang w:val="en-US"/>
        </w:rPr>
      </w:pPr>
      <w:r w:rsidRPr="00F120E2">
        <w:rPr>
          <w:lang w:val="en-US"/>
        </w:rPr>
        <w:t xml:space="preserve">Age was indicated by year of birth. </w:t>
      </w:r>
      <w:r w:rsidR="00317058" w:rsidRPr="00F120E2">
        <w:rPr>
          <w:lang w:val="en-US"/>
        </w:rPr>
        <w:t xml:space="preserve">Relationship status was assessed with the question “Do you currently have a steady/committed relationship with anybody? A steady/committed relationship also includes married/cohabiting persons.” Response options were 1 = Yes, 2 = No, and 3 = Unsure. </w:t>
      </w:r>
    </w:p>
    <w:p w14:paraId="47A69224" w14:textId="77777777" w:rsidR="0008280E" w:rsidRPr="00F120E2" w:rsidRDefault="000E4D12" w:rsidP="00D229EA">
      <w:pPr>
        <w:spacing w:line="480" w:lineRule="auto"/>
        <w:ind w:firstLine="810"/>
        <w:rPr>
          <w:lang w:val="en-US"/>
        </w:rPr>
      </w:pPr>
      <w:r>
        <w:rPr>
          <w:lang w:val="en-US"/>
        </w:rPr>
        <w:lastRenderedPageBreak/>
        <w:t xml:space="preserve">Level of education was assessed as the highest level of formal education completed. In </w:t>
      </w:r>
      <w:r w:rsidR="0008280E" w:rsidRPr="00F120E2">
        <w:rPr>
          <w:lang w:val="en-US"/>
        </w:rPr>
        <w:t xml:space="preserve">Norway, Denmark, and Portugal the response options were 1 = Primary school (6-8 years at school), 2 = Lower secondary school (9-10 years at school), 3 = Higher secondary school, high school (12-13 years at school), 4 = College, lower university level (Bachelor degree level or similar), and 5 = Higher university level (Master degree, Ph.D. level or similar). In Belgium, additional response </w:t>
      </w:r>
      <w:r w:rsidR="00B97E84" w:rsidRPr="00F120E2">
        <w:rPr>
          <w:lang w:val="en-US"/>
        </w:rPr>
        <w:t>options</w:t>
      </w:r>
      <w:r w:rsidR="0008280E" w:rsidRPr="00F120E2">
        <w:rPr>
          <w:lang w:val="en-US"/>
        </w:rPr>
        <w:t xml:space="preserve"> were added to reflect the educational system in the country. To allow for cross-cultural comparisons, th</w:t>
      </w:r>
      <w:r w:rsidR="00B97E84" w:rsidRPr="00F120E2">
        <w:rPr>
          <w:lang w:val="en-US"/>
        </w:rPr>
        <w:t>is</w:t>
      </w:r>
      <w:r w:rsidR="0008280E" w:rsidRPr="00F120E2">
        <w:rPr>
          <w:lang w:val="en-US"/>
        </w:rPr>
        <w:t xml:space="preserve"> variable was subsequently recoded into 1 = primary (1), 2 = secondary (2+3), and 3 = tertiary education (4+5).</w:t>
      </w:r>
    </w:p>
    <w:p w14:paraId="5C41514F" w14:textId="77777777" w:rsidR="0008280E" w:rsidRPr="00F120E2" w:rsidRDefault="0008280E" w:rsidP="00D229EA">
      <w:pPr>
        <w:spacing w:line="480" w:lineRule="auto"/>
        <w:ind w:firstLine="810"/>
        <w:rPr>
          <w:lang w:val="en-US"/>
        </w:rPr>
      </w:pPr>
      <w:r w:rsidRPr="00F120E2">
        <w:rPr>
          <w:lang w:val="en-US"/>
        </w:rPr>
        <w:t>Religiosity was assessed by asking “Apart from special occasions such as weddings, funerals, and baptisms, how often do you attend religious services or meetings?” Response options were 1 = Once a week or more, 2 = Once every two weeks, 3 = Once a month, 4 = Twice a year, 5 = Once a year, 6 = Less than once a year, and 7 = Never.</w:t>
      </w:r>
    </w:p>
    <w:p w14:paraId="50D9228F" w14:textId="77777777" w:rsidR="0008280E" w:rsidRPr="00F120E2" w:rsidRDefault="0008280E" w:rsidP="00D229EA">
      <w:pPr>
        <w:spacing w:line="480" w:lineRule="auto"/>
        <w:ind w:firstLine="810"/>
        <w:rPr>
          <w:lang w:val="en-US"/>
        </w:rPr>
      </w:pPr>
      <w:r w:rsidRPr="00F120E2">
        <w:rPr>
          <w:lang w:val="en-US"/>
        </w:rPr>
        <w:t xml:space="preserve">We used the </w:t>
      </w:r>
      <w:r w:rsidR="008E1525" w:rsidRPr="00F120E2">
        <w:rPr>
          <w:lang w:val="en-US"/>
        </w:rPr>
        <w:t xml:space="preserve">12-item </w:t>
      </w:r>
      <w:r w:rsidRPr="00F120E2">
        <w:rPr>
          <w:lang w:val="en-US"/>
        </w:rPr>
        <w:t xml:space="preserve">Short Form Health Survey (SF12) to </w:t>
      </w:r>
      <w:r w:rsidR="0045409A">
        <w:rPr>
          <w:lang w:val="en-US"/>
        </w:rPr>
        <w:t>assess</w:t>
      </w:r>
      <w:r w:rsidRPr="00F120E2">
        <w:rPr>
          <w:lang w:val="en-US"/>
        </w:rPr>
        <w:t xml:space="preserve"> mental and physical health</w:t>
      </w:r>
      <w:r w:rsidR="00682AF8">
        <w:rPr>
          <w:lang w:val="en-US"/>
        </w:rPr>
        <w:t xml:space="preserve"> (Ware, </w:t>
      </w:r>
      <w:proofErr w:type="spellStart"/>
      <w:r w:rsidR="00682AF8">
        <w:rPr>
          <w:lang w:val="en-US"/>
        </w:rPr>
        <w:t>Kosinski</w:t>
      </w:r>
      <w:proofErr w:type="spellEnd"/>
      <w:r w:rsidR="00682AF8">
        <w:rPr>
          <w:lang w:val="en-US"/>
        </w:rPr>
        <w:t xml:space="preserve">, &amp; Keller, 1995). </w:t>
      </w:r>
      <w:r w:rsidR="00106DC4">
        <w:rPr>
          <w:lang w:val="en-US"/>
        </w:rPr>
        <w:t xml:space="preserve">Scoring was done following </w:t>
      </w:r>
      <w:r w:rsidR="007E7150">
        <w:rPr>
          <w:lang w:val="en-US"/>
        </w:rPr>
        <w:t xml:space="preserve">published </w:t>
      </w:r>
      <w:r w:rsidR="00106DC4">
        <w:rPr>
          <w:lang w:val="en-US"/>
        </w:rPr>
        <w:t xml:space="preserve">guidelines </w:t>
      </w:r>
      <w:r w:rsidR="00682AF8">
        <w:rPr>
          <w:lang w:val="en-US"/>
        </w:rPr>
        <w:t xml:space="preserve">(Ware et al., 1995) </w:t>
      </w:r>
      <w:r w:rsidRPr="00F120E2">
        <w:rPr>
          <w:lang w:val="en-US"/>
        </w:rPr>
        <w:t xml:space="preserve">to provide overall scores on two sub-dimensions: mental health and physical health. Higher scores indicate better mental and physical health. </w:t>
      </w:r>
    </w:p>
    <w:p w14:paraId="350FA024" w14:textId="77777777" w:rsidR="004B0D19" w:rsidRPr="00F120E2" w:rsidRDefault="008E1525" w:rsidP="00D229EA">
      <w:pPr>
        <w:spacing w:line="480" w:lineRule="auto"/>
        <w:ind w:firstLine="810"/>
        <w:rPr>
          <w:lang w:val="en-US"/>
        </w:rPr>
      </w:pPr>
      <w:r w:rsidRPr="00F120E2">
        <w:rPr>
          <w:lang w:val="en-US"/>
        </w:rPr>
        <w:t xml:space="preserve">Questions on sexual difficulties </w:t>
      </w:r>
      <w:r w:rsidR="0008280E" w:rsidRPr="00F120E2">
        <w:rPr>
          <w:lang w:val="en-US"/>
        </w:rPr>
        <w:t>and distress were adapted from the British Natsal-3 survey</w:t>
      </w:r>
      <w:r w:rsidR="00682AF8">
        <w:rPr>
          <w:lang w:val="en-US"/>
        </w:rPr>
        <w:t xml:space="preserve"> (Mitchell et al., 2013).</w:t>
      </w:r>
      <w:r w:rsidR="0008280E" w:rsidRPr="00F120E2">
        <w:rPr>
          <w:lang w:val="en-US"/>
        </w:rPr>
        <w:t xml:space="preserve"> </w:t>
      </w:r>
      <w:r w:rsidR="007D33FD" w:rsidRPr="00F120E2">
        <w:rPr>
          <w:lang w:val="en-US"/>
        </w:rPr>
        <w:t xml:space="preserve">Sexual </w:t>
      </w:r>
      <w:r w:rsidRPr="00F120E2">
        <w:rPr>
          <w:lang w:val="en-US"/>
        </w:rPr>
        <w:t>difficulties</w:t>
      </w:r>
      <w:r w:rsidR="007D33FD" w:rsidRPr="00F120E2">
        <w:rPr>
          <w:lang w:val="en-US"/>
        </w:rPr>
        <w:t xml:space="preserve"> were assessed using the following stem “In the last year, have you experienced any of the following for a period of 3 month</w:t>
      </w:r>
      <w:r w:rsidR="0045409A">
        <w:rPr>
          <w:lang w:val="en-US"/>
        </w:rPr>
        <w:t>s</w:t>
      </w:r>
      <w:r w:rsidR="007D33FD" w:rsidRPr="00F120E2">
        <w:rPr>
          <w:lang w:val="en-US"/>
        </w:rPr>
        <w:t xml:space="preserve"> or </w:t>
      </w:r>
      <w:r w:rsidR="004B0D19" w:rsidRPr="00F120E2">
        <w:rPr>
          <w:lang w:val="en-US"/>
        </w:rPr>
        <w:t>longer?</w:t>
      </w:r>
      <w:r w:rsidR="00CE616E">
        <w:rPr>
          <w:lang w:val="en-US"/>
        </w:rPr>
        <w:t>”</w:t>
      </w:r>
      <w:r w:rsidR="007D33FD" w:rsidRPr="00F120E2">
        <w:rPr>
          <w:lang w:val="en-US"/>
        </w:rPr>
        <w:t xml:space="preserve"> This was followed by eight different sexual </w:t>
      </w:r>
      <w:r w:rsidRPr="00F120E2">
        <w:rPr>
          <w:lang w:val="en-US"/>
        </w:rPr>
        <w:t>difficulties</w:t>
      </w:r>
      <w:r w:rsidR="007D33FD" w:rsidRPr="00F120E2">
        <w:rPr>
          <w:lang w:val="en-US"/>
        </w:rPr>
        <w:t>: “lacked interest in having sex</w:t>
      </w:r>
      <w:r w:rsidR="0045409A">
        <w:rPr>
          <w:lang w:val="en-US"/>
        </w:rPr>
        <w:t>,”</w:t>
      </w:r>
      <w:r w:rsidR="007D33FD" w:rsidRPr="00F120E2">
        <w:rPr>
          <w:lang w:val="en-US"/>
        </w:rPr>
        <w:t xml:space="preserve"> “lacked enjoyment in sex</w:t>
      </w:r>
      <w:r w:rsidR="0045409A">
        <w:rPr>
          <w:lang w:val="en-US"/>
        </w:rPr>
        <w:t>,”</w:t>
      </w:r>
      <w:r w:rsidR="007D33FD" w:rsidRPr="00F120E2">
        <w:rPr>
          <w:lang w:val="en-US"/>
        </w:rPr>
        <w:t xml:space="preserve"> “felt anxious during sex</w:t>
      </w:r>
      <w:r w:rsidR="0045409A">
        <w:rPr>
          <w:lang w:val="en-US"/>
        </w:rPr>
        <w:t>,”</w:t>
      </w:r>
      <w:r w:rsidR="007D33FD" w:rsidRPr="00F120E2">
        <w:rPr>
          <w:lang w:val="en-US"/>
        </w:rPr>
        <w:t xml:space="preserve"> “felt physical pain as a result of sex</w:t>
      </w:r>
      <w:r w:rsidR="0045409A">
        <w:rPr>
          <w:lang w:val="en-US"/>
        </w:rPr>
        <w:t>,”</w:t>
      </w:r>
      <w:r w:rsidR="007D33FD" w:rsidRPr="00F120E2">
        <w:rPr>
          <w:lang w:val="en-US"/>
        </w:rPr>
        <w:t xml:space="preserve"> “felt no excitement or arousal during sex</w:t>
      </w:r>
      <w:r w:rsidR="0045409A">
        <w:rPr>
          <w:lang w:val="en-US"/>
        </w:rPr>
        <w:t>,”</w:t>
      </w:r>
      <w:r w:rsidR="007D33FD" w:rsidRPr="00F120E2">
        <w:rPr>
          <w:lang w:val="en-US"/>
        </w:rPr>
        <w:t xml:space="preserve"> “did not reach a climax (experienced an orgasm)</w:t>
      </w:r>
      <w:r w:rsidR="0045409A">
        <w:rPr>
          <w:lang w:val="en-US"/>
        </w:rPr>
        <w:t>/</w:t>
      </w:r>
      <w:r w:rsidR="007D33FD" w:rsidRPr="00F120E2">
        <w:rPr>
          <w:lang w:val="en-US"/>
        </w:rPr>
        <w:t>took a long time to reach a climax despite feeling excited/aroused</w:t>
      </w:r>
      <w:r w:rsidR="0045409A">
        <w:rPr>
          <w:lang w:val="en-US"/>
        </w:rPr>
        <w:t>,”</w:t>
      </w:r>
      <w:r w:rsidR="007D33FD" w:rsidRPr="00F120E2">
        <w:rPr>
          <w:lang w:val="en-US"/>
        </w:rPr>
        <w:t xml:space="preserve"> “reached a climax (experienced an </w:t>
      </w:r>
      <w:r w:rsidR="007D33FD" w:rsidRPr="00F120E2">
        <w:rPr>
          <w:lang w:val="en-US"/>
        </w:rPr>
        <w:lastRenderedPageBreak/>
        <w:t>orgasm) more quickly than you would have liked</w:t>
      </w:r>
      <w:r w:rsidR="0045409A">
        <w:rPr>
          <w:lang w:val="en-US"/>
        </w:rPr>
        <w:t>,</w:t>
      </w:r>
      <w:r w:rsidR="0008280E" w:rsidRPr="00F120E2">
        <w:rPr>
          <w:lang w:val="en-US"/>
        </w:rPr>
        <w:t>” and “uncomfortably dry vagina</w:t>
      </w:r>
      <w:r w:rsidR="0045409A">
        <w:rPr>
          <w:lang w:val="en-US"/>
        </w:rPr>
        <w:t>.”</w:t>
      </w:r>
      <w:r w:rsidR="0008280E" w:rsidRPr="00F120E2">
        <w:rPr>
          <w:lang w:val="en-US"/>
        </w:rPr>
        <w:t xml:space="preserve"> </w:t>
      </w:r>
      <w:r w:rsidR="004B0D19" w:rsidRPr="00F120E2">
        <w:rPr>
          <w:lang w:val="en-US"/>
        </w:rPr>
        <w:t xml:space="preserve">In the current analyses, we </w:t>
      </w:r>
      <w:r w:rsidR="00566B69" w:rsidRPr="00F120E2">
        <w:rPr>
          <w:lang w:val="en-US"/>
        </w:rPr>
        <w:t xml:space="preserve">included all but two of the above </w:t>
      </w:r>
      <w:r w:rsidRPr="00F120E2">
        <w:rPr>
          <w:lang w:val="en-US"/>
        </w:rPr>
        <w:t>difficulties</w:t>
      </w:r>
      <w:r w:rsidR="00566B69" w:rsidRPr="00F120E2">
        <w:rPr>
          <w:lang w:val="en-US"/>
        </w:rPr>
        <w:t>; the numbers of women reporting “felt anxious during sex” and “reached a climax more quickly than you would have liked” were too low to permit analyses.</w:t>
      </w:r>
      <w:r w:rsidR="0008543D">
        <w:rPr>
          <w:lang w:val="en-US"/>
        </w:rPr>
        <w:t xml:space="preserve"> </w:t>
      </w:r>
    </w:p>
    <w:p w14:paraId="337F56E7" w14:textId="58B64F51" w:rsidR="0008543D" w:rsidRPr="00F120E2" w:rsidRDefault="007D33FD" w:rsidP="00D229EA">
      <w:pPr>
        <w:spacing w:line="480" w:lineRule="auto"/>
        <w:ind w:firstLine="810"/>
        <w:rPr>
          <w:lang w:val="en-US"/>
        </w:rPr>
      </w:pPr>
      <w:r w:rsidRPr="00F120E2">
        <w:rPr>
          <w:lang w:val="en-US"/>
        </w:rPr>
        <w:t xml:space="preserve">For each </w:t>
      </w:r>
      <w:r w:rsidR="008E1525" w:rsidRPr="00F120E2">
        <w:rPr>
          <w:lang w:val="en-US"/>
        </w:rPr>
        <w:t>difficulty</w:t>
      </w:r>
      <w:r w:rsidRPr="00F120E2">
        <w:rPr>
          <w:lang w:val="en-US"/>
        </w:rPr>
        <w:t>, respon</w:t>
      </w:r>
      <w:r w:rsidR="0008280E" w:rsidRPr="00F120E2">
        <w:rPr>
          <w:lang w:val="en-US"/>
        </w:rPr>
        <w:t xml:space="preserve">se options were “yes” or “no”; </w:t>
      </w:r>
      <w:r w:rsidR="008E1525" w:rsidRPr="00F120E2">
        <w:rPr>
          <w:lang w:val="en-US"/>
        </w:rPr>
        <w:t>i</w:t>
      </w:r>
      <w:r w:rsidRPr="00F120E2">
        <w:rPr>
          <w:lang w:val="en-US"/>
        </w:rPr>
        <w:t xml:space="preserve">f a </w:t>
      </w:r>
      <w:r w:rsidR="00810791">
        <w:rPr>
          <w:lang w:val="en-US"/>
        </w:rPr>
        <w:t>woman</w:t>
      </w:r>
      <w:r w:rsidRPr="00F120E2">
        <w:rPr>
          <w:lang w:val="en-US"/>
        </w:rPr>
        <w:t xml:space="preserve"> responded with a “yes</w:t>
      </w:r>
      <w:r w:rsidR="0008543D">
        <w:rPr>
          <w:lang w:val="en-US"/>
        </w:rPr>
        <w:t xml:space="preserve">,” </w:t>
      </w:r>
      <w:r w:rsidR="0008280E" w:rsidRPr="00F120E2">
        <w:rPr>
          <w:lang w:val="en-US"/>
        </w:rPr>
        <w:t>s</w:t>
      </w:r>
      <w:r w:rsidRPr="00F120E2">
        <w:rPr>
          <w:lang w:val="en-US"/>
        </w:rPr>
        <w:t xml:space="preserve">he was </w:t>
      </w:r>
      <w:r w:rsidR="009677C7" w:rsidRPr="00F120E2">
        <w:rPr>
          <w:lang w:val="en-US"/>
        </w:rPr>
        <w:t xml:space="preserve">then </w:t>
      </w:r>
      <w:r w:rsidRPr="00F120E2">
        <w:rPr>
          <w:lang w:val="en-US"/>
        </w:rPr>
        <w:t xml:space="preserve">asked to indicate how much distress the </w:t>
      </w:r>
      <w:r w:rsidR="008E1525" w:rsidRPr="00F120E2">
        <w:rPr>
          <w:lang w:val="en-US"/>
        </w:rPr>
        <w:t>difficulty had ca</w:t>
      </w:r>
      <w:r w:rsidRPr="00F120E2">
        <w:rPr>
          <w:lang w:val="en-US"/>
        </w:rPr>
        <w:t xml:space="preserve">used </w:t>
      </w:r>
      <w:r w:rsidR="0008280E" w:rsidRPr="00F120E2">
        <w:rPr>
          <w:lang w:val="en-US"/>
        </w:rPr>
        <w:t>her</w:t>
      </w:r>
      <w:r w:rsidRPr="00F120E2">
        <w:rPr>
          <w:lang w:val="en-US"/>
        </w:rPr>
        <w:t xml:space="preserve"> (“no distress</w:t>
      </w:r>
      <w:r w:rsidR="00320A9D">
        <w:rPr>
          <w:lang w:val="en-US"/>
        </w:rPr>
        <w:t>,”</w:t>
      </w:r>
      <w:r w:rsidRPr="00F120E2">
        <w:rPr>
          <w:lang w:val="en-US"/>
        </w:rPr>
        <w:t xml:space="preserve"> “mild distress</w:t>
      </w:r>
      <w:r w:rsidR="00320A9D">
        <w:rPr>
          <w:lang w:val="en-US"/>
        </w:rPr>
        <w:t>,”</w:t>
      </w:r>
      <w:r w:rsidRPr="00F120E2">
        <w:rPr>
          <w:lang w:val="en-US"/>
        </w:rPr>
        <w:t xml:space="preserve"> “moderate distress</w:t>
      </w:r>
      <w:r w:rsidR="00320A9D">
        <w:rPr>
          <w:lang w:val="en-US"/>
        </w:rPr>
        <w:t>,”</w:t>
      </w:r>
      <w:r w:rsidRPr="00F120E2">
        <w:rPr>
          <w:lang w:val="en-US"/>
        </w:rPr>
        <w:t xml:space="preserve"> or “severe distress”).</w:t>
      </w:r>
      <w:r w:rsidR="0008543D">
        <w:rPr>
          <w:lang w:val="en-US"/>
        </w:rPr>
        <w:t xml:space="preserve"> In this </w:t>
      </w:r>
      <w:r w:rsidR="00106DC4">
        <w:rPr>
          <w:lang w:val="en-US"/>
        </w:rPr>
        <w:t>article,</w:t>
      </w:r>
      <w:r w:rsidR="0008543D">
        <w:rPr>
          <w:lang w:val="en-US"/>
        </w:rPr>
        <w:t xml:space="preserve"> we use the term “sexual difficulty” to refer to </w:t>
      </w:r>
      <w:r w:rsidR="0019513D">
        <w:rPr>
          <w:lang w:val="en-US"/>
        </w:rPr>
        <w:t xml:space="preserve">the </w:t>
      </w:r>
      <w:r w:rsidR="0008543D">
        <w:rPr>
          <w:lang w:val="en-US"/>
        </w:rPr>
        <w:t xml:space="preserve">experience of a sexual difficulty for a period of three months or longer </w:t>
      </w:r>
      <w:r w:rsidR="0045409A">
        <w:rPr>
          <w:lang w:val="en-US"/>
        </w:rPr>
        <w:t xml:space="preserve">in the past year </w:t>
      </w:r>
      <w:r w:rsidR="0008543D">
        <w:rPr>
          <w:lang w:val="en-US"/>
        </w:rPr>
        <w:t xml:space="preserve">and “distressing sexual difficulty” to denote reporting a sexual difficulty </w:t>
      </w:r>
      <w:r w:rsidR="0045409A">
        <w:rPr>
          <w:lang w:val="en-US"/>
        </w:rPr>
        <w:t xml:space="preserve">over this time period </w:t>
      </w:r>
      <w:r w:rsidR="0008543D">
        <w:rPr>
          <w:lang w:val="en-US"/>
        </w:rPr>
        <w:t xml:space="preserve">and also reporting some level of distress </w:t>
      </w:r>
      <w:r w:rsidR="00C76F43">
        <w:rPr>
          <w:lang w:val="en-US"/>
        </w:rPr>
        <w:t xml:space="preserve">(mild, moderate, or severe) </w:t>
      </w:r>
      <w:r w:rsidR="0008543D">
        <w:rPr>
          <w:lang w:val="en-US"/>
        </w:rPr>
        <w:t>about this.</w:t>
      </w:r>
    </w:p>
    <w:p w14:paraId="37359CE2" w14:textId="77777777" w:rsidR="00CF69A9" w:rsidRDefault="005E40AE" w:rsidP="00D229EA">
      <w:pPr>
        <w:widowControl w:val="0"/>
        <w:autoSpaceDE w:val="0"/>
        <w:autoSpaceDN w:val="0"/>
        <w:adjustRightInd w:val="0"/>
        <w:spacing w:line="480" w:lineRule="auto"/>
        <w:ind w:firstLine="810"/>
        <w:rPr>
          <w:color w:val="000000"/>
        </w:rPr>
      </w:pPr>
      <w:r w:rsidRPr="00F120E2">
        <w:rPr>
          <w:iCs/>
          <w:color w:val="000000"/>
        </w:rPr>
        <w:t xml:space="preserve">Emotional intimacy </w:t>
      </w:r>
      <w:r w:rsidR="009677C7" w:rsidRPr="00F120E2">
        <w:rPr>
          <w:color w:val="000000"/>
        </w:rPr>
        <w:t xml:space="preserve">was assessed using the 5-item </w:t>
      </w:r>
      <w:r w:rsidRPr="00F120E2">
        <w:rPr>
          <w:color w:val="000000"/>
        </w:rPr>
        <w:t>Emotional Intimacy Scale</w:t>
      </w:r>
      <w:r w:rsidR="00682AF8">
        <w:rPr>
          <w:color w:val="000000"/>
        </w:rPr>
        <w:t xml:space="preserve"> (Sinclair &amp; Dowdy, 2005),</w:t>
      </w:r>
      <w:r w:rsidRPr="00F120E2">
        <w:rPr>
          <w:color w:val="000000"/>
        </w:rPr>
        <w:t xml:space="preserve"> which had a high reliability in all four countries (Cronbach’s </w:t>
      </w:r>
      <w:r w:rsidRPr="00F120E2">
        <w:rPr>
          <w:i/>
          <w:iCs/>
          <w:color w:val="000000"/>
        </w:rPr>
        <w:t xml:space="preserve">α </w:t>
      </w:r>
      <w:r w:rsidR="00106DC4">
        <w:rPr>
          <w:color w:val="000000"/>
        </w:rPr>
        <w:t>ranged from</w:t>
      </w:r>
      <w:r w:rsidR="00704BA6" w:rsidRPr="00F120E2">
        <w:rPr>
          <w:color w:val="000000"/>
        </w:rPr>
        <w:t xml:space="preserve"> .91-.93</w:t>
      </w:r>
      <w:r w:rsidRPr="00F120E2">
        <w:rPr>
          <w:color w:val="000000"/>
        </w:rPr>
        <w:t xml:space="preserve">). </w:t>
      </w:r>
      <w:r w:rsidR="009677C7" w:rsidRPr="00F120E2">
        <w:rPr>
          <w:color w:val="000000"/>
        </w:rPr>
        <w:t>A sample item was “</w:t>
      </w:r>
      <w:r w:rsidR="009677C7" w:rsidRPr="00F120E2">
        <w:rPr>
          <w:iCs/>
          <w:color w:val="000000"/>
        </w:rPr>
        <w:t xml:space="preserve">I can share my deepest thoughts and feelings with this person </w:t>
      </w:r>
      <w:r w:rsidR="009677C7" w:rsidRPr="00F120E2">
        <w:rPr>
          <w:color w:val="000000"/>
        </w:rPr>
        <w:t xml:space="preserve">and </w:t>
      </w:r>
      <w:r w:rsidR="009677C7" w:rsidRPr="00F120E2">
        <w:rPr>
          <w:iCs/>
          <w:color w:val="000000"/>
        </w:rPr>
        <w:t>this person cares deeply for me</w:t>
      </w:r>
      <w:r w:rsidR="00106DC4">
        <w:rPr>
          <w:color w:val="000000"/>
        </w:rPr>
        <w:t xml:space="preserve">.” </w:t>
      </w:r>
      <w:r w:rsidR="00895619" w:rsidRPr="00F120E2">
        <w:rPr>
          <w:color w:val="000000"/>
        </w:rPr>
        <w:t>S</w:t>
      </w:r>
      <w:r w:rsidRPr="00F120E2">
        <w:rPr>
          <w:color w:val="000000"/>
        </w:rPr>
        <w:t xml:space="preserve">cores were reverse-coded, so that higher scores indicate higher </w:t>
      </w:r>
      <w:r w:rsidR="00895619" w:rsidRPr="00F120E2">
        <w:rPr>
          <w:color w:val="000000"/>
        </w:rPr>
        <w:t xml:space="preserve">emotional </w:t>
      </w:r>
      <w:r w:rsidRPr="00F120E2">
        <w:rPr>
          <w:color w:val="000000"/>
        </w:rPr>
        <w:t xml:space="preserve">intimacy. </w:t>
      </w:r>
    </w:p>
    <w:p w14:paraId="1ED05016" w14:textId="77777777" w:rsidR="00895619" w:rsidRDefault="00895619" w:rsidP="00D229EA">
      <w:pPr>
        <w:widowControl w:val="0"/>
        <w:autoSpaceDE w:val="0"/>
        <w:autoSpaceDN w:val="0"/>
        <w:adjustRightInd w:val="0"/>
        <w:spacing w:line="480" w:lineRule="auto"/>
        <w:ind w:firstLine="810"/>
        <w:rPr>
          <w:color w:val="000000"/>
        </w:rPr>
      </w:pPr>
      <w:r w:rsidRPr="00F120E2">
        <w:rPr>
          <w:color w:val="000000"/>
        </w:rPr>
        <w:t>Sexual intimacy was measured by the following one-item indicator</w:t>
      </w:r>
      <w:r w:rsidR="00280735">
        <w:rPr>
          <w:color w:val="000000"/>
        </w:rPr>
        <w:t>, taken from the</w:t>
      </w:r>
      <w:r w:rsidR="00F57A8D">
        <w:rPr>
          <w:color w:val="000000"/>
        </w:rPr>
        <w:t xml:space="preserve"> validated</w:t>
      </w:r>
      <w:r w:rsidR="00280735">
        <w:rPr>
          <w:color w:val="000000"/>
        </w:rPr>
        <w:t xml:space="preserve"> Natsal-3 SF measure (Mitchell et al., 2012)</w:t>
      </w:r>
      <w:r w:rsidRPr="00F120E2">
        <w:rPr>
          <w:color w:val="000000"/>
        </w:rPr>
        <w:t xml:space="preserve">: </w:t>
      </w:r>
      <w:r w:rsidR="0045409A">
        <w:rPr>
          <w:color w:val="000000"/>
        </w:rPr>
        <w:t>“</w:t>
      </w:r>
      <w:r w:rsidRPr="00F120E2">
        <w:rPr>
          <w:iCs/>
          <w:color w:val="000000"/>
        </w:rPr>
        <w:t>I feel emotionally close to my partner when we have sex together</w:t>
      </w:r>
      <w:r w:rsidRPr="00F120E2">
        <w:rPr>
          <w:color w:val="000000"/>
        </w:rPr>
        <w:t>.</w:t>
      </w:r>
      <w:r w:rsidR="0045409A">
        <w:rPr>
          <w:color w:val="000000"/>
        </w:rPr>
        <w:t>”</w:t>
      </w:r>
      <w:r w:rsidRPr="00F120E2">
        <w:rPr>
          <w:color w:val="000000"/>
        </w:rPr>
        <w:t xml:space="preserve"> Responses (1 = always to 5 = hardly ever) were reverse-coded so that higher scores denote higher sexual intimacy. </w:t>
      </w:r>
    </w:p>
    <w:p w14:paraId="00275513" w14:textId="77777777" w:rsidR="00934880" w:rsidRPr="00F120E2" w:rsidRDefault="00D229EA" w:rsidP="00D229EA">
      <w:pPr>
        <w:spacing w:line="480" w:lineRule="auto"/>
      </w:pPr>
      <w:r>
        <w:rPr>
          <w:b/>
        </w:rPr>
        <w:t>Analytic Strategy</w:t>
      </w:r>
    </w:p>
    <w:p w14:paraId="7FF77192" w14:textId="6806CFD7" w:rsidR="00934880" w:rsidRPr="00F120E2" w:rsidRDefault="00670A3C" w:rsidP="00D229EA">
      <w:pPr>
        <w:spacing w:line="480" w:lineRule="auto"/>
        <w:ind w:firstLine="806"/>
        <w:rPr>
          <w:lang w:val="en-US"/>
        </w:rPr>
      </w:pPr>
      <w:r>
        <w:t>W</w:t>
      </w:r>
      <w:r w:rsidR="00934880" w:rsidRPr="00F120E2">
        <w:t>e used unweighted data in all analyses presented</w:t>
      </w:r>
      <w:r>
        <w:t xml:space="preserve"> as the focus was on the women reporting specific sexual difficulties, and not on national averages</w:t>
      </w:r>
      <w:r w:rsidR="00934880" w:rsidRPr="00F120E2">
        <w:t xml:space="preserve">. While univariate analysis was </w:t>
      </w:r>
      <w:r w:rsidR="00934880" w:rsidRPr="00F120E2">
        <w:lastRenderedPageBreak/>
        <w:t xml:space="preserve">carried out separately for each country, multivariate OLS regression analysis used a pooled sample controlling for countries (the largest sample, Norwegian women, was employed as </w:t>
      </w:r>
      <w:r w:rsidR="00317058" w:rsidRPr="00F120E2">
        <w:t xml:space="preserve">the </w:t>
      </w:r>
      <w:r w:rsidR="00934880" w:rsidRPr="00F120E2">
        <w:t>reference</w:t>
      </w:r>
      <w:r w:rsidR="00317058" w:rsidRPr="00F120E2">
        <w:t xml:space="preserve"> group</w:t>
      </w:r>
      <w:r w:rsidR="00934880" w:rsidRPr="00F120E2">
        <w:t xml:space="preserve">). </w:t>
      </w:r>
      <w:r>
        <w:t>R</w:t>
      </w:r>
      <w:r w:rsidR="00934880" w:rsidRPr="00F120E2">
        <w:t xml:space="preserve">obust standard errors were employed. </w:t>
      </w:r>
      <w:r w:rsidR="00343D17">
        <w:t xml:space="preserve">Analyses of predictors of distress were only conducted on the sub-sample that had actually reported that difficulty. </w:t>
      </w:r>
      <w:r w:rsidR="00CE616E">
        <w:t xml:space="preserve">The </w:t>
      </w:r>
      <w:r w:rsidR="00934880" w:rsidRPr="00F120E2">
        <w:t>IBM SPSS 24 statistical s</w:t>
      </w:r>
      <w:r w:rsidR="00934880" w:rsidRPr="00364C8C">
        <w:t>oftware</w:t>
      </w:r>
      <w:r w:rsidR="00934880" w:rsidRPr="00F120E2">
        <w:t xml:space="preserve"> package was used for univariate and R version 3.6.0 for multivariate regression analys</w:t>
      </w:r>
      <w:r w:rsidR="0019513D">
        <w:t>e</w:t>
      </w:r>
      <w:r w:rsidR="00934880" w:rsidRPr="00F120E2">
        <w:t>s.</w:t>
      </w:r>
    </w:p>
    <w:p w14:paraId="52CCECAB" w14:textId="77777777" w:rsidR="00934880" w:rsidRPr="00F120E2" w:rsidRDefault="00934880" w:rsidP="00D229EA">
      <w:pPr>
        <w:spacing w:line="480" w:lineRule="auto"/>
        <w:ind w:firstLine="806"/>
        <w:jc w:val="center"/>
        <w:rPr>
          <w:b/>
        </w:rPr>
      </w:pPr>
      <w:r w:rsidRPr="00F120E2">
        <w:rPr>
          <w:b/>
        </w:rPr>
        <w:t>Results</w:t>
      </w:r>
    </w:p>
    <w:p w14:paraId="1AA0434D" w14:textId="77777777" w:rsidR="00934880" w:rsidRDefault="00934880" w:rsidP="00D229EA">
      <w:pPr>
        <w:spacing w:line="480" w:lineRule="auto"/>
        <w:ind w:firstLine="806"/>
      </w:pPr>
      <w:r w:rsidRPr="00F120E2">
        <w:t xml:space="preserve">Table 1 presents sociodemographic information about participants by country. Age differences among countries were </w:t>
      </w:r>
      <w:r w:rsidR="00A26950">
        <w:t>modest</w:t>
      </w:r>
      <w:r w:rsidRPr="00F120E2">
        <w:t>, with Norwegian women being the oldest (</w:t>
      </w:r>
      <w:r w:rsidRPr="00A66AC3">
        <w:rPr>
          <w:i/>
        </w:rPr>
        <w:t>M</w:t>
      </w:r>
      <w:r w:rsidRPr="00F120E2">
        <w:t xml:space="preserve"> = 66.5, </w:t>
      </w:r>
      <w:r w:rsidRPr="00A66AC3">
        <w:rPr>
          <w:i/>
        </w:rPr>
        <w:t xml:space="preserve">SD </w:t>
      </w:r>
      <w:r w:rsidRPr="00F120E2">
        <w:t>= 4.12) and Portuguese women the youngest (</w:t>
      </w:r>
      <w:r w:rsidRPr="00A66AC3">
        <w:rPr>
          <w:i/>
        </w:rPr>
        <w:t>M</w:t>
      </w:r>
      <w:r w:rsidRPr="00F120E2">
        <w:t xml:space="preserve"> = 64.3, </w:t>
      </w:r>
      <w:r w:rsidRPr="00A66AC3">
        <w:rPr>
          <w:i/>
        </w:rPr>
        <w:t>SD</w:t>
      </w:r>
      <w:r w:rsidRPr="00F120E2">
        <w:t xml:space="preserve"> = 3.88). In contrast, </w:t>
      </w:r>
      <w:r w:rsidR="00227DF9">
        <w:t>significant</w:t>
      </w:r>
      <w:r w:rsidRPr="00F120E2">
        <w:t xml:space="preserve"> </w:t>
      </w:r>
      <w:r w:rsidR="00A66AC3">
        <w:t xml:space="preserve">cross-country </w:t>
      </w:r>
      <w:r w:rsidRPr="00F120E2">
        <w:t xml:space="preserve">differences were found in education levels, particularly between Norwegian and Portuguese women. While percentages of college educated and only primary school educated women in the Norwegian sample were 54.1% and 5.6%, respectively, the proportions in the Portuguese sample were 20.7% and 27.1%.  Frequency of attending religious </w:t>
      </w:r>
      <w:r w:rsidR="009E251A" w:rsidRPr="00F120E2">
        <w:t xml:space="preserve">services </w:t>
      </w:r>
      <w:r w:rsidRPr="00F120E2">
        <w:t xml:space="preserve">was also markedly different for women </w:t>
      </w:r>
      <w:r w:rsidR="009E251A" w:rsidRPr="00F120E2">
        <w:t xml:space="preserve">across </w:t>
      </w:r>
      <w:r w:rsidRPr="00F120E2">
        <w:t xml:space="preserve">the four countries. </w:t>
      </w:r>
      <w:r w:rsidR="009A1C0F">
        <w:t>Never attending religious services</w:t>
      </w:r>
      <w:r w:rsidRPr="00F120E2">
        <w:t xml:space="preserve"> was hig</w:t>
      </w:r>
      <w:r w:rsidR="009E251A" w:rsidRPr="00F120E2">
        <w:t xml:space="preserve">hest among Belgian (36.9%) and </w:t>
      </w:r>
      <w:r w:rsidRPr="00F120E2">
        <w:t xml:space="preserve">lowest </w:t>
      </w:r>
      <w:r w:rsidR="009E251A" w:rsidRPr="00F120E2">
        <w:t>among</w:t>
      </w:r>
      <w:r w:rsidRPr="00F120E2">
        <w:t xml:space="preserve"> Danish women (23.</w:t>
      </w:r>
      <w:r w:rsidR="00C06B5F" w:rsidRPr="00F120E2">
        <w:t>7</w:t>
      </w:r>
      <w:r w:rsidRPr="00F120E2">
        <w:t>%). Religiosity levels were highest in</w:t>
      </w:r>
      <w:r w:rsidR="009E251A" w:rsidRPr="00F120E2">
        <w:t xml:space="preserve"> t</w:t>
      </w:r>
      <w:r w:rsidR="0020638C" w:rsidRPr="00F120E2">
        <w:t>he Portuguese sample, where 41.6</w:t>
      </w:r>
      <w:r w:rsidRPr="00F120E2">
        <w:t xml:space="preserve">% of participants reported attending religious </w:t>
      </w:r>
      <w:r w:rsidR="009A1C0F">
        <w:t>services</w:t>
      </w:r>
      <w:r w:rsidRPr="00F120E2">
        <w:t xml:space="preserve"> at least once a month. </w:t>
      </w:r>
    </w:p>
    <w:p w14:paraId="11429906" w14:textId="77777777" w:rsidR="00A66AC3" w:rsidRPr="00F120E2" w:rsidRDefault="00A66AC3" w:rsidP="00D229EA">
      <w:pPr>
        <w:spacing w:line="480" w:lineRule="auto"/>
        <w:ind w:firstLine="806"/>
        <w:jc w:val="center"/>
      </w:pPr>
      <w:r w:rsidRPr="00F120E2">
        <w:t>--------------------------------</w:t>
      </w:r>
    </w:p>
    <w:p w14:paraId="42F5298F" w14:textId="77777777" w:rsidR="00A66AC3" w:rsidRPr="00F120E2" w:rsidRDefault="00A66AC3" w:rsidP="00D229EA">
      <w:pPr>
        <w:spacing w:line="480" w:lineRule="auto"/>
        <w:ind w:firstLine="806"/>
        <w:jc w:val="center"/>
      </w:pPr>
      <w:r w:rsidRPr="00F120E2">
        <w:t>TABLE 1 ABOUT HERE</w:t>
      </w:r>
    </w:p>
    <w:p w14:paraId="52483D7F" w14:textId="77777777" w:rsidR="00A66AC3" w:rsidRPr="00F120E2" w:rsidRDefault="00A66AC3" w:rsidP="00D229EA">
      <w:pPr>
        <w:spacing w:line="480" w:lineRule="auto"/>
        <w:ind w:firstLine="806"/>
        <w:jc w:val="center"/>
      </w:pPr>
      <w:r w:rsidRPr="00F120E2">
        <w:t>--------------------------------</w:t>
      </w:r>
    </w:p>
    <w:p w14:paraId="386C1637" w14:textId="694EB243" w:rsidR="00A66AC3" w:rsidRDefault="00A66AC3" w:rsidP="00D229EA">
      <w:pPr>
        <w:spacing w:line="480" w:lineRule="auto"/>
        <w:ind w:firstLine="806"/>
      </w:pPr>
      <w:r w:rsidRPr="00A66AC3">
        <w:t xml:space="preserve">Table 2 presents the prevalence of sexual difficulties by country. </w:t>
      </w:r>
      <w:r w:rsidR="003F46EF">
        <w:t xml:space="preserve">Across all countries, the most common sexual difficulties reported were orgasmic difficulties, vaginal dryness, and </w:t>
      </w:r>
      <w:r w:rsidR="003F46EF">
        <w:lastRenderedPageBreak/>
        <w:t>lacking interest in sex.</w:t>
      </w:r>
      <w:r w:rsidR="00AA0AA6">
        <w:t xml:space="preserve"> For </w:t>
      </w:r>
      <w:r w:rsidR="00A34205">
        <w:t xml:space="preserve">these </w:t>
      </w:r>
      <w:r w:rsidR="00AA0AA6">
        <w:t>three sexual difficulties</w:t>
      </w:r>
      <w:r w:rsidR="00451E03">
        <w:t xml:space="preserve"> –</w:t>
      </w:r>
      <w:r w:rsidR="00A34205">
        <w:t xml:space="preserve"> </w:t>
      </w:r>
      <w:r w:rsidR="00451E03">
        <w:t xml:space="preserve">orgasmic difficulties, </w:t>
      </w:r>
      <w:r w:rsidR="00A34205">
        <w:t xml:space="preserve">vaginal dryness, </w:t>
      </w:r>
      <w:r w:rsidR="00451E03">
        <w:t xml:space="preserve">and lacking interest in sex – </w:t>
      </w:r>
      <w:r w:rsidR="00AA0AA6">
        <w:t xml:space="preserve">Portuguese women showed the highest </w:t>
      </w:r>
      <w:r w:rsidR="00451E03">
        <w:t>prevalence rates.</w:t>
      </w:r>
    </w:p>
    <w:p w14:paraId="259D1718" w14:textId="77777777" w:rsidR="00A66AC3" w:rsidRPr="00F120E2" w:rsidRDefault="00A66AC3" w:rsidP="00D229EA">
      <w:pPr>
        <w:spacing w:line="480" w:lineRule="auto"/>
        <w:ind w:firstLine="806"/>
        <w:jc w:val="center"/>
      </w:pPr>
      <w:r w:rsidRPr="00F120E2">
        <w:t>--------------------------------</w:t>
      </w:r>
    </w:p>
    <w:p w14:paraId="168BC8C4" w14:textId="77777777" w:rsidR="00A66AC3" w:rsidRPr="00F120E2" w:rsidRDefault="00A66AC3" w:rsidP="00D229EA">
      <w:pPr>
        <w:spacing w:line="480" w:lineRule="auto"/>
        <w:ind w:firstLine="806"/>
        <w:jc w:val="center"/>
      </w:pPr>
      <w:r w:rsidRPr="00F120E2">
        <w:t xml:space="preserve">TABLE </w:t>
      </w:r>
      <w:r>
        <w:t>2</w:t>
      </w:r>
      <w:r w:rsidRPr="00F120E2">
        <w:t xml:space="preserve"> ABOUT HERE</w:t>
      </w:r>
    </w:p>
    <w:p w14:paraId="0BA1C0E7" w14:textId="77777777" w:rsidR="00A66AC3" w:rsidRPr="00F120E2" w:rsidRDefault="00A66AC3" w:rsidP="00D229EA">
      <w:pPr>
        <w:spacing w:line="480" w:lineRule="auto"/>
        <w:ind w:firstLine="806"/>
        <w:jc w:val="center"/>
      </w:pPr>
      <w:r w:rsidRPr="00F120E2">
        <w:t>--------------------------------</w:t>
      </w:r>
    </w:p>
    <w:p w14:paraId="57720C26" w14:textId="77777777" w:rsidR="00934880" w:rsidRPr="00F120E2" w:rsidRDefault="00934880" w:rsidP="00D229EA">
      <w:pPr>
        <w:spacing w:line="480" w:lineRule="auto"/>
        <w:ind w:firstLine="806"/>
        <w:rPr>
          <w:lang w:val="en-US"/>
        </w:rPr>
      </w:pPr>
      <w:r w:rsidRPr="00F120E2">
        <w:t xml:space="preserve">Next, we analysed the prevalence of </w:t>
      </w:r>
      <w:r w:rsidR="009E77F8" w:rsidRPr="00F120E2">
        <w:t xml:space="preserve">distressing </w:t>
      </w:r>
      <w:r w:rsidRPr="00F120E2">
        <w:t xml:space="preserve">sexual difficulties </w:t>
      </w:r>
      <w:r w:rsidR="00343E5C">
        <w:t>(</w:t>
      </w:r>
      <w:r w:rsidR="009E77F8" w:rsidRPr="00F120E2">
        <w:t>i.e., reporting both a sexual difficulty and associated distress</w:t>
      </w:r>
      <w:r w:rsidR="005C24A0" w:rsidRPr="005C24A0">
        <w:t xml:space="preserve"> </w:t>
      </w:r>
      <w:r w:rsidR="005C24A0" w:rsidRPr="00F120E2">
        <w:t>by country</w:t>
      </w:r>
      <w:r w:rsidR="00343E5C">
        <w:t>)</w:t>
      </w:r>
      <w:r w:rsidRPr="00F120E2">
        <w:t>. About a fourth of participants (26.5%) reported no distress</w:t>
      </w:r>
      <w:r w:rsidR="009E77F8" w:rsidRPr="00F120E2">
        <w:t>ing</w:t>
      </w:r>
      <w:r w:rsidRPr="00F120E2">
        <w:t xml:space="preserve"> sexual difficulty</w:t>
      </w:r>
      <w:r w:rsidRPr="00F120E2">
        <w:rPr>
          <w:lang w:val="en-US"/>
        </w:rPr>
        <w:t xml:space="preserve"> lasting 3 months or more in the past 12 months. Among women who reported moderate to severe distress (see Table </w:t>
      </w:r>
      <w:r w:rsidR="00A66AC3">
        <w:rPr>
          <w:lang w:val="en-US"/>
        </w:rPr>
        <w:t>3</w:t>
      </w:r>
      <w:r w:rsidRPr="00F120E2">
        <w:rPr>
          <w:lang w:val="en-US"/>
        </w:rPr>
        <w:t xml:space="preserve">), the most frequent sexual difficulty was vaginal dryness (n = 189), followed by problems with reaching orgasm (n = 121), and </w:t>
      </w:r>
      <w:r w:rsidR="00E64F14" w:rsidRPr="00F120E2">
        <w:rPr>
          <w:lang w:val="en-US"/>
        </w:rPr>
        <w:t>lacking</w:t>
      </w:r>
      <w:r w:rsidRPr="00F120E2">
        <w:rPr>
          <w:lang w:val="en-US"/>
        </w:rPr>
        <w:t xml:space="preserve"> interest in sex (n = 116). </w:t>
      </w:r>
    </w:p>
    <w:p w14:paraId="4D48EA6A" w14:textId="77777777" w:rsidR="00934880" w:rsidRPr="00F120E2" w:rsidRDefault="00934880" w:rsidP="00D229EA">
      <w:pPr>
        <w:spacing w:line="480" w:lineRule="auto"/>
        <w:ind w:firstLine="806"/>
        <w:jc w:val="center"/>
      </w:pPr>
      <w:r w:rsidRPr="00F120E2">
        <w:t>--------------------------------</w:t>
      </w:r>
    </w:p>
    <w:p w14:paraId="0155D1D5" w14:textId="77777777" w:rsidR="00934880" w:rsidRPr="00F120E2" w:rsidRDefault="00934880" w:rsidP="00D229EA">
      <w:pPr>
        <w:spacing w:line="480" w:lineRule="auto"/>
        <w:ind w:firstLine="806"/>
        <w:jc w:val="center"/>
      </w:pPr>
      <w:r w:rsidRPr="00F120E2">
        <w:t xml:space="preserve">TABLE </w:t>
      </w:r>
      <w:r w:rsidR="00A66AC3">
        <w:t>3</w:t>
      </w:r>
      <w:r w:rsidRPr="00F120E2">
        <w:t xml:space="preserve"> ABOUT HERE</w:t>
      </w:r>
    </w:p>
    <w:p w14:paraId="545F8C61" w14:textId="77777777" w:rsidR="00934880" w:rsidRPr="00F120E2" w:rsidRDefault="00934880" w:rsidP="00D229EA">
      <w:pPr>
        <w:spacing w:line="480" w:lineRule="auto"/>
        <w:ind w:firstLine="806"/>
        <w:jc w:val="center"/>
      </w:pPr>
      <w:r w:rsidRPr="00F120E2">
        <w:t>--------------------------------</w:t>
      </w:r>
    </w:p>
    <w:p w14:paraId="70994153" w14:textId="1D43317F" w:rsidR="00791E61" w:rsidRPr="00F120E2" w:rsidRDefault="00934880" w:rsidP="00D229EA">
      <w:pPr>
        <w:spacing w:line="480" w:lineRule="auto"/>
        <w:ind w:firstLine="806"/>
      </w:pPr>
      <w:r w:rsidRPr="00F120E2">
        <w:rPr>
          <w:lang w:val="en-US"/>
        </w:rPr>
        <w:t xml:space="preserve">Finally, we explored predictors and correlates of the six </w:t>
      </w:r>
      <w:r w:rsidR="00A26950">
        <w:rPr>
          <w:lang w:val="en-US"/>
        </w:rPr>
        <w:t xml:space="preserve">distressing </w:t>
      </w:r>
      <w:r w:rsidRPr="00F120E2">
        <w:rPr>
          <w:lang w:val="en-US"/>
        </w:rPr>
        <w:t xml:space="preserve">sexual difficulties. As presented in Table </w:t>
      </w:r>
      <w:r w:rsidR="00A66AC3">
        <w:rPr>
          <w:lang w:val="en-US"/>
        </w:rPr>
        <w:t>4</w:t>
      </w:r>
      <w:r w:rsidRPr="00F120E2">
        <w:rPr>
          <w:lang w:val="en-US"/>
        </w:rPr>
        <w:t xml:space="preserve">, apart from some between-country differences, we found few significant predictors and correlates. </w:t>
      </w:r>
      <w:r w:rsidR="0047332E">
        <w:t>Evidence for</w:t>
      </w:r>
      <w:r w:rsidR="00791E61" w:rsidRPr="00F120E2">
        <w:t xml:space="preserve"> </w:t>
      </w:r>
      <w:r w:rsidR="0047332E">
        <w:t>differences in the prevalence of sexual difficulties by country was found</w:t>
      </w:r>
      <w:r w:rsidR="00791E61" w:rsidRPr="00F120E2">
        <w:t xml:space="preserve"> primarily for orgasmic difficulties and vaginal dryness. Although on average somewhat younger, Portuguese women were characterized by substantially higher frequency of the two most prevalent distressing difficulties (vaginal dryness and problems with orgasm) than Norwegian women.</w:t>
      </w:r>
      <w:r w:rsidR="00A34205">
        <w:t xml:space="preserve"> </w:t>
      </w:r>
      <w:r w:rsidR="00A34205" w:rsidRPr="00F120E2">
        <w:t xml:space="preserve">Overall, compared to their Norwegian peers, women in the Danish sample </w:t>
      </w:r>
      <w:r w:rsidR="00A34205">
        <w:t>were less likely to report</w:t>
      </w:r>
      <w:r w:rsidR="00A34205" w:rsidRPr="00F120E2">
        <w:t xml:space="preserve"> di</w:t>
      </w:r>
      <w:r w:rsidR="00A34205">
        <w:t>stressing sexual difficulties.</w:t>
      </w:r>
    </w:p>
    <w:p w14:paraId="426BFB86" w14:textId="77777777" w:rsidR="00934880" w:rsidRPr="00F120E2" w:rsidRDefault="00934880" w:rsidP="00D229EA">
      <w:pPr>
        <w:spacing w:line="480" w:lineRule="auto"/>
        <w:ind w:firstLine="806"/>
        <w:rPr>
          <w:lang w:val="en-US"/>
        </w:rPr>
      </w:pPr>
      <w:r w:rsidRPr="00F120E2">
        <w:rPr>
          <w:lang w:val="en-US"/>
        </w:rPr>
        <w:lastRenderedPageBreak/>
        <w:t>College or university education was related to distressing vaginal dryness (</w:t>
      </w:r>
      <w:r w:rsidRPr="0066032B">
        <w:rPr>
          <w:i/>
          <w:lang w:val="en-US"/>
        </w:rPr>
        <w:t>b</w:t>
      </w:r>
      <w:r w:rsidRPr="00F120E2">
        <w:rPr>
          <w:lang w:val="en-US"/>
        </w:rPr>
        <w:t xml:space="preserve"> = 0.38, </w:t>
      </w:r>
      <w:r w:rsidRPr="0066032B">
        <w:rPr>
          <w:i/>
          <w:lang w:val="en-US"/>
        </w:rPr>
        <w:t>p</w:t>
      </w:r>
      <w:r w:rsidRPr="00F120E2">
        <w:rPr>
          <w:lang w:val="en-US"/>
        </w:rPr>
        <w:t xml:space="preserve"> = .014)</w:t>
      </w:r>
      <w:r w:rsidR="00CC7DFA" w:rsidRPr="00F120E2">
        <w:rPr>
          <w:lang w:val="en-US"/>
        </w:rPr>
        <w:t>;</w:t>
      </w:r>
      <w:r w:rsidRPr="00F120E2">
        <w:rPr>
          <w:lang w:val="en-US"/>
        </w:rPr>
        <w:t xml:space="preserve"> </w:t>
      </w:r>
      <w:r w:rsidR="00CC7DFA" w:rsidRPr="00F120E2">
        <w:rPr>
          <w:lang w:val="en-US"/>
        </w:rPr>
        <w:t>c</w:t>
      </w:r>
      <w:r w:rsidRPr="00F120E2">
        <w:rPr>
          <w:lang w:val="en-US"/>
        </w:rPr>
        <w:t>ompared to women with only primary education, highly educated women were more distress</w:t>
      </w:r>
      <w:r w:rsidR="00E64F14" w:rsidRPr="00F120E2">
        <w:rPr>
          <w:lang w:val="en-US"/>
        </w:rPr>
        <w:t>ed</w:t>
      </w:r>
      <w:r w:rsidRPr="00F120E2">
        <w:rPr>
          <w:lang w:val="en-US"/>
        </w:rPr>
        <w:t xml:space="preserve"> about </w:t>
      </w:r>
      <w:r w:rsidR="00E64F14" w:rsidRPr="00F120E2">
        <w:rPr>
          <w:lang w:val="en-US"/>
        </w:rPr>
        <w:t>this symptom</w:t>
      </w:r>
      <w:r w:rsidRPr="00F120E2">
        <w:rPr>
          <w:lang w:val="en-US"/>
        </w:rPr>
        <w:t>. No other significant sociodemographic predictors were observed across</w:t>
      </w:r>
      <w:r w:rsidR="0047332E">
        <w:rPr>
          <w:lang w:val="en-US"/>
        </w:rPr>
        <w:t xml:space="preserve"> the remaining</w:t>
      </w:r>
      <w:r w:rsidRPr="00F120E2">
        <w:rPr>
          <w:lang w:val="en-US"/>
        </w:rPr>
        <w:t xml:space="preserve"> sexual </w:t>
      </w:r>
      <w:r w:rsidR="00E64F14" w:rsidRPr="00F120E2">
        <w:rPr>
          <w:lang w:val="en-US"/>
        </w:rPr>
        <w:t>difficulties</w:t>
      </w:r>
      <w:r w:rsidRPr="00F120E2">
        <w:rPr>
          <w:lang w:val="en-US"/>
        </w:rPr>
        <w:t>.</w:t>
      </w:r>
    </w:p>
    <w:p w14:paraId="439D0C96" w14:textId="77777777" w:rsidR="00934880" w:rsidRPr="00F120E2" w:rsidRDefault="00934880" w:rsidP="00D229EA">
      <w:pPr>
        <w:spacing w:line="480" w:lineRule="auto"/>
        <w:ind w:firstLine="806"/>
        <w:rPr>
          <w:lang w:val="en-US"/>
        </w:rPr>
      </w:pPr>
      <w:r w:rsidRPr="00F120E2">
        <w:rPr>
          <w:lang w:val="en-US"/>
        </w:rPr>
        <w:t xml:space="preserve">Emotional intimacy was significantly and negatively related to </w:t>
      </w:r>
      <w:r w:rsidR="0047332E">
        <w:rPr>
          <w:lang w:val="en-US"/>
        </w:rPr>
        <w:t>distress about</w:t>
      </w:r>
      <w:r w:rsidRPr="00F120E2">
        <w:rPr>
          <w:lang w:val="en-US"/>
        </w:rPr>
        <w:t xml:space="preserve"> </w:t>
      </w:r>
      <w:r w:rsidR="00E64F14" w:rsidRPr="00F120E2">
        <w:rPr>
          <w:lang w:val="en-US"/>
        </w:rPr>
        <w:t xml:space="preserve">vaginal </w:t>
      </w:r>
      <w:r w:rsidRPr="00F120E2">
        <w:rPr>
          <w:lang w:val="en-US"/>
        </w:rPr>
        <w:t>dryness (</w:t>
      </w:r>
      <w:r w:rsidRPr="00F120E2">
        <w:rPr>
          <w:i/>
          <w:lang w:val="en-US"/>
        </w:rPr>
        <w:t>b</w:t>
      </w:r>
      <w:r w:rsidRPr="00F120E2">
        <w:rPr>
          <w:lang w:val="en-US"/>
        </w:rPr>
        <w:t xml:space="preserve"> = -0.02, </w:t>
      </w:r>
      <w:r w:rsidRPr="00F120E2">
        <w:rPr>
          <w:i/>
          <w:lang w:val="en-US"/>
        </w:rPr>
        <w:t>p</w:t>
      </w:r>
      <w:r w:rsidRPr="00F120E2">
        <w:rPr>
          <w:lang w:val="en-US"/>
        </w:rPr>
        <w:t xml:space="preserve"> = .022); the higher the reported emotional intimacy with a partner, the lower the distress. Similarly, sexual intimacy was significantly associated with </w:t>
      </w:r>
      <w:r w:rsidR="00CC7DFA" w:rsidRPr="00F120E2">
        <w:rPr>
          <w:lang w:val="en-US"/>
        </w:rPr>
        <w:t xml:space="preserve">distressing </w:t>
      </w:r>
      <w:r w:rsidRPr="00F120E2">
        <w:rPr>
          <w:lang w:val="en-US"/>
        </w:rPr>
        <w:t xml:space="preserve">orgasmic </w:t>
      </w:r>
      <w:r w:rsidR="00E64F14" w:rsidRPr="00F120E2">
        <w:rPr>
          <w:lang w:val="en-US"/>
        </w:rPr>
        <w:t>difficulties</w:t>
      </w:r>
      <w:r w:rsidRPr="00F120E2">
        <w:rPr>
          <w:lang w:val="en-US"/>
        </w:rPr>
        <w:t xml:space="preserve"> (</w:t>
      </w:r>
      <w:r w:rsidRPr="00F120E2">
        <w:rPr>
          <w:i/>
          <w:lang w:val="en-US"/>
        </w:rPr>
        <w:t>b</w:t>
      </w:r>
      <w:r w:rsidRPr="00F120E2">
        <w:rPr>
          <w:lang w:val="en-US"/>
        </w:rPr>
        <w:t xml:space="preserve"> = -0.18, </w:t>
      </w:r>
      <w:r w:rsidRPr="00F120E2">
        <w:rPr>
          <w:i/>
          <w:lang w:val="en-US"/>
        </w:rPr>
        <w:t>p</w:t>
      </w:r>
      <w:r w:rsidRPr="00F120E2">
        <w:rPr>
          <w:lang w:val="en-US"/>
        </w:rPr>
        <w:t xml:space="preserve"> = .020), with higher levels of </w:t>
      </w:r>
      <w:r w:rsidR="00CC7DFA" w:rsidRPr="00F120E2">
        <w:rPr>
          <w:lang w:val="en-US"/>
        </w:rPr>
        <w:t xml:space="preserve">closeness </w:t>
      </w:r>
      <w:r w:rsidRPr="00F120E2">
        <w:rPr>
          <w:lang w:val="en-US"/>
        </w:rPr>
        <w:t xml:space="preserve">with a partner during sex </w:t>
      </w:r>
      <w:r w:rsidR="00E64F14" w:rsidRPr="00F120E2">
        <w:rPr>
          <w:lang w:val="en-US"/>
        </w:rPr>
        <w:t>associated with</w:t>
      </w:r>
      <w:r w:rsidRPr="00F120E2">
        <w:rPr>
          <w:lang w:val="en-US"/>
        </w:rPr>
        <w:t xml:space="preserve"> lower distress about orgasmic function. Finally, mental h</w:t>
      </w:r>
      <w:r w:rsidR="00DF5477">
        <w:rPr>
          <w:lang w:val="en-US"/>
        </w:rPr>
        <w:t>ealth status was related to distress about</w:t>
      </w:r>
      <w:r w:rsidRPr="00F120E2">
        <w:rPr>
          <w:lang w:val="en-US"/>
        </w:rPr>
        <w:t xml:space="preserve"> lack of enjoyment in sexual activities (</w:t>
      </w:r>
      <w:r w:rsidRPr="00F120E2">
        <w:rPr>
          <w:i/>
          <w:lang w:val="en-US"/>
        </w:rPr>
        <w:t>b</w:t>
      </w:r>
      <w:r w:rsidRPr="00F120E2">
        <w:rPr>
          <w:lang w:val="en-US"/>
        </w:rPr>
        <w:t xml:space="preserve"> = -0.02, </w:t>
      </w:r>
      <w:r w:rsidRPr="00F120E2">
        <w:rPr>
          <w:i/>
          <w:lang w:val="en-US"/>
        </w:rPr>
        <w:t>p</w:t>
      </w:r>
      <w:r w:rsidR="008F63C2">
        <w:rPr>
          <w:lang w:val="en-US"/>
        </w:rPr>
        <w:t xml:space="preserve"> = .018); w</w:t>
      </w:r>
      <w:r w:rsidRPr="00F120E2">
        <w:rPr>
          <w:lang w:val="en-US"/>
        </w:rPr>
        <w:t xml:space="preserve">omen with </w:t>
      </w:r>
      <w:r w:rsidR="00E64F14" w:rsidRPr="00F120E2">
        <w:rPr>
          <w:lang w:val="en-US"/>
        </w:rPr>
        <w:t>better</w:t>
      </w:r>
      <w:r w:rsidRPr="00F120E2">
        <w:rPr>
          <w:lang w:val="en-US"/>
        </w:rPr>
        <w:t xml:space="preserve"> mental health scores reported </w:t>
      </w:r>
      <w:r w:rsidR="00D80B8F" w:rsidRPr="00F120E2">
        <w:rPr>
          <w:lang w:val="en-US"/>
        </w:rPr>
        <w:t>less</w:t>
      </w:r>
      <w:r w:rsidRPr="00F120E2">
        <w:rPr>
          <w:lang w:val="en-US"/>
        </w:rPr>
        <w:t xml:space="preserve"> distress about not enjoying sex.</w:t>
      </w:r>
    </w:p>
    <w:p w14:paraId="7AF8A636" w14:textId="77777777" w:rsidR="00934880" w:rsidRPr="00F120E2" w:rsidRDefault="00934880" w:rsidP="00D229EA">
      <w:pPr>
        <w:spacing w:line="480" w:lineRule="auto"/>
        <w:ind w:firstLine="806"/>
        <w:jc w:val="center"/>
      </w:pPr>
      <w:r w:rsidRPr="00F120E2">
        <w:t>--------------------------------</w:t>
      </w:r>
    </w:p>
    <w:p w14:paraId="300D7003" w14:textId="77777777" w:rsidR="00934880" w:rsidRPr="00F120E2" w:rsidRDefault="00934880" w:rsidP="00D229EA">
      <w:pPr>
        <w:spacing w:line="480" w:lineRule="auto"/>
        <w:ind w:firstLine="806"/>
        <w:jc w:val="center"/>
      </w:pPr>
      <w:r w:rsidRPr="00F120E2">
        <w:t xml:space="preserve">TABLE </w:t>
      </w:r>
      <w:r w:rsidR="00A66AC3">
        <w:t>4</w:t>
      </w:r>
      <w:r w:rsidRPr="00F120E2">
        <w:t xml:space="preserve"> ABOUT HERE</w:t>
      </w:r>
    </w:p>
    <w:p w14:paraId="0E8EE973" w14:textId="77777777" w:rsidR="00934880" w:rsidRPr="00F120E2" w:rsidRDefault="00934880" w:rsidP="00D229EA">
      <w:pPr>
        <w:spacing w:line="480" w:lineRule="auto"/>
        <w:ind w:firstLine="806"/>
        <w:jc w:val="center"/>
      </w:pPr>
      <w:r w:rsidRPr="00F120E2">
        <w:t>--------------------------------</w:t>
      </w:r>
    </w:p>
    <w:p w14:paraId="1B9EA9C3" w14:textId="77777777" w:rsidR="00934880" w:rsidRPr="00F120E2" w:rsidRDefault="008F63C2" w:rsidP="00D229EA">
      <w:pPr>
        <w:spacing w:line="480" w:lineRule="auto"/>
        <w:ind w:firstLine="806"/>
      </w:pPr>
      <w:r>
        <w:t>The</w:t>
      </w:r>
      <w:r w:rsidR="00934880" w:rsidRPr="00F120E2">
        <w:t xml:space="preserve"> proportion of explained variance </w:t>
      </w:r>
      <w:r>
        <w:t>for</w:t>
      </w:r>
      <w:r w:rsidR="00934880" w:rsidRPr="00F120E2">
        <w:t xml:space="preserve"> the six distressing sexual difficulties was modest, ranging from 17% </w:t>
      </w:r>
      <w:r w:rsidR="00E64F14" w:rsidRPr="00F120E2">
        <w:t xml:space="preserve">(for pain during sex) </w:t>
      </w:r>
      <w:r w:rsidR="00934880" w:rsidRPr="00F120E2">
        <w:t>to 30%</w:t>
      </w:r>
      <w:r w:rsidR="00E64F14" w:rsidRPr="00F120E2">
        <w:t xml:space="preserve"> (for orgasmic difficulties)</w:t>
      </w:r>
      <w:r w:rsidR="00934880" w:rsidRPr="00F120E2">
        <w:t xml:space="preserve">. </w:t>
      </w:r>
    </w:p>
    <w:p w14:paraId="30E34E2B" w14:textId="77777777" w:rsidR="00F561D4" w:rsidRDefault="00F561D4" w:rsidP="00D229EA">
      <w:pPr>
        <w:spacing w:line="480" w:lineRule="auto"/>
        <w:jc w:val="center"/>
        <w:outlineLvl w:val="0"/>
        <w:rPr>
          <w:b/>
        </w:rPr>
      </w:pPr>
      <w:r w:rsidRPr="00F120E2">
        <w:rPr>
          <w:b/>
        </w:rPr>
        <w:t>Discussion</w:t>
      </w:r>
    </w:p>
    <w:p w14:paraId="1B3AA788" w14:textId="4F093836" w:rsidR="001F5645" w:rsidRPr="00233F19" w:rsidRDefault="0060551F" w:rsidP="001F5645">
      <w:pPr>
        <w:spacing w:line="480" w:lineRule="auto"/>
        <w:ind w:firstLine="720"/>
        <w:outlineLvl w:val="0"/>
      </w:pPr>
      <w:r>
        <w:t xml:space="preserve">In this study of </w:t>
      </w:r>
      <w:r w:rsidR="00233F19">
        <w:t>women</w:t>
      </w:r>
      <w:r w:rsidR="00ED4B06">
        <w:t xml:space="preserve"> </w:t>
      </w:r>
      <w:r>
        <w:t>age</w:t>
      </w:r>
      <w:r w:rsidR="00ED4B06">
        <w:t>d</w:t>
      </w:r>
      <w:r>
        <w:t xml:space="preserve"> 60-75 years</w:t>
      </w:r>
      <w:r w:rsidR="00233F19">
        <w:t xml:space="preserve">, we found a fairly high prevalence of sexual difficulties lasting three months or longer in the past year across the four </w:t>
      </w:r>
      <w:r w:rsidR="00A26950">
        <w:t xml:space="preserve">European </w:t>
      </w:r>
      <w:r w:rsidR="00233F19">
        <w:t xml:space="preserve">countries </w:t>
      </w:r>
      <w:r w:rsidR="009266E3">
        <w:t>assessed</w:t>
      </w:r>
      <w:r w:rsidR="00ED4B06">
        <w:t>.</w:t>
      </w:r>
      <w:r w:rsidR="00233F19">
        <w:t xml:space="preserve"> </w:t>
      </w:r>
      <w:r w:rsidR="003028AC">
        <w:t>The most common problems were d</w:t>
      </w:r>
      <w:r w:rsidR="00ED4B06">
        <w:t>ifficulties with v</w:t>
      </w:r>
      <w:r w:rsidR="00233F19">
        <w:t xml:space="preserve">aginal dryness, </w:t>
      </w:r>
      <w:r w:rsidR="00ED4B06">
        <w:t>reaching orgasm</w:t>
      </w:r>
      <w:r w:rsidR="00233F19">
        <w:t>, and lacking interest in sex</w:t>
      </w:r>
      <w:r w:rsidR="00320A9D">
        <w:t xml:space="preserve">, </w:t>
      </w:r>
      <w:r w:rsidR="002A7599">
        <w:t xml:space="preserve">with </w:t>
      </w:r>
      <w:r w:rsidR="003028AC">
        <w:t xml:space="preserve">prevalence rates ranging </w:t>
      </w:r>
      <w:r w:rsidR="002A7599">
        <w:t>between 37% and 59%</w:t>
      </w:r>
      <w:r w:rsidR="009266E3">
        <w:t xml:space="preserve">. </w:t>
      </w:r>
      <w:r w:rsidR="001F5645">
        <w:t xml:space="preserve">Consistent with previous research (Lee et al., 2016; Mitchell et al., 2016), however, the majority of women who reported sexual difficulties reported no or mild distress about these difficulties. </w:t>
      </w:r>
    </w:p>
    <w:p w14:paraId="3439D311" w14:textId="5BE037ED" w:rsidR="00233F19" w:rsidRPr="00233F19" w:rsidRDefault="00704D24" w:rsidP="00517322">
      <w:pPr>
        <w:spacing w:line="480" w:lineRule="auto"/>
        <w:ind w:firstLine="720"/>
        <w:outlineLvl w:val="0"/>
      </w:pPr>
      <w:r>
        <w:lastRenderedPageBreak/>
        <w:t xml:space="preserve">It is difficult to compare our prevalence estimates with those of </w:t>
      </w:r>
      <w:r w:rsidR="00C11F19">
        <w:t xml:space="preserve">most </w:t>
      </w:r>
      <w:r>
        <w:t>previous studies</w:t>
      </w:r>
      <w:r w:rsidR="00ED4B06">
        <w:t xml:space="preserve"> because of varied definitions of sexual difficulties, survey questions, </w:t>
      </w:r>
      <w:r w:rsidR="00DF5477">
        <w:t xml:space="preserve">age of sample, </w:t>
      </w:r>
      <w:r w:rsidR="00ED4B06">
        <w:t>etc</w:t>
      </w:r>
      <w:r w:rsidR="00244C1D">
        <w:t>. W</w:t>
      </w:r>
      <w:r w:rsidR="00ED4B06">
        <w:t xml:space="preserve">e did use the same questions as </w:t>
      </w:r>
      <w:r>
        <w:t xml:space="preserve">in </w:t>
      </w:r>
      <w:r w:rsidR="00ED4B06">
        <w:t>the Natsal-3 survey</w:t>
      </w:r>
      <w:r w:rsidR="00517322">
        <w:t xml:space="preserve"> (Mitchell et al., 2013)</w:t>
      </w:r>
      <w:r w:rsidR="007E7150">
        <w:t xml:space="preserve"> </w:t>
      </w:r>
      <w:r w:rsidR="00ED4B06">
        <w:t>to assess sexual difficulties and associated distress</w:t>
      </w:r>
      <w:r w:rsidR="00244C1D">
        <w:t>, although the age categories of participants were somewhat different (60-75 years in our survey</w:t>
      </w:r>
      <w:r w:rsidR="006B52E8">
        <w:t>, compared with 55-64 and 65-74 years in Natsal-3)</w:t>
      </w:r>
      <w:r w:rsidR="00DF5477">
        <w:t>.</w:t>
      </w:r>
      <w:r>
        <w:t xml:space="preserve"> </w:t>
      </w:r>
      <w:r w:rsidR="00DF5477">
        <w:t>The</w:t>
      </w:r>
      <w:r>
        <w:t xml:space="preserve"> most common three sexual problems reported</w:t>
      </w:r>
      <w:r w:rsidR="00DF5477">
        <w:t xml:space="preserve"> both</w:t>
      </w:r>
      <w:r>
        <w:t xml:space="preserve"> in our study </w:t>
      </w:r>
      <w:r w:rsidR="00DF5477">
        <w:t xml:space="preserve">and in the Natsal-3 survey were </w:t>
      </w:r>
      <w:r>
        <w:t>vaginal dryness, difficulties reaching orgasm, and lack</w:t>
      </w:r>
      <w:r w:rsidR="00A26950">
        <w:t>ing</w:t>
      </w:r>
      <w:r>
        <w:t xml:space="preserve"> i</w:t>
      </w:r>
      <w:r w:rsidR="00DF5477">
        <w:t>nterest in sex</w:t>
      </w:r>
      <w:r>
        <w:t>.</w:t>
      </w:r>
      <w:r w:rsidR="00ED4B06">
        <w:t xml:space="preserve"> </w:t>
      </w:r>
      <w:r w:rsidR="006B52E8" w:rsidRPr="006B52E8">
        <w:t>Reports of the</w:t>
      </w:r>
      <w:r w:rsidR="00781EB4">
        <w:t>se</w:t>
      </w:r>
      <w:r w:rsidR="006B52E8" w:rsidRPr="006B52E8">
        <w:t xml:space="preserve"> three difficulties</w:t>
      </w:r>
      <w:r w:rsidR="001F5645">
        <w:t>, however,</w:t>
      </w:r>
      <w:r w:rsidR="006B52E8" w:rsidRPr="006B52E8">
        <w:t xml:space="preserve"> were considerably higher in our sample compared with the Natsal-3 survey (vaginal dryness 47.7% vs. 20.0%; difficulties reaching orgasm 50.2% vs. 13.7%; lacking interest in sex 46.1% vs. 34.2%)</w:t>
      </w:r>
      <w:r w:rsidR="007A3F6C">
        <w:t>.</w:t>
      </w:r>
      <w:r w:rsidR="00934932">
        <w:t xml:space="preserve"> </w:t>
      </w:r>
      <w:r w:rsidR="007A3F6C">
        <w:t>In the analysis on older men in our survey, the percentages reporting sexual problems were also substantially higher than in the Natsal-3 survey (</w:t>
      </w:r>
      <w:r w:rsidR="007A3F6C" w:rsidRPr="007A3F6C">
        <w:rPr>
          <w:i/>
        </w:rPr>
        <w:t>blinded for review</w:t>
      </w:r>
      <w:r w:rsidR="007A3F6C">
        <w:t xml:space="preserve">). One possible reason for the discrepant rates in the two surveys might be the fact we used postal questionnaires, whereas in Natsal-3, a combination of computer-assisted face-to-face interviews and self-completion </w:t>
      </w:r>
      <w:r w:rsidR="00CA19DD">
        <w:t xml:space="preserve">questionnaires was used. </w:t>
      </w:r>
    </w:p>
    <w:p w14:paraId="2962F1AB" w14:textId="203A9AE8" w:rsidR="0008008B" w:rsidRPr="00397015" w:rsidRDefault="00800A9C" w:rsidP="00D229EA">
      <w:pPr>
        <w:spacing w:line="480" w:lineRule="auto"/>
      </w:pPr>
      <w:r>
        <w:rPr>
          <w:b/>
        </w:rPr>
        <w:tab/>
      </w:r>
      <w:r>
        <w:t xml:space="preserve">Few previous studies have </w:t>
      </w:r>
      <w:r w:rsidR="0008008B">
        <w:t>investigated</w:t>
      </w:r>
      <w:r>
        <w:t xml:space="preserve"> predictors/correlates of </w:t>
      </w:r>
      <w:r w:rsidRPr="00800A9C">
        <w:rPr>
          <w:i/>
        </w:rPr>
        <w:t xml:space="preserve">distress </w:t>
      </w:r>
      <w:r>
        <w:t>abo</w:t>
      </w:r>
      <w:r w:rsidR="0008008B">
        <w:t>ut specific sexual difficulties</w:t>
      </w:r>
      <w:r w:rsidR="00A952F3">
        <w:t xml:space="preserve"> in older women</w:t>
      </w:r>
      <w:r w:rsidR="00D82732">
        <w:t>; instead,</w:t>
      </w:r>
      <w:r w:rsidR="0008008B">
        <w:t xml:space="preserve"> most research has focused on predictors of sexual problems (with or without accompanying distress). We investigated age, education, and religiosity as possible predictors of distress about sexual difficulties and found</w:t>
      </w:r>
      <w:r w:rsidR="00D82732">
        <w:t xml:space="preserve"> only</w:t>
      </w:r>
      <w:r w:rsidR="0008008B">
        <w:t xml:space="preserve"> one significant predictor: compared to women with only primary education, college-educated women reported more distress about vaginal dryness.</w:t>
      </w:r>
      <w:r w:rsidR="004578B7">
        <w:t xml:space="preserve"> </w:t>
      </w:r>
      <w:r w:rsidR="00397015" w:rsidRPr="00397015">
        <w:t xml:space="preserve">It is possible that sex education (not assessed in the current study) rather than general educational level might be associated with the likelihood of reporting distressing sexual difficulties. Using Natsal-3 data, </w:t>
      </w:r>
      <w:proofErr w:type="spellStart"/>
      <w:r w:rsidR="00397015" w:rsidRPr="00397015">
        <w:t>Mac</w:t>
      </w:r>
      <w:r w:rsidR="00F92134">
        <w:t>d</w:t>
      </w:r>
      <w:r w:rsidR="00397015" w:rsidRPr="00397015">
        <w:t>owall</w:t>
      </w:r>
      <w:proofErr w:type="spellEnd"/>
      <w:r w:rsidR="00397015" w:rsidRPr="00397015">
        <w:t xml:space="preserve"> et al. (2015) found that </w:t>
      </w:r>
      <w:r w:rsidR="00397015" w:rsidRPr="00397015">
        <w:lastRenderedPageBreak/>
        <w:t xml:space="preserve">women citing </w:t>
      </w:r>
      <w:r w:rsidR="00C11F19">
        <w:t xml:space="preserve">school </w:t>
      </w:r>
      <w:r w:rsidR="00397015" w:rsidRPr="00397015">
        <w:t>as their main source of sex education</w:t>
      </w:r>
      <w:r w:rsidR="00C11F19" w:rsidRPr="00397015">
        <w:t xml:space="preserve"> relative to other sources (e.g., parents) </w:t>
      </w:r>
      <w:r w:rsidR="00397015" w:rsidRPr="00397015">
        <w:t>reported less distress about sex over the past year.</w:t>
      </w:r>
    </w:p>
    <w:p w14:paraId="53DDF354" w14:textId="2726F442" w:rsidR="007F5547" w:rsidRDefault="002C576B" w:rsidP="00D229EA">
      <w:pPr>
        <w:spacing w:line="480" w:lineRule="auto"/>
      </w:pPr>
      <w:r>
        <w:tab/>
      </w:r>
      <w:r w:rsidR="00096227">
        <w:t>Although the early literature on the successful aging model included social, mental/emotional, and physical aspects of well-being (</w:t>
      </w:r>
      <w:proofErr w:type="spellStart"/>
      <w:r w:rsidR="00096227">
        <w:t>Woloski-Wruble</w:t>
      </w:r>
      <w:proofErr w:type="spellEnd"/>
      <w:r w:rsidR="00096227">
        <w:t xml:space="preserve"> et al., 2010), researchers have recently explored the role that sexuality plays in successful aging (</w:t>
      </w:r>
      <w:proofErr w:type="spellStart"/>
      <w:r w:rsidR="00096227" w:rsidRPr="009054B6">
        <w:t>Štulhofer</w:t>
      </w:r>
      <w:proofErr w:type="spellEnd"/>
      <w:r w:rsidR="00096227">
        <w:t xml:space="preserve"> et al., 2019; Thompson et al., 2011). </w:t>
      </w:r>
      <w:r w:rsidR="00E17FE9">
        <w:t>Our findings are consistent with th</w:t>
      </w:r>
      <w:r w:rsidR="00096227">
        <w:t>is expanded</w:t>
      </w:r>
      <w:r w:rsidR="00E17FE9">
        <w:t xml:space="preserve"> </w:t>
      </w:r>
      <w:r w:rsidR="0043434E">
        <w:t>model</w:t>
      </w:r>
      <w:r w:rsidR="00E17FE9">
        <w:t xml:space="preserve"> of successful aging </w:t>
      </w:r>
      <w:r w:rsidR="00096227">
        <w:t>and</w:t>
      </w:r>
      <w:r w:rsidR="00E17FE9">
        <w:t xml:space="preserve"> underline the close links between sexual and nonsexual aspects of older women’s lives</w:t>
      </w:r>
      <w:r w:rsidR="0043434E">
        <w:t xml:space="preserve"> and the importance of sexuality for general life satisfaction (</w:t>
      </w:r>
      <w:proofErr w:type="spellStart"/>
      <w:r w:rsidR="0043434E">
        <w:t>Woloski-Wruble</w:t>
      </w:r>
      <w:proofErr w:type="spellEnd"/>
      <w:r w:rsidR="0043434E">
        <w:t xml:space="preserve"> et al., 2010)</w:t>
      </w:r>
      <w:r w:rsidR="00E17FE9">
        <w:t xml:space="preserve">. </w:t>
      </w:r>
      <w:r>
        <w:t>Factors that were associated with distress about specific sexual difficulties were emotional intimacy (</w:t>
      </w:r>
      <w:r w:rsidR="00DE4FF6">
        <w:t xml:space="preserve">negatively related to distressing vaginal dryness), sexual intimacy (negatively related to distress about orgasm difficulties), and mental health (better mental health negatively related to distress about lacking enjoyment in sex). It is interesting that </w:t>
      </w:r>
      <w:r w:rsidR="00DE4FF6" w:rsidRPr="00DE4FF6">
        <w:rPr>
          <w:i/>
        </w:rPr>
        <w:t>physical</w:t>
      </w:r>
      <w:r w:rsidR="00DE4FF6">
        <w:t xml:space="preserve"> health</w:t>
      </w:r>
      <w:r w:rsidR="00D82732">
        <w:t xml:space="preserve"> did not feature as a predictor of distress </w:t>
      </w:r>
      <w:r w:rsidR="00320A9D">
        <w:t>for</w:t>
      </w:r>
      <w:r w:rsidR="00D82732">
        <w:t xml:space="preserve"> any of the sexual difficulties assessed</w:t>
      </w:r>
      <w:r w:rsidR="006D5918">
        <w:t>.</w:t>
      </w:r>
      <w:r w:rsidR="00D82732">
        <w:t xml:space="preserve"> </w:t>
      </w:r>
      <w:r w:rsidR="006D5918">
        <w:t>In</w:t>
      </w:r>
      <w:r w:rsidR="00D82732">
        <w:t xml:space="preserve"> contrast</w:t>
      </w:r>
      <w:r w:rsidR="006D5918">
        <w:t>,</w:t>
      </w:r>
      <w:r w:rsidR="00D82732">
        <w:t xml:space="preserve"> </w:t>
      </w:r>
      <w:r w:rsidR="00FC277C">
        <w:t>[</w:t>
      </w:r>
      <w:r w:rsidR="00FC277C" w:rsidRPr="00FC277C">
        <w:rPr>
          <w:i/>
        </w:rPr>
        <w:t>Blinded for review</w:t>
      </w:r>
      <w:r w:rsidR="00FC277C">
        <w:t>]</w:t>
      </w:r>
      <w:r w:rsidR="00D82732">
        <w:t xml:space="preserve"> </w:t>
      </w:r>
      <w:r w:rsidR="006D5918">
        <w:t xml:space="preserve">reporting </w:t>
      </w:r>
      <w:r w:rsidR="00D82732">
        <w:t xml:space="preserve">on older men </w:t>
      </w:r>
      <w:r w:rsidR="006D5918">
        <w:t>from</w:t>
      </w:r>
      <w:r w:rsidR="00D82732">
        <w:t xml:space="preserve"> </w:t>
      </w:r>
      <w:r w:rsidR="006D5918">
        <w:t>the same sample as in our study</w:t>
      </w:r>
      <w:r w:rsidR="00D82732">
        <w:t xml:space="preserve">, </w:t>
      </w:r>
      <w:r w:rsidR="006D5918">
        <w:t>found</w:t>
      </w:r>
      <w:r w:rsidR="00D82732">
        <w:t xml:space="preserve"> poor physical health was a significant predictor of overall distress about sexual difficulties</w:t>
      </w:r>
      <w:r w:rsidR="007F76C7">
        <w:t xml:space="preserve">. </w:t>
      </w:r>
    </w:p>
    <w:p w14:paraId="04CCBEED" w14:textId="77777777" w:rsidR="00D82732" w:rsidRPr="007F5547" w:rsidRDefault="007F76C7" w:rsidP="00B45E0C">
      <w:pPr>
        <w:spacing w:line="480" w:lineRule="auto"/>
        <w:ind w:firstLine="720"/>
      </w:pPr>
      <w:r>
        <w:t xml:space="preserve">Our findings </w:t>
      </w:r>
      <w:r w:rsidR="007F5547">
        <w:t>related to emotional and sexual intimacy</w:t>
      </w:r>
      <w:r w:rsidR="006D5918">
        <w:t xml:space="preserve"> </w:t>
      </w:r>
      <w:r>
        <w:t>are consistent</w:t>
      </w:r>
      <w:r w:rsidR="00D82732">
        <w:t xml:space="preserve"> with a study of U.S. women aged </w:t>
      </w:r>
      <w:r>
        <w:t>20-65 years, where the best predictors of sexual distress were markers of emotional well-being and emotional intimacy with the partner during sexual activity</w:t>
      </w:r>
      <w:r w:rsidR="00517322">
        <w:t xml:space="preserve"> (Bancroft et al., 2003).</w:t>
      </w:r>
      <w:r w:rsidR="006D5918">
        <w:t xml:space="preserve"> </w:t>
      </w:r>
      <w:r w:rsidR="007B08F6">
        <w:t>Other studies have highlighted the central role of emotional intimacy in aging women and men</w:t>
      </w:r>
      <w:r w:rsidR="00517322">
        <w:t xml:space="preserve"> (</w:t>
      </w:r>
      <w:proofErr w:type="spellStart"/>
      <w:r w:rsidR="00517322">
        <w:t>Fileborn</w:t>
      </w:r>
      <w:proofErr w:type="spellEnd"/>
      <w:r w:rsidR="00517322">
        <w:t xml:space="preserve"> et al., 2017; Heiman et al., 2011; </w:t>
      </w:r>
      <w:r w:rsidR="00517322" w:rsidRPr="009054B6">
        <w:t>Müller</w:t>
      </w:r>
      <w:r w:rsidR="00517322">
        <w:t xml:space="preserve"> et al., 2014)</w:t>
      </w:r>
      <w:r w:rsidR="007E7150">
        <w:t xml:space="preserve">. </w:t>
      </w:r>
      <w:r w:rsidR="007F5547" w:rsidRPr="007F5547">
        <w:t xml:space="preserve">Qualitative studies provide some insight into how emotional intimacy might be a protective factor for older women’s and men’s sexuality. For example, </w:t>
      </w:r>
      <w:proofErr w:type="spellStart"/>
      <w:r w:rsidR="007F5547" w:rsidRPr="007F5547">
        <w:t>Erens</w:t>
      </w:r>
      <w:proofErr w:type="spellEnd"/>
      <w:r w:rsidR="007F5547" w:rsidRPr="007F5547">
        <w:t xml:space="preserve"> et al. (2015) found that among older women and men who reported having a health condition or taking medication that affected their sex life, those in close </w:t>
      </w:r>
      <w:r w:rsidR="007F5547" w:rsidRPr="007F5547">
        <w:lastRenderedPageBreak/>
        <w:t xml:space="preserve">relationships described compensatory mechanisms to deal with sexual problems and seemed less distressed than those in relationships that were less close. In interviews with men aged 60 and older, </w:t>
      </w:r>
      <w:proofErr w:type="spellStart"/>
      <w:r w:rsidR="007F5547" w:rsidRPr="007F5547">
        <w:t>Fileborn</w:t>
      </w:r>
      <w:proofErr w:type="spellEnd"/>
      <w:r w:rsidR="007F5547" w:rsidRPr="007F5547">
        <w:t xml:space="preserve"> et al. (2017) observed that men frequently talked about the centrality of intimacy and bonding in their sexual relationships.</w:t>
      </w:r>
    </w:p>
    <w:p w14:paraId="3DC542AB" w14:textId="1E0F185F" w:rsidR="00D82732" w:rsidRDefault="000B6F2C" w:rsidP="00D229EA">
      <w:pPr>
        <w:spacing w:line="480" w:lineRule="auto"/>
      </w:pPr>
      <w:r>
        <w:tab/>
        <w:t>Overall, we found relatively few cross-country differences in</w:t>
      </w:r>
      <w:r w:rsidR="00A26950">
        <w:t xml:space="preserve"> both</w:t>
      </w:r>
      <w:r>
        <w:t xml:space="preserve"> the prevalence of sexual difficulties</w:t>
      </w:r>
      <w:r w:rsidR="00605EAB">
        <w:t xml:space="preserve"> </w:t>
      </w:r>
      <w:r w:rsidR="00A26950">
        <w:t>and</w:t>
      </w:r>
      <w:r w:rsidR="00605EAB">
        <w:t xml:space="preserve"> distressing sexual difficulties</w:t>
      </w:r>
      <w:r>
        <w:t>.</w:t>
      </w:r>
      <w:r w:rsidR="00CE616E">
        <w:t xml:space="preserve"> This is interesting, given that there were marked cross-country differences in education and religiosity</w:t>
      </w:r>
      <w:r w:rsidR="00EF4106">
        <w:t xml:space="preserve"> and expected differences in gender roles/gender inequality</w:t>
      </w:r>
      <w:r w:rsidR="00CB4737">
        <w:t>.</w:t>
      </w:r>
      <w:r w:rsidR="00CE616E">
        <w:t xml:space="preserve"> </w:t>
      </w:r>
      <w:r w:rsidR="00CB4737">
        <w:t>I</w:t>
      </w:r>
      <w:r w:rsidR="00CE616E">
        <w:t>t seems, therefore, that sociodemographic factors may not exert a strong influence on the prevalence of sexual difficulties in older women</w:t>
      </w:r>
      <w:r w:rsidR="00880D3E">
        <w:t xml:space="preserve">, although </w:t>
      </w:r>
      <w:r w:rsidR="00416B8B">
        <w:t>other sociodemographic factors, such as income or social support, may</w:t>
      </w:r>
      <w:r w:rsidR="00880D3E">
        <w:t xml:space="preserve"> have a greater impact on whether or not </w:t>
      </w:r>
      <w:r w:rsidR="00CB4737">
        <w:t xml:space="preserve">a </w:t>
      </w:r>
      <w:r w:rsidR="00880D3E">
        <w:t>wom</w:t>
      </w:r>
      <w:r w:rsidR="00CB4737">
        <w:t>a</w:t>
      </w:r>
      <w:r w:rsidR="00880D3E">
        <w:t>n report</w:t>
      </w:r>
      <w:r w:rsidR="00CB4737">
        <w:t>s</w:t>
      </w:r>
      <w:r w:rsidR="00880D3E">
        <w:t xml:space="preserve"> sexual difficulties</w:t>
      </w:r>
      <w:r w:rsidR="00A26950">
        <w:t xml:space="preserve"> and/or distress about these difficulties</w:t>
      </w:r>
      <w:r w:rsidR="00880D3E">
        <w:t>.</w:t>
      </w:r>
    </w:p>
    <w:p w14:paraId="539B7947" w14:textId="77777777" w:rsidR="00774F9C" w:rsidRDefault="002C576B" w:rsidP="00D229EA">
      <w:pPr>
        <w:spacing w:line="480" w:lineRule="auto"/>
        <w:rPr>
          <w:b/>
        </w:rPr>
      </w:pPr>
      <w:r>
        <w:rPr>
          <w:b/>
        </w:rPr>
        <w:t>Strengths and Limitations</w:t>
      </w:r>
      <w:r w:rsidR="00416B53">
        <w:rPr>
          <w:b/>
        </w:rPr>
        <w:t xml:space="preserve">  </w:t>
      </w:r>
      <w:r w:rsidR="00517322">
        <w:rPr>
          <w:b/>
        </w:rPr>
        <w:t xml:space="preserve"> </w:t>
      </w:r>
    </w:p>
    <w:p w14:paraId="0E888CDC" w14:textId="6918506E" w:rsidR="00B45E0C" w:rsidRDefault="000B6F2C" w:rsidP="00D229EA">
      <w:pPr>
        <w:spacing w:line="480" w:lineRule="auto"/>
      </w:pPr>
      <w:r>
        <w:rPr>
          <w:b/>
        </w:rPr>
        <w:tab/>
      </w:r>
      <w:r>
        <w:t xml:space="preserve">Strengths of our study include the large sample size and the inclusion of women from four European countries. There were also several limitations </w:t>
      </w:r>
      <w:r w:rsidR="00DD7956">
        <w:t>that need to be acknowledged. First</w:t>
      </w:r>
      <w:r w:rsidR="00A26950">
        <w:t>ly</w:t>
      </w:r>
      <w:r w:rsidR="00DD7956">
        <w:t xml:space="preserve">, we only included women who </w:t>
      </w:r>
      <w:r w:rsidR="002334F0">
        <w:t>reported being sexually active in the last year and</w:t>
      </w:r>
      <w:r w:rsidR="00DD7956">
        <w:t xml:space="preserve"> in </w:t>
      </w:r>
      <w:r w:rsidR="00CE616E">
        <w:t>committed relationships</w:t>
      </w:r>
      <w:r w:rsidR="007039AC">
        <w:t xml:space="preserve"> </w:t>
      </w:r>
      <w:r w:rsidR="00452046">
        <w:t xml:space="preserve">and thus, our sample </w:t>
      </w:r>
      <w:r w:rsidR="00416B8B">
        <w:t>is</w:t>
      </w:r>
      <w:r w:rsidR="00452046">
        <w:t xml:space="preserve"> not representative of older women in general. </w:t>
      </w:r>
      <w:r w:rsidR="00416B8B">
        <w:t>As o</w:t>
      </w:r>
      <w:r w:rsidR="007039AC">
        <w:t>lder women who have sexual difficulties may avoid sexual activity and relationships</w:t>
      </w:r>
      <w:r w:rsidR="00517322">
        <w:t xml:space="preserve"> (</w:t>
      </w:r>
      <w:proofErr w:type="spellStart"/>
      <w:r w:rsidR="00517322" w:rsidRPr="00517322">
        <w:t>Carvalheira</w:t>
      </w:r>
      <w:proofErr w:type="spellEnd"/>
      <w:r w:rsidR="00517322" w:rsidRPr="00517322">
        <w:t>,</w:t>
      </w:r>
      <w:r w:rsidR="00517322">
        <w:t xml:space="preserve"> </w:t>
      </w:r>
      <w:proofErr w:type="spellStart"/>
      <w:r w:rsidR="00517322" w:rsidRPr="00517322">
        <w:rPr>
          <w:bCs/>
        </w:rPr>
        <w:t>Štulhofer</w:t>
      </w:r>
      <w:proofErr w:type="spellEnd"/>
      <w:r w:rsidR="00517322" w:rsidRPr="00517322">
        <w:rPr>
          <w:bCs/>
        </w:rPr>
        <w:t>,</w:t>
      </w:r>
      <w:r w:rsidR="00517322">
        <w:rPr>
          <w:bCs/>
        </w:rPr>
        <w:t xml:space="preserve"> </w:t>
      </w:r>
      <w:r w:rsidR="00517322" w:rsidRPr="00517322">
        <w:t>Graham,</w:t>
      </w:r>
      <w:r w:rsidR="00517322">
        <w:t xml:space="preserve"> </w:t>
      </w:r>
      <w:r w:rsidR="00517322" w:rsidRPr="00517322">
        <w:t xml:space="preserve">&amp; </w:t>
      </w:r>
      <w:proofErr w:type="spellStart"/>
      <w:r w:rsidR="00517322" w:rsidRPr="00517322">
        <w:t>Træen</w:t>
      </w:r>
      <w:proofErr w:type="spellEnd"/>
      <w:r w:rsidR="00517322">
        <w:t>, 2019)</w:t>
      </w:r>
      <w:r w:rsidR="00416B8B">
        <w:t>,</w:t>
      </w:r>
      <w:r w:rsidR="009B10AA">
        <w:t xml:space="preserve"> </w:t>
      </w:r>
      <w:r w:rsidR="007039AC">
        <w:t xml:space="preserve">we may have under-estimated the prevalence of </w:t>
      </w:r>
      <w:r w:rsidR="00A26950">
        <w:t xml:space="preserve">some </w:t>
      </w:r>
      <w:r w:rsidR="007039AC">
        <w:t>sexual difficulties.</w:t>
      </w:r>
      <w:r w:rsidR="00880D3E">
        <w:t xml:space="preserve"> </w:t>
      </w:r>
      <w:r w:rsidR="00B45E0C">
        <w:t xml:space="preserve">The meaning of moderate/severe distress might also be different between sexually active and sexually inactive older women, which could in turn affect the associations between distressing sexual difficulties and predictors. </w:t>
      </w:r>
      <w:r w:rsidR="007039AC">
        <w:t>Second</w:t>
      </w:r>
      <w:r w:rsidR="00106DC4">
        <w:t>ly</w:t>
      </w:r>
      <w:r w:rsidR="007039AC">
        <w:t xml:space="preserve">, we </w:t>
      </w:r>
      <w:r w:rsidR="00106DC4">
        <w:t>recruited</w:t>
      </w:r>
      <w:r w:rsidR="007039AC">
        <w:t xml:space="preserve"> women of various sexual orientations, but</w:t>
      </w:r>
      <w:r w:rsidR="00322826">
        <w:t xml:space="preserve"> because of small numbers of women </w:t>
      </w:r>
      <w:r w:rsidR="006D5918">
        <w:t xml:space="preserve">who </w:t>
      </w:r>
      <w:r w:rsidR="00322826">
        <w:t>reported any sexual orientation other than “heterosexual” (o</w:t>
      </w:r>
      <w:r w:rsidR="00106DC4">
        <w:t>nly 38 women identified as gay or lesbian,</w:t>
      </w:r>
      <w:r w:rsidR="00322826">
        <w:t xml:space="preserve"> </w:t>
      </w:r>
      <w:r w:rsidR="00322826">
        <w:lastRenderedPageBreak/>
        <w:t>bisexual</w:t>
      </w:r>
      <w:r w:rsidR="00106DC4">
        <w:t>, or other</w:t>
      </w:r>
      <w:r w:rsidR="00322826">
        <w:t xml:space="preserve">), we </w:t>
      </w:r>
      <w:r w:rsidR="007039AC">
        <w:t xml:space="preserve">could not </w:t>
      </w:r>
      <w:r w:rsidR="00322826">
        <w:t xml:space="preserve">analyse possible differences </w:t>
      </w:r>
      <w:r w:rsidR="006D5918">
        <w:t>based on sexual orientation</w:t>
      </w:r>
      <w:r w:rsidR="00322826">
        <w:t>. Third</w:t>
      </w:r>
      <w:r w:rsidR="00106DC4">
        <w:t>ly</w:t>
      </w:r>
      <w:r w:rsidR="00322826">
        <w:t xml:space="preserve">, the response rate in the Portuguese sample was very low, </w:t>
      </w:r>
      <w:r w:rsidR="00106DC4">
        <w:t>which raises questions about its comparability with other samples.</w:t>
      </w:r>
      <w:r w:rsidR="00322826">
        <w:t xml:space="preserve"> </w:t>
      </w:r>
      <w:r w:rsidR="00AE5AA8" w:rsidRPr="00AE5AA8">
        <w:t xml:space="preserve">Because of our recruitment method (simple random sampling from national phone registries) and reasonably low refusal rates (particularly in Norway), we are confident that the Norway, Denmark, and Belgian samples reflect the older populations in those countries, well. In Portugal, however, because of the difficulty recruiting, </w:t>
      </w:r>
      <w:r w:rsidR="00416B8B">
        <w:t>higher</w:t>
      </w:r>
      <w:r w:rsidR="00AE5AA8" w:rsidRPr="00AE5AA8">
        <w:t xml:space="preserve"> educated and urban individuals were oversampled. </w:t>
      </w:r>
      <w:r w:rsidR="00775FF4">
        <w:t xml:space="preserve">Fourth, the cross-sectional design of the study precludes making any conclusions about causal relationships. </w:t>
      </w:r>
      <w:r w:rsidR="008B1D67" w:rsidRPr="008B1D67">
        <w:t xml:space="preserve">Fifth, the questionnaire was developed in English and subsequently translated </w:t>
      </w:r>
      <w:r w:rsidR="00872E4D">
        <w:t>using the translation and back translation method</w:t>
      </w:r>
      <w:r w:rsidR="00872E4D" w:rsidRPr="008B1D67">
        <w:t xml:space="preserve"> </w:t>
      </w:r>
      <w:r w:rsidR="008B1D67" w:rsidRPr="008B1D67">
        <w:t>into local languages by the principal investigators and persons employed by IPSOS in each country. It is possible that the some of the questions on the translated versions of the questionnaire might have been understood differently by respondents in different countries</w:t>
      </w:r>
      <w:r w:rsidR="008B1D67">
        <w:t xml:space="preserve">. </w:t>
      </w:r>
    </w:p>
    <w:p w14:paraId="70BAEDCC" w14:textId="0FCDAE07" w:rsidR="000B6F2C" w:rsidRPr="000B6F2C" w:rsidRDefault="00F00A76" w:rsidP="009C7F8C">
      <w:pPr>
        <w:spacing w:line="480" w:lineRule="auto"/>
        <w:ind w:firstLine="720"/>
      </w:pPr>
      <w:r>
        <w:t>Finally, the proportion of explained variance in the six distressing sexual difficulties was modest (17-30%, depending on specific sexual difficulty)</w:t>
      </w:r>
      <w:r w:rsidR="00106DC4">
        <w:t xml:space="preserve">, which points to the existence of other, unmeasured </w:t>
      </w:r>
      <w:r>
        <w:t xml:space="preserve">sociodemographic, relational, and psychological </w:t>
      </w:r>
      <w:r w:rsidR="00106DC4">
        <w:t>factors</w:t>
      </w:r>
      <w:r>
        <w:t xml:space="preserve"> </w:t>
      </w:r>
      <w:r w:rsidR="00106DC4">
        <w:t>that are relevant for understanding sexual distress in</w:t>
      </w:r>
      <w:r>
        <w:t xml:space="preserve"> older women. </w:t>
      </w:r>
      <w:r w:rsidR="00F24ACD" w:rsidRPr="00F24ACD">
        <w:t>Perceived importance of sex is one likely relevant variable. In a sample of older women and men from the National, Social Life, Health, and Aging Project, those who viewed sex as important were more likely to be sexually distressed than individuals who rated sex as less important (</w:t>
      </w:r>
      <w:proofErr w:type="spellStart"/>
      <w:r w:rsidR="00F24ACD" w:rsidRPr="00F24ACD">
        <w:t>Juang</w:t>
      </w:r>
      <w:proofErr w:type="spellEnd"/>
      <w:r w:rsidR="00F24ACD" w:rsidRPr="00F24ACD">
        <w:t xml:space="preserve"> &amp; Knight, 2018). In a study of younger women (mean age 27.4 years), Stephenson </w:t>
      </w:r>
      <w:r w:rsidR="00B45E0C">
        <w:t>and</w:t>
      </w:r>
      <w:r w:rsidR="00F24ACD" w:rsidRPr="00F24ACD">
        <w:t xml:space="preserve"> </w:t>
      </w:r>
      <w:proofErr w:type="spellStart"/>
      <w:r w:rsidR="00F24ACD" w:rsidRPr="00F24ACD">
        <w:t>Meston</w:t>
      </w:r>
      <w:proofErr w:type="spellEnd"/>
      <w:r w:rsidR="00B45E0C">
        <w:t xml:space="preserve"> (</w:t>
      </w:r>
      <w:r w:rsidR="00F24ACD" w:rsidRPr="00F24ACD">
        <w:t>2015) found that sexual problems were distressing primarily because of the reduction in pleasure experienced either by women themselves or by their partners</w:t>
      </w:r>
      <w:r w:rsidR="00F24ACD">
        <w:t>.</w:t>
      </w:r>
      <w:r w:rsidR="00CF4754">
        <w:t xml:space="preserve"> Future studies should include these potential predictors in addition to those found important in this survey. Q</w:t>
      </w:r>
      <w:r>
        <w:t>ualitative studies o</w:t>
      </w:r>
      <w:r w:rsidR="00A26950">
        <w:t xml:space="preserve">f </w:t>
      </w:r>
      <w:r w:rsidR="00F24ACD">
        <w:t xml:space="preserve">older </w:t>
      </w:r>
      <w:r w:rsidR="00A26950">
        <w:t xml:space="preserve">women’s </w:t>
      </w:r>
      <w:r w:rsidR="00A26950">
        <w:lastRenderedPageBreak/>
        <w:t xml:space="preserve">experiences of </w:t>
      </w:r>
      <w:r w:rsidR="00F24ACD">
        <w:t>distressing sexual difficulties</w:t>
      </w:r>
      <w:r w:rsidR="00905BE1">
        <w:t xml:space="preserve">, should endeavour to </w:t>
      </w:r>
      <w:r w:rsidR="00F24ACD">
        <w:t>identify other possible predictors</w:t>
      </w:r>
      <w:r w:rsidR="00986B45">
        <w:t xml:space="preserve"> </w:t>
      </w:r>
      <w:r w:rsidR="00416B8B">
        <w:t xml:space="preserve">– including the perspective of the partner – </w:t>
      </w:r>
      <w:r w:rsidR="00986B45">
        <w:t>to shed light on the possible mechanisms that might explain why some women experience distress about sexual problems, while others do not.</w:t>
      </w:r>
    </w:p>
    <w:p w14:paraId="4E41AFBB" w14:textId="77777777" w:rsidR="002C576B" w:rsidRDefault="002C576B" w:rsidP="00D229EA">
      <w:pPr>
        <w:spacing w:line="480" w:lineRule="auto"/>
        <w:rPr>
          <w:b/>
        </w:rPr>
      </w:pPr>
      <w:r>
        <w:rPr>
          <w:b/>
        </w:rPr>
        <w:t>Clinical and Research Implications</w:t>
      </w:r>
    </w:p>
    <w:p w14:paraId="48FF8641" w14:textId="0002EAFD" w:rsidR="00FE6553" w:rsidRDefault="006D327B" w:rsidP="00470816">
      <w:pPr>
        <w:spacing w:line="480" w:lineRule="auto"/>
        <w:ind w:firstLine="806"/>
        <w:outlineLvl w:val="0"/>
      </w:pPr>
      <w:r>
        <w:t>This study underlines the importance of assess</w:t>
      </w:r>
      <w:r w:rsidR="006D5918">
        <w:t>ing</w:t>
      </w:r>
      <w:r>
        <w:t xml:space="preserve"> distress about sexual difficulties</w:t>
      </w:r>
      <w:r w:rsidR="006D5918">
        <w:t xml:space="preserve"> among older women, both in research studies and in clinical contexts</w:t>
      </w:r>
      <w:r>
        <w:t xml:space="preserve">. Clinicians </w:t>
      </w:r>
      <w:r w:rsidR="006D5918">
        <w:t>should</w:t>
      </w:r>
      <w:r>
        <w:t xml:space="preserve"> not </w:t>
      </w:r>
      <w:r w:rsidR="00343D17">
        <w:t xml:space="preserve">necessarily </w:t>
      </w:r>
      <w:r>
        <w:t>assume that age-related sexual difficulties are associated with concern or distress</w:t>
      </w:r>
      <w:r w:rsidR="00D069B6">
        <w:t>, nor with the absence of sexual activity</w:t>
      </w:r>
      <w:r>
        <w:t xml:space="preserve"> </w:t>
      </w:r>
      <w:r w:rsidR="00D069B6">
        <w:t xml:space="preserve">among </w:t>
      </w:r>
      <w:r>
        <w:t xml:space="preserve">their </w:t>
      </w:r>
      <w:r w:rsidR="00D069B6">
        <w:t xml:space="preserve">older </w:t>
      </w:r>
      <w:r>
        <w:t xml:space="preserve">female patients. </w:t>
      </w:r>
      <w:r w:rsidR="00106DC4">
        <w:t>Considering</w:t>
      </w:r>
      <w:r>
        <w:t xml:space="preserve"> that the proportion of older adults who seek help for sexual problems </w:t>
      </w:r>
      <w:r w:rsidR="00106DC4">
        <w:t xml:space="preserve">appears to be </w:t>
      </w:r>
      <w:r>
        <w:t>very low</w:t>
      </w:r>
      <w:r w:rsidR="00517322">
        <w:t xml:space="preserve"> (</w:t>
      </w:r>
      <w:proofErr w:type="spellStart"/>
      <w:r w:rsidR="00517322">
        <w:t>Hinchliff</w:t>
      </w:r>
      <w:proofErr w:type="spellEnd"/>
      <w:r w:rsidR="00517322">
        <w:t xml:space="preserve"> &amp; </w:t>
      </w:r>
      <w:proofErr w:type="spellStart"/>
      <w:r w:rsidR="00517322">
        <w:t>Gott</w:t>
      </w:r>
      <w:proofErr w:type="spellEnd"/>
      <w:r w:rsidR="00517322">
        <w:t>, 2011),</w:t>
      </w:r>
      <w:r>
        <w:t xml:space="preserve"> clinicians should </w:t>
      </w:r>
      <w:r w:rsidR="00106DC4">
        <w:t>ask about and</w:t>
      </w:r>
      <w:r>
        <w:t xml:space="preserve"> carefully assess sexual difficulties</w:t>
      </w:r>
      <w:r w:rsidR="00364C8C">
        <w:t>,</w:t>
      </w:r>
      <w:r>
        <w:t xml:space="preserve"> and distress and </w:t>
      </w:r>
      <w:r w:rsidR="006D5918">
        <w:t xml:space="preserve">determine </w:t>
      </w:r>
      <w:r>
        <w:t xml:space="preserve">whether their older adult female </w:t>
      </w:r>
      <w:r w:rsidR="00106DC4">
        <w:t xml:space="preserve">patients would like to receive professional help for </w:t>
      </w:r>
      <w:r w:rsidR="00A26950">
        <w:t xml:space="preserve">their </w:t>
      </w:r>
      <w:r w:rsidR="00106DC4">
        <w:t>sexual difficulties</w:t>
      </w:r>
      <w:r>
        <w:t>.</w:t>
      </w:r>
      <w:r w:rsidR="00D069B6">
        <w:t xml:space="preserve"> Moreover, clinicians should be aware of their own attitudes toward the sexuality of older adults.</w:t>
      </w:r>
    </w:p>
    <w:p w14:paraId="0DCE45FB" w14:textId="77777777" w:rsidR="002A3581" w:rsidRDefault="00A26950" w:rsidP="00D229EA">
      <w:pPr>
        <w:spacing w:line="480" w:lineRule="auto"/>
        <w:outlineLvl w:val="0"/>
        <w:rPr>
          <w:b/>
        </w:rPr>
      </w:pPr>
      <w:r>
        <w:rPr>
          <w:b/>
        </w:rPr>
        <w:t>Conclusion</w:t>
      </w:r>
    </w:p>
    <w:p w14:paraId="3D5F63E8" w14:textId="38C2C5D1" w:rsidR="002A3581" w:rsidRPr="00E46096" w:rsidRDefault="002A3581" w:rsidP="00D229EA">
      <w:pPr>
        <w:spacing w:line="480" w:lineRule="auto"/>
        <w:ind w:firstLine="360"/>
      </w:pPr>
      <w:r>
        <w:t xml:space="preserve">The findings indicate that many older women report sexual difficulties, but many also </w:t>
      </w:r>
      <w:r w:rsidR="00412C1E">
        <w:t>experience</w:t>
      </w:r>
      <w:r>
        <w:t xml:space="preserve"> only mild or no distress about these difficulties. Few cross-country differences in the prevalence of sexual difficulties or </w:t>
      </w:r>
      <w:r w:rsidR="00350F7F">
        <w:t>of</w:t>
      </w:r>
      <w:r>
        <w:t xml:space="preserve"> distressing sexual difficulties were evident. </w:t>
      </w:r>
      <w:r w:rsidR="00320A9D">
        <w:t>Levels of e</w:t>
      </w:r>
      <w:r>
        <w:t xml:space="preserve">motional and sexual intimacy during sex, and mental health, predicted whether women reported </w:t>
      </w:r>
      <w:r w:rsidR="00A26950">
        <w:t>distress about specific</w:t>
      </w:r>
      <w:r>
        <w:t xml:space="preserve"> sexual difficulties. </w:t>
      </w:r>
      <w:r w:rsidR="009B5507" w:rsidRPr="009B5507">
        <w:t xml:space="preserve">The findings underline the importance of </w:t>
      </w:r>
      <w:r w:rsidR="009B5507">
        <w:t>clinicians</w:t>
      </w:r>
      <w:r w:rsidR="009B5507" w:rsidRPr="009B5507">
        <w:t xml:space="preserve"> asking older women</w:t>
      </w:r>
      <w:r w:rsidR="009B5507">
        <w:t xml:space="preserve"> about sexual function</w:t>
      </w:r>
      <w:r w:rsidR="009B5507" w:rsidRPr="009B5507">
        <w:t xml:space="preserve"> and associated distress</w:t>
      </w:r>
      <w:r w:rsidR="009B5507">
        <w:t>.</w:t>
      </w:r>
      <w:r w:rsidR="009B5507" w:rsidRPr="009B5507">
        <w:t xml:space="preserve"> </w:t>
      </w:r>
      <w:r w:rsidR="00416B8B">
        <w:t>More and c</w:t>
      </w:r>
      <w:r w:rsidR="009B5507" w:rsidRPr="009B5507">
        <w:t xml:space="preserve">areful attention to the psychological and relationship context of these sexual difficulties </w:t>
      </w:r>
      <w:r w:rsidR="00416B8B">
        <w:t xml:space="preserve">and its related distress </w:t>
      </w:r>
      <w:r w:rsidR="009B5507" w:rsidRPr="009B5507">
        <w:t>is</w:t>
      </w:r>
      <w:r w:rsidR="00EE5778">
        <w:t xml:space="preserve"> </w:t>
      </w:r>
      <w:r w:rsidR="009B5507" w:rsidRPr="009B5507">
        <w:lastRenderedPageBreak/>
        <w:t>needed, as these could be important targets in the treatment process</w:t>
      </w:r>
      <w:r w:rsidR="006D1A4A">
        <w:t xml:space="preserve"> of older women consulting for distressing sexual difficulties</w:t>
      </w:r>
      <w:r w:rsidR="009B5507" w:rsidRPr="009B5507">
        <w:t>.</w:t>
      </w:r>
    </w:p>
    <w:p w14:paraId="0F889E31" w14:textId="77777777" w:rsidR="002A3581" w:rsidRDefault="002A3581" w:rsidP="00D229EA">
      <w:pPr>
        <w:spacing w:line="480" w:lineRule="auto"/>
        <w:ind w:hanging="1350"/>
        <w:outlineLvl w:val="0"/>
        <w:rPr>
          <w:b/>
        </w:rPr>
      </w:pPr>
    </w:p>
    <w:p w14:paraId="0729684A" w14:textId="77777777" w:rsidR="002A3581" w:rsidRPr="002A3581" w:rsidRDefault="002A3581" w:rsidP="00D229EA">
      <w:pPr>
        <w:spacing w:line="480" w:lineRule="auto"/>
        <w:outlineLvl w:val="0"/>
        <w:rPr>
          <w:b/>
        </w:rPr>
        <w:sectPr w:rsidR="002A3581" w:rsidRPr="002A3581" w:rsidSect="00470816">
          <w:headerReference w:type="even" r:id="rId9"/>
          <w:headerReference w:type="default" r:id="rId10"/>
          <w:pgSz w:w="12240" w:h="15840"/>
          <w:pgMar w:top="1440" w:right="1440" w:bottom="1440" w:left="1440" w:header="706" w:footer="706" w:gutter="0"/>
          <w:cols w:space="708"/>
          <w:docGrid w:linePitch="360"/>
        </w:sectPr>
      </w:pPr>
      <w:r>
        <w:rPr>
          <w:b/>
        </w:rPr>
        <w:tab/>
      </w:r>
    </w:p>
    <w:p w14:paraId="5A9291FC" w14:textId="77777777" w:rsidR="009054B6" w:rsidRPr="00D2110B" w:rsidRDefault="009054B6" w:rsidP="00D229EA">
      <w:pPr>
        <w:spacing w:line="480" w:lineRule="auto"/>
        <w:ind w:left="360" w:hanging="360"/>
        <w:jc w:val="center"/>
        <w:rPr>
          <w:b/>
          <w:lang w:val="pt-PT"/>
        </w:rPr>
      </w:pPr>
      <w:proofErr w:type="spellStart"/>
      <w:r w:rsidRPr="00D2110B">
        <w:rPr>
          <w:b/>
          <w:lang w:val="pt-PT"/>
        </w:rPr>
        <w:lastRenderedPageBreak/>
        <w:t>References</w:t>
      </w:r>
      <w:proofErr w:type="spellEnd"/>
    </w:p>
    <w:p w14:paraId="43F745BE" w14:textId="77777777" w:rsidR="00565820" w:rsidRDefault="00565820" w:rsidP="00565820">
      <w:pPr>
        <w:spacing w:line="480" w:lineRule="auto"/>
        <w:ind w:left="360" w:hanging="360"/>
      </w:pPr>
      <w:proofErr w:type="spellStart"/>
      <w:r w:rsidRPr="00D2110B">
        <w:rPr>
          <w:lang w:val="pt-PT"/>
        </w:rPr>
        <w:t>Abdo</w:t>
      </w:r>
      <w:proofErr w:type="spellEnd"/>
      <w:r w:rsidRPr="00D2110B">
        <w:rPr>
          <w:lang w:val="pt-PT"/>
        </w:rPr>
        <w:t xml:space="preserve">, C. H., Oliveira, </w:t>
      </w:r>
      <w:proofErr w:type="spellStart"/>
      <w:r w:rsidRPr="00D2110B">
        <w:rPr>
          <w:lang w:val="pt-PT"/>
        </w:rPr>
        <w:t>Jr</w:t>
      </w:r>
      <w:proofErr w:type="spellEnd"/>
      <w:r w:rsidRPr="00D2110B">
        <w:rPr>
          <w:lang w:val="pt-PT"/>
        </w:rPr>
        <w:t xml:space="preserve"> W. M., Moreira, </w:t>
      </w:r>
      <w:proofErr w:type="spellStart"/>
      <w:r w:rsidRPr="00D2110B">
        <w:rPr>
          <w:lang w:val="pt-PT"/>
        </w:rPr>
        <w:t>Jr</w:t>
      </w:r>
      <w:proofErr w:type="spellEnd"/>
      <w:r w:rsidRPr="00D2110B">
        <w:rPr>
          <w:lang w:val="pt-PT"/>
        </w:rPr>
        <w:t xml:space="preserve">. E. D., </w:t>
      </w:r>
      <w:r w:rsidRPr="00D2110B">
        <w:rPr>
          <w:rFonts w:eastAsia="Times New Roman"/>
          <w:lang w:val="pt-PT"/>
        </w:rPr>
        <w:t xml:space="preserve">&amp; </w:t>
      </w:r>
      <w:proofErr w:type="spellStart"/>
      <w:r w:rsidRPr="00D2110B">
        <w:rPr>
          <w:lang w:val="pt-PT"/>
        </w:rPr>
        <w:t>Fittipaldi</w:t>
      </w:r>
      <w:proofErr w:type="spellEnd"/>
      <w:r w:rsidRPr="00D2110B">
        <w:rPr>
          <w:lang w:val="pt-PT"/>
        </w:rPr>
        <w:t>, J. A. S.</w:t>
      </w:r>
      <w:r w:rsidRPr="00D2110B">
        <w:rPr>
          <w:rFonts w:eastAsia="Times New Roman"/>
          <w:lang w:val="pt-PT"/>
        </w:rPr>
        <w:t xml:space="preserve"> </w:t>
      </w:r>
      <w:r w:rsidRPr="00D2110B">
        <w:rPr>
          <w:lang w:val="pt-PT"/>
        </w:rPr>
        <w:t xml:space="preserve">(2004).  </w:t>
      </w:r>
      <w:r w:rsidRPr="009054B6">
        <w:t xml:space="preserve">Prevalence of sexual dysfunctions and correlated conditions in a sample of Brazilian women—results of the Brazilian study on sexual </w:t>
      </w:r>
      <w:proofErr w:type="spellStart"/>
      <w:r w:rsidRPr="009054B6">
        <w:t>behavior</w:t>
      </w:r>
      <w:proofErr w:type="spellEnd"/>
      <w:r w:rsidRPr="009054B6">
        <w:t xml:space="preserve"> (BSSB). </w:t>
      </w:r>
      <w:r w:rsidRPr="00FD2675">
        <w:rPr>
          <w:i/>
        </w:rPr>
        <w:t>International Journal of Impotence Research</w:t>
      </w:r>
      <w:r>
        <w:t>,</w:t>
      </w:r>
      <w:r w:rsidRPr="009054B6">
        <w:t xml:space="preserve"> </w:t>
      </w:r>
      <w:r w:rsidRPr="00FD2675">
        <w:rPr>
          <w:i/>
        </w:rPr>
        <w:t>16</w:t>
      </w:r>
      <w:r>
        <w:t xml:space="preserve">, </w:t>
      </w:r>
      <w:r w:rsidRPr="009054B6">
        <w:t>160</w:t>
      </w:r>
      <w:r>
        <w:t>-166</w:t>
      </w:r>
      <w:r w:rsidRPr="009054B6">
        <w:t>.</w:t>
      </w:r>
      <w:r>
        <w:t xml:space="preserve"> </w:t>
      </w:r>
      <w:r w:rsidRPr="00FD2675">
        <w:t>https://doi.org/10.1038/sj.ijir.3901198</w:t>
      </w:r>
    </w:p>
    <w:p w14:paraId="003B51A9" w14:textId="77777777" w:rsidR="002412FB" w:rsidRPr="002412FB" w:rsidRDefault="002412FB" w:rsidP="002412FB">
      <w:pPr>
        <w:spacing w:line="480" w:lineRule="auto"/>
        <w:ind w:left="360" w:hanging="360"/>
      </w:pPr>
      <w:r w:rsidRPr="002412FB">
        <w:t xml:space="preserve">American Psychiatric Association. </w:t>
      </w:r>
      <w:r w:rsidRPr="002412FB">
        <w:rPr>
          <w:i/>
        </w:rPr>
        <w:t>Diagnostic and statistical manual of mental disorders</w:t>
      </w:r>
      <w:r w:rsidRPr="002412FB">
        <w:t xml:space="preserve"> (5th ed.). Author: Arlington, VA, 2013.</w:t>
      </w:r>
    </w:p>
    <w:p w14:paraId="7EB86661" w14:textId="77777777" w:rsidR="00565820" w:rsidRPr="009054B6" w:rsidRDefault="00565820" w:rsidP="00565820">
      <w:pPr>
        <w:spacing w:line="480" w:lineRule="auto"/>
        <w:ind w:left="360" w:hanging="360"/>
      </w:pPr>
      <w:r w:rsidRPr="009054B6">
        <w:t>Bancroft</w:t>
      </w:r>
      <w:r>
        <w:t>,</w:t>
      </w:r>
      <w:r w:rsidRPr="009054B6">
        <w:t xml:space="preserve"> J</w:t>
      </w:r>
      <w:r>
        <w:t>.</w:t>
      </w:r>
      <w:r w:rsidRPr="009054B6">
        <w:t>, Loftus</w:t>
      </w:r>
      <w:r>
        <w:t>,</w:t>
      </w:r>
      <w:r w:rsidRPr="009054B6">
        <w:t xml:space="preserve"> J</w:t>
      </w:r>
      <w:r>
        <w:t>.</w:t>
      </w:r>
      <w:r w:rsidRPr="009054B6">
        <w:t xml:space="preserve">, </w:t>
      </w:r>
      <w:r>
        <w:t xml:space="preserve">&amp; </w:t>
      </w:r>
      <w:r w:rsidRPr="009054B6">
        <w:t>Long</w:t>
      </w:r>
      <w:r>
        <w:t>,</w:t>
      </w:r>
      <w:r w:rsidRPr="009054B6">
        <w:t xml:space="preserve"> J</w:t>
      </w:r>
      <w:r>
        <w:t xml:space="preserve">. </w:t>
      </w:r>
      <w:r w:rsidRPr="009054B6">
        <w:t xml:space="preserve">S. </w:t>
      </w:r>
      <w:r>
        <w:t xml:space="preserve">(2003). </w:t>
      </w:r>
      <w:r w:rsidRPr="009054B6">
        <w:t xml:space="preserve">Distress about sex: A national survey of women in heterosexual relationships. </w:t>
      </w:r>
      <w:r w:rsidRPr="00374744">
        <w:rPr>
          <w:i/>
        </w:rPr>
        <w:t xml:space="preserve">Archives of Sexual </w:t>
      </w:r>
      <w:proofErr w:type="spellStart"/>
      <w:r w:rsidRPr="00374744">
        <w:rPr>
          <w:i/>
        </w:rPr>
        <w:t>Behavior</w:t>
      </w:r>
      <w:proofErr w:type="spellEnd"/>
      <w:r>
        <w:t xml:space="preserve">, </w:t>
      </w:r>
      <w:r w:rsidRPr="00374744">
        <w:rPr>
          <w:i/>
        </w:rPr>
        <w:t>32</w:t>
      </w:r>
      <w:r w:rsidRPr="00374744">
        <w:t>,</w:t>
      </w:r>
      <w:r>
        <w:t xml:space="preserve"> </w:t>
      </w:r>
      <w:r w:rsidRPr="009054B6">
        <w:t>193-208. https://doi.org/10.1023/A:102342043</w:t>
      </w:r>
    </w:p>
    <w:p w14:paraId="033C9AF8" w14:textId="77777777" w:rsidR="002412FB" w:rsidRPr="00172296" w:rsidRDefault="002412FB" w:rsidP="002412FB">
      <w:pPr>
        <w:spacing w:line="480" w:lineRule="auto"/>
        <w:ind w:left="360" w:hanging="360"/>
        <w:rPr>
          <w:bCs/>
        </w:rPr>
      </w:pPr>
      <w:proofErr w:type="spellStart"/>
      <w:r w:rsidRPr="00D2110B">
        <w:rPr>
          <w:lang w:val="nb-NO"/>
        </w:rPr>
        <w:t>Carvalheira</w:t>
      </w:r>
      <w:proofErr w:type="spellEnd"/>
      <w:r w:rsidRPr="00D2110B">
        <w:rPr>
          <w:lang w:val="nb-NO"/>
        </w:rPr>
        <w:t xml:space="preserve">, A. A., </w:t>
      </w:r>
      <w:proofErr w:type="spellStart"/>
      <w:r w:rsidRPr="00D2110B">
        <w:rPr>
          <w:bCs/>
          <w:lang w:val="nb-NO"/>
        </w:rPr>
        <w:t>Štulhofer</w:t>
      </w:r>
      <w:proofErr w:type="spellEnd"/>
      <w:r w:rsidRPr="00D2110B">
        <w:rPr>
          <w:bCs/>
          <w:lang w:val="nb-NO"/>
        </w:rPr>
        <w:t>, A.,</w:t>
      </w:r>
      <w:r w:rsidRPr="00D2110B">
        <w:rPr>
          <w:b/>
          <w:lang w:val="nb-NO"/>
        </w:rPr>
        <w:t xml:space="preserve"> </w:t>
      </w:r>
      <w:r w:rsidRPr="00D2110B">
        <w:rPr>
          <w:lang w:val="nb-NO"/>
        </w:rPr>
        <w:t>Graham, C. A. &amp; Træen, B. (</w:t>
      </w:r>
      <w:r w:rsidRPr="00D2110B">
        <w:rPr>
          <w:bCs/>
          <w:lang w:val="nb-NO"/>
        </w:rPr>
        <w:t xml:space="preserve">2019). </w:t>
      </w:r>
      <w:r w:rsidRPr="009054B6">
        <w:rPr>
          <w:bCs/>
        </w:rPr>
        <w:t xml:space="preserve">Predictors and correlates of sexual </w:t>
      </w:r>
      <w:r w:rsidRPr="00C0037D">
        <w:rPr>
          <w:bCs/>
        </w:rPr>
        <w:t>avoidance among partnered older adults across Europe</w:t>
      </w:r>
      <w:r w:rsidR="001D3546">
        <w:rPr>
          <w:bCs/>
        </w:rPr>
        <w:t>.</w:t>
      </w:r>
      <w:r w:rsidRPr="00C0037D">
        <w:rPr>
          <w:bCs/>
        </w:rPr>
        <w:t xml:space="preserve"> </w:t>
      </w:r>
      <w:r w:rsidRPr="00172296">
        <w:rPr>
          <w:bCs/>
          <w:i/>
        </w:rPr>
        <w:t>European Journal of Aging</w:t>
      </w:r>
      <w:r>
        <w:rPr>
          <w:bCs/>
        </w:rPr>
        <w:t>.</w:t>
      </w:r>
      <w:r w:rsidRPr="00172296">
        <w:t xml:space="preserve"> </w:t>
      </w:r>
      <w:r w:rsidRPr="00172296">
        <w:rPr>
          <w:bCs/>
        </w:rPr>
        <w:t>https://doi.org/10.1007/s10433-019-00540-y</w:t>
      </w:r>
    </w:p>
    <w:p w14:paraId="4711C408" w14:textId="77777777" w:rsidR="00565820" w:rsidRPr="009054B6" w:rsidRDefault="00565820" w:rsidP="00565820">
      <w:pPr>
        <w:spacing w:line="480" w:lineRule="auto"/>
        <w:ind w:left="360" w:hanging="360"/>
      </w:pPr>
      <w:proofErr w:type="spellStart"/>
      <w:r w:rsidRPr="009054B6">
        <w:t>Çayan</w:t>
      </w:r>
      <w:proofErr w:type="spellEnd"/>
      <w:r>
        <w:t>,</w:t>
      </w:r>
      <w:r w:rsidRPr="009054B6">
        <w:t xml:space="preserve"> S</w:t>
      </w:r>
      <w:r>
        <w:t>.</w:t>
      </w:r>
      <w:r w:rsidRPr="009054B6">
        <w:t xml:space="preserve">, </w:t>
      </w:r>
      <w:proofErr w:type="spellStart"/>
      <w:r w:rsidRPr="009054B6">
        <w:t>Akbay</w:t>
      </w:r>
      <w:proofErr w:type="spellEnd"/>
      <w:r>
        <w:t>,</w:t>
      </w:r>
      <w:r w:rsidRPr="009054B6">
        <w:t xml:space="preserve"> E</w:t>
      </w:r>
      <w:r>
        <w:t>.</w:t>
      </w:r>
      <w:r w:rsidRPr="009054B6">
        <w:t xml:space="preserve">, </w:t>
      </w:r>
      <w:proofErr w:type="spellStart"/>
      <w:r w:rsidRPr="009054B6">
        <w:t>Bozlu</w:t>
      </w:r>
      <w:proofErr w:type="spellEnd"/>
      <w:r>
        <w:t>,</w:t>
      </w:r>
      <w:r w:rsidRPr="009054B6">
        <w:t xml:space="preserve"> M</w:t>
      </w:r>
      <w:r>
        <w:t>.</w:t>
      </w:r>
      <w:r w:rsidRPr="009054B6">
        <w:t xml:space="preserve">, </w:t>
      </w:r>
      <w:proofErr w:type="spellStart"/>
      <w:r w:rsidRPr="00E165A3">
        <w:t>Canpolat</w:t>
      </w:r>
      <w:proofErr w:type="spellEnd"/>
      <w:r w:rsidRPr="00E165A3">
        <w:t xml:space="preserve">, B., </w:t>
      </w:r>
      <w:proofErr w:type="spellStart"/>
      <w:r w:rsidRPr="00E165A3">
        <w:t>Acar</w:t>
      </w:r>
      <w:proofErr w:type="spellEnd"/>
      <w:r w:rsidRPr="00E165A3">
        <w:t xml:space="preserve">, D., &amp; </w:t>
      </w:r>
      <w:proofErr w:type="spellStart"/>
      <w:r w:rsidRPr="00E165A3">
        <w:t>Ulusoy</w:t>
      </w:r>
      <w:proofErr w:type="spellEnd"/>
      <w:r w:rsidRPr="00E165A3">
        <w:t>, E.</w:t>
      </w:r>
      <w:r>
        <w:t xml:space="preserve"> (2004). </w:t>
      </w:r>
      <w:r w:rsidRPr="009054B6">
        <w:t xml:space="preserve">The prevalence of female sexual dysfunction and potential risk factors that may impair sexual function in Turkish women. </w:t>
      </w:r>
      <w:proofErr w:type="spellStart"/>
      <w:r w:rsidRPr="00E165A3">
        <w:rPr>
          <w:i/>
        </w:rPr>
        <w:t>Urologia</w:t>
      </w:r>
      <w:proofErr w:type="spellEnd"/>
      <w:r w:rsidRPr="00E165A3">
        <w:rPr>
          <w:i/>
        </w:rPr>
        <w:t xml:space="preserve"> Internationalis</w:t>
      </w:r>
      <w:r>
        <w:t xml:space="preserve">, </w:t>
      </w:r>
      <w:r w:rsidRPr="00E165A3">
        <w:rPr>
          <w:i/>
        </w:rPr>
        <w:t>72</w:t>
      </w:r>
      <w:r>
        <w:t xml:space="preserve">, </w:t>
      </w:r>
      <w:r w:rsidRPr="009054B6">
        <w:t>52-</w:t>
      </w:r>
      <w:r>
        <w:t>5</w:t>
      </w:r>
      <w:r w:rsidRPr="009054B6">
        <w:t>7. https://doi.org/10.1159/000075273</w:t>
      </w:r>
    </w:p>
    <w:p w14:paraId="0F9A39A2" w14:textId="77777777" w:rsidR="002412FB" w:rsidRDefault="002412FB" w:rsidP="002412FB">
      <w:pPr>
        <w:spacing w:line="480" w:lineRule="auto"/>
        <w:ind w:left="360" w:hanging="360"/>
      </w:pPr>
      <w:r w:rsidRPr="009054B6">
        <w:t>Christensen</w:t>
      </w:r>
      <w:r>
        <w:t>,</w:t>
      </w:r>
      <w:r w:rsidRPr="009054B6">
        <w:t xml:space="preserve"> B</w:t>
      </w:r>
      <w:r>
        <w:t xml:space="preserve">. </w:t>
      </w:r>
      <w:r w:rsidRPr="009054B6">
        <w:t>S</w:t>
      </w:r>
      <w:r>
        <w:t>.</w:t>
      </w:r>
      <w:r w:rsidRPr="009054B6">
        <w:t xml:space="preserve">, </w:t>
      </w:r>
      <w:proofErr w:type="spellStart"/>
      <w:r w:rsidRPr="009054B6">
        <w:t>Grønbæk</w:t>
      </w:r>
      <w:proofErr w:type="spellEnd"/>
      <w:r>
        <w:t>,</w:t>
      </w:r>
      <w:r w:rsidRPr="009054B6">
        <w:t xml:space="preserve"> M</w:t>
      </w:r>
      <w:r>
        <w:t>.</w:t>
      </w:r>
      <w:r w:rsidRPr="009054B6">
        <w:t>, Osler</w:t>
      </w:r>
      <w:r>
        <w:t>,</w:t>
      </w:r>
      <w:r w:rsidRPr="009054B6">
        <w:t xml:space="preserve"> M</w:t>
      </w:r>
      <w:r>
        <w:t xml:space="preserve">, </w:t>
      </w:r>
      <w:r w:rsidRPr="00717F2B">
        <w:t>Pedersen, B. V</w:t>
      </w:r>
      <w:r>
        <w:t xml:space="preserve">., </w:t>
      </w:r>
      <w:proofErr w:type="spellStart"/>
      <w:r>
        <w:t>Graugaard</w:t>
      </w:r>
      <w:proofErr w:type="spellEnd"/>
      <w:r>
        <w:t xml:space="preserve">, C., &amp; Frisch, M. (2011). </w:t>
      </w:r>
      <w:r w:rsidRPr="009054B6">
        <w:t xml:space="preserve">Sexual dysfunctions and difficulties in Denmark: Prevalence and associated sociodemographic factors. </w:t>
      </w:r>
      <w:r w:rsidRPr="00717F2B">
        <w:rPr>
          <w:i/>
        </w:rPr>
        <w:t xml:space="preserve">Archives of Sexual </w:t>
      </w:r>
      <w:proofErr w:type="spellStart"/>
      <w:r w:rsidRPr="00717F2B">
        <w:rPr>
          <w:i/>
        </w:rPr>
        <w:t>Behavior</w:t>
      </w:r>
      <w:proofErr w:type="spellEnd"/>
      <w:r>
        <w:t xml:space="preserve">, </w:t>
      </w:r>
      <w:r w:rsidRPr="00717F2B">
        <w:rPr>
          <w:i/>
        </w:rPr>
        <w:t>40</w:t>
      </w:r>
      <w:r>
        <w:t xml:space="preserve">, </w:t>
      </w:r>
      <w:r w:rsidRPr="009054B6">
        <w:t>121-</w:t>
      </w:r>
      <w:r>
        <w:t>1</w:t>
      </w:r>
      <w:r w:rsidRPr="009054B6">
        <w:t>32. https://doi.org/10.1007/s10508-010-9599-y</w:t>
      </w:r>
    </w:p>
    <w:p w14:paraId="2AA1B459" w14:textId="77777777" w:rsidR="002412FB" w:rsidRPr="009054B6" w:rsidRDefault="002412FB" w:rsidP="002412FB">
      <w:pPr>
        <w:spacing w:line="480" w:lineRule="auto"/>
        <w:ind w:left="360" w:hanging="360"/>
        <w:rPr>
          <w:lang w:val="en-US"/>
        </w:rPr>
      </w:pPr>
      <w:proofErr w:type="spellStart"/>
      <w:r w:rsidRPr="009054B6">
        <w:rPr>
          <w:lang w:val="en-US"/>
        </w:rPr>
        <w:t>DeLamater</w:t>
      </w:r>
      <w:proofErr w:type="spellEnd"/>
      <w:r>
        <w:rPr>
          <w:lang w:val="en-US"/>
        </w:rPr>
        <w:t>,</w:t>
      </w:r>
      <w:r w:rsidRPr="009054B6">
        <w:rPr>
          <w:lang w:val="en-US"/>
        </w:rPr>
        <w:t xml:space="preserve"> J. </w:t>
      </w:r>
      <w:r>
        <w:rPr>
          <w:lang w:val="en-US"/>
        </w:rPr>
        <w:t xml:space="preserve">(2012). </w:t>
      </w:r>
      <w:r w:rsidRPr="009054B6">
        <w:rPr>
          <w:lang w:val="en-US"/>
        </w:rPr>
        <w:t xml:space="preserve">Sexual expression in later life: A review and synthesis. </w:t>
      </w:r>
      <w:r w:rsidRPr="00A913F4">
        <w:rPr>
          <w:i/>
          <w:lang w:val="en-US"/>
        </w:rPr>
        <w:t>Journal of Sex Research</w:t>
      </w:r>
      <w:r>
        <w:rPr>
          <w:lang w:val="en-US"/>
        </w:rPr>
        <w:t xml:space="preserve">, </w:t>
      </w:r>
      <w:r w:rsidRPr="00A913F4">
        <w:rPr>
          <w:i/>
          <w:lang w:val="en-US"/>
        </w:rPr>
        <w:t>49</w:t>
      </w:r>
      <w:r>
        <w:rPr>
          <w:lang w:val="en-US"/>
        </w:rPr>
        <w:t xml:space="preserve">, </w:t>
      </w:r>
      <w:r w:rsidRPr="009054B6">
        <w:rPr>
          <w:lang w:val="en-US"/>
        </w:rPr>
        <w:t>125-</w:t>
      </w:r>
      <w:r>
        <w:rPr>
          <w:lang w:val="en-US"/>
        </w:rPr>
        <w:t>1</w:t>
      </w:r>
      <w:r w:rsidRPr="009054B6">
        <w:rPr>
          <w:lang w:val="en-US"/>
        </w:rPr>
        <w:t>41. https://doi.org/10.1080/00224499.2011.603168</w:t>
      </w:r>
    </w:p>
    <w:p w14:paraId="18909286" w14:textId="77777777" w:rsidR="002412FB" w:rsidRPr="00A913F4" w:rsidRDefault="002412FB" w:rsidP="002412FB">
      <w:pPr>
        <w:spacing w:line="480" w:lineRule="auto"/>
        <w:ind w:left="360" w:hanging="360"/>
      </w:pPr>
      <w:proofErr w:type="spellStart"/>
      <w:r w:rsidRPr="009054B6">
        <w:t>Erens</w:t>
      </w:r>
      <w:proofErr w:type="spellEnd"/>
      <w:r>
        <w:t>,</w:t>
      </w:r>
      <w:r w:rsidRPr="009054B6">
        <w:t xml:space="preserve"> B</w:t>
      </w:r>
      <w:r>
        <w:t>., Mitchell,</w:t>
      </w:r>
      <w:r w:rsidRPr="009054B6">
        <w:t xml:space="preserve"> K</w:t>
      </w:r>
      <w:r>
        <w:t xml:space="preserve">. </w:t>
      </w:r>
      <w:r w:rsidRPr="009054B6">
        <w:t>R</w:t>
      </w:r>
      <w:r>
        <w:t>.</w:t>
      </w:r>
      <w:r w:rsidRPr="009054B6">
        <w:t>, Gibson</w:t>
      </w:r>
      <w:r>
        <w:t>, L.,</w:t>
      </w:r>
      <w:r w:rsidRPr="009054B6">
        <w:t xml:space="preserve"> </w:t>
      </w:r>
      <w:proofErr w:type="spellStart"/>
      <w:r w:rsidRPr="00A913F4">
        <w:t>Datta</w:t>
      </w:r>
      <w:proofErr w:type="spellEnd"/>
      <w:r w:rsidRPr="00A913F4">
        <w:t xml:space="preserve">, J., Lewis, R., Field, N., &amp; </w:t>
      </w:r>
      <w:proofErr w:type="spellStart"/>
      <w:r w:rsidRPr="00A913F4">
        <w:t>Wellings</w:t>
      </w:r>
      <w:proofErr w:type="spellEnd"/>
      <w:r w:rsidRPr="00A913F4">
        <w:t>, K. </w:t>
      </w:r>
    </w:p>
    <w:p w14:paraId="7D51F07F" w14:textId="77777777" w:rsidR="002412FB" w:rsidRPr="009054B6" w:rsidRDefault="002412FB" w:rsidP="002412FB">
      <w:pPr>
        <w:spacing w:line="480" w:lineRule="auto"/>
        <w:ind w:left="360" w:hanging="360"/>
      </w:pPr>
      <w:r w:rsidRPr="00A913F4">
        <w:lastRenderedPageBreak/>
        <w:t xml:space="preserve"> </w:t>
      </w:r>
      <w:r>
        <w:t>(2019).</w:t>
      </w:r>
      <w:r w:rsidRPr="009054B6">
        <w:t xml:space="preserve"> Health status, sexual activity and satisfaction among older people in Britain: A mixed methods study. </w:t>
      </w:r>
      <w:proofErr w:type="spellStart"/>
      <w:r w:rsidRPr="00A913F4">
        <w:rPr>
          <w:i/>
        </w:rPr>
        <w:t>PloS</w:t>
      </w:r>
      <w:proofErr w:type="spellEnd"/>
      <w:r w:rsidRPr="00A913F4">
        <w:rPr>
          <w:i/>
        </w:rPr>
        <w:t xml:space="preserve"> One</w:t>
      </w:r>
      <w:r>
        <w:t xml:space="preserve">, </w:t>
      </w:r>
      <w:r w:rsidRPr="00A913F4">
        <w:rPr>
          <w:i/>
        </w:rPr>
        <w:t>14</w:t>
      </w:r>
      <w:r>
        <w:t xml:space="preserve">, </w:t>
      </w:r>
      <w:r w:rsidRPr="009054B6">
        <w:t>e0213835. https://doi.org/10.1371/journal.pone.0213835</w:t>
      </w:r>
    </w:p>
    <w:p w14:paraId="4B8445D3" w14:textId="77777777" w:rsidR="002412FB" w:rsidRDefault="002412FB" w:rsidP="002412FB">
      <w:pPr>
        <w:spacing w:line="480" w:lineRule="auto"/>
        <w:ind w:left="360" w:hanging="360"/>
      </w:pPr>
      <w:r w:rsidRPr="009054B6">
        <w:t>Field</w:t>
      </w:r>
      <w:r>
        <w:t>,</w:t>
      </w:r>
      <w:r w:rsidRPr="009054B6">
        <w:t xml:space="preserve"> N</w:t>
      </w:r>
      <w:r>
        <w:t>.</w:t>
      </w:r>
      <w:r w:rsidRPr="009054B6">
        <w:t>, Mercer</w:t>
      </w:r>
      <w:r>
        <w:t>,</w:t>
      </w:r>
      <w:r w:rsidRPr="009054B6">
        <w:t xml:space="preserve"> C</w:t>
      </w:r>
      <w:r>
        <w:t xml:space="preserve">. </w:t>
      </w:r>
      <w:r w:rsidRPr="009054B6">
        <w:t>H</w:t>
      </w:r>
      <w:r>
        <w:t>.</w:t>
      </w:r>
      <w:r w:rsidRPr="009054B6">
        <w:t xml:space="preserve">, </w:t>
      </w:r>
      <w:proofErr w:type="spellStart"/>
      <w:r w:rsidRPr="009054B6">
        <w:t>Sonnenberg</w:t>
      </w:r>
      <w:proofErr w:type="spellEnd"/>
      <w:r>
        <w:t>,</w:t>
      </w:r>
      <w:r w:rsidRPr="009054B6">
        <w:t xml:space="preserve"> P</w:t>
      </w:r>
      <w:r>
        <w:t xml:space="preserve">., </w:t>
      </w:r>
      <w:proofErr w:type="spellStart"/>
      <w:r>
        <w:t>T</w:t>
      </w:r>
      <w:r w:rsidRPr="00A913F4">
        <w:t>anton</w:t>
      </w:r>
      <w:proofErr w:type="spellEnd"/>
      <w:r w:rsidRPr="00A913F4">
        <w:t>, C., Clifton, S., Mitchell, K. R., ... &amp; Jones, K. G.</w:t>
      </w:r>
      <w:r>
        <w:t xml:space="preserve"> (2013).</w:t>
      </w:r>
      <w:r w:rsidRPr="009054B6">
        <w:t xml:space="preserve"> Associations between health and sexual lifestyles in Britain: </w:t>
      </w:r>
      <w:r w:rsidR="00320A9D">
        <w:t>F</w:t>
      </w:r>
      <w:r w:rsidRPr="009054B6">
        <w:t>indings from the third National Survey of Sexual Attitudes and Life</w:t>
      </w:r>
      <w:r>
        <w:t xml:space="preserve">styles (Natsal-3). </w:t>
      </w:r>
      <w:r w:rsidRPr="00A913F4">
        <w:rPr>
          <w:i/>
        </w:rPr>
        <w:t>Lancet</w:t>
      </w:r>
      <w:r w:rsidRPr="00A913F4">
        <w:t xml:space="preserve">, </w:t>
      </w:r>
      <w:r w:rsidRPr="00A913F4">
        <w:rPr>
          <w:i/>
        </w:rPr>
        <w:t>382</w:t>
      </w:r>
      <w:r>
        <w:t xml:space="preserve">(9907), </w:t>
      </w:r>
      <w:r w:rsidRPr="009054B6">
        <w:t>1830-</w:t>
      </w:r>
      <w:r>
        <w:t>18</w:t>
      </w:r>
      <w:r w:rsidRPr="009054B6">
        <w:t>44. https://doi.org/10.1016/S0140-6736(13)62222-9</w:t>
      </w:r>
    </w:p>
    <w:p w14:paraId="2C779C13" w14:textId="77777777" w:rsidR="002412FB" w:rsidRPr="009054B6" w:rsidRDefault="002412FB" w:rsidP="002412FB">
      <w:pPr>
        <w:spacing w:line="480" w:lineRule="auto"/>
        <w:ind w:left="360" w:hanging="360"/>
      </w:pPr>
      <w:proofErr w:type="spellStart"/>
      <w:r w:rsidRPr="009054B6">
        <w:t>Fileborn</w:t>
      </w:r>
      <w:proofErr w:type="spellEnd"/>
      <w:r>
        <w:t xml:space="preserve">, </w:t>
      </w:r>
      <w:r w:rsidRPr="009054B6">
        <w:t>B</w:t>
      </w:r>
      <w:r>
        <w:t>.</w:t>
      </w:r>
      <w:r w:rsidRPr="009054B6">
        <w:t xml:space="preserve">, </w:t>
      </w:r>
      <w:proofErr w:type="spellStart"/>
      <w:r w:rsidRPr="009054B6">
        <w:t>Hinchliff</w:t>
      </w:r>
      <w:proofErr w:type="spellEnd"/>
      <w:r>
        <w:t>,</w:t>
      </w:r>
      <w:r w:rsidRPr="009054B6">
        <w:t xml:space="preserve"> S</w:t>
      </w:r>
      <w:r>
        <w:t>.</w:t>
      </w:r>
      <w:r w:rsidRPr="009054B6">
        <w:t>, Lyons</w:t>
      </w:r>
      <w:r>
        <w:t>,</w:t>
      </w:r>
      <w:r w:rsidRPr="009054B6">
        <w:t xml:space="preserve"> A</w:t>
      </w:r>
      <w:r>
        <w:t>.</w:t>
      </w:r>
      <w:r w:rsidRPr="009054B6">
        <w:t xml:space="preserve">, </w:t>
      </w:r>
      <w:r w:rsidRPr="00B84231">
        <w:t xml:space="preserve">Heywood, W., </w:t>
      </w:r>
      <w:proofErr w:type="spellStart"/>
      <w:r w:rsidRPr="00B84231">
        <w:t>Minichiello</w:t>
      </w:r>
      <w:proofErr w:type="spellEnd"/>
      <w:r w:rsidRPr="00B84231">
        <w:t xml:space="preserve">, V., Brown, G., ... &amp; </w:t>
      </w:r>
      <w:proofErr w:type="spellStart"/>
      <w:r w:rsidRPr="00B84231">
        <w:t>Crameri</w:t>
      </w:r>
      <w:proofErr w:type="spellEnd"/>
      <w:r w:rsidRPr="00B84231">
        <w:t>, P.</w:t>
      </w:r>
      <w:r>
        <w:t xml:space="preserve"> (2017). </w:t>
      </w:r>
      <w:r w:rsidRPr="009054B6">
        <w:t>The importance of sex and the meaning of sex and sexual pleasure for men aged 60 and older who engage in heterosexual relationships: Findings from a qualitative inter</w:t>
      </w:r>
      <w:r>
        <w:t xml:space="preserve">view study. </w:t>
      </w:r>
      <w:r w:rsidRPr="00B84231">
        <w:rPr>
          <w:i/>
        </w:rPr>
        <w:t xml:space="preserve">Archives of Sexual </w:t>
      </w:r>
      <w:proofErr w:type="spellStart"/>
      <w:r w:rsidRPr="00B84231">
        <w:rPr>
          <w:i/>
        </w:rPr>
        <w:t>Behavior</w:t>
      </w:r>
      <w:proofErr w:type="spellEnd"/>
      <w:r>
        <w:t xml:space="preserve">, </w:t>
      </w:r>
      <w:r w:rsidRPr="00B84231">
        <w:rPr>
          <w:i/>
        </w:rPr>
        <w:t>46</w:t>
      </w:r>
      <w:r>
        <w:t xml:space="preserve">, </w:t>
      </w:r>
      <w:r w:rsidRPr="009054B6">
        <w:t>2097-</w:t>
      </w:r>
      <w:r>
        <w:t>2</w:t>
      </w:r>
      <w:r w:rsidRPr="009054B6">
        <w:t>110. https://doi.org/10.1007/s10508-016-0918-9</w:t>
      </w:r>
    </w:p>
    <w:p w14:paraId="03AB5860" w14:textId="77777777" w:rsidR="002412FB" w:rsidRDefault="002412FB" w:rsidP="002412FB">
      <w:pPr>
        <w:spacing w:line="480" w:lineRule="auto"/>
        <w:ind w:left="360" w:hanging="360"/>
      </w:pPr>
      <w:r w:rsidRPr="009054B6">
        <w:t>Freak-</w:t>
      </w:r>
      <w:proofErr w:type="spellStart"/>
      <w:r w:rsidRPr="009054B6">
        <w:t>Poli</w:t>
      </w:r>
      <w:proofErr w:type="spellEnd"/>
      <w:r>
        <w:t>,</w:t>
      </w:r>
      <w:r w:rsidRPr="009054B6">
        <w:t xml:space="preserve"> R</w:t>
      </w:r>
      <w:r>
        <w:t>.</w:t>
      </w:r>
      <w:r w:rsidRPr="009054B6">
        <w:t xml:space="preserve">, </w:t>
      </w:r>
      <w:proofErr w:type="spellStart"/>
      <w:r w:rsidRPr="009054B6">
        <w:t>Kirkman</w:t>
      </w:r>
      <w:proofErr w:type="spellEnd"/>
      <w:r>
        <w:t>,</w:t>
      </w:r>
      <w:r w:rsidRPr="009054B6">
        <w:t xml:space="preserve"> M</w:t>
      </w:r>
      <w:r>
        <w:t>.</w:t>
      </w:r>
      <w:r w:rsidRPr="009054B6">
        <w:t>, Lima</w:t>
      </w:r>
      <w:r>
        <w:t>,</w:t>
      </w:r>
      <w:r w:rsidRPr="009054B6">
        <w:t xml:space="preserve"> G</w:t>
      </w:r>
      <w:r>
        <w:t xml:space="preserve">. </w:t>
      </w:r>
      <w:r w:rsidRPr="009054B6">
        <w:t>D</w:t>
      </w:r>
      <w:r>
        <w:t>.</w:t>
      </w:r>
      <w:r w:rsidRPr="009054B6">
        <w:t xml:space="preserve">, </w:t>
      </w:r>
      <w:proofErr w:type="spellStart"/>
      <w:r w:rsidRPr="00B84231">
        <w:t>Direk</w:t>
      </w:r>
      <w:proofErr w:type="spellEnd"/>
      <w:r w:rsidRPr="00B84231">
        <w:t xml:space="preserve">, N., Franco, O. H., &amp; </w:t>
      </w:r>
      <w:proofErr w:type="spellStart"/>
      <w:r w:rsidRPr="00B84231">
        <w:t>Tiemeier</w:t>
      </w:r>
      <w:proofErr w:type="spellEnd"/>
      <w:r w:rsidRPr="00B84231">
        <w:t>, H.</w:t>
      </w:r>
      <w:r>
        <w:t xml:space="preserve"> (2017).</w:t>
      </w:r>
      <w:r w:rsidRPr="009054B6">
        <w:t xml:space="preserve"> Sexual activity and physical tenderness in older adults: </w:t>
      </w:r>
      <w:r>
        <w:t>C</w:t>
      </w:r>
      <w:r w:rsidRPr="009054B6">
        <w:t xml:space="preserve">ross-sectional prevalence and associated characteristics. </w:t>
      </w:r>
      <w:r w:rsidRPr="00B84231">
        <w:rPr>
          <w:i/>
        </w:rPr>
        <w:t>The Journal of Sexual Medicine</w:t>
      </w:r>
      <w:r>
        <w:t xml:space="preserve">, </w:t>
      </w:r>
      <w:r w:rsidRPr="00B84231">
        <w:rPr>
          <w:i/>
        </w:rPr>
        <w:t>14</w:t>
      </w:r>
      <w:r>
        <w:t xml:space="preserve">, </w:t>
      </w:r>
      <w:r w:rsidRPr="009054B6">
        <w:t>918-</w:t>
      </w:r>
      <w:r>
        <w:t>9</w:t>
      </w:r>
      <w:r w:rsidRPr="009054B6">
        <w:t>27. https://doi.org/10.1016/j.jsxm.2017.05.010</w:t>
      </w:r>
      <w:r>
        <w:t>\</w:t>
      </w:r>
    </w:p>
    <w:p w14:paraId="5F6A1BB0" w14:textId="77777777" w:rsidR="002412FB" w:rsidRPr="009054B6" w:rsidRDefault="002412FB" w:rsidP="002412FB">
      <w:pPr>
        <w:spacing w:line="480" w:lineRule="auto"/>
        <w:ind w:left="360" w:hanging="360"/>
      </w:pPr>
      <w:r w:rsidRPr="009054B6">
        <w:t>Graham</w:t>
      </w:r>
      <w:r>
        <w:t>,</w:t>
      </w:r>
      <w:r w:rsidRPr="009054B6">
        <w:t xml:space="preserve"> C</w:t>
      </w:r>
      <w:r>
        <w:t xml:space="preserve">. </w:t>
      </w:r>
      <w:r w:rsidRPr="009054B6">
        <w:t>A</w:t>
      </w:r>
      <w:r>
        <w:t>.</w:t>
      </w:r>
      <w:r w:rsidRPr="009054B6">
        <w:t>, Mercer</w:t>
      </w:r>
      <w:r>
        <w:t>,</w:t>
      </w:r>
      <w:r w:rsidRPr="009054B6">
        <w:t xml:space="preserve"> C</w:t>
      </w:r>
      <w:r>
        <w:t xml:space="preserve">. </w:t>
      </w:r>
      <w:r w:rsidRPr="009054B6">
        <w:t>H</w:t>
      </w:r>
      <w:r>
        <w:t>.</w:t>
      </w:r>
      <w:r w:rsidRPr="009054B6">
        <w:t xml:space="preserve">, </w:t>
      </w:r>
      <w:proofErr w:type="spellStart"/>
      <w:r w:rsidRPr="009054B6">
        <w:t>Tanton</w:t>
      </w:r>
      <w:proofErr w:type="spellEnd"/>
      <w:r>
        <w:t>,</w:t>
      </w:r>
      <w:r w:rsidRPr="009054B6">
        <w:t xml:space="preserve"> C</w:t>
      </w:r>
      <w:r>
        <w:t>.</w:t>
      </w:r>
      <w:r w:rsidRPr="009054B6">
        <w:t xml:space="preserve">, </w:t>
      </w:r>
      <w:r w:rsidRPr="00035B40">
        <w:t xml:space="preserve">Jones, K. G., Johnson, A. M., </w:t>
      </w:r>
      <w:proofErr w:type="spellStart"/>
      <w:r w:rsidRPr="00035B40">
        <w:t>Wellings</w:t>
      </w:r>
      <w:proofErr w:type="spellEnd"/>
      <w:r w:rsidRPr="00035B40">
        <w:t>, K., &amp; Mitchell, K. R.</w:t>
      </w:r>
      <w:r>
        <w:t xml:space="preserve"> (2017). </w:t>
      </w:r>
      <w:r w:rsidRPr="009054B6">
        <w:t xml:space="preserve">What factors are associated with reporting lacking interest in sex and how do these vary by gender? Findings from the third British national survey of sexual attitudes and lifestyles. </w:t>
      </w:r>
      <w:r w:rsidRPr="00035B40">
        <w:rPr>
          <w:i/>
        </w:rPr>
        <w:t>BMJ Open</w:t>
      </w:r>
      <w:r>
        <w:t xml:space="preserve">, </w:t>
      </w:r>
      <w:r w:rsidRPr="00035B40">
        <w:rPr>
          <w:i/>
        </w:rPr>
        <w:t>7</w:t>
      </w:r>
      <w:r>
        <w:t xml:space="preserve">, </w:t>
      </w:r>
      <w:r w:rsidRPr="009054B6">
        <w:t>e016942. http://dx.doi.org/10.1136/bmjopen-2017-016942</w:t>
      </w:r>
    </w:p>
    <w:p w14:paraId="04B50D5A" w14:textId="77777777" w:rsidR="001D3546" w:rsidRPr="009054B6" w:rsidRDefault="001D3546" w:rsidP="001D3546">
      <w:pPr>
        <w:spacing w:line="480" w:lineRule="auto"/>
        <w:ind w:left="360" w:hanging="360"/>
      </w:pPr>
      <w:proofErr w:type="spellStart"/>
      <w:r w:rsidRPr="009054B6">
        <w:t>Haavio-Mannila</w:t>
      </w:r>
      <w:proofErr w:type="spellEnd"/>
      <w:r>
        <w:t>,</w:t>
      </w:r>
      <w:r w:rsidRPr="009054B6">
        <w:t xml:space="preserve"> E</w:t>
      </w:r>
      <w:r>
        <w:t>.</w:t>
      </w:r>
      <w:r w:rsidRPr="009054B6">
        <w:t xml:space="preserve">, </w:t>
      </w:r>
      <w:r>
        <w:t xml:space="preserve">&amp; </w:t>
      </w:r>
      <w:proofErr w:type="spellStart"/>
      <w:r w:rsidRPr="009054B6">
        <w:t>Kontula</w:t>
      </w:r>
      <w:proofErr w:type="spellEnd"/>
      <w:r>
        <w:t>,</w:t>
      </w:r>
      <w:r w:rsidRPr="009054B6">
        <w:t xml:space="preserve"> O. </w:t>
      </w:r>
      <w:r w:rsidRPr="00ED7273">
        <w:rPr>
          <w:i/>
          <w:iCs/>
        </w:rPr>
        <w:t>Sexual trends in the Baltic</w:t>
      </w:r>
      <w:r w:rsidRPr="00ED7273">
        <w:rPr>
          <w:i/>
        </w:rPr>
        <w:t xml:space="preserve"> </w:t>
      </w:r>
      <w:r w:rsidRPr="00ED7273">
        <w:rPr>
          <w:i/>
          <w:iCs/>
        </w:rPr>
        <w:t>Sea area</w:t>
      </w:r>
      <w:r w:rsidRPr="00F47395">
        <w:t>.</w:t>
      </w:r>
      <w:r w:rsidRPr="009054B6">
        <w:t xml:space="preserve"> Publication of the Population Research Institute: Helsinki 2003.</w:t>
      </w:r>
    </w:p>
    <w:p w14:paraId="65B39773" w14:textId="30415DBD" w:rsidR="002412FB" w:rsidRDefault="00D2110B" w:rsidP="00D2110B">
      <w:pPr>
        <w:spacing w:line="480" w:lineRule="auto"/>
        <w:ind w:left="360" w:hanging="360"/>
      </w:pPr>
      <w:r>
        <w:t>[</w:t>
      </w:r>
      <w:r w:rsidRPr="00D2110B">
        <w:rPr>
          <w:i/>
        </w:rPr>
        <w:t>Blinded for review</w:t>
      </w:r>
      <w:r>
        <w:t xml:space="preserve">] </w:t>
      </w:r>
    </w:p>
    <w:p w14:paraId="35C5FBDB" w14:textId="77777777" w:rsidR="009054B6" w:rsidRPr="009054B6" w:rsidRDefault="009054B6" w:rsidP="002412FB">
      <w:pPr>
        <w:spacing w:line="480" w:lineRule="auto"/>
        <w:ind w:left="360" w:hanging="360"/>
      </w:pPr>
      <w:r w:rsidRPr="009054B6">
        <w:lastRenderedPageBreak/>
        <w:t>Hayes</w:t>
      </w:r>
      <w:r w:rsidR="005A61B6">
        <w:t>,</w:t>
      </w:r>
      <w:r w:rsidRPr="009054B6">
        <w:t xml:space="preserve"> R</w:t>
      </w:r>
      <w:r w:rsidR="005A61B6">
        <w:t>.</w:t>
      </w:r>
      <w:r w:rsidRPr="009054B6">
        <w:t xml:space="preserve">, </w:t>
      </w:r>
      <w:r w:rsidR="005A61B6">
        <w:t xml:space="preserve">&amp; </w:t>
      </w:r>
      <w:proofErr w:type="spellStart"/>
      <w:r w:rsidRPr="009054B6">
        <w:t>Dennerstein</w:t>
      </w:r>
      <w:proofErr w:type="spellEnd"/>
      <w:r w:rsidR="005A61B6">
        <w:t>,</w:t>
      </w:r>
      <w:r w:rsidRPr="009054B6">
        <w:t xml:space="preserve"> L. </w:t>
      </w:r>
      <w:r w:rsidR="005A61B6">
        <w:t xml:space="preserve">(2005). </w:t>
      </w:r>
      <w:r w:rsidRPr="009054B6">
        <w:t>The impact of aging on sexual function and sexual dysfunction in women: A review of population</w:t>
      </w:r>
      <w:r w:rsidRPr="009054B6">
        <w:rPr>
          <w:rFonts w:ascii="Calibri" w:eastAsia="Calibri" w:hAnsi="Calibri" w:cs="Calibri"/>
        </w:rPr>
        <w:t>‐</w:t>
      </w:r>
      <w:r w:rsidRPr="009054B6">
        <w:t>based</w:t>
      </w:r>
      <w:r w:rsidR="005A61B6">
        <w:t xml:space="preserve"> studies. </w:t>
      </w:r>
      <w:r w:rsidR="00B84231" w:rsidRPr="00B84231">
        <w:rPr>
          <w:i/>
        </w:rPr>
        <w:t>The</w:t>
      </w:r>
      <w:r w:rsidR="00B84231">
        <w:t xml:space="preserve"> </w:t>
      </w:r>
      <w:r w:rsidR="005A61B6" w:rsidRPr="005A61B6">
        <w:rPr>
          <w:i/>
        </w:rPr>
        <w:t>Journal of Sexual Medicine</w:t>
      </w:r>
      <w:r w:rsidR="005A61B6">
        <w:t xml:space="preserve">, </w:t>
      </w:r>
      <w:r w:rsidRPr="005A61B6">
        <w:rPr>
          <w:i/>
        </w:rPr>
        <w:t>2</w:t>
      </w:r>
      <w:r w:rsidR="005A61B6">
        <w:t xml:space="preserve">, </w:t>
      </w:r>
      <w:r w:rsidRPr="009054B6">
        <w:t>317-</w:t>
      </w:r>
      <w:r w:rsidR="005A61B6">
        <w:t>3</w:t>
      </w:r>
      <w:r w:rsidRPr="009054B6">
        <w:t>30. DOI: https://doi.org/10.1111/j.1743-6109.2005.20356.x</w:t>
      </w:r>
    </w:p>
    <w:p w14:paraId="075BDBAD" w14:textId="77777777" w:rsidR="002412FB" w:rsidRPr="00B84231" w:rsidRDefault="002412FB" w:rsidP="002412FB">
      <w:pPr>
        <w:spacing w:line="480" w:lineRule="auto"/>
        <w:ind w:left="450" w:hanging="450"/>
      </w:pPr>
      <w:r w:rsidRPr="009054B6">
        <w:t>Heiman</w:t>
      </w:r>
      <w:r>
        <w:t>,</w:t>
      </w:r>
      <w:r w:rsidRPr="009054B6">
        <w:t xml:space="preserve"> J</w:t>
      </w:r>
      <w:r>
        <w:t xml:space="preserve">. </w:t>
      </w:r>
      <w:r w:rsidRPr="009054B6">
        <w:t>R</w:t>
      </w:r>
      <w:r>
        <w:t>.</w:t>
      </w:r>
      <w:r w:rsidRPr="009054B6">
        <w:t>, Long</w:t>
      </w:r>
      <w:r>
        <w:t>,</w:t>
      </w:r>
      <w:r w:rsidRPr="009054B6">
        <w:t xml:space="preserve"> J</w:t>
      </w:r>
      <w:r>
        <w:t xml:space="preserve">. </w:t>
      </w:r>
      <w:r w:rsidRPr="009054B6">
        <w:t>S</w:t>
      </w:r>
      <w:r>
        <w:t>.</w:t>
      </w:r>
      <w:r w:rsidRPr="009054B6">
        <w:t>, Smith</w:t>
      </w:r>
      <w:r>
        <w:t>,</w:t>
      </w:r>
      <w:r w:rsidRPr="009054B6">
        <w:t xml:space="preserve"> S</w:t>
      </w:r>
      <w:r>
        <w:t xml:space="preserve">. </w:t>
      </w:r>
      <w:r w:rsidRPr="009054B6">
        <w:t>N</w:t>
      </w:r>
      <w:r>
        <w:t>.</w:t>
      </w:r>
      <w:r w:rsidRPr="009054B6">
        <w:t xml:space="preserve">, </w:t>
      </w:r>
      <w:r w:rsidRPr="00B84231">
        <w:t>Fisher, W. A., Sand, M. S., &amp; Rosen, R. C. </w:t>
      </w:r>
    </w:p>
    <w:p w14:paraId="6A072A87" w14:textId="77777777" w:rsidR="002412FB" w:rsidRPr="009054B6" w:rsidRDefault="002412FB" w:rsidP="002412FB">
      <w:pPr>
        <w:spacing w:line="480" w:lineRule="auto"/>
        <w:ind w:left="450" w:hanging="450"/>
      </w:pPr>
      <w:r w:rsidRPr="00B84231">
        <w:t xml:space="preserve"> </w:t>
      </w:r>
      <w:r>
        <w:tab/>
        <w:t>(2011).</w:t>
      </w:r>
      <w:r w:rsidRPr="009054B6">
        <w:t xml:space="preserve"> Sexual satisfaction and relationship happiness in midlife and older couples in five countries. </w:t>
      </w:r>
      <w:r w:rsidRPr="00B84231">
        <w:rPr>
          <w:i/>
        </w:rPr>
        <w:t xml:space="preserve">Archives of Sexual </w:t>
      </w:r>
      <w:proofErr w:type="spellStart"/>
      <w:r w:rsidRPr="00B84231">
        <w:rPr>
          <w:i/>
        </w:rPr>
        <w:t>Behavior</w:t>
      </w:r>
      <w:proofErr w:type="spellEnd"/>
      <w:r>
        <w:t>,</w:t>
      </w:r>
      <w:r w:rsidRPr="009054B6">
        <w:t xml:space="preserve"> </w:t>
      </w:r>
      <w:r w:rsidRPr="00B84231">
        <w:rPr>
          <w:i/>
        </w:rPr>
        <w:t>40</w:t>
      </w:r>
      <w:r>
        <w:t xml:space="preserve">, </w:t>
      </w:r>
      <w:r w:rsidRPr="009054B6">
        <w:t>741-</w:t>
      </w:r>
      <w:r>
        <w:t>7</w:t>
      </w:r>
      <w:r w:rsidRPr="009054B6">
        <w:t>53 https://doi.org/10.1007/s10508-010-9703-3</w:t>
      </w:r>
      <w:r w:rsidRPr="009054B6">
        <w:rPr>
          <w:rFonts w:ascii="MS Mincho" w:eastAsia="MS Mincho" w:hAnsi="MS Mincho" w:cs="MS Mincho"/>
        </w:rPr>
        <w:t> </w:t>
      </w:r>
    </w:p>
    <w:p w14:paraId="2FF75D1A" w14:textId="77777777" w:rsidR="009054B6" w:rsidRPr="009054B6" w:rsidRDefault="009054B6" w:rsidP="00D229EA">
      <w:pPr>
        <w:spacing w:line="480" w:lineRule="auto"/>
        <w:ind w:left="360" w:hanging="360"/>
      </w:pPr>
      <w:proofErr w:type="spellStart"/>
      <w:r w:rsidRPr="009054B6">
        <w:t>Hendrickx</w:t>
      </w:r>
      <w:proofErr w:type="spellEnd"/>
      <w:r w:rsidR="00510AEC">
        <w:t>,</w:t>
      </w:r>
      <w:r w:rsidRPr="009054B6">
        <w:t xml:space="preserve"> L</w:t>
      </w:r>
      <w:r w:rsidR="00510AEC">
        <w:t>.</w:t>
      </w:r>
      <w:r w:rsidRPr="009054B6">
        <w:t>, Gijs</w:t>
      </w:r>
      <w:r w:rsidR="00510AEC">
        <w:t>,</w:t>
      </w:r>
      <w:r w:rsidRPr="009054B6">
        <w:t xml:space="preserve"> L</w:t>
      </w:r>
      <w:r w:rsidR="00510AEC">
        <w:t>.</w:t>
      </w:r>
      <w:r w:rsidRPr="009054B6">
        <w:t>,</w:t>
      </w:r>
      <w:r w:rsidR="00510AEC">
        <w:t xml:space="preserve"> &amp;</w:t>
      </w:r>
      <w:r w:rsidRPr="009054B6">
        <w:t xml:space="preserve"> </w:t>
      </w:r>
      <w:proofErr w:type="spellStart"/>
      <w:r w:rsidRPr="009054B6">
        <w:t>Enzlin</w:t>
      </w:r>
      <w:proofErr w:type="spellEnd"/>
      <w:r w:rsidR="00510AEC">
        <w:t>,</w:t>
      </w:r>
      <w:r w:rsidRPr="009054B6">
        <w:t xml:space="preserve"> P. </w:t>
      </w:r>
      <w:r w:rsidR="00510AEC">
        <w:t xml:space="preserve">(2015). </w:t>
      </w:r>
      <w:r w:rsidRPr="009054B6">
        <w:t xml:space="preserve">Age-related prevalence rates of sexual difficulties, sexual dysfunctions, and sexual distress in heterosexual women: </w:t>
      </w:r>
      <w:r w:rsidR="00320A9D">
        <w:t>R</w:t>
      </w:r>
      <w:r w:rsidRPr="009054B6">
        <w:t xml:space="preserve">esults from an online survey in Flanders. </w:t>
      </w:r>
      <w:r w:rsidR="00B84231" w:rsidRPr="00B84231">
        <w:rPr>
          <w:i/>
        </w:rPr>
        <w:t xml:space="preserve">The </w:t>
      </w:r>
      <w:r w:rsidR="00510AEC" w:rsidRPr="00B84231">
        <w:rPr>
          <w:i/>
        </w:rPr>
        <w:t>Journal</w:t>
      </w:r>
      <w:r w:rsidR="00510AEC" w:rsidRPr="005A61B6">
        <w:rPr>
          <w:i/>
        </w:rPr>
        <w:t xml:space="preserve"> of Sexual Medicine</w:t>
      </w:r>
      <w:r w:rsidR="00510AEC">
        <w:t xml:space="preserve">, </w:t>
      </w:r>
      <w:r w:rsidR="00510AEC" w:rsidRPr="00510AEC">
        <w:rPr>
          <w:i/>
        </w:rPr>
        <w:t>12</w:t>
      </w:r>
      <w:r w:rsidR="00510AEC">
        <w:t xml:space="preserve">, </w:t>
      </w:r>
      <w:r w:rsidRPr="009054B6">
        <w:t xml:space="preserve">424–435. https://doi.org/10.1111/jsm.12725 </w:t>
      </w:r>
    </w:p>
    <w:p w14:paraId="3FBB830A" w14:textId="77777777" w:rsidR="002412FB" w:rsidRDefault="002412FB" w:rsidP="002412FB">
      <w:pPr>
        <w:spacing w:line="480" w:lineRule="auto"/>
        <w:ind w:left="360" w:hanging="360"/>
      </w:pPr>
      <w:proofErr w:type="spellStart"/>
      <w:r w:rsidRPr="009054B6">
        <w:t>Hinchliff</w:t>
      </w:r>
      <w:proofErr w:type="spellEnd"/>
      <w:r>
        <w:t>,</w:t>
      </w:r>
      <w:r w:rsidRPr="009054B6">
        <w:t xml:space="preserve"> S</w:t>
      </w:r>
      <w:r>
        <w:t>.</w:t>
      </w:r>
      <w:r w:rsidRPr="009054B6">
        <w:t xml:space="preserve">, </w:t>
      </w:r>
      <w:r>
        <w:t xml:space="preserve">&amp; </w:t>
      </w:r>
      <w:proofErr w:type="spellStart"/>
      <w:r w:rsidRPr="009054B6">
        <w:t>Gott</w:t>
      </w:r>
      <w:proofErr w:type="spellEnd"/>
      <w:r>
        <w:t>,</w:t>
      </w:r>
      <w:r w:rsidRPr="009054B6">
        <w:t xml:space="preserve"> M.</w:t>
      </w:r>
      <w:r>
        <w:t xml:space="preserve"> (2004).</w:t>
      </w:r>
      <w:r w:rsidRPr="009054B6">
        <w:t xml:space="preserve"> Intimacy, commitment, and adaptation: Sexual relationships within long-term marriages. </w:t>
      </w:r>
      <w:r w:rsidRPr="00CB65A5">
        <w:rPr>
          <w:i/>
          <w:iCs/>
        </w:rPr>
        <w:t>Journal of Social and Personal Relationships</w:t>
      </w:r>
      <w:r w:rsidRPr="00CB65A5">
        <w:t>,</w:t>
      </w:r>
      <w:r>
        <w:t xml:space="preserve"> </w:t>
      </w:r>
      <w:r w:rsidRPr="00CB65A5">
        <w:rPr>
          <w:i/>
        </w:rPr>
        <w:t>21</w:t>
      </w:r>
      <w:r>
        <w:t xml:space="preserve">, </w:t>
      </w:r>
      <w:r w:rsidRPr="009054B6">
        <w:t>595-609.</w:t>
      </w:r>
      <w:r w:rsidRPr="009054B6">
        <w:rPr>
          <w:rFonts w:eastAsia="Times New Roman"/>
        </w:rPr>
        <w:t xml:space="preserve"> https://doi.org</w:t>
      </w:r>
      <w:r w:rsidRPr="009054B6">
        <w:t>10.1177/0265407504045889</w:t>
      </w:r>
    </w:p>
    <w:p w14:paraId="179EF33F" w14:textId="2152A54D" w:rsidR="001D3546" w:rsidRDefault="001D3546" w:rsidP="001D3546">
      <w:pPr>
        <w:spacing w:line="480" w:lineRule="auto"/>
        <w:ind w:left="360" w:hanging="360"/>
      </w:pPr>
      <w:proofErr w:type="spellStart"/>
      <w:r w:rsidRPr="009054B6">
        <w:t>Hinchliff</w:t>
      </w:r>
      <w:proofErr w:type="spellEnd"/>
      <w:r>
        <w:t>,</w:t>
      </w:r>
      <w:r w:rsidRPr="009054B6">
        <w:t xml:space="preserve"> S</w:t>
      </w:r>
      <w:r>
        <w:t>.</w:t>
      </w:r>
      <w:r w:rsidRPr="009054B6">
        <w:t xml:space="preserve">, </w:t>
      </w:r>
      <w:r>
        <w:t xml:space="preserve">&amp; </w:t>
      </w:r>
      <w:proofErr w:type="spellStart"/>
      <w:r w:rsidRPr="009054B6">
        <w:t>Gott</w:t>
      </w:r>
      <w:proofErr w:type="spellEnd"/>
      <w:r>
        <w:t>,</w:t>
      </w:r>
      <w:r w:rsidRPr="009054B6">
        <w:t xml:space="preserve"> M.</w:t>
      </w:r>
      <w:r>
        <w:t xml:space="preserve"> (2011).</w:t>
      </w:r>
      <w:r w:rsidRPr="009054B6">
        <w:t xml:space="preserve"> Seeking medical help for sexual concerns in mid-and later life: </w:t>
      </w:r>
      <w:r w:rsidR="00D2110B">
        <w:t>A</w:t>
      </w:r>
      <w:r w:rsidR="00D2110B" w:rsidRPr="009054B6">
        <w:t xml:space="preserve"> </w:t>
      </w:r>
      <w:r w:rsidRPr="009054B6">
        <w:t xml:space="preserve">review of the literature. </w:t>
      </w:r>
      <w:r w:rsidRPr="00172296">
        <w:rPr>
          <w:i/>
        </w:rPr>
        <w:t>Journal of Sex Research</w:t>
      </w:r>
      <w:r>
        <w:t xml:space="preserve">, </w:t>
      </w:r>
      <w:r w:rsidRPr="00172296">
        <w:rPr>
          <w:i/>
        </w:rPr>
        <w:t>48</w:t>
      </w:r>
      <w:r>
        <w:t xml:space="preserve">, </w:t>
      </w:r>
      <w:r w:rsidRPr="009054B6">
        <w:t>106-17. https://doi.org/10.1080/00224499.2010.548610</w:t>
      </w:r>
    </w:p>
    <w:p w14:paraId="47E67ED8" w14:textId="77777777" w:rsidR="001D3546" w:rsidRDefault="001D3546" w:rsidP="001D3546">
      <w:pPr>
        <w:spacing w:line="480" w:lineRule="auto"/>
        <w:ind w:left="360" w:hanging="360"/>
        <w:sectPr w:rsidR="001D3546" w:rsidSect="00FF08A0">
          <w:pgSz w:w="12240" w:h="15840"/>
          <w:pgMar w:top="1417" w:right="1417" w:bottom="1417" w:left="1417" w:header="708" w:footer="708" w:gutter="0"/>
          <w:cols w:space="708"/>
          <w:titlePg/>
          <w:docGrid w:linePitch="360"/>
        </w:sectPr>
      </w:pPr>
    </w:p>
    <w:p w14:paraId="709CFED4" w14:textId="77777777" w:rsidR="002412FB" w:rsidRDefault="002412FB" w:rsidP="002412FB">
      <w:pPr>
        <w:spacing w:line="480" w:lineRule="auto"/>
        <w:ind w:left="360" w:hanging="360"/>
      </w:pPr>
      <w:proofErr w:type="spellStart"/>
      <w:r w:rsidRPr="009054B6">
        <w:lastRenderedPageBreak/>
        <w:t>Iveniuk</w:t>
      </w:r>
      <w:proofErr w:type="spellEnd"/>
      <w:r>
        <w:t>,</w:t>
      </w:r>
      <w:r w:rsidRPr="009054B6">
        <w:t xml:space="preserve"> J</w:t>
      </w:r>
      <w:r>
        <w:t>.</w:t>
      </w:r>
      <w:r w:rsidRPr="009054B6">
        <w:t xml:space="preserve">, </w:t>
      </w:r>
      <w:proofErr w:type="spellStart"/>
      <w:r w:rsidRPr="009054B6">
        <w:t>O’Muircheartaigh</w:t>
      </w:r>
      <w:proofErr w:type="spellEnd"/>
      <w:r>
        <w:t>,</w:t>
      </w:r>
      <w:r w:rsidRPr="009054B6">
        <w:t xml:space="preserve"> C</w:t>
      </w:r>
      <w:r>
        <w:t>.</w:t>
      </w:r>
      <w:r w:rsidRPr="009054B6">
        <w:t xml:space="preserve">, </w:t>
      </w:r>
      <w:r>
        <w:t xml:space="preserve">&amp; </w:t>
      </w:r>
      <w:r w:rsidRPr="009054B6">
        <w:t>Cagney</w:t>
      </w:r>
      <w:r>
        <w:t>,</w:t>
      </w:r>
      <w:r w:rsidRPr="009054B6">
        <w:t xml:space="preserve"> K</w:t>
      </w:r>
      <w:r>
        <w:t xml:space="preserve">. </w:t>
      </w:r>
      <w:r w:rsidRPr="009054B6">
        <w:t xml:space="preserve">A. </w:t>
      </w:r>
      <w:r>
        <w:t xml:space="preserve">(2016). </w:t>
      </w:r>
      <w:r w:rsidRPr="009054B6">
        <w:t xml:space="preserve">Religious influence on older Americans’ sexual lives: A nationally-representative profile. </w:t>
      </w:r>
      <w:r w:rsidRPr="00717F2B">
        <w:rPr>
          <w:i/>
        </w:rPr>
        <w:t xml:space="preserve">Archives of Sexual </w:t>
      </w:r>
      <w:proofErr w:type="spellStart"/>
      <w:r w:rsidRPr="00717F2B">
        <w:rPr>
          <w:i/>
        </w:rPr>
        <w:t>Behavior</w:t>
      </w:r>
      <w:proofErr w:type="spellEnd"/>
      <w:r>
        <w:t>,</w:t>
      </w:r>
      <w:r w:rsidRPr="009054B6">
        <w:t xml:space="preserve"> </w:t>
      </w:r>
      <w:r w:rsidRPr="00717F2B">
        <w:rPr>
          <w:i/>
        </w:rPr>
        <w:t>45</w:t>
      </w:r>
      <w:r>
        <w:t xml:space="preserve">, </w:t>
      </w:r>
      <w:r w:rsidRPr="009054B6">
        <w:t>121-</w:t>
      </w:r>
      <w:r>
        <w:t>1</w:t>
      </w:r>
      <w:r w:rsidRPr="009054B6">
        <w:t>31. https://doi.org/10.1007/s10508-015-0534-0</w:t>
      </w:r>
    </w:p>
    <w:p w14:paraId="51E90D77" w14:textId="77777777" w:rsidR="00D045C8" w:rsidRPr="00D045C8" w:rsidRDefault="00D045C8" w:rsidP="00D045C8">
      <w:pPr>
        <w:spacing w:line="480" w:lineRule="auto"/>
        <w:ind w:left="360" w:hanging="360"/>
      </w:pPr>
      <w:proofErr w:type="spellStart"/>
      <w:r w:rsidRPr="00D045C8">
        <w:t>Juang</w:t>
      </w:r>
      <w:proofErr w:type="spellEnd"/>
      <w:r w:rsidRPr="00D045C8">
        <w:t xml:space="preserve">, C., &amp; Knight, B. (2018). </w:t>
      </w:r>
      <w:r>
        <w:t xml:space="preserve"> Sexual problems and sexual distress among older adults: The importance of sex matters. </w:t>
      </w:r>
      <w:r w:rsidRPr="00D045C8">
        <w:rPr>
          <w:i/>
          <w:iCs/>
        </w:rPr>
        <w:t>Innovation in Aging</w:t>
      </w:r>
      <w:r w:rsidRPr="00D045C8">
        <w:t xml:space="preserve">, </w:t>
      </w:r>
      <w:r w:rsidRPr="00D045C8">
        <w:rPr>
          <w:i/>
          <w:iCs/>
        </w:rPr>
        <w:t>2</w:t>
      </w:r>
      <w:r w:rsidRPr="00D045C8">
        <w:t>(</w:t>
      </w:r>
      <w:proofErr w:type="spellStart"/>
      <w:r w:rsidRPr="00D045C8">
        <w:t>Suppl</w:t>
      </w:r>
      <w:proofErr w:type="spellEnd"/>
      <w:r w:rsidRPr="00D045C8">
        <w:t xml:space="preserve"> 1), 286</w:t>
      </w:r>
      <w:r>
        <w:t>-287</w:t>
      </w:r>
      <w:r w:rsidRPr="00D045C8">
        <w:t>.</w:t>
      </w:r>
      <w:r w:rsidRPr="00D045C8">
        <w:rPr>
          <w:rFonts w:eastAsia="Times New Roman"/>
        </w:rPr>
        <w:t xml:space="preserve"> </w:t>
      </w:r>
      <w:proofErr w:type="spellStart"/>
      <w:r w:rsidRPr="00D045C8">
        <w:t>doi</w:t>
      </w:r>
      <w:proofErr w:type="spellEnd"/>
      <w:r w:rsidRPr="00D045C8">
        <w:t>: 10.1093/</w:t>
      </w:r>
      <w:proofErr w:type="spellStart"/>
      <w:r w:rsidRPr="00D045C8">
        <w:t>geroni</w:t>
      </w:r>
      <w:proofErr w:type="spellEnd"/>
      <w:r w:rsidRPr="00D045C8">
        <w:t>/igy023.1058</w:t>
      </w:r>
    </w:p>
    <w:p w14:paraId="74B67135" w14:textId="77777777" w:rsidR="00EF4855" w:rsidRPr="009054B6" w:rsidRDefault="00EF4855" w:rsidP="00EF4855">
      <w:pPr>
        <w:spacing w:line="480" w:lineRule="auto"/>
        <w:ind w:left="360" w:hanging="360"/>
      </w:pPr>
      <w:proofErr w:type="spellStart"/>
      <w:r w:rsidRPr="009054B6">
        <w:t>Laumann</w:t>
      </w:r>
      <w:proofErr w:type="spellEnd"/>
      <w:r>
        <w:t>,</w:t>
      </w:r>
      <w:r w:rsidRPr="009054B6">
        <w:t xml:space="preserve"> E</w:t>
      </w:r>
      <w:r>
        <w:t xml:space="preserve">. </w:t>
      </w:r>
      <w:r w:rsidRPr="009054B6">
        <w:t>O</w:t>
      </w:r>
      <w:r>
        <w:t>.</w:t>
      </w:r>
      <w:r w:rsidRPr="009054B6">
        <w:t xml:space="preserve">, </w:t>
      </w:r>
      <w:r>
        <w:t xml:space="preserve">&amp; </w:t>
      </w:r>
      <w:r w:rsidRPr="009054B6">
        <w:t>Waite</w:t>
      </w:r>
      <w:r>
        <w:t>,</w:t>
      </w:r>
      <w:r w:rsidRPr="009054B6">
        <w:t xml:space="preserve"> L</w:t>
      </w:r>
      <w:r>
        <w:t xml:space="preserve">. </w:t>
      </w:r>
      <w:r w:rsidRPr="009054B6">
        <w:t xml:space="preserve">J. </w:t>
      </w:r>
      <w:r>
        <w:t xml:space="preserve">(2008). </w:t>
      </w:r>
      <w:r w:rsidRPr="009054B6">
        <w:t>Sexual dysfunction among older adults: Prevalence and risk factors from a nationally representative US probability sample of men and women 57–85 years of age.</w:t>
      </w:r>
      <w:r>
        <w:t xml:space="preserve"> </w:t>
      </w:r>
      <w:r w:rsidRPr="00035B40">
        <w:rPr>
          <w:i/>
        </w:rPr>
        <w:t>The Journal of Sexual Medicine</w:t>
      </w:r>
      <w:r>
        <w:t xml:space="preserve">, </w:t>
      </w:r>
      <w:r w:rsidRPr="00035B40">
        <w:rPr>
          <w:i/>
        </w:rPr>
        <w:t>5</w:t>
      </w:r>
      <w:r>
        <w:t xml:space="preserve">, </w:t>
      </w:r>
      <w:r w:rsidRPr="009054B6">
        <w:t>2300-</w:t>
      </w:r>
      <w:r>
        <w:t>23</w:t>
      </w:r>
      <w:r w:rsidRPr="009054B6">
        <w:t>11. https://doi.org/10.1111/j.1743-6109.2008.00974.x</w:t>
      </w:r>
    </w:p>
    <w:p w14:paraId="1621FC70" w14:textId="77777777" w:rsidR="001D3546" w:rsidRPr="009054B6" w:rsidRDefault="001D3546" w:rsidP="001D3546">
      <w:pPr>
        <w:spacing w:line="480" w:lineRule="auto"/>
        <w:ind w:left="360" w:hanging="360"/>
      </w:pPr>
      <w:proofErr w:type="spellStart"/>
      <w:r w:rsidRPr="009054B6">
        <w:t>Laumann</w:t>
      </w:r>
      <w:proofErr w:type="spellEnd"/>
      <w:r>
        <w:t>,</w:t>
      </w:r>
      <w:r w:rsidRPr="009054B6">
        <w:t xml:space="preserve"> E</w:t>
      </w:r>
      <w:r>
        <w:t xml:space="preserve">. </w:t>
      </w:r>
      <w:r w:rsidRPr="009054B6">
        <w:t>O</w:t>
      </w:r>
      <w:r>
        <w:t>.</w:t>
      </w:r>
      <w:r w:rsidRPr="009054B6">
        <w:t>, Das</w:t>
      </w:r>
      <w:r>
        <w:t>,</w:t>
      </w:r>
      <w:r w:rsidRPr="009054B6">
        <w:t xml:space="preserve"> A</w:t>
      </w:r>
      <w:r>
        <w:t>.</w:t>
      </w:r>
      <w:r w:rsidRPr="009054B6">
        <w:t xml:space="preserve">, </w:t>
      </w:r>
      <w:r>
        <w:t xml:space="preserve">&amp; </w:t>
      </w:r>
      <w:r w:rsidRPr="009054B6">
        <w:t>Waite</w:t>
      </w:r>
      <w:r>
        <w:t>,</w:t>
      </w:r>
      <w:r w:rsidRPr="009054B6">
        <w:t xml:space="preserve"> L</w:t>
      </w:r>
      <w:r>
        <w:t xml:space="preserve">. </w:t>
      </w:r>
      <w:r w:rsidRPr="009054B6">
        <w:t xml:space="preserve">J. </w:t>
      </w:r>
      <w:r>
        <w:t xml:space="preserve">(2008). </w:t>
      </w:r>
      <w:r w:rsidRPr="009054B6">
        <w:t>Sexual dysfunction among older adults: Prevalence and risk factors from a nationally representative US probability sample of men and women 57–85 years of age</w:t>
      </w:r>
      <w:r>
        <w:t>.</w:t>
      </w:r>
      <w:r w:rsidRPr="007D11C8">
        <w:rPr>
          <w:i/>
        </w:rPr>
        <w:t xml:space="preserve"> </w:t>
      </w:r>
      <w:r>
        <w:rPr>
          <w:i/>
        </w:rPr>
        <w:t xml:space="preserve">The </w:t>
      </w:r>
      <w:r w:rsidRPr="005A61B6">
        <w:rPr>
          <w:i/>
        </w:rPr>
        <w:t>Journal of Sexual Medicine</w:t>
      </w:r>
      <w:r w:rsidRPr="007D11C8">
        <w:rPr>
          <w:i/>
        </w:rPr>
        <w:t xml:space="preserve"> 5</w:t>
      </w:r>
      <w:r>
        <w:t xml:space="preserve">, </w:t>
      </w:r>
      <w:r w:rsidRPr="009054B6">
        <w:t>2300-</w:t>
      </w:r>
      <w:r>
        <w:t>23</w:t>
      </w:r>
      <w:r w:rsidRPr="009054B6">
        <w:t>11. https://doi.org/10.1111/j.1743-6109.2008.00974.x</w:t>
      </w:r>
    </w:p>
    <w:p w14:paraId="30DE03AB" w14:textId="77777777" w:rsidR="002412FB" w:rsidRDefault="002412FB" w:rsidP="002412FB">
      <w:pPr>
        <w:spacing w:line="480" w:lineRule="auto"/>
        <w:ind w:left="360" w:hanging="360"/>
      </w:pPr>
      <w:proofErr w:type="spellStart"/>
      <w:r w:rsidRPr="009054B6">
        <w:t>Laumann</w:t>
      </w:r>
      <w:proofErr w:type="spellEnd"/>
      <w:r>
        <w:t>,</w:t>
      </w:r>
      <w:r w:rsidRPr="009054B6">
        <w:t xml:space="preserve"> E</w:t>
      </w:r>
      <w:r>
        <w:t xml:space="preserve">. </w:t>
      </w:r>
      <w:r w:rsidRPr="009054B6">
        <w:t>O</w:t>
      </w:r>
      <w:r>
        <w:t>.</w:t>
      </w:r>
      <w:r w:rsidRPr="009054B6">
        <w:t>, Gagnon</w:t>
      </w:r>
      <w:r>
        <w:t>,</w:t>
      </w:r>
      <w:r w:rsidRPr="009054B6">
        <w:t xml:space="preserve"> J</w:t>
      </w:r>
      <w:r>
        <w:t xml:space="preserve">. </w:t>
      </w:r>
      <w:r w:rsidRPr="009054B6">
        <w:t>H</w:t>
      </w:r>
      <w:r>
        <w:t>.</w:t>
      </w:r>
      <w:r w:rsidRPr="009054B6">
        <w:t>, Michaels</w:t>
      </w:r>
      <w:r>
        <w:t>,</w:t>
      </w:r>
      <w:r w:rsidRPr="009054B6">
        <w:t xml:space="preserve"> R</w:t>
      </w:r>
      <w:r>
        <w:t xml:space="preserve">. </w:t>
      </w:r>
      <w:r w:rsidRPr="009054B6">
        <w:t>T</w:t>
      </w:r>
      <w:r>
        <w:t xml:space="preserve">., &amp; Michaels, S. </w:t>
      </w:r>
      <w:r w:rsidRPr="00717F2B">
        <w:rPr>
          <w:i/>
          <w:iCs/>
        </w:rPr>
        <w:t xml:space="preserve">The </w:t>
      </w:r>
      <w:r w:rsidRPr="00717F2B">
        <w:rPr>
          <w:i/>
        </w:rPr>
        <w:t>social</w:t>
      </w:r>
      <w:r w:rsidRPr="00717F2B">
        <w:rPr>
          <w:i/>
          <w:iCs/>
        </w:rPr>
        <w:t xml:space="preserve"> organization of sexuality: Sexual practices in the United States</w:t>
      </w:r>
      <w:r w:rsidRPr="00717F2B">
        <w:rPr>
          <w:i/>
        </w:rPr>
        <w:t>.</w:t>
      </w:r>
      <w:r w:rsidRPr="009054B6">
        <w:t xml:space="preserve"> University of Chicago Press: Chicago, 1994. </w:t>
      </w:r>
    </w:p>
    <w:p w14:paraId="503F8CB0" w14:textId="77777777" w:rsidR="002412FB" w:rsidRPr="007D11C8" w:rsidRDefault="002412FB" w:rsidP="002412FB">
      <w:pPr>
        <w:spacing w:line="480" w:lineRule="auto"/>
        <w:ind w:left="360" w:hanging="360"/>
      </w:pPr>
      <w:proofErr w:type="spellStart"/>
      <w:r w:rsidRPr="00D2110B">
        <w:rPr>
          <w:lang w:val="nb-NO"/>
        </w:rPr>
        <w:t>Laumann</w:t>
      </w:r>
      <w:proofErr w:type="spellEnd"/>
      <w:r w:rsidRPr="00D2110B">
        <w:rPr>
          <w:lang w:val="nb-NO"/>
        </w:rPr>
        <w:t xml:space="preserve">, E. O., </w:t>
      </w:r>
      <w:proofErr w:type="spellStart"/>
      <w:r w:rsidRPr="00D2110B">
        <w:rPr>
          <w:lang w:val="nb-NO"/>
        </w:rPr>
        <w:t>Paik</w:t>
      </w:r>
      <w:proofErr w:type="spellEnd"/>
      <w:r w:rsidRPr="00D2110B">
        <w:rPr>
          <w:lang w:val="nb-NO"/>
        </w:rPr>
        <w:t xml:space="preserve">, A., </w:t>
      </w:r>
      <w:proofErr w:type="spellStart"/>
      <w:r w:rsidRPr="00D2110B">
        <w:rPr>
          <w:lang w:val="nb-NO"/>
        </w:rPr>
        <w:t>Glasser</w:t>
      </w:r>
      <w:proofErr w:type="spellEnd"/>
      <w:r w:rsidRPr="00D2110B">
        <w:rPr>
          <w:lang w:val="nb-NO"/>
        </w:rPr>
        <w:t xml:space="preserve">, D. B., </w:t>
      </w:r>
      <w:proofErr w:type="spellStart"/>
      <w:r w:rsidRPr="00D2110B">
        <w:rPr>
          <w:lang w:val="nb-NO"/>
        </w:rPr>
        <w:t>Kang</w:t>
      </w:r>
      <w:proofErr w:type="spellEnd"/>
      <w:r w:rsidRPr="00D2110B">
        <w:rPr>
          <w:lang w:val="nb-NO"/>
        </w:rPr>
        <w:t xml:space="preserve">, J. H., Wang, T., Levinson, B., ... </w:t>
      </w:r>
      <w:r w:rsidRPr="007D11C8">
        <w:t xml:space="preserve">&amp; </w:t>
      </w:r>
      <w:proofErr w:type="spellStart"/>
      <w:r w:rsidRPr="007D11C8">
        <w:t>Gingell</w:t>
      </w:r>
      <w:proofErr w:type="spellEnd"/>
      <w:r w:rsidRPr="007D11C8">
        <w:t>, C.</w:t>
      </w:r>
    </w:p>
    <w:p w14:paraId="31052669" w14:textId="77777777" w:rsidR="002412FB" w:rsidRPr="009054B6" w:rsidRDefault="002412FB" w:rsidP="002412FB">
      <w:pPr>
        <w:spacing w:line="480" w:lineRule="auto"/>
        <w:ind w:left="450" w:hanging="450"/>
      </w:pPr>
      <w:r w:rsidRPr="007D11C8">
        <w:t xml:space="preserve"> </w:t>
      </w:r>
      <w:r w:rsidR="00EF4855">
        <w:tab/>
      </w:r>
      <w:r>
        <w:t>(2006).</w:t>
      </w:r>
      <w:r w:rsidRPr="009054B6">
        <w:t xml:space="preserve"> A cross-national study of subjective sexual well-being among older women and men: Findings from the Global Study of Sexual Attitudes and </w:t>
      </w:r>
      <w:proofErr w:type="spellStart"/>
      <w:r w:rsidRPr="009054B6">
        <w:t>Behaviors</w:t>
      </w:r>
      <w:proofErr w:type="spellEnd"/>
      <w:r w:rsidRPr="009054B6">
        <w:t xml:space="preserve">. </w:t>
      </w:r>
      <w:r w:rsidRPr="007D11C8">
        <w:rPr>
          <w:i/>
        </w:rPr>
        <w:t xml:space="preserve">Archives of Sexual </w:t>
      </w:r>
      <w:proofErr w:type="spellStart"/>
      <w:r w:rsidRPr="007D11C8">
        <w:rPr>
          <w:i/>
        </w:rPr>
        <w:t>Behavior</w:t>
      </w:r>
      <w:proofErr w:type="spellEnd"/>
      <w:r>
        <w:t xml:space="preserve">, </w:t>
      </w:r>
      <w:r w:rsidRPr="007D11C8">
        <w:rPr>
          <w:i/>
        </w:rPr>
        <w:t>35</w:t>
      </w:r>
      <w:r>
        <w:t xml:space="preserve">, </w:t>
      </w:r>
      <w:r w:rsidRPr="009054B6">
        <w:t>143-</w:t>
      </w:r>
      <w:r>
        <w:t>1</w:t>
      </w:r>
      <w:r w:rsidRPr="009054B6">
        <w:t>59. https://doi.org/10.1007/ s10508-005-9005-3.</w:t>
      </w:r>
      <w:r w:rsidRPr="009054B6">
        <w:rPr>
          <w:rFonts w:ascii="MS Mincho" w:eastAsia="MS Mincho" w:hAnsi="MS Mincho" w:cs="MS Mincho"/>
        </w:rPr>
        <w:t> </w:t>
      </w:r>
    </w:p>
    <w:p w14:paraId="2D9F6842" w14:textId="77777777" w:rsidR="002412FB" w:rsidRDefault="002412FB" w:rsidP="002412FB">
      <w:pPr>
        <w:spacing w:line="480" w:lineRule="auto"/>
        <w:ind w:left="360" w:hanging="360"/>
      </w:pPr>
      <w:r w:rsidRPr="009054B6">
        <w:t>Lee</w:t>
      </w:r>
      <w:r>
        <w:t xml:space="preserve">, </w:t>
      </w:r>
      <w:r w:rsidRPr="009054B6">
        <w:t>D</w:t>
      </w:r>
      <w:r>
        <w:t xml:space="preserve">. </w:t>
      </w:r>
      <w:r w:rsidRPr="009054B6">
        <w:t>M</w:t>
      </w:r>
      <w:r>
        <w:t>.</w:t>
      </w:r>
      <w:r w:rsidRPr="009054B6">
        <w:t xml:space="preserve">, </w:t>
      </w:r>
      <w:proofErr w:type="spellStart"/>
      <w:r w:rsidRPr="009054B6">
        <w:t>Nazroo</w:t>
      </w:r>
      <w:proofErr w:type="spellEnd"/>
      <w:r>
        <w:t>,</w:t>
      </w:r>
      <w:r w:rsidRPr="009054B6">
        <w:t xml:space="preserve"> J</w:t>
      </w:r>
      <w:r>
        <w:t>.</w:t>
      </w:r>
      <w:r w:rsidRPr="009054B6">
        <w:t>, O’Connor</w:t>
      </w:r>
      <w:r>
        <w:t>,</w:t>
      </w:r>
      <w:r w:rsidRPr="009054B6">
        <w:t xml:space="preserve"> D</w:t>
      </w:r>
      <w:r>
        <w:t xml:space="preserve">. </w:t>
      </w:r>
      <w:r w:rsidRPr="009054B6">
        <w:t>B</w:t>
      </w:r>
      <w:r>
        <w:t>.</w:t>
      </w:r>
      <w:r w:rsidRPr="009054B6">
        <w:t xml:space="preserve">, </w:t>
      </w:r>
      <w:r w:rsidRPr="00374744">
        <w:t>Blake, M., &amp; Pendleton, N.</w:t>
      </w:r>
      <w:r>
        <w:t xml:space="preserve"> (2016). </w:t>
      </w:r>
      <w:r w:rsidRPr="009054B6">
        <w:t xml:space="preserve">Sexual health and well-being among older men and women in England: findings from the English Longitudinal </w:t>
      </w:r>
      <w:r w:rsidRPr="009054B6">
        <w:lastRenderedPageBreak/>
        <w:t xml:space="preserve">Study of Ageing. </w:t>
      </w:r>
      <w:r w:rsidRPr="00374744">
        <w:rPr>
          <w:i/>
        </w:rPr>
        <w:t xml:space="preserve">Archives of Sexual </w:t>
      </w:r>
      <w:proofErr w:type="spellStart"/>
      <w:r w:rsidRPr="00374744">
        <w:rPr>
          <w:i/>
        </w:rPr>
        <w:t>Behavior</w:t>
      </w:r>
      <w:proofErr w:type="spellEnd"/>
      <w:r>
        <w:t xml:space="preserve">, </w:t>
      </w:r>
      <w:r w:rsidRPr="00374744">
        <w:rPr>
          <w:i/>
        </w:rPr>
        <w:t>45</w:t>
      </w:r>
      <w:r>
        <w:t xml:space="preserve">, </w:t>
      </w:r>
      <w:r w:rsidRPr="009054B6">
        <w:t xml:space="preserve">133-144. https://doi.org/10.1007/s1050 8-014-0465-1 </w:t>
      </w:r>
    </w:p>
    <w:p w14:paraId="576F64D9" w14:textId="77777777" w:rsidR="00397015" w:rsidRPr="00397015" w:rsidRDefault="00397015" w:rsidP="00397015">
      <w:pPr>
        <w:spacing w:line="480" w:lineRule="auto"/>
        <w:ind w:left="360" w:hanging="360"/>
      </w:pPr>
      <w:proofErr w:type="spellStart"/>
      <w:r w:rsidRPr="00397015">
        <w:t>Macdowall</w:t>
      </w:r>
      <w:proofErr w:type="spellEnd"/>
      <w:r w:rsidRPr="00397015">
        <w:t xml:space="preserve">, W., Jones, K. G., </w:t>
      </w:r>
      <w:proofErr w:type="spellStart"/>
      <w:r w:rsidRPr="00397015">
        <w:t>Tanton</w:t>
      </w:r>
      <w:proofErr w:type="spellEnd"/>
      <w:r w:rsidRPr="00397015">
        <w:t xml:space="preserve">, C., Clifton, S., </w:t>
      </w:r>
      <w:proofErr w:type="spellStart"/>
      <w:r w:rsidRPr="00397015">
        <w:t>Copas</w:t>
      </w:r>
      <w:proofErr w:type="spellEnd"/>
      <w:r w:rsidRPr="00397015">
        <w:t xml:space="preserve">, A. J., Mercer, C. H., ... &amp; Field, N. (2015). Associations between source of information about sex and sexual health outcomes in Britain: </w:t>
      </w:r>
      <w:r w:rsidR="00F92134">
        <w:t>F</w:t>
      </w:r>
      <w:r w:rsidRPr="00397015">
        <w:t>indings from the third National Survey of Sexual Attitudes and Lifestyles (Natsal-3). </w:t>
      </w:r>
      <w:r w:rsidRPr="00397015">
        <w:rPr>
          <w:i/>
          <w:iCs/>
        </w:rPr>
        <w:t xml:space="preserve">BMJ </w:t>
      </w:r>
      <w:r>
        <w:rPr>
          <w:i/>
          <w:iCs/>
        </w:rPr>
        <w:t>O</w:t>
      </w:r>
      <w:r w:rsidRPr="00397015">
        <w:rPr>
          <w:i/>
          <w:iCs/>
        </w:rPr>
        <w:t>pen</w:t>
      </w:r>
      <w:r w:rsidRPr="00397015">
        <w:t>, </w:t>
      </w:r>
      <w:r w:rsidRPr="00397015">
        <w:rPr>
          <w:i/>
          <w:iCs/>
        </w:rPr>
        <w:t>5</w:t>
      </w:r>
      <w:r w:rsidRPr="00397015">
        <w:t>(3), e007837.</w:t>
      </w:r>
    </w:p>
    <w:p w14:paraId="677CAD80" w14:textId="77777777" w:rsidR="001D3546" w:rsidRPr="009054B6" w:rsidRDefault="001D3546" w:rsidP="001D3546">
      <w:pPr>
        <w:spacing w:line="480" w:lineRule="auto"/>
        <w:ind w:left="360" w:hanging="360"/>
      </w:pPr>
      <w:proofErr w:type="spellStart"/>
      <w:r w:rsidRPr="009054B6">
        <w:t>Ménard</w:t>
      </w:r>
      <w:proofErr w:type="spellEnd"/>
      <w:r>
        <w:t>,</w:t>
      </w:r>
      <w:r w:rsidRPr="009054B6">
        <w:t xml:space="preserve"> A</w:t>
      </w:r>
      <w:r>
        <w:t xml:space="preserve">. </w:t>
      </w:r>
      <w:r w:rsidRPr="009054B6">
        <w:t>D</w:t>
      </w:r>
      <w:r>
        <w:t>.</w:t>
      </w:r>
      <w:r w:rsidRPr="009054B6">
        <w:t xml:space="preserve">, </w:t>
      </w:r>
      <w:proofErr w:type="spellStart"/>
      <w:r w:rsidRPr="009054B6">
        <w:t>Kleinplatz</w:t>
      </w:r>
      <w:proofErr w:type="spellEnd"/>
      <w:r>
        <w:t>,</w:t>
      </w:r>
      <w:r w:rsidRPr="009054B6">
        <w:t xml:space="preserve"> P</w:t>
      </w:r>
      <w:r>
        <w:t xml:space="preserve">. </w:t>
      </w:r>
      <w:r w:rsidRPr="009054B6">
        <w:t>J</w:t>
      </w:r>
      <w:r>
        <w:t>.</w:t>
      </w:r>
      <w:r w:rsidRPr="009054B6">
        <w:t>, Rosen</w:t>
      </w:r>
      <w:r>
        <w:t>,</w:t>
      </w:r>
      <w:r w:rsidRPr="009054B6">
        <w:t xml:space="preserve"> L</w:t>
      </w:r>
      <w:r>
        <w:t>.</w:t>
      </w:r>
      <w:r w:rsidRPr="009054B6">
        <w:t xml:space="preserve">, </w:t>
      </w:r>
      <w:r w:rsidRPr="00A913F4">
        <w:t>Lawless, S., Paradis, N., Campbell, M., &amp; Huber, J. D. </w:t>
      </w:r>
      <w:r>
        <w:t>(2015).</w:t>
      </w:r>
      <w:r w:rsidRPr="009054B6">
        <w:t xml:space="preserve"> Individual and relational contributors to optimal sexual experiences in older men and women. </w:t>
      </w:r>
      <w:r w:rsidRPr="004B1B43">
        <w:rPr>
          <w:i/>
        </w:rPr>
        <w:t>Sexual and Relationship Therapy</w:t>
      </w:r>
      <w:r>
        <w:t xml:space="preserve">, </w:t>
      </w:r>
      <w:r w:rsidRPr="004B1B43">
        <w:rPr>
          <w:i/>
        </w:rPr>
        <w:t>30</w:t>
      </w:r>
      <w:r>
        <w:t xml:space="preserve">, </w:t>
      </w:r>
      <w:r w:rsidRPr="009054B6">
        <w:t xml:space="preserve">78–93. https://doi.org/10.1080/14681994.2014.931689 </w:t>
      </w:r>
    </w:p>
    <w:p w14:paraId="3518EB15" w14:textId="77777777" w:rsidR="002412FB" w:rsidRPr="009054B6" w:rsidRDefault="002412FB" w:rsidP="002412FB">
      <w:pPr>
        <w:spacing w:line="480" w:lineRule="auto"/>
        <w:ind w:left="360" w:hanging="360"/>
      </w:pPr>
      <w:r w:rsidRPr="009054B6">
        <w:t>Mitchell</w:t>
      </w:r>
      <w:r>
        <w:t>,</w:t>
      </w:r>
      <w:r w:rsidRPr="009054B6">
        <w:t xml:space="preserve"> K</w:t>
      </w:r>
      <w:r>
        <w:t xml:space="preserve">. </w:t>
      </w:r>
      <w:r w:rsidRPr="009054B6">
        <w:t>R</w:t>
      </w:r>
      <w:r>
        <w:t>.</w:t>
      </w:r>
      <w:r w:rsidRPr="009054B6">
        <w:t>, Geary</w:t>
      </w:r>
      <w:r>
        <w:t>,</w:t>
      </w:r>
      <w:r w:rsidRPr="009054B6">
        <w:t xml:space="preserve"> R</w:t>
      </w:r>
      <w:r>
        <w:t>.</w:t>
      </w:r>
      <w:r w:rsidRPr="009054B6">
        <w:t>, Graham</w:t>
      </w:r>
      <w:r>
        <w:t>.</w:t>
      </w:r>
      <w:r w:rsidRPr="009054B6">
        <w:t xml:space="preserve"> C</w:t>
      </w:r>
      <w:r>
        <w:t xml:space="preserve">. </w:t>
      </w:r>
      <w:r w:rsidRPr="009054B6">
        <w:t>A</w:t>
      </w:r>
      <w:r>
        <w:t>.</w:t>
      </w:r>
      <w:r w:rsidRPr="009054B6">
        <w:t>,</w:t>
      </w:r>
      <w:r w:rsidRPr="005A07E0">
        <w:rPr>
          <w:rFonts w:ascii="Arial" w:eastAsia="Times New Roman" w:hAnsi="Arial" w:cs="Arial"/>
          <w:color w:val="222222"/>
          <w:sz w:val="20"/>
          <w:szCs w:val="20"/>
          <w:shd w:val="clear" w:color="auto" w:fill="FFFFFF"/>
        </w:rPr>
        <w:t xml:space="preserve"> </w:t>
      </w:r>
      <w:proofErr w:type="spellStart"/>
      <w:r w:rsidRPr="005A07E0">
        <w:t>Datta</w:t>
      </w:r>
      <w:proofErr w:type="spellEnd"/>
      <w:r w:rsidRPr="005A07E0">
        <w:t xml:space="preserve">, J., </w:t>
      </w:r>
      <w:proofErr w:type="spellStart"/>
      <w:r w:rsidRPr="005A07E0">
        <w:t>Wellings</w:t>
      </w:r>
      <w:proofErr w:type="spellEnd"/>
      <w:r w:rsidRPr="005A07E0">
        <w:t xml:space="preserve">, K., </w:t>
      </w:r>
      <w:proofErr w:type="spellStart"/>
      <w:r w:rsidRPr="005A07E0">
        <w:t>Sonnenberg</w:t>
      </w:r>
      <w:proofErr w:type="spellEnd"/>
      <w:r w:rsidRPr="005A07E0">
        <w:t>, P., ... &amp; Johnson, A. M. </w:t>
      </w:r>
      <w:r>
        <w:t>(2017).</w:t>
      </w:r>
      <w:r w:rsidRPr="009054B6">
        <w:t xml:space="preserve"> Painful sex (dyspareunia) in women: </w:t>
      </w:r>
      <w:r w:rsidR="00320A9D">
        <w:t>P</w:t>
      </w:r>
      <w:r w:rsidRPr="009054B6">
        <w:t xml:space="preserve">revalence and associated factors in a British population probability survey. </w:t>
      </w:r>
      <w:r w:rsidRPr="005A07E0">
        <w:rPr>
          <w:i/>
        </w:rPr>
        <w:t xml:space="preserve">BJOG, An International Journal of Obstetrics and </w:t>
      </w:r>
      <w:proofErr w:type="spellStart"/>
      <w:r w:rsidRPr="005A07E0">
        <w:rPr>
          <w:i/>
        </w:rPr>
        <w:t>Gynecology</w:t>
      </w:r>
      <w:proofErr w:type="spellEnd"/>
      <w:r>
        <w:t xml:space="preserve">, </w:t>
      </w:r>
      <w:r w:rsidRPr="005A07E0">
        <w:rPr>
          <w:i/>
        </w:rPr>
        <w:t>124</w:t>
      </w:r>
      <w:r>
        <w:t xml:space="preserve">, </w:t>
      </w:r>
      <w:r w:rsidRPr="009054B6">
        <w:t>1689-</w:t>
      </w:r>
      <w:r>
        <w:t>16</w:t>
      </w:r>
      <w:r w:rsidRPr="009054B6">
        <w:t>97. https://doi.org/10.1111/1471-0528.14518</w:t>
      </w:r>
    </w:p>
    <w:p w14:paraId="17FF4778" w14:textId="77777777" w:rsidR="002412FB" w:rsidRPr="009054B6" w:rsidRDefault="002412FB" w:rsidP="002412FB">
      <w:pPr>
        <w:spacing w:line="480" w:lineRule="auto"/>
        <w:ind w:left="360" w:hanging="360"/>
      </w:pPr>
      <w:r w:rsidRPr="009054B6">
        <w:t>Mitchell</w:t>
      </w:r>
      <w:r>
        <w:t>,</w:t>
      </w:r>
      <w:r w:rsidRPr="009054B6">
        <w:t xml:space="preserve"> K</w:t>
      </w:r>
      <w:r>
        <w:t xml:space="preserve">. </w:t>
      </w:r>
      <w:r w:rsidRPr="009054B6">
        <w:t>R</w:t>
      </w:r>
      <w:r>
        <w:t>.</w:t>
      </w:r>
      <w:r w:rsidRPr="009054B6">
        <w:t>, Jones</w:t>
      </w:r>
      <w:r>
        <w:t>,</w:t>
      </w:r>
      <w:r w:rsidRPr="009054B6">
        <w:t xml:space="preserve"> K</w:t>
      </w:r>
      <w:r>
        <w:t xml:space="preserve">. </w:t>
      </w:r>
      <w:r w:rsidRPr="009054B6">
        <w:t>G</w:t>
      </w:r>
      <w:r>
        <w:t>.</w:t>
      </w:r>
      <w:r w:rsidRPr="009054B6">
        <w:t xml:space="preserve">, </w:t>
      </w:r>
      <w:proofErr w:type="spellStart"/>
      <w:r w:rsidRPr="009054B6">
        <w:t>Wellings</w:t>
      </w:r>
      <w:proofErr w:type="spellEnd"/>
      <w:r>
        <w:t>,</w:t>
      </w:r>
      <w:r w:rsidRPr="009054B6">
        <w:t xml:space="preserve"> K</w:t>
      </w:r>
      <w:r>
        <w:t>.</w:t>
      </w:r>
      <w:r w:rsidRPr="009054B6">
        <w:t xml:space="preserve">, </w:t>
      </w:r>
      <w:r w:rsidRPr="00374744">
        <w:t xml:space="preserve">Johnson, A. M., Graham, C. A., </w:t>
      </w:r>
      <w:proofErr w:type="spellStart"/>
      <w:r w:rsidRPr="00374744">
        <w:t>Datta</w:t>
      </w:r>
      <w:proofErr w:type="spellEnd"/>
      <w:r w:rsidRPr="00374744">
        <w:t>, J., ... &amp; Field, N.</w:t>
      </w:r>
      <w:r>
        <w:t xml:space="preserve"> (2016). </w:t>
      </w:r>
      <w:r w:rsidRPr="009054B6">
        <w:t xml:space="preserve">Estimating the prevalence of sexual function problems: The impact of morbidity criteria. </w:t>
      </w:r>
      <w:r w:rsidRPr="00374744">
        <w:rPr>
          <w:i/>
        </w:rPr>
        <w:t>Journal of Sex Research</w:t>
      </w:r>
      <w:r>
        <w:t xml:space="preserve">, </w:t>
      </w:r>
      <w:r w:rsidRPr="00374744">
        <w:rPr>
          <w:i/>
        </w:rPr>
        <w:t>53</w:t>
      </w:r>
      <w:r>
        <w:t xml:space="preserve">, </w:t>
      </w:r>
      <w:r w:rsidRPr="009054B6">
        <w:t>955-67. https://doi.org/10.1080/00224499.2015.1089214</w:t>
      </w:r>
    </w:p>
    <w:p w14:paraId="37657AF8" w14:textId="77777777" w:rsidR="009054B6" w:rsidRDefault="009054B6" w:rsidP="00435F1D">
      <w:pPr>
        <w:spacing w:line="480" w:lineRule="auto"/>
        <w:ind w:left="360" w:hanging="360"/>
      </w:pPr>
      <w:r w:rsidRPr="009054B6">
        <w:t>Mitchell</w:t>
      </w:r>
      <w:r w:rsidR="00510AEC">
        <w:t>,</w:t>
      </w:r>
      <w:r w:rsidRPr="009054B6">
        <w:t xml:space="preserve"> K</w:t>
      </w:r>
      <w:r w:rsidR="00510AEC">
        <w:t>.</w:t>
      </w:r>
      <w:r w:rsidR="002412FB">
        <w:t xml:space="preserve"> </w:t>
      </w:r>
      <w:r w:rsidRPr="009054B6">
        <w:t>R</w:t>
      </w:r>
      <w:r w:rsidR="00510AEC">
        <w:t>.</w:t>
      </w:r>
      <w:r w:rsidRPr="009054B6">
        <w:t>, Mercer</w:t>
      </w:r>
      <w:r w:rsidR="00510AEC">
        <w:t>,</w:t>
      </w:r>
      <w:r w:rsidRPr="009054B6">
        <w:t xml:space="preserve"> C</w:t>
      </w:r>
      <w:r w:rsidR="00510AEC">
        <w:t>.</w:t>
      </w:r>
      <w:r w:rsidR="002412FB">
        <w:t xml:space="preserve"> </w:t>
      </w:r>
      <w:r w:rsidRPr="009054B6">
        <w:t>H</w:t>
      </w:r>
      <w:r w:rsidR="00510AEC">
        <w:t>.</w:t>
      </w:r>
      <w:r w:rsidRPr="009054B6">
        <w:t xml:space="preserve">, </w:t>
      </w:r>
      <w:proofErr w:type="spellStart"/>
      <w:r w:rsidRPr="009054B6">
        <w:t>Ploubidis</w:t>
      </w:r>
      <w:proofErr w:type="spellEnd"/>
      <w:r w:rsidR="00510AEC">
        <w:t>,</w:t>
      </w:r>
      <w:r w:rsidRPr="009054B6">
        <w:t xml:space="preserve"> G</w:t>
      </w:r>
      <w:r w:rsidR="00510AEC">
        <w:t>.</w:t>
      </w:r>
      <w:r w:rsidR="002412FB">
        <w:t xml:space="preserve"> </w:t>
      </w:r>
      <w:r w:rsidRPr="009054B6">
        <w:t>B</w:t>
      </w:r>
      <w:r w:rsidR="00510AEC">
        <w:t>.</w:t>
      </w:r>
      <w:r w:rsidRPr="009054B6">
        <w:t xml:space="preserve">, </w:t>
      </w:r>
      <w:r w:rsidR="00435F1D" w:rsidRPr="00435F1D">
        <w:t xml:space="preserve">Jones, K. G., </w:t>
      </w:r>
      <w:proofErr w:type="spellStart"/>
      <w:r w:rsidR="00435F1D" w:rsidRPr="00435F1D">
        <w:t>Datta</w:t>
      </w:r>
      <w:proofErr w:type="spellEnd"/>
      <w:r w:rsidR="00435F1D" w:rsidRPr="00435F1D">
        <w:t>, J., Field, N., ... &amp; Clifton, S.</w:t>
      </w:r>
      <w:r w:rsidR="00435F1D">
        <w:t xml:space="preserve"> (2013). </w:t>
      </w:r>
      <w:r w:rsidRPr="009054B6">
        <w:t xml:space="preserve">Sexual function in Britain: </w:t>
      </w:r>
      <w:r w:rsidR="00510AEC">
        <w:t>F</w:t>
      </w:r>
      <w:r w:rsidRPr="009054B6">
        <w:t xml:space="preserve">indings from the third National Survey of Sexual Attitudes and Lifestyles (Natsal-3). </w:t>
      </w:r>
      <w:r w:rsidRPr="00435F1D">
        <w:rPr>
          <w:i/>
        </w:rPr>
        <w:t>Lancet</w:t>
      </w:r>
      <w:r w:rsidR="00435F1D">
        <w:rPr>
          <w:i/>
        </w:rPr>
        <w:t xml:space="preserve">, </w:t>
      </w:r>
      <w:r w:rsidR="00435F1D" w:rsidRPr="00435F1D">
        <w:rPr>
          <w:i/>
        </w:rPr>
        <w:t>382</w:t>
      </w:r>
      <w:r w:rsidR="00435F1D">
        <w:t xml:space="preserve"> (9007), </w:t>
      </w:r>
      <w:r w:rsidRPr="009054B6">
        <w:t>1817-</w:t>
      </w:r>
      <w:r w:rsidR="00435F1D">
        <w:t>18</w:t>
      </w:r>
      <w:r w:rsidRPr="009054B6">
        <w:t>29. https://doi.org/10.1016/S0140-6736(13)62366-1</w:t>
      </w:r>
    </w:p>
    <w:p w14:paraId="4B2B54A9" w14:textId="77777777" w:rsidR="00502A18" w:rsidRDefault="00502A18" w:rsidP="00435F1D">
      <w:pPr>
        <w:spacing w:line="480" w:lineRule="auto"/>
        <w:ind w:left="360" w:hanging="360"/>
      </w:pPr>
      <w:r w:rsidRPr="00502A18">
        <w:lastRenderedPageBreak/>
        <w:t xml:space="preserve">Mitchell, K. R., </w:t>
      </w:r>
      <w:proofErr w:type="spellStart"/>
      <w:r w:rsidRPr="00502A18">
        <w:t>Ploubidis</w:t>
      </w:r>
      <w:proofErr w:type="spellEnd"/>
      <w:r w:rsidRPr="00502A18">
        <w:t xml:space="preserve">, G. B., </w:t>
      </w:r>
      <w:proofErr w:type="spellStart"/>
      <w:r w:rsidRPr="00502A18">
        <w:t>Datta</w:t>
      </w:r>
      <w:proofErr w:type="spellEnd"/>
      <w:r w:rsidRPr="00502A18">
        <w:t xml:space="preserve">, J., &amp; </w:t>
      </w:r>
      <w:proofErr w:type="spellStart"/>
      <w:r w:rsidRPr="00502A18">
        <w:t>Wellings</w:t>
      </w:r>
      <w:proofErr w:type="spellEnd"/>
      <w:r w:rsidRPr="00502A18">
        <w:t xml:space="preserve">, K. (2012). The </w:t>
      </w:r>
      <w:proofErr w:type="spellStart"/>
      <w:r w:rsidRPr="00502A18">
        <w:t>Natsal</w:t>
      </w:r>
      <w:proofErr w:type="spellEnd"/>
      <w:r w:rsidRPr="00502A18">
        <w:t xml:space="preserve">-SF: </w:t>
      </w:r>
      <w:r>
        <w:t>A</w:t>
      </w:r>
      <w:r w:rsidRPr="00502A18">
        <w:t xml:space="preserve"> validated measure of sexual function for use in community surveys. </w:t>
      </w:r>
      <w:r w:rsidRPr="00502A18">
        <w:rPr>
          <w:i/>
          <w:iCs/>
        </w:rPr>
        <w:t>European Journal of Epidemiology</w:t>
      </w:r>
      <w:r w:rsidRPr="00502A18">
        <w:t>, </w:t>
      </w:r>
      <w:r w:rsidRPr="00502A18">
        <w:rPr>
          <w:i/>
          <w:iCs/>
        </w:rPr>
        <w:t>27</w:t>
      </w:r>
      <w:r w:rsidRPr="00502A18">
        <w:t>(6), 409-418)</w:t>
      </w:r>
    </w:p>
    <w:p w14:paraId="585BA5B2" w14:textId="77777777" w:rsidR="001D3546" w:rsidRPr="00776C7E" w:rsidRDefault="001D3546" w:rsidP="001D3546">
      <w:pPr>
        <w:spacing w:line="480" w:lineRule="auto"/>
        <w:ind w:left="360" w:hanging="360"/>
        <w:rPr>
          <w:lang w:val="pt-PT"/>
        </w:rPr>
      </w:pPr>
      <w:r w:rsidRPr="009054B6">
        <w:t>Müller</w:t>
      </w:r>
      <w:r>
        <w:t>,</w:t>
      </w:r>
      <w:r w:rsidRPr="009054B6">
        <w:t xml:space="preserve"> B</w:t>
      </w:r>
      <w:r>
        <w:t>.</w:t>
      </w:r>
      <w:r w:rsidRPr="009054B6">
        <w:t xml:space="preserve">, </w:t>
      </w:r>
      <w:proofErr w:type="spellStart"/>
      <w:r w:rsidRPr="009054B6">
        <w:t>Nienaber</w:t>
      </w:r>
      <w:proofErr w:type="spellEnd"/>
      <w:r>
        <w:t>,</w:t>
      </w:r>
      <w:r w:rsidRPr="009054B6">
        <w:t xml:space="preserve"> C</w:t>
      </w:r>
      <w:r>
        <w:t xml:space="preserve">. </w:t>
      </w:r>
      <w:r w:rsidRPr="009054B6">
        <w:t>A</w:t>
      </w:r>
      <w:r>
        <w:t>.</w:t>
      </w:r>
      <w:r w:rsidRPr="009054B6">
        <w:t>, Reis</w:t>
      </w:r>
      <w:r>
        <w:t>,</w:t>
      </w:r>
      <w:r w:rsidRPr="009054B6">
        <w:t xml:space="preserve"> O</w:t>
      </w:r>
      <w:r>
        <w:t>.</w:t>
      </w:r>
      <w:r w:rsidRPr="009054B6">
        <w:t xml:space="preserve">, </w:t>
      </w:r>
      <w:proofErr w:type="spellStart"/>
      <w:r w:rsidRPr="00B84231">
        <w:t>Kropp</w:t>
      </w:r>
      <w:proofErr w:type="spellEnd"/>
      <w:r w:rsidRPr="00B84231">
        <w:t>, P., &amp; Meyer, W.</w:t>
      </w:r>
      <w:r>
        <w:t xml:space="preserve"> (2014).</w:t>
      </w:r>
      <w:r w:rsidRPr="009054B6">
        <w:t xml:space="preserve"> Sexuality and affection among elderly German men and women in long-term relationships: </w:t>
      </w:r>
      <w:r>
        <w:t>R</w:t>
      </w:r>
      <w:r w:rsidRPr="009054B6">
        <w:t xml:space="preserve">esults of a prospective population-based study. </w:t>
      </w:r>
      <w:proofErr w:type="spellStart"/>
      <w:r w:rsidRPr="00776C7E">
        <w:rPr>
          <w:i/>
          <w:lang w:val="pt-PT"/>
        </w:rPr>
        <w:t>PloS</w:t>
      </w:r>
      <w:proofErr w:type="spellEnd"/>
      <w:r w:rsidRPr="00776C7E">
        <w:rPr>
          <w:i/>
          <w:lang w:val="pt-PT"/>
        </w:rPr>
        <w:t xml:space="preserve"> </w:t>
      </w:r>
      <w:proofErr w:type="spellStart"/>
      <w:r w:rsidRPr="00776C7E">
        <w:rPr>
          <w:i/>
          <w:lang w:val="pt-PT"/>
        </w:rPr>
        <w:t>One</w:t>
      </w:r>
      <w:proofErr w:type="spellEnd"/>
      <w:r w:rsidRPr="00776C7E">
        <w:rPr>
          <w:lang w:val="pt-PT"/>
        </w:rPr>
        <w:t xml:space="preserve">, </w:t>
      </w:r>
      <w:r w:rsidRPr="00776C7E">
        <w:rPr>
          <w:i/>
          <w:lang w:val="pt-PT"/>
        </w:rPr>
        <w:t>9</w:t>
      </w:r>
      <w:r w:rsidRPr="00776C7E">
        <w:rPr>
          <w:lang w:val="pt-PT"/>
        </w:rPr>
        <w:t>, e111404. https://doi.org/10.1371/journal.pone.0111404</w:t>
      </w:r>
    </w:p>
    <w:p w14:paraId="4EF07062" w14:textId="77777777" w:rsidR="009054B6" w:rsidRPr="009054B6" w:rsidRDefault="009054B6" w:rsidP="00D229EA">
      <w:pPr>
        <w:spacing w:line="480" w:lineRule="auto"/>
        <w:ind w:left="360" w:hanging="360"/>
      </w:pPr>
      <w:r w:rsidRPr="00776C7E">
        <w:rPr>
          <w:lang w:val="pt-PT"/>
        </w:rPr>
        <w:t>Peixoto</w:t>
      </w:r>
      <w:r w:rsidR="00374744" w:rsidRPr="00776C7E">
        <w:rPr>
          <w:lang w:val="pt-PT"/>
        </w:rPr>
        <w:t>,</w:t>
      </w:r>
      <w:r w:rsidRPr="00776C7E">
        <w:rPr>
          <w:lang w:val="pt-PT"/>
        </w:rPr>
        <w:t xml:space="preserve"> M</w:t>
      </w:r>
      <w:r w:rsidR="00374744" w:rsidRPr="00776C7E">
        <w:rPr>
          <w:lang w:val="pt-PT"/>
        </w:rPr>
        <w:t xml:space="preserve">. </w:t>
      </w:r>
      <w:r w:rsidRPr="00776C7E">
        <w:rPr>
          <w:lang w:val="pt-PT"/>
        </w:rPr>
        <w:t>M</w:t>
      </w:r>
      <w:r w:rsidR="00374744" w:rsidRPr="00776C7E">
        <w:rPr>
          <w:lang w:val="pt-PT"/>
        </w:rPr>
        <w:t>.</w:t>
      </w:r>
      <w:r w:rsidRPr="00776C7E">
        <w:rPr>
          <w:lang w:val="pt-PT"/>
        </w:rPr>
        <w:t xml:space="preserve">, </w:t>
      </w:r>
      <w:r w:rsidR="00374744" w:rsidRPr="00776C7E">
        <w:rPr>
          <w:lang w:val="pt-PT"/>
        </w:rPr>
        <w:t xml:space="preserve">&amp; </w:t>
      </w:r>
      <w:r w:rsidRPr="00776C7E">
        <w:rPr>
          <w:lang w:val="pt-PT"/>
        </w:rPr>
        <w:t>Nobre</w:t>
      </w:r>
      <w:r w:rsidR="00374744" w:rsidRPr="00776C7E">
        <w:rPr>
          <w:lang w:val="pt-PT"/>
        </w:rPr>
        <w:t>,</w:t>
      </w:r>
      <w:r w:rsidRPr="00776C7E">
        <w:rPr>
          <w:lang w:val="pt-PT"/>
        </w:rPr>
        <w:t xml:space="preserve"> P. </w:t>
      </w:r>
      <w:r w:rsidR="00374744" w:rsidRPr="00776C7E">
        <w:rPr>
          <w:lang w:val="pt-PT"/>
        </w:rPr>
        <w:t xml:space="preserve">(2015). </w:t>
      </w:r>
      <w:r w:rsidRPr="009054B6">
        <w:t>Preva</w:t>
      </w:r>
      <w:r w:rsidR="00060512">
        <w:t>lence and sociodemographic pre</w:t>
      </w:r>
      <w:r w:rsidRPr="009054B6">
        <w:t xml:space="preserve">dictors of sexual problems in Portugal: </w:t>
      </w:r>
      <w:r w:rsidR="00374744">
        <w:t>A</w:t>
      </w:r>
      <w:r w:rsidRPr="009054B6">
        <w:t xml:space="preserve"> population-based study with women aged 18 to 79 years. </w:t>
      </w:r>
      <w:r w:rsidR="00374744">
        <w:rPr>
          <w:i/>
        </w:rPr>
        <w:t>Journal of Sex &amp;</w:t>
      </w:r>
      <w:r w:rsidR="00374744" w:rsidRPr="00374744">
        <w:rPr>
          <w:i/>
        </w:rPr>
        <w:t xml:space="preserve"> Marital Therapy</w:t>
      </w:r>
      <w:r w:rsidR="00374744">
        <w:t xml:space="preserve">, </w:t>
      </w:r>
      <w:r w:rsidR="00374744" w:rsidRPr="00374744">
        <w:rPr>
          <w:i/>
        </w:rPr>
        <w:t>41</w:t>
      </w:r>
      <w:r w:rsidR="00374744">
        <w:t xml:space="preserve">, </w:t>
      </w:r>
      <w:r w:rsidRPr="009054B6">
        <w:t xml:space="preserve">169–180. https://doi.org/10.1080/0092623x.2013.842195 </w:t>
      </w:r>
    </w:p>
    <w:p w14:paraId="79144DD1" w14:textId="77777777" w:rsidR="009054B6" w:rsidRPr="009054B6" w:rsidRDefault="009054B6" w:rsidP="00D229EA">
      <w:pPr>
        <w:spacing w:line="480" w:lineRule="auto"/>
        <w:ind w:left="360" w:hanging="360"/>
      </w:pPr>
      <w:r w:rsidRPr="009054B6">
        <w:t>Santos-Iglesias</w:t>
      </w:r>
      <w:r w:rsidR="00374744">
        <w:t>,</w:t>
      </w:r>
      <w:r w:rsidRPr="009054B6">
        <w:t xml:space="preserve"> P</w:t>
      </w:r>
      <w:r w:rsidR="00374744">
        <w:t>.</w:t>
      </w:r>
      <w:r w:rsidRPr="009054B6">
        <w:t>, Byers</w:t>
      </w:r>
      <w:r w:rsidR="00374744">
        <w:t>,</w:t>
      </w:r>
      <w:r w:rsidRPr="009054B6">
        <w:t xml:space="preserve"> E</w:t>
      </w:r>
      <w:r w:rsidR="00374744">
        <w:t xml:space="preserve">. </w:t>
      </w:r>
      <w:r w:rsidRPr="009054B6">
        <w:t>S</w:t>
      </w:r>
      <w:r w:rsidR="00374744">
        <w:t>.</w:t>
      </w:r>
      <w:r w:rsidRPr="009054B6">
        <w:t xml:space="preserve">, </w:t>
      </w:r>
      <w:r w:rsidR="00374744">
        <w:t xml:space="preserve">&amp; </w:t>
      </w:r>
      <w:proofErr w:type="spellStart"/>
      <w:r w:rsidRPr="009054B6">
        <w:t>Moglia</w:t>
      </w:r>
      <w:proofErr w:type="spellEnd"/>
      <w:r w:rsidR="00374744">
        <w:t>,</w:t>
      </w:r>
      <w:r w:rsidRPr="009054B6">
        <w:t xml:space="preserve"> R. </w:t>
      </w:r>
      <w:r w:rsidR="00374744">
        <w:t xml:space="preserve">(2016). </w:t>
      </w:r>
      <w:r w:rsidRPr="009054B6">
        <w:t xml:space="preserve">Sexual well-being of older men and women. </w:t>
      </w:r>
      <w:r w:rsidR="00374744" w:rsidRPr="00374744">
        <w:rPr>
          <w:i/>
        </w:rPr>
        <w:t>The Canadian Journal of Human Sexuality</w:t>
      </w:r>
      <w:r w:rsidR="00374744">
        <w:t xml:space="preserve">, </w:t>
      </w:r>
      <w:r w:rsidR="00374744" w:rsidRPr="00374744">
        <w:rPr>
          <w:i/>
        </w:rPr>
        <w:t>25</w:t>
      </w:r>
      <w:r w:rsidR="00374744">
        <w:t xml:space="preserve">, </w:t>
      </w:r>
      <w:r w:rsidRPr="009054B6">
        <w:t>86-98. https://doi.org/10.3138/cjhs.252-A4</w:t>
      </w:r>
    </w:p>
    <w:p w14:paraId="1AFA528C" w14:textId="77777777" w:rsidR="001D3546" w:rsidRPr="009054B6" w:rsidRDefault="001D3546" w:rsidP="001D3546">
      <w:pPr>
        <w:spacing w:line="480" w:lineRule="auto"/>
        <w:ind w:left="360" w:hanging="360"/>
      </w:pPr>
      <w:proofErr w:type="spellStart"/>
      <w:r w:rsidRPr="009054B6">
        <w:t>Shifren</w:t>
      </w:r>
      <w:proofErr w:type="spellEnd"/>
      <w:r>
        <w:t>,</w:t>
      </w:r>
      <w:r w:rsidRPr="009054B6">
        <w:t xml:space="preserve"> J</w:t>
      </w:r>
      <w:r>
        <w:t xml:space="preserve">. </w:t>
      </w:r>
      <w:r w:rsidRPr="009054B6">
        <w:t>L</w:t>
      </w:r>
      <w:r>
        <w:t>.</w:t>
      </w:r>
      <w:r w:rsidRPr="009054B6">
        <w:t xml:space="preserve">, </w:t>
      </w:r>
      <w:proofErr w:type="spellStart"/>
      <w:r w:rsidRPr="009054B6">
        <w:t>Monz</w:t>
      </w:r>
      <w:proofErr w:type="spellEnd"/>
      <w:r>
        <w:t xml:space="preserve">, </w:t>
      </w:r>
      <w:r w:rsidRPr="009054B6">
        <w:t>B</w:t>
      </w:r>
      <w:r>
        <w:t xml:space="preserve">. </w:t>
      </w:r>
      <w:r w:rsidRPr="009054B6">
        <w:t>U</w:t>
      </w:r>
      <w:r>
        <w:t>.</w:t>
      </w:r>
      <w:r w:rsidRPr="009054B6">
        <w:t>, Russo</w:t>
      </w:r>
      <w:r>
        <w:t>,</w:t>
      </w:r>
      <w:r w:rsidRPr="009054B6">
        <w:t xml:space="preserve"> P</w:t>
      </w:r>
      <w:r>
        <w:t xml:space="preserve">. </w:t>
      </w:r>
      <w:r w:rsidRPr="009054B6">
        <w:t>A</w:t>
      </w:r>
      <w:r>
        <w:t xml:space="preserve">., </w:t>
      </w:r>
      <w:proofErr w:type="spellStart"/>
      <w:r w:rsidRPr="00E165A3">
        <w:t>Segreti</w:t>
      </w:r>
      <w:proofErr w:type="spellEnd"/>
      <w:r w:rsidRPr="00E165A3">
        <w:t>, A., &amp; Johannes, C. B. </w:t>
      </w:r>
      <w:r>
        <w:t xml:space="preserve">(2008). </w:t>
      </w:r>
      <w:r w:rsidRPr="009054B6">
        <w:t xml:space="preserve">Sexual problems and distress in United States women: Prevalence and correlates. </w:t>
      </w:r>
      <w:r w:rsidRPr="00E165A3">
        <w:rPr>
          <w:i/>
        </w:rPr>
        <w:t xml:space="preserve">Obstetrics and </w:t>
      </w:r>
      <w:proofErr w:type="spellStart"/>
      <w:r w:rsidRPr="00E165A3">
        <w:rPr>
          <w:i/>
        </w:rPr>
        <w:t>Gynecology</w:t>
      </w:r>
      <w:proofErr w:type="spellEnd"/>
      <w:r>
        <w:t xml:space="preserve">, </w:t>
      </w:r>
      <w:r w:rsidRPr="00E165A3">
        <w:rPr>
          <w:i/>
        </w:rPr>
        <w:t>112</w:t>
      </w:r>
      <w:r>
        <w:t xml:space="preserve">, </w:t>
      </w:r>
      <w:r w:rsidRPr="009054B6">
        <w:t>970-</w:t>
      </w:r>
      <w:r>
        <w:t>97</w:t>
      </w:r>
      <w:r w:rsidRPr="009054B6">
        <w:t xml:space="preserve">8. https://doi.org/10.1097/AOG.0b013e3181898cdb </w:t>
      </w:r>
    </w:p>
    <w:p w14:paraId="103D9603" w14:textId="77777777" w:rsidR="001D3546" w:rsidRDefault="001D3546" w:rsidP="001D3546">
      <w:pPr>
        <w:spacing w:line="480" w:lineRule="auto"/>
        <w:ind w:left="360" w:hanging="360"/>
      </w:pPr>
      <w:r w:rsidRPr="009054B6">
        <w:t>Sinclair</w:t>
      </w:r>
      <w:r>
        <w:t>,</w:t>
      </w:r>
      <w:r w:rsidRPr="009054B6">
        <w:t xml:space="preserve"> V</w:t>
      </w:r>
      <w:r>
        <w:t xml:space="preserve">. </w:t>
      </w:r>
      <w:r w:rsidRPr="009054B6">
        <w:t>G</w:t>
      </w:r>
      <w:r>
        <w:t>.</w:t>
      </w:r>
      <w:r w:rsidRPr="009054B6">
        <w:t>,</w:t>
      </w:r>
      <w:r>
        <w:t xml:space="preserve"> &amp;</w:t>
      </w:r>
      <w:r w:rsidRPr="009054B6">
        <w:t xml:space="preserve"> Dowdy</w:t>
      </w:r>
      <w:r>
        <w:t>,</w:t>
      </w:r>
      <w:r w:rsidRPr="009054B6">
        <w:t xml:space="preserve"> S</w:t>
      </w:r>
      <w:r>
        <w:t xml:space="preserve">. </w:t>
      </w:r>
      <w:r w:rsidRPr="009054B6">
        <w:t xml:space="preserve">W. </w:t>
      </w:r>
      <w:r>
        <w:t xml:space="preserve">(2005). </w:t>
      </w:r>
      <w:r w:rsidRPr="009054B6">
        <w:t>Development and validation of the emotio</w:t>
      </w:r>
      <w:r>
        <w:t xml:space="preserve">nal intimacy scale. </w:t>
      </w:r>
      <w:r w:rsidRPr="00172296">
        <w:rPr>
          <w:i/>
        </w:rPr>
        <w:t>Journal of Nursing Measurement</w:t>
      </w:r>
      <w:r>
        <w:t xml:space="preserve">, </w:t>
      </w:r>
      <w:r w:rsidRPr="00172296">
        <w:rPr>
          <w:i/>
        </w:rPr>
        <w:t>13</w:t>
      </w:r>
      <w:r>
        <w:t xml:space="preserve">, </w:t>
      </w:r>
      <w:r w:rsidRPr="009054B6">
        <w:t xml:space="preserve">193–206. </w:t>
      </w:r>
      <w:proofErr w:type="gramStart"/>
      <w:r w:rsidRPr="009054B6">
        <w:t>https:doi.org</w:t>
      </w:r>
      <w:proofErr w:type="gramEnd"/>
      <w:r w:rsidRPr="009054B6">
        <w:t>/10.1891/jnum.13.3.193</w:t>
      </w:r>
    </w:p>
    <w:p w14:paraId="5937E12C" w14:textId="039A0853" w:rsidR="00A311DD" w:rsidRPr="00A311DD" w:rsidRDefault="005A1514" w:rsidP="00A311DD">
      <w:pPr>
        <w:spacing w:line="480" w:lineRule="auto"/>
        <w:ind w:left="360" w:hanging="360"/>
      </w:pPr>
      <w:r w:rsidRPr="005A1514">
        <w:t xml:space="preserve">Stephenson, K. R., &amp; </w:t>
      </w:r>
      <w:proofErr w:type="spellStart"/>
      <w:r w:rsidRPr="005A1514">
        <w:t>Meston</w:t>
      </w:r>
      <w:proofErr w:type="spellEnd"/>
      <w:r w:rsidRPr="005A1514">
        <w:t>, C. M. (2015). Why is impaired sexual function distressing to women? The primacy of pleasure in female sexual dysfunction. </w:t>
      </w:r>
      <w:r w:rsidRPr="005A1514">
        <w:rPr>
          <w:i/>
          <w:iCs/>
        </w:rPr>
        <w:t xml:space="preserve">The </w:t>
      </w:r>
      <w:r>
        <w:rPr>
          <w:i/>
          <w:iCs/>
        </w:rPr>
        <w:t>J</w:t>
      </w:r>
      <w:r w:rsidRPr="005A1514">
        <w:rPr>
          <w:i/>
          <w:iCs/>
        </w:rPr>
        <w:t xml:space="preserve">ournal of </w:t>
      </w:r>
      <w:r>
        <w:rPr>
          <w:i/>
          <w:iCs/>
        </w:rPr>
        <w:t>S</w:t>
      </w:r>
      <w:r w:rsidRPr="005A1514">
        <w:rPr>
          <w:i/>
          <w:iCs/>
        </w:rPr>
        <w:t xml:space="preserve">exual </w:t>
      </w:r>
      <w:r>
        <w:rPr>
          <w:i/>
          <w:iCs/>
        </w:rPr>
        <w:t>M</w:t>
      </w:r>
      <w:r w:rsidRPr="005A1514">
        <w:rPr>
          <w:i/>
          <w:iCs/>
        </w:rPr>
        <w:t>edicine</w:t>
      </w:r>
      <w:r w:rsidRPr="005A1514">
        <w:t>, </w:t>
      </w:r>
      <w:r w:rsidRPr="005A1514">
        <w:rPr>
          <w:i/>
          <w:iCs/>
        </w:rPr>
        <w:t>12</w:t>
      </w:r>
      <w:r w:rsidRPr="005A1514">
        <w:t>(3), 728-737.</w:t>
      </w:r>
      <w:r w:rsidR="00A311DD">
        <w:t xml:space="preserve"> </w:t>
      </w:r>
      <w:r w:rsidR="00A311DD" w:rsidRPr="00A311DD">
        <w:t>https://doi.org/</w:t>
      </w:r>
      <w:r w:rsidR="00A311DD" w:rsidRPr="00A311DD">
        <w:rPr>
          <w:bCs/>
        </w:rPr>
        <w:t>10.1111</w:t>
      </w:r>
      <w:r w:rsidR="00A311DD" w:rsidRPr="00A311DD">
        <w:t>/</w:t>
      </w:r>
      <w:r w:rsidR="00A311DD" w:rsidRPr="00A311DD">
        <w:rPr>
          <w:bCs/>
        </w:rPr>
        <w:t>jsm</w:t>
      </w:r>
      <w:r w:rsidR="00A311DD" w:rsidRPr="00A311DD">
        <w:t>.</w:t>
      </w:r>
      <w:r w:rsidR="00A311DD" w:rsidRPr="00A311DD">
        <w:rPr>
          <w:bCs/>
        </w:rPr>
        <w:t>12804</w:t>
      </w:r>
      <w:r w:rsidR="00A311DD" w:rsidRPr="00A311DD">
        <w:t>.</w:t>
      </w:r>
    </w:p>
    <w:p w14:paraId="0FAC1BC3" w14:textId="1CCA0C28" w:rsidR="00A311DD" w:rsidRPr="00A311DD" w:rsidRDefault="004B1E80" w:rsidP="00A311DD">
      <w:pPr>
        <w:spacing w:line="480" w:lineRule="auto"/>
        <w:ind w:left="360" w:hanging="360"/>
      </w:pPr>
      <w:proofErr w:type="spellStart"/>
      <w:r w:rsidRPr="004B1E80">
        <w:t>Štulhofer</w:t>
      </w:r>
      <w:proofErr w:type="spellEnd"/>
      <w:r w:rsidRPr="004B1E80">
        <w:t xml:space="preserve">, A., </w:t>
      </w:r>
      <w:proofErr w:type="spellStart"/>
      <w:r w:rsidRPr="004B1E80">
        <w:t>Hinchliff</w:t>
      </w:r>
      <w:proofErr w:type="spellEnd"/>
      <w:r w:rsidRPr="004B1E80">
        <w:t xml:space="preserve">, S., </w:t>
      </w:r>
      <w:proofErr w:type="spellStart"/>
      <w:r w:rsidRPr="004B1E80">
        <w:t>Jurin</w:t>
      </w:r>
      <w:proofErr w:type="spellEnd"/>
      <w:r w:rsidRPr="004B1E80">
        <w:t xml:space="preserve">, T., </w:t>
      </w:r>
      <w:proofErr w:type="spellStart"/>
      <w:r w:rsidRPr="004B1E80">
        <w:t>Carvalheira</w:t>
      </w:r>
      <w:proofErr w:type="spellEnd"/>
      <w:r w:rsidRPr="004B1E80">
        <w:t xml:space="preserve">, A., &amp; </w:t>
      </w:r>
      <w:proofErr w:type="spellStart"/>
      <w:r w:rsidRPr="004B1E80">
        <w:t>Træen</w:t>
      </w:r>
      <w:proofErr w:type="spellEnd"/>
      <w:r w:rsidRPr="004B1E80">
        <w:t xml:space="preserve">, B. (2019). Successful aging, change in sexual interest and sexual satisfaction in couples from four European </w:t>
      </w:r>
      <w:r w:rsidR="00A311DD">
        <w:t>c</w:t>
      </w:r>
      <w:r w:rsidRPr="004B1E80">
        <w:t xml:space="preserve">ountries. </w:t>
      </w:r>
      <w:r w:rsidRPr="004B1E80">
        <w:rPr>
          <w:i/>
          <w:iCs/>
        </w:rPr>
        <w:t xml:space="preserve">European </w:t>
      </w:r>
      <w:r>
        <w:rPr>
          <w:i/>
          <w:iCs/>
        </w:rPr>
        <w:t>J</w:t>
      </w:r>
      <w:r w:rsidRPr="004B1E80">
        <w:rPr>
          <w:i/>
          <w:iCs/>
        </w:rPr>
        <w:t xml:space="preserve">ournal of </w:t>
      </w:r>
      <w:r>
        <w:rPr>
          <w:i/>
          <w:iCs/>
        </w:rPr>
        <w:t>A</w:t>
      </w:r>
      <w:r w:rsidRPr="004B1E80">
        <w:rPr>
          <w:i/>
          <w:iCs/>
        </w:rPr>
        <w:t>ging</w:t>
      </w:r>
      <w:r w:rsidRPr="004B1E80">
        <w:t xml:space="preserve">, </w:t>
      </w:r>
      <w:r w:rsidRPr="004B1E80">
        <w:rPr>
          <w:i/>
          <w:iCs/>
        </w:rPr>
        <w:t>16</w:t>
      </w:r>
      <w:r w:rsidRPr="004B1E80">
        <w:t>(2), 155-165.</w:t>
      </w:r>
      <w:r w:rsidR="00A311DD">
        <w:t xml:space="preserve"> </w:t>
      </w:r>
      <w:r w:rsidR="00A311DD" w:rsidRPr="00A311DD">
        <w:t>https://doi.org/10.1007/s10433-018-0492-1</w:t>
      </w:r>
    </w:p>
    <w:p w14:paraId="14DC24A6" w14:textId="77777777" w:rsidR="00A37E1F" w:rsidRDefault="00A37E1F" w:rsidP="001D3546">
      <w:pPr>
        <w:spacing w:line="480" w:lineRule="auto"/>
        <w:ind w:left="360" w:hanging="360"/>
        <w:sectPr w:rsidR="00A37E1F" w:rsidSect="00320A9D">
          <w:pgSz w:w="12240" w:h="15840"/>
          <w:pgMar w:top="1417" w:right="1417" w:bottom="1417" w:left="1417" w:header="708" w:footer="708" w:gutter="0"/>
          <w:cols w:space="708"/>
          <w:docGrid w:linePitch="360"/>
        </w:sectPr>
      </w:pPr>
    </w:p>
    <w:p w14:paraId="7E51D592" w14:textId="77777777" w:rsidR="001D3546" w:rsidRDefault="001D3546" w:rsidP="001D3546">
      <w:pPr>
        <w:spacing w:line="480" w:lineRule="auto"/>
        <w:ind w:left="360" w:hanging="360"/>
      </w:pPr>
      <w:proofErr w:type="spellStart"/>
      <w:r w:rsidRPr="009054B6">
        <w:lastRenderedPageBreak/>
        <w:t>Štulhofer</w:t>
      </w:r>
      <w:proofErr w:type="spellEnd"/>
      <w:r>
        <w:t>,</w:t>
      </w:r>
      <w:r w:rsidRPr="009054B6">
        <w:t xml:space="preserve"> A</w:t>
      </w:r>
      <w:r>
        <w:t>.</w:t>
      </w:r>
      <w:r w:rsidRPr="009054B6">
        <w:t xml:space="preserve">, </w:t>
      </w:r>
      <w:proofErr w:type="spellStart"/>
      <w:r w:rsidRPr="009054B6">
        <w:t>Šoh</w:t>
      </w:r>
      <w:proofErr w:type="spellEnd"/>
      <w:r>
        <w:t>,</w:t>
      </w:r>
      <w:r w:rsidRPr="009054B6">
        <w:t xml:space="preserve"> D</w:t>
      </w:r>
      <w:r>
        <w:t>.</w:t>
      </w:r>
      <w:r w:rsidRPr="009054B6">
        <w:t xml:space="preserve">, </w:t>
      </w:r>
      <w:proofErr w:type="spellStart"/>
      <w:r w:rsidRPr="009054B6">
        <w:t>Jelaska</w:t>
      </w:r>
      <w:proofErr w:type="spellEnd"/>
      <w:r>
        <w:t>,</w:t>
      </w:r>
      <w:r w:rsidRPr="009054B6">
        <w:t xml:space="preserve"> N</w:t>
      </w:r>
      <w:r>
        <w:t>.</w:t>
      </w:r>
      <w:r w:rsidRPr="009054B6">
        <w:t xml:space="preserve">, </w:t>
      </w:r>
      <w:proofErr w:type="spellStart"/>
      <w:r w:rsidRPr="00172296">
        <w:t>Baćak</w:t>
      </w:r>
      <w:proofErr w:type="spellEnd"/>
      <w:r w:rsidRPr="00172296">
        <w:t xml:space="preserve">, V., &amp; </w:t>
      </w:r>
      <w:proofErr w:type="spellStart"/>
      <w:r w:rsidRPr="00172296">
        <w:t>Landripet</w:t>
      </w:r>
      <w:proofErr w:type="spellEnd"/>
      <w:r w:rsidRPr="00172296">
        <w:t>, I.</w:t>
      </w:r>
      <w:r>
        <w:t xml:space="preserve"> (2011).</w:t>
      </w:r>
      <w:r w:rsidRPr="009054B6">
        <w:t xml:space="preserve"> Religiosity and sexual risk </w:t>
      </w:r>
      <w:proofErr w:type="spellStart"/>
      <w:r w:rsidRPr="009054B6">
        <w:t>behavior</w:t>
      </w:r>
      <w:proofErr w:type="spellEnd"/>
      <w:r w:rsidRPr="009054B6">
        <w:t xml:space="preserve"> among Croatian college students, 1998–2008. </w:t>
      </w:r>
      <w:r w:rsidRPr="00172296">
        <w:rPr>
          <w:i/>
        </w:rPr>
        <w:t>Journal of Sex Research</w:t>
      </w:r>
      <w:r>
        <w:t xml:space="preserve">, </w:t>
      </w:r>
      <w:r w:rsidRPr="00172296">
        <w:rPr>
          <w:i/>
        </w:rPr>
        <w:t>48</w:t>
      </w:r>
      <w:r>
        <w:t xml:space="preserve">, </w:t>
      </w:r>
      <w:r w:rsidRPr="009054B6">
        <w:t>360-</w:t>
      </w:r>
      <w:r>
        <w:t>3</w:t>
      </w:r>
      <w:r w:rsidRPr="009054B6">
        <w:t>71. https://doi.org/10.1080/00224499.2010.494257</w:t>
      </w:r>
    </w:p>
    <w:p w14:paraId="247B4D09" w14:textId="77777777" w:rsidR="0054005F" w:rsidRPr="0054005F" w:rsidRDefault="0054005F" w:rsidP="0054005F">
      <w:pPr>
        <w:spacing w:line="480" w:lineRule="auto"/>
        <w:ind w:left="360" w:hanging="360"/>
        <w:rPr>
          <w:rFonts w:eastAsia="Times New Roman"/>
        </w:rPr>
      </w:pPr>
      <w:r>
        <w:rPr>
          <w:rFonts w:eastAsia="Times New Roman"/>
        </w:rPr>
        <w:t xml:space="preserve">Thompson, W. K., </w:t>
      </w:r>
      <w:proofErr w:type="spellStart"/>
      <w:r>
        <w:rPr>
          <w:rFonts w:eastAsia="Times New Roman"/>
        </w:rPr>
        <w:t>Charo</w:t>
      </w:r>
      <w:proofErr w:type="spellEnd"/>
      <w:r>
        <w:rPr>
          <w:rFonts w:eastAsia="Times New Roman"/>
        </w:rPr>
        <w:t xml:space="preserve">, L., </w:t>
      </w:r>
      <w:proofErr w:type="spellStart"/>
      <w:r>
        <w:rPr>
          <w:rFonts w:eastAsia="Times New Roman"/>
        </w:rPr>
        <w:t>Vahia</w:t>
      </w:r>
      <w:proofErr w:type="spellEnd"/>
      <w:r>
        <w:rPr>
          <w:rFonts w:eastAsia="Times New Roman"/>
        </w:rPr>
        <w:t xml:space="preserve">, I. V., Depp, C., Allison, M., &amp; </w:t>
      </w:r>
      <w:proofErr w:type="spellStart"/>
      <w:r>
        <w:rPr>
          <w:rFonts w:eastAsia="Times New Roman"/>
        </w:rPr>
        <w:t>Jeste</w:t>
      </w:r>
      <w:proofErr w:type="spellEnd"/>
      <w:r>
        <w:rPr>
          <w:rFonts w:eastAsia="Times New Roman"/>
        </w:rPr>
        <w:t>, D. V. (2011). Association between higher levels of sexual function, activity, and satisfaction and self</w:t>
      </w:r>
      <w:r>
        <w:rPr>
          <w:rFonts w:ascii="Calibri" w:eastAsia="Calibri" w:hAnsi="Calibri" w:cs="Calibri"/>
        </w:rPr>
        <w:t>‐</w:t>
      </w:r>
      <w:r>
        <w:rPr>
          <w:rFonts w:eastAsia="Times New Roman"/>
        </w:rPr>
        <w:t xml:space="preserve">rated successful aging in older postmenopausal women. </w:t>
      </w:r>
      <w:r>
        <w:rPr>
          <w:rFonts w:eastAsia="Times New Roman"/>
          <w:i/>
          <w:iCs/>
        </w:rPr>
        <w:t>Journal of the American Geriatrics Society</w:t>
      </w:r>
      <w:r>
        <w:rPr>
          <w:rFonts w:eastAsia="Times New Roman"/>
        </w:rPr>
        <w:t xml:space="preserve">, </w:t>
      </w:r>
      <w:r>
        <w:rPr>
          <w:rFonts w:eastAsia="Times New Roman"/>
          <w:i/>
          <w:iCs/>
        </w:rPr>
        <w:t>59</w:t>
      </w:r>
      <w:r>
        <w:rPr>
          <w:rFonts w:eastAsia="Times New Roman"/>
        </w:rPr>
        <w:t>(8), 1503-1508.</w:t>
      </w:r>
    </w:p>
    <w:p w14:paraId="29471A94" w14:textId="6DBAD31D" w:rsidR="001D3546" w:rsidRPr="009054B6" w:rsidRDefault="001D3546" w:rsidP="001D3546">
      <w:pPr>
        <w:spacing w:line="480" w:lineRule="auto"/>
        <w:ind w:left="360" w:hanging="360"/>
      </w:pPr>
      <w:proofErr w:type="spellStart"/>
      <w:r w:rsidRPr="009054B6">
        <w:t>Træen</w:t>
      </w:r>
      <w:proofErr w:type="spellEnd"/>
      <w:r>
        <w:t>,</w:t>
      </w:r>
      <w:r w:rsidRPr="009054B6">
        <w:t xml:space="preserve"> B</w:t>
      </w:r>
      <w:r>
        <w:t>.</w:t>
      </w:r>
      <w:r w:rsidRPr="009054B6">
        <w:t xml:space="preserve">, </w:t>
      </w:r>
      <w:proofErr w:type="spellStart"/>
      <w:r w:rsidRPr="009054B6">
        <w:t>Štulhofer</w:t>
      </w:r>
      <w:proofErr w:type="spellEnd"/>
      <w:r>
        <w:t>,</w:t>
      </w:r>
      <w:r w:rsidRPr="009054B6">
        <w:t xml:space="preserve"> A</w:t>
      </w:r>
      <w:r>
        <w:t>.</w:t>
      </w:r>
      <w:r w:rsidRPr="009054B6">
        <w:t xml:space="preserve">, </w:t>
      </w:r>
      <w:r>
        <w:t xml:space="preserve">&amp; </w:t>
      </w:r>
      <w:proofErr w:type="spellStart"/>
      <w:r w:rsidRPr="009054B6">
        <w:t>Landripet</w:t>
      </w:r>
      <w:proofErr w:type="spellEnd"/>
      <w:r w:rsidR="00A311DD">
        <w:t>,</w:t>
      </w:r>
      <w:r w:rsidRPr="009054B6">
        <w:t xml:space="preserve"> I. </w:t>
      </w:r>
      <w:r>
        <w:t xml:space="preserve">(2011). </w:t>
      </w:r>
      <w:r w:rsidRPr="009054B6">
        <w:t xml:space="preserve">Young and sexual in Norway and Croatia: Revisiting the Scandinavian versus Mediterranean gendered pattern of sexual initiation. </w:t>
      </w:r>
      <w:r w:rsidRPr="00035B40">
        <w:rPr>
          <w:i/>
        </w:rPr>
        <w:t>International Journal of Sexual Health</w:t>
      </w:r>
      <w:r>
        <w:t xml:space="preserve">, </w:t>
      </w:r>
      <w:r w:rsidRPr="00035B40">
        <w:rPr>
          <w:i/>
        </w:rPr>
        <w:t>23,</w:t>
      </w:r>
      <w:r>
        <w:t xml:space="preserve"> </w:t>
      </w:r>
      <w:r w:rsidR="00377B1E">
        <w:t xml:space="preserve">196-209. </w:t>
      </w:r>
      <w:r w:rsidRPr="009054B6">
        <w:t>https://doi.org/10.1080/19317611.2011.574786</w:t>
      </w:r>
    </w:p>
    <w:p w14:paraId="27D35E1C" w14:textId="77777777" w:rsidR="001D3546" w:rsidRPr="009054B6" w:rsidRDefault="001D3546" w:rsidP="001D3546">
      <w:pPr>
        <w:spacing w:line="480" w:lineRule="auto"/>
        <w:ind w:left="360" w:hanging="360"/>
      </w:pPr>
      <w:proofErr w:type="spellStart"/>
      <w:r w:rsidRPr="009054B6">
        <w:t>Træen</w:t>
      </w:r>
      <w:proofErr w:type="spellEnd"/>
      <w:r>
        <w:t>,</w:t>
      </w:r>
      <w:r w:rsidRPr="009054B6">
        <w:t xml:space="preserve"> B</w:t>
      </w:r>
      <w:r>
        <w:t>.</w:t>
      </w:r>
      <w:r w:rsidRPr="009054B6">
        <w:t xml:space="preserve">, </w:t>
      </w:r>
      <w:proofErr w:type="spellStart"/>
      <w:r w:rsidRPr="009054B6">
        <w:t>Carvalheira</w:t>
      </w:r>
      <w:proofErr w:type="spellEnd"/>
      <w:r>
        <w:t>,</w:t>
      </w:r>
      <w:r w:rsidRPr="009054B6">
        <w:t xml:space="preserve"> A</w:t>
      </w:r>
      <w:r>
        <w:t xml:space="preserve">. </w:t>
      </w:r>
      <w:r w:rsidRPr="009054B6">
        <w:t>A</w:t>
      </w:r>
      <w:r>
        <w:t>.</w:t>
      </w:r>
      <w:r w:rsidRPr="009054B6">
        <w:t xml:space="preserve">, </w:t>
      </w:r>
      <w:proofErr w:type="spellStart"/>
      <w:r w:rsidRPr="009054B6">
        <w:t>Hald</w:t>
      </w:r>
      <w:proofErr w:type="spellEnd"/>
      <w:r>
        <w:t>,</w:t>
      </w:r>
      <w:r w:rsidRPr="009054B6">
        <w:t xml:space="preserve"> G</w:t>
      </w:r>
      <w:r>
        <w:t xml:space="preserve">. </w:t>
      </w:r>
      <w:r w:rsidRPr="009054B6">
        <w:t>M</w:t>
      </w:r>
      <w:r>
        <w:t>.</w:t>
      </w:r>
      <w:r w:rsidRPr="009054B6">
        <w:t xml:space="preserve">, </w:t>
      </w:r>
      <w:r w:rsidRPr="00ED7273">
        <w:t xml:space="preserve">Lange, T., &amp; </w:t>
      </w:r>
      <w:proofErr w:type="spellStart"/>
      <w:r w:rsidRPr="00ED7273">
        <w:t>Kvalem</w:t>
      </w:r>
      <w:proofErr w:type="spellEnd"/>
      <w:r w:rsidRPr="00ED7273">
        <w:t xml:space="preserve">, I. L. </w:t>
      </w:r>
      <w:r>
        <w:t>(2019).</w:t>
      </w:r>
      <w:r w:rsidRPr="009054B6">
        <w:t xml:space="preserve"> Attitudes towards sexuality in older men and women across Europe: Similarities, differences, and associations with their sex lives. </w:t>
      </w:r>
      <w:r w:rsidRPr="00ED7273">
        <w:rPr>
          <w:i/>
        </w:rPr>
        <w:t xml:space="preserve">Sexuality </w:t>
      </w:r>
      <w:r>
        <w:rPr>
          <w:i/>
        </w:rPr>
        <w:t>&amp;</w:t>
      </w:r>
      <w:r w:rsidRPr="00ED7273">
        <w:rPr>
          <w:i/>
        </w:rPr>
        <w:t xml:space="preserve"> Culture</w:t>
      </w:r>
      <w:r>
        <w:t xml:space="preserve">, </w:t>
      </w:r>
      <w:r w:rsidRPr="00035B40">
        <w:rPr>
          <w:i/>
        </w:rPr>
        <w:t>23</w:t>
      </w:r>
      <w:r>
        <w:t xml:space="preserve">, </w:t>
      </w:r>
      <w:r w:rsidRPr="009054B6">
        <w:t>1-25. https://doi.org/10.1007/s12119-018-9564-9</w:t>
      </w:r>
    </w:p>
    <w:p w14:paraId="72CE1071" w14:textId="77777777" w:rsidR="009054B6" w:rsidRPr="009054B6" w:rsidRDefault="009054B6" w:rsidP="001D3546">
      <w:pPr>
        <w:spacing w:line="480" w:lineRule="auto"/>
        <w:ind w:left="360" w:hanging="360"/>
        <w:rPr>
          <w:lang w:eastAsia="en-US"/>
        </w:rPr>
      </w:pPr>
      <w:proofErr w:type="spellStart"/>
      <w:r w:rsidRPr="00A311DD">
        <w:t>Træen</w:t>
      </w:r>
      <w:proofErr w:type="spellEnd"/>
      <w:r w:rsidR="00374744" w:rsidRPr="00A311DD">
        <w:t>,</w:t>
      </w:r>
      <w:r w:rsidRPr="00A311DD">
        <w:t xml:space="preserve"> B</w:t>
      </w:r>
      <w:r w:rsidR="00374744" w:rsidRPr="00A311DD">
        <w:t>.</w:t>
      </w:r>
      <w:r w:rsidRPr="00A311DD">
        <w:t xml:space="preserve">, </w:t>
      </w:r>
      <w:proofErr w:type="spellStart"/>
      <w:r w:rsidRPr="00A311DD">
        <w:t>Hald</w:t>
      </w:r>
      <w:proofErr w:type="spellEnd"/>
      <w:r w:rsidR="00374744" w:rsidRPr="00A311DD">
        <w:t>,</w:t>
      </w:r>
      <w:r w:rsidRPr="00A311DD">
        <w:t xml:space="preserve"> G</w:t>
      </w:r>
      <w:r w:rsidR="00374744" w:rsidRPr="00A311DD">
        <w:t xml:space="preserve">. </w:t>
      </w:r>
      <w:r w:rsidRPr="00A311DD">
        <w:t>M</w:t>
      </w:r>
      <w:r w:rsidR="00374744" w:rsidRPr="00A311DD">
        <w:t>.</w:t>
      </w:r>
      <w:r w:rsidRPr="00A311DD">
        <w:t>, Graham</w:t>
      </w:r>
      <w:r w:rsidR="00374744" w:rsidRPr="00A311DD">
        <w:t>,</w:t>
      </w:r>
      <w:r w:rsidRPr="00A311DD">
        <w:t xml:space="preserve"> C</w:t>
      </w:r>
      <w:r w:rsidR="00374744" w:rsidRPr="00A311DD">
        <w:t>. A.</w:t>
      </w:r>
      <w:r w:rsidRPr="00A311DD">
        <w:t xml:space="preserve">, </w:t>
      </w:r>
      <w:proofErr w:type="spellStart"/>
      <w:r w:rsidR="00374744" w:rsidRPr="00374744">
        <w:rPr>
          <w:lang w:eastAsia="en-US"/>
        </w:rPr>
        <w:t>Enzlin</w:t>
      </w:r>
      <w:proofErr w:type="spellEnd"/>
      <w:r w:rsidR="00374744" w:rsidRPr="00374744">
        <w:rPr>
          <w:lang w:eastAsia="en-US"/>
        </w:rPr>
        <w:t xml:space="preserve">, P., Janssen, E., </w:t>
      </w:r>
      <w:proofErr w:type="spellStart"/>
      <w:r w:rsidR="00374744" w:rsidRPr="00374744">
        <w:rPr>
          <w:lang w:eastAsia="en-US"/>
        </w:rPr>
        <w:t>Kvalem</w:t>
      </w:r>
      <w:proofErr w:type="spellEnd"/>
      <w:r w:rsidR="00374744" w:rsidRPr="00374744">
        <w:rPr>
          <w:lang w:eastAsia="en-US"/>
        </w:rPr>
        <w:t xml:space="preserve">, I. L., &amp; </w:t>
      </w:r>
      <w:proofErr w:type="spellStart"/>
      <w:r w:rsidR="00374744" w:rsidRPr="00374744">
        <w:rPr>
          <w:lang w:eastAsia="en-US"/>
        </w:rPr>
        <w:t>Štulhofer</w:t>
      </w:r>
      <w:proofErr w:type="spellEnd"/>
      <w:r w:rsidR="00374744" w:rsidRPr="00374744">
        <w:rPr>
          <w:lang w:eastAsia="en-US"/>
        </w:rPr>
        <w:t>, A.</w:t>
      </w:r>
      <w:r w:rsidR="00374744" w:rsidRPr="00A311DD">
        <w:rPr>
          <w:lang w:eastAsia="en-US"/>
        </w:rPr>
        <w:t xml:space="preserve"> </w:t>
      </w:r>
      <w:r w:rsidR="00374744" w:rsidRPr="00A311DD">
        <w:t>(2016).</w:t>
      </w:r>
      <w:r w:rsidR="00371EF5" w:rsidRPr="00A311DD">
        <w:t xml:space="preserve"> </w:t>
      </w:r>
      <w:r w:rsidRPr="00A311DD">
        <w:rPr>
          <w:lang w:val="en-US"/>
        </w:rPr>
        <w:t xml:space="preserve">An overview of the literature on sexuality in older adults (65+), </w:t>
      </w:r>
      <w:r w:rsidR="00374744" w:rsidRPr="00A311DD">
        <w:rPr>
          <w:lang w:val="en-US"/>
        </w:rPr>
        <w:t>P</w:t>
      </w:r>
      <w:r w:rsidRPr="00A311DD">
        <w:rPr>
          <w:lang w:val="en-US"/>
        </w:rPr>
        <w:t>art 1: Sexual function and its diff</w:t>
      </w:r>
      <w:r w:rsidR="00374744" w:rsidRPr="00A311DD">
        <w:rPr>
          <w:lang w:val="en-US"/>
        </w:rPr>
        <w:t xml:space="preserve">iculties. </w:t>
      </w:r>
      <w:r w:rsidR="00374744" w:rsidRPr="00A311DD">
        <w:rPr>
          <w:i/>
          <w:lang w:val="en-US"/>
        </w:rPr>
        <w:t>International Journal of Sexual Health</w:t>
      </w:r>
      <w:r w:rsidR="00374744" w:rsidRPr="00A311DD">
        <w:rPr>
          <w:lang w:val="en-US"/>
        </w:rPr>
        <w:t xml:space="preserve">, </w:t>
      </w:r>
      <w:r w:rsidR="00374744" w:rsidRPr="00A311DD">
        <w:rPr>
          <w:i/>
          <w:lang w:val="en-US"/>
        </w:rPr>
        <w:t>29,</w:t>
      </w:r>
      <w:r w:rsidR="00374744" w:rsidRPr="00A311DD">
        <w:rPr>
          <w:lang w:val="en-US"/>
        </w:rPr>
        <w:t xml:space="preserve"> </w:t>
      </w:r>
      <w:r w:rsidRPr="00A311DD">
        <w:rPr>
          <w:lang w:val="en-US"/>
        </w:rPr>
        <w:t>1-10. https://doi.org/10.1080/19317611.2016.1224286</w:t>
      </w:r>
    </w:p>
    <w:p w14:paraId="6659A8B3" w14:textId="77777777" w:rsidR="002412FB" w:rsidRPr="009054B6" w:rsidRDefault="002412FB" w:rsidP="002412FB">
      <w:pPr>
        <w:spacing w:line="480" w:lineRule="auto"/>
        <w:ind w:left="360" w:hanging="360"/>
      </w:pPr>
      <w:r w:rsidRPr="006F38DE">
        <w:t>Wang,</w:t>
      </w:r>
      <w:r w:rsidRPr="009054B6">
        <w:t xml:space="preserve"> V</w:t>
      </w:r>
      <w:r>
        <w:t>.</w:t>
      </w:r>
      <w:r w:rsidRPr="009054B6">
        <w:t>, Depp</w:t>
      </w:r>
      <w:r>
        <w:t>,</w:t>
      </w:r>
      <w:r w:rsidRPr="009054B6">
        <w:t xml:space="preserve"> C</w:t>
      </w:r>
      <w:r>
        <w:t xml:space="preserve">. </w:t>
      </w:r>
      <w:r w:rsidRPr="009054B6">
        <w:t>A</w:t>
      </w:r>
      <w:r>
        <w:t xml:space="preserve">., </w:t>
      </w:r>
      <w:proofErr w:type="spellStart"/>
      <w:r>
        <w:t>Ceglowski</w:t>
      </w:r>
      <w:proofErr w:type="spellEnd"/>
      <w:r>
        <w:t xml:space="preserve">, </w:t>
      </w:r>
      <w:r w:rsidRPr="009054B6">
        <w:t>J</w:t>
      </w:r>
      <w:r>
        <w:t>.</w:t>
      </w:r>
      <w:r w:rsidRPr="009054B6">
        <w:t xml:space="preserve">, </w:t>
      </w:r>
      <w:r w:rsidRPr="00035B40">
        <w:t>Thompson, W</w:t>
      </w:r>
      <w:r>
        <w:t xml:space="preserve">. K., Rock, D., &amp; </w:t>
      </w:r>
      <w:proofErr w:type="spellStart"/>
      <w:r>
        <w:t>Jeste</w:t>
      </w:r>
      <w:proofErr w:type="spellEnd"/>
      <w:r>
        <w:t>, D. V. (2015).</w:t>
      </w:r>
      <w:r w:rsidRPr="009054B6">
        <w:t xml:space="preserve"> Sexual health and function in later life: a population-based study of 606 older adults with a partne</w:t>
      </w:r>
      <w:r>
        <w:t xml:space="preserve">r. </w:t>
      </w:r>
      <w:r w:rsidRPr="00035B40">
        <w:rPr>
          <w:i/>
        </w:rPr>
        <w:t>The American Journal of Geriatric Psychiatry</w:t>
      </w:r>
      <w:r>
        <w:t xml:space="preserve">, </w:t>
      </w:r>
      <w:r w:rsidRPr="00035B40">
        <w:rPr>
          <w:i/>
        </w:rPr>
        <w:t>23</w:t>
      </w:r>
      <w:r w:rsidRPr="00035B40">
        <w:t>,</w:t>
      </w:r>
      <w:r>
        <w:t xml:space="preserve"> </w:t>
      </w:r>
      <w:r w:rsidRPr="009054B6">
        <w:t>227-</w:t>
      </w:r>
      <w:r>
        <w:t>2</w:t>
      </w:r>
      <w:r w:rsidRPr="009054B6">
        <w:t>33. http://dx.doi.org/10.1016/j.jagp.2014.03.006</w:t>
      </w:r>
    </w:p>
    <w:p w14:paraId="18A9B95D" w14:textId="77777777" w:rsidR="009054B6" w:rsidRPr="009054B6" w:rsidRDefault="009054B6" w:rsidP="00D229EA">
      <w:pPr>
        <w:spacing w:line="480" w:lineRule="auto"/>
        <w:ind w:left="360" w:hanging="360"/>
      </w:pPr>
      <w:r w:rsidRPr="009054B6">
        <w:lastRenderedPageBreak/>
        <w:t>Ware</w:t>
      </w:r>
      <w:r w:rsidR="00172296">
        <w:t>,</w:t>
      </w:r>
      <w:r w:rsidRPr="009054B6">
        <w:t xml:space="preserve"> J</w:t>
      </w:r>
      <w:r w:rsidR="00172296">
        <w:t>.</w:t>
      </w:r>
      <w:r w:rsidRPr="009054B6">
        <w:t xml:space="preserve">, </w:t>
      </w:r>
      <w:proofErr w:type="spellStart"/>
      <w:r w:rsidRPr="009054B6">
        <w:t>Kosinski</w:t>
      </w:r>
      <w:proofErr w:type="spellEnd"/>
      <w:r w:rsidR="00172296">
        <w:t>,</w:t>
      </w:r>
      <w:r w:rsidRPr="009054B6">
        <w:t xml:space="preserve"> M</w:t>
      </w:r>
      <w:r w:rsidR="00172296">
        <w:t xml:space="preserve">. </w:t>
      </w:r>
      <w:r w:rsidRPr="009054B6">
        <w:t>A</w:t>
      </w:r>
      <w:r w:rsidR="00172296">
        <w:t>.</w:t>
      </w:r>
      <w:r w:rsidRPr="009054B6">
        <w:t xml:space="preserve">, </w:t>
      </w:r>
      <w:r w:rsidR="00172296">
        <w:t xml:space="preserve">&amp; </w:t>
      </w:r>
      <w:r w:rsidRPr="009054B6">
        <w:t>Keller</w:t>
      </w:r>
      <w:r w:rsidR="00172296">
        <w:t>,</w:t>
      </w:r>
      <w:r w:rsidRPr="009054B6">
        <w:t xml:space="preserve"> S</w:t>
      </w:r>
      <w:r w:rsidR="00172296">
        <w:t xml:space="preserve">. </w:t>
      </w:r>
      <w:r w:rsidRPr="009054B6">
        <w:t xml:space="preserve">D. </w:t>
      </w:r>
      <w:r w:rsidRPr="00172296">
        <w:rPr>
          <w:i/>
        </w:rPr>
        <w:t>SF-12: How to score the SF-12 Physical and Mental Summary Scales.</w:t>
      </w:r>
      <w:r w:rsidRPr="009054B6">
        <w:t xml:space="preserve"> The Health Institute, New Eng</w:t>
      </w:r>
      <w:r w:rsidR="00FB3013">
        <w:t xml:space="preserve">land Medical </w:t>
      </w:r>
      <w:proofErr w:type="spellStart"/>
      <w:r w:rsidR="00FB3013">
        <w:t>Center</w:t>
      </w:r>
      <w:proofErr w:type="spellEnd"/>
      <w:r w:rsidR="00FB3013">
        <w:t>: Boston, MA, 2</w:t>
      </w:r>
      <w:r w:rsidR="00FB3013" w:rsidRPr="00FB3013">
        <w:t xml:space="preserve">nd. </w:t>
      </w:r>
      <w:r w:rsidR="00FB3013">
        <w:t>ed., 1995.</w:t>
      </w:r>
    </w:p>
    <w:p w14:paraId="4238F290" w14:textId="77777777" w:rsidR="0054005F" w:rsidRPr="0054005F" w:rsidRDefault="0054005F" w:rsidP="0054005F">
      <w:pPr>
        <w:spacing w:line="480" w:lineRule="auto"/>
        <w:ind w:left="360" w:hanging="360"/>
      </w:pPr>
      <w:proofErr w:type="spellStart"/>
      <w:r w:rsidRPr="0054005F">
        <w:t>Woloski-Wruble</w:t>
      </w:r>
      <w:proofErr w:type="spellEnd"/>
      <w:r w:rsidRPr="0054005F">
        <w:t xml:space="preserve">, A. C., </w:t>
      </w:r>
      <w:proofErr w:type="spellStart"/>
      <w:r w:rsidRPr="0054005F">
        <w:t>Oliel</w:t>
      </w:r>
      <w:proofErr w:type="spellEnd"/>
      <w:r w:rsidRPr="0054005F">
        <w:t xml:space="preserve">, Y., </w:t>
      </w:r>
      <w:proofErr w:type="spellStart"/>
      <w:r w:rsidRPr="0054005F">
        <w:t>Leefsma</w:t>
      </w:r>
      <w:proofErr w:type="spellEnd"/>
      <w:r w:rsidRPr="0054005F">
        <w:t xml:space="preserve">, M., &amp; </w:t>
      </w:r>
      <w:proofErr w:type="spellStart"/>
      <w:r w:rsidRPr="0054005F">
        <w:t>Hochner-Celnikier</w:t>
      </w:r>
      <w:proofErr w:type="spellEnd"/>
      <w:r w:rsidRPr="0054005F">
        <w:t>, D. (2010). Sexual activities, sexual and life satisfaction, and successful aging in women. </w:t>
      </w:r>
      <w:r w:rsidRPr="0054005F">
        <w:rPr>
          <w:i/>
          <w:iCs/>
        </w:rPr>
        <w:t>The Journal of Sexual Medicine</w:t>
      </w:r>
      <w:r w:rsidRPr="0054005F">
        <w:t>, </w:t>
      </w:r>
      <w:r w:rsidRPr="0054005F">
        <w:rPr>
          <w:i/>
          <w:iCs/>
        </w:rPr>
        <w:t>7</w:t>
      </w:r>
      <w:r w:rsidRPr="0054005F">
        <w:t>(7), 2401-2410.</w:t>
      </w:r>
    </w:p>
    <w:p w14:paraId="1DBE469F" w14:textId="77777777" w:rsidR="0054005F" w:rsidRDefault="0054005F" w:rsidP="00172296">
      <w:pPr>
        <w:spacing w:line="480" w:lineRule="auto"/>
        <w:ind w:left="360" w:hanging="360"/>
        <w:sectPr w:rsidR="0054005F" w:rsidSect="00D7732F">
          <w:pgSz w:w="12240" w:h="15840"/>
          <w:pgMar w:top="1417" w:right="1417" w:bottom="1417" w:left="1417" w:header="708" w:footer="708" w:gutter="0"/>
          <w:cols w:space="708"/>
          <w:docGrid w:linePitch="360"/>
        </w:sectPr>
      </w:pPr>
    </w:p>
    <w:p w14:paraId="27A8001B" w14:textId="77777777" w:rsidR="001D3546" w:rsidRPr="009054B6" w:rsidRDefault="001D3546" w:rsidP="00172296">
      <w:pPr>
        <w:spacing w:line="480" w:lineRule="auto"/>
        <w:ind w:left="360" w:hanging="360"/>
      </w:pPr>
    </w:p>
    <w:p w14:paraId="18271CEB" w14:textId="3341E7FC" w:rsidR="00270E02" w:rsidRPr="00F120E2" w:rsidRDefault="00270E02" w:rsidP="00D229EA">
      <w:pPr>
        <w:spacing w:line="480" w:lineRule="auto"/>
        <w:rPr>
          <w:lang w:val="en-US"/>
        </w:rPr>
      </w:pPr>
      <w:r w:rsidRPr="00F120E2">
        <w:rPr>
          <w:lang w:val="en-US"/>
        </w:rPr>
        <w:t xml:space="preserve">Table 1. </w:t>
      </w:r>
      <w:r w:rsidRPr="00F120E2">
        <w:rPr>
          <w:i/>
          <w:lang w:val="en-US"/>
        </w:rPr>
        <w:t>Sociodemographic Characteristics of the Sample by Country.</w:t>
      </w:r>
    </w:p>
    <w:tbl>
      <w:tblPr>
        <w:tblW w:w="12934" w:type="dxa"/>
        <w:tblInd w:w="-34" w:type="dxa"/>
        <w:tblBorders>
          <w:top w:val="single" w:sz="4" w:space="0" w:color="auto"/>
          <w:bottom w:val="single" w:sz="4" w:space="0" w:color="auto"/>
        </w:tblBorders>
        <w:tblLayout w:type="fixed"/>
        <w:tblLook w:val="04A0" w:firstRow="1" w:lastRow="0" w:firstColumn="1" w:lastColumn="0" w:noHBand="0" w:noVBand="1"/>
      </w:tblPr>
      <w:tblGrid>
        <w:gridCol w:w="2552"/>
        <w:gridCol w:w="2302"/>
        <w:gridCol w:w="1701"/>
        <w:gridCol w:w="2410"/>
        <w:gridCol w:w="1701"/>
        <w:gridCol w:w="2268"/>
      </w:tblGrid>
      <w:tr w:rsidR="00270E02" w:rsidRPr="00F120E2" w14:paraId="22F3BAC1" w14:textId="77777777" w:rsidTr="00374744">
        <w:tc>
          <w:tcPr>
            <w:tcW w:w="2552" w:type="dxa"/>
            <w:tcBorders>
              <w:top w:val="single" w:sz="4" w:space="0" w:color="auto"/>
              <w:bottom w:val="single" w:sz="4" w:space="0" w:color="auto"/>
            </w:tcBorders>
            <w:shd w:val="clear" w:color="auto" w:fill="auto"/>
          </w:tcPr>
          <w:p w14:paraId="2F8D1B58" w14:textId="77777777" w:rsidR="00270E02" w:rsidRPr="00E81CA1" w:rsidRDefault="00270E02" w:rsidP="00D229EA">
            <w:pPr>
              <w:spacing w:line="480" w:lineRule="auto"/>
              <w:rPr>
                <w:sz w:val="22"/>
                <w:szCs w:val="22"/>
                <w:lang w:val="en-US"/>
              </w:rPr>
            </w:pPr>
          </w:p>
        </w:tc>
        <w:tc>
          <w:tcPr>
            <w:tcW w:w="2302" w:type="dxa"/>
            <w:tcBorders>
              <w:top w:val="single" w:sz="4" w:space="0" w:color="auto"/>
              <w:bottom w:val="single" w:sz="4" w:space="0" w:color="auto"/>
            </w:tcBorders>
            <w:shd w:val="clear" w:color="auto" w:fill="auto"/>
          </w:tcPr>
          <w:p w14:paraId="535ECCBE" w14:textId="77777777" w:rsidR="00270E02" w:rsidRPr="00E81CA1" w:rsidRDefault="00270E02" w:rsidP="00D229EA">
            <w:pPr>
              <w:spacing w:line="480" w:lineRule="auto"/>
              <w:jc w:val="center"/>
              <w:rPr>
                <w:sz w:val="22"/>
                <w:szCs w:val="22"/>
                <w:lang w:val="en-US"/>
              </w:rPr>
            </w:pPr>
            <w:r w:rsidRPr="00E81CA1">
              <w:rPr>
                <w:sz w:val="22"/>
                <w:szCs w:val="22"/>
                <w:lang w:val="en-US"/>
              </w:rPr>
              <w:t>Norway</w:t>
            </w:r>
          </w:p>
          <w:p w14:paraId="76E183B1" w14:textId="77777777" w:rsidR="00270E02" w:rsidRPr="00E81CA1" w:rsidRDefault="00270E02" w:rsidP="00D229EA">
            <w:pPr>
              <w:spacing w:line="480" w:lineRule="auto"/>
              <w:jc w:val="center"/>
              <w:rPr>
                <w:sz w:val="22"/>
                <w:szCs w:val="22"/>
                <w:lang w:val="en-US"/>
              </w:rPr>
            </w:pPr>
            <w:r w:rsidRPr="00E81CA1">
              <w:rPr>
                <w:i/>
                <w:sz w:val="22"/>
                <w:szCs w:val="22"/>
                <w:lang w:val="en-US"/>
              </w:rPr>
              <w:t>n</w:t>
            </w:r>
            <w:r w:rsidRPr="00E81CA1">
              <w:rPr>
                <w:sz w:val="22"/>
                <w:szCs w:val="22"/>
                <w:lang w:val="en-US"/>
              </w:rPr>
              <w:t xml:space="preserve"> (%)</w:t>
            </w:r>
          </w:p>
        </w:tc>
        <w:tc>
          <w:tcPr>
            <w:tcW w:w="1701" w:type="dxa"/>
            <w:tcBorders>
              <w:top w:val="single" w:sz="4" w:space="0" w:color="auto"/>
              <w:bottom w:val="single" w:sz="4" w:space="0" w:color="auto"/>
            </w:tcBorders>
            <w:shd w:val="clear" w:color="auto" w:fill="auto"/>
          </w:tcPr>
          <w:p w14:paraId="44860201" w14:textId="77777777" w:rsidR="00270E02" w:rsidRPr="00E81CA1" w:rsidRDefault="00270E02" w:rsidP="00D229EA">
            <w:pPr>
              <w:spacing w:line="480" w:lineRule="auto"/>
              <w:jc w:val="center"/>
              <w:rPr>
                <w:sz w:val="22"/>
                <w:szCs w:val="22"/>
                <w:lang w:val="en-US"/>
              </w:rPr>
            </w:pPr>
            <w:r w:rsidRPr="00E81CA1">
              <w:rPr>
                <w:sz w:val="22"/>
                <w:szCs w:val="22"/>
                <w:lang w:val="en-US"/>
              </w:rPr>
              <w:t>Denmark</w:t>
            </w:r>
          </w:p>
          <w:p w14:paraId="6407BEFF" w14:textId="77777777" w:rsidR="00270E02" w:rsidRPr="00E81CA1" w:rsidRDefault="00270E02" w:rsidP="00D229EA">
            <w:pPr>
              <w:spacing w:line="480" w:lineRule="auto"/>
              <w:jc w:val="center"/>
              <w:rPr>
                <w:sz w:val="22"/>
                <w:szCs w:val="22"/>
                <w:lang w:val="en-US"/>
              </w:rPr>
            </w:pPr>
            <w:r w:rsidRPr="00E81CA1">
              <w:rPr>
                <w:i/>
                <w:sz w:val="22"/>
                <w:szCs w:val="22"/>
                <w:lang w:val="en-US"/>
              </w:rPr>
              <w:t>n</w:t>
            </w:r>
            <w:r w:rsidRPr="00E81CA1">
              <w:rPr>
                <w:sz w:val="22"/>
                <w:szCs w:val="22"/>
                <w:lang w:val="en-US"/>
              </w:rPr>
              <w:t xml:space="preserve"> (%)</w:t>
            </w:r>
          </w:p>
        </w:tc>
        <w:tc>
          <w:tcPr>
            <w:tcW w:w="2410" w:type="dxa"/>
            <w:tcBorders>
              <w:top w:val="single" w:sz="4" w:space="0" w:color="auto"/>
              <w:bottom w:val="single" w:sz="4" w:space="0" w:color="auto"/>
            </w:tcBorders>
            <w:shd w:val="clear" w:color="auto" w:fill="auto"/>
          </w:tcPr>
          <w:p w14:paraId="1837264A" w14:textId="77777777" w:rsidR="00270E02" w:rsidRPr="00E81CA1" w:rsidRDefault="00270E02" w:rsidP="00D229EA">
            <w:pPr>
              <w:spacing w:line="480" w:lineRule="auto"/>
              <w:jc w:val="center"/>
              <w:rPr>
                <w:sz w:val="22"/>
                <w:szCs w:val="22"/>
                <w:lang w:val="en-US"/>
              </w:rPr>
            </w:pPr>
            <w:r w:rsidRPr="00E81CA1">
              <w:rPr>
                <w:sz w:val="22"/>
                <w:szCs w:val="22"/>
                <w:lang w:val="en-US"/>
              </w:rPr>
              <w:t>Belgium</w:t>
            </w:r>
          </w:p>
          <w:p w14:paraId="16C49CB5" w14:textId="77777777" w:rsidR="00270E02" w:rsidRPr="00E81CA1" w:rsidRDefault="00270E02" w:rsidP="00D229EA">
            <w:pPr>
              <w:spacing w:line="480" w:lineRule="auto"/>
              <w:jc w:val="center"/>
              <w:rPr>
                <w:sz w:val="22"/>
                <w:szCs w:val="22"/>
                <w:lang w:val="en-US"/>
              </w:rPr>
            </w:pPr>
            <w:r w:rsidRPr="00E81CA1">
              <w:rPr>
                <w:i/>
                <w:sz w:val="22"/>
                <w:szCs w:val="22"/>
                <w:lang w:val="en-US"/>
              </w:rPr>
              <w:t>n</w:t>
            </w:r>
            <w:r w:rsidRPr="00E81CA1">
              <w:rPr>
                <w:sz w:val="22"/>
                <w:szCs w:val="22"/>
                <w:lang w:val="en-US"/>
              </w:rPr>
              <w:t xml:space="preserve"> (%)</w:t>
            </w:r>
          </w:p>
        </w:tc>
        <w:tc>
          <w:tcPr>
            <w:tcW w:w="1701" w:type="dxa"/>
            <w:tcBorders>
              <w:top w:val="single" w:sz="4" w:space="0" w:color="auto"/>
              <w:bottom w:val="single" w:sz="4" w:space="0" w:color="auto"/>
            </w:tcBorders>
            <w:shd w:val="clear" w:color="auto" w:fill="auto"/>
          </w:tcPr>
          <w:p w14:paraId="0FBC8B99" w14:textId="77777777" w:rsidR="00270E02" w:rsidRPr="00E81CA1" w:rsidRDefault="00270E02" w:rsidP="00D229EA">
            <w:pPr>
              <w:spacing w:line="480" w:lineRule="auto"/>
              <w:jc w:val="center"/>
              <w:rPr>
                <w:sz w:val="22"/>
                <w:szCs w:val="22"/>
                <w:lang w:val="en-US"/>
              </w:rPr>
            </w:pPr>
            <w:r w:rsidRPr="00E81CA1">
              <w:rPr>
                <w:sz w:val="22"/>
                <w:szCs w:val="22"/>
                <w:lang w:val="en-US"/>
              </w:rPr>
              <w:t>Portugal</w:t>
            </w:r>
          </w:p>
          <w:p w14:paraId="4F4416C4" w14:textId="77777777" w:rsidR="00270E02" w:rsidRPr="00E81CA1" w:rsidRDefault="00270E02" w:rsidP="00D229EA">
            <w:pPr>
              <w:spacing w:line="480" w:lineRule="auto"/>
              <w:jc w:val="center"/>
              <w:rPr>
                <w:sz w:val="22"/>
                <w:szCs w:val="22"/>
                <w:lang w:val="en-US"/>
              </w:rPr>
            </w:pPr>
            <w:r w:rsidRPr="00E81CA1">
              <w:rPr>
                <w:i/>
                <w:sz w:val="22"/>
                <w:szCs w:val="22"/>
                <w:lang w:val="en-US"/>
              </w:rPr>
              <w:t>n</w:t>
            </w:r>
            <w:r w:rsidRPr="00E81CA1">
              <w:rPr>
                <w:sz w:val="22"/>
                <w:szCs w:val="22"/>
                <w:lang w:val="en-US"/>
              </w:rPr>
              <w:t xml:space="preserve"> (%)</w:t>
            </w:r>
          </w:p>
        </w:tc>
        <w:tc>
          <w:tcPr>
            <w:tcW w:w="2268" w:type="dxa"/>
            <w:tcBorders>
              <w:top w:val="single" w:sz="4" w:space="0" w:color="auto"/>
              <w:bottom w:val="single" w:sz="4" w:space="0" w:color="auto"/>
            </w:tcBorders>
            <w:shd w:val="clear" w:color="auto" w:fill="auto"/>
          </w:tcPr>
          <w:p w14:paraId="022A4129" w14:textId="77777777" w:rsidR="00270E02" w:rsidRPr="00E81CA1" w:rsidRDefault="00270E02" w:rsidP="00D229EA">
            <w:pPr>
              <w:spacing w:line="480" w:lineRule="auto"/>
              <w:jc w:val="center"/>
              <w:rPr>
                <w:sz w:val="22"/>
                <w:szCs w:val="22"/>
                <w:lang w:val="en-US"/>
              </w:rPr>
            </w:pPr>
            <w:r w:rsidRPr="00E81CA1">
              <w:rPr>
                <w:sz w:val="22"/>
                <w:szCs w:val="22"/>
                <w:lang w:val="en-US"/>
              </w:rPr>
              <w:t>Total</w:t>
            </w:r>
          </w:p>
          <w:p w14:paraId="2A128136" w14:textId="77777777" w:rsidR="00270E02" w:rsidRPr="00E81CA1" w:rsidRDefault="00270E02" w:rsidP="00D229EA">
            <w:pPr>
              <w:spacing w:line="480" w:lineRule="auto"/>
              <w:jc w:val="center"/>
              <w:rPr>
                <w:sz w:val="22"/>
                <w:szCs w:val="22"/>
                <w:lang w:val="en-US"/>
              </w:rPr>
            </w:pPr>
            <w:r w:rsidRPr="00E81CA1">
              <w:rPr>
                <w:i/>
                <w:sz w:val="22"/>
                <w:szCs w:val="22"/>
                <w:lang w:val="en-US"/>
              </w:rPr>
              <w:t>n</w:t>
            </w:r>
            <w:r w:rsidRPr="00E81CA1">
              <w:rPr>
                <w:sz w:val="22"/>
                <w:szCs w:val="22"/>
                <w:lang w:val="en-US"/>
              </w:rPr>
              <w:t xml:space="preserve"> (%)</w:t>
            </w:r>
          </w:p>
        </w:tc>
      </w:tr>
      <w:tr w:rsidR="00270E02" w:rsidRPr="00F120E2" w14:paraId="6F8ED803" w14:textId="77777777" w:rsidTr="00374744">
        <w:trPr>
          <w:trHeight w:val="147"/>
        </w:trPr>
        <w:tc>
          <w:tcPr>
            <w:tcW w:w="2552" w:type="dxa"/>
            <w:tcBorders>
              <w:top w:val="single" w:sz="4" w:space="0" w:color="auto"/>
              <w:bottom w:val="nil"/>
            </w:tcBorders>
            <w:shd w:val="clear" w:color="auto" w:fill="auto"/>
          </w:tcPr>
          <w:p w14:paraId="7B504930" w14:textId="77777777" w:rsidR="00270E02" w:rsidRPr="00E81CA1" w:rsidRDefault="00270E02" w:rsidP="00D229EA">
            <w:pPr>
              <w:spacing w:line="480" w:lineRule="auto"/>
              <w:rPr>
                <w:sz w:val="22"/>
                <w:szCs w:val="22"/>
                <w:lang w:val="en-US"/>
              </w:rPr>
            </w:pPr>
            <w:r w:rsidRPr="00E81CA1">
              <w:rPr>
                <w:sz w:val="22"/>
                <w:szCs w:val="22"/>
                <w:lang w:val="en-US"/>
              </w:rPr>
              <w:t>Age</w:t>
            </w:r>
          </w:p>
        </w:tc>
        <w:tc>
          <w:tcPr>
            <w:tcW w:w="2302" w:type="dxa"/>
            <w:tcBorders>
              <w:top w:val="single" w:sz="4" w:space="0" w:color="auto"/>
              <w:bottom w:val="nil"/>
            </w:tcBorders>
            <w:shd w:val="clear" w:color="auto" w:fill="auto"/>
            <w:vAlign w:val="center"/>
          </w:tcPr>
          <w:p w14:paraId="5214B6CA" w14:textId="77777777" w:rsidR="00270E02" w:rsidRPr="00E81CA1" w:rsidRDefault="00270E02" w:rsidP="00D229EA">
            <w:pPr>
              <w:spacing w:line="480" w:lineRule="auto"/>
              <w:jc w:val="center"/>
              <w:rPr>
                <w:sz w:val="22"/>
                <w:szCs w:val="22"/>
                <w:lang w:val="en-US"/>
              </w:rPr>
            </w:pPr>
          </w:p>
        </w:tc>
        <w:tc>
          <w:tcPr>
            <w:tcW w:w="1701" w:type="dxa"/>
            <w:tcBorders>
              <w:top w:val="single" w:sz="4" w:space="0" w:color="auto"/>
              <w:bottom w:val="nil"/>
            </w:tcBorders>
            <w:shd w:val="clear" w:color="auto" w:fill="auto"/>
          </w:tcPr>
          <w:p w14:paraId="7FB54310" w14:textId="77777777" w:rsidR="00270E02" w:rsidRPr="00E81CA1" w:rsidRDefault="00270E02" w:rsidP="00D229EA">
            <w:pPr>
              <w:spacing w:line="480" w:lineRule="auto"/>
              <w:rPr>
                <w:sz w:val="22"/>
                <w:szCs w:val="22"/>
                <w:lang w:val="en-US"/>
              </w:rPr>
            </w:pPr>
          </w:p>
        </w:tc>
        <w:tc>
          <w:tcPr>
            <w:tcW w:w="2410" w:type="dxa"/>
            <w:tcBorders>
              <w:top w:val="single" w:sz="4" w:space="0" w:color="auto"/>
              <w:bottom w:val="nil"/>
            </w:tcBorders>
            <w:shd w:val="clear" w:color="auto" w:fill="auto"/>
          </w:tcPr>
          <w:p w14:paraId="67DABB4A" w14:textId="77777777" w:rsidR="00270E02" w:rsidRPr="00E81CA1" w:rsidRDefault="00270E02" w:rsidP="00D229EA">
            <w:pPr>
              <w:spacing w:line="480" w:lineRule="auto"/>
              <w:rPr>
                <w:sz w:val="22"/>
                <w:szCs w:val="22"/>
                <w:lang w:val="en-US"/>
              </w:rPr>
            </w:pPr>
          </w:p>
        </w:tc>
        <w:tc>
          <w:tcPr>
            <w:tcW w:w="1701" w:type="dxa"/>
            <w:tcBorders>
              <w:top w:val="single" w:sz="4" w:space="0" w:color="auto"/>
              <w:bottom w:val="nil"/>
            </w:tcBorders>
            <w:shd w:val="clear" w:color="auto" w:fill="auto"/>
          </w:tcPr>
          <w:p w14:paraId="4D4FF719" w14:textId="77777777" w:rsidR="00270E02" w:rsidRPr="00E81CA1" w:rsidRDefault="00270E02" w:rsidP="00D229EA">
            <w:pPr>
              <w:spacing w:line="480" w:lineRule="auto"/>
              <w:rPr>
                <w:sz w:val="22"/>
                <w:szCs w:val="22"/>
                <w:lang w:val="en-US"/>
              </w:rPr>
            </w:pPr>
          </w:p>
        </w:tc>
        <w:tc>
          <w:tcPr>
            <w:tcW w:w="2268" w:type="dxa"/>
            <w:tcBorders>
              <w:top w:val="single" w:sz="4" w:space="0" w:color="auto"/>
              <w:bottom w:val="nil"/>
            </w:tcBorders>
            <w:shd w:val="clear" w:color="auto" w:fill="auto"/>
          </w:tcPr>
          <w:p w14:paraId="0FC76588" w14:textId="77777777" w:rsidR="00270E02" w:rsidRPr="00E81CA1" w:rsidRDefault="00270E02" w:rsidP="00D229EA">
            <w:pPr>
              <w:spacing w:line="480" w:lineRule="auto"/>
              <w:rPr>
                <w:sz w:val="22"/>
                <w:szCs w:val="22"/>
                <w:lang w:val="en-US"/>
              </w:rPr>
            </w:pPr>
          </w:p>
        </w:tc>
      </w:tr>
      <w:tr w:rsidR="00270E02" w:rsidRPr="00F120E2" w14:paraId="27889E56" w14:textId="77777777" w:rsidTr="00374744">
        <w:trPr>
          <w:trHeight w:val="563"/>
        </w:trPr>
        <w:tc>
          <w:tcPr>
            <w:tcW w:w="2552" w:type="dxa"/>
            <w:tcBorders>
              <w:top w:val="nil"/>
              <w:bottom w:val="nil"/>
            </w:tcBorders>
            <w:shd w:val="clear" w:color="auto" w:fill="auto"/>
          </w:tcPr>
          <w:p w14:paraId="5601E17A" w14:textId="77777777" w:rsidR="00270E02" w:rsidRPr="00E81CA1" w:rsidRDefault="00270E02" w:rsidP="00D229EA">
            <w:pPr>
              <w:spacing w:line="480" w:lineRule="auto"/>
              <w:jc w:val="right"/>
              <w:rPr>
                <w:sz w:val="22"/>
                <w:szCs w:val="22"/>
                <w:lang w:val="en-US"/>
              </w:rPr>
            </w:pPr>
            <w:r w:rsidRPr="00E81CA1">
              <w:rPr>
                <w:sz w:val="22"/>
                <w:szCs w:val="22"/>
                <w:lang w:val="en-US"/>
              </w:rPr>
              <w:t>60-65</w:t>
            </w:r>
          </w:p>
        </w:tc>
        <w:tc>
          <w:tcPr>
            <w:tcW w:w="2302" w:type="dxa"/>
            <w:tcBorders>
              <w:top w:val="nil"/>
              <w:bottom w:val="nil"/>
            </w:tcBorders>
            <w:shd w:val="clear" w:color="auto" w:fill="auto"/>
          </w:tcPr>
          <w:p w14:paraId="2133DEDD"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134 (37.5)</w:t>
            </w:r>
          </w:p>
        </w:tc>
        <w:tc>
          <w:tcPr>
            <w:tcW w:w="1701" w:type="dxa"/>
            <w:tcBorders>
              <w:top w:val="nil"/>
              <w:bottom w:val="nil"/>
            </w:tcBorders>
            <w:shd w:val="clear" w:color="auto" w:fill="auto"/>
          </w:tcPr>
          <w:p w14:paraId="5DF97A15"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103 (32.0)</w:t>
            </w:r>
          </w:p>
        </w:tc>
        <w:tc>
          <w:tcPr>
            <w:tcW w:w="2410" w:type="dxa"/>
            <w:tcBorders>
              <w:top w:val="nil"/>
              <w:bottom w:val="nil"/>
            </w:tcBorders>
            <w:shd w:val="clear" w:color="auto" w:fill="auto"/>
          </w:tcPr>
          <w:p w14:paraId="46CD6181"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106 (44.7)</w:t>
            </w:r>
          </w:p>
        </w:tc>
        <w:tc>
          <w:tcPr>
            <w:tcW w:w="1701" w:type="dxa"/>
            <w:tcBorders>
              <w:top w:val="nil"/>
              <w:bottom w:val="nil"/>
            </w:tcBorders>
            <w:shd w:val="clear" w:color="auto" w:fill="auto"/>
          </w:tcPr>
          <w:p w14:paraId="50225E97"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79 (56.0)</w:t>
            </w:r>
          </w:p>
        </w:tc>
        <w:tc>
          <w:tcPr>
            <w:tcW w:w="2268" w:type="dxa"/>
            <w:tcBorders>
              <w:top w:val="nil"/>
              <w:bottom w:val="nil"/>
            </w:tcBorders>
            <w:shd w:val="clear" w:color="auto" w:fill="auto"/>
          </w:tcPr>
          <w:p w14:paraId="5193A0B2" w14:textId="77777777" w:rsidR="00270E02" w:rsidRPr="00BF5F3A" w:rsidRDefault="00270E02" w:rsidP="00D229EA">
            <w:pPr>
              <w:spacing w:line="480" w:lineRule="auto"/>
              <w:jc w:val="center"/>
              <w:rPr>
                <w:sz w:val="22"/>
                <w:szCs w:val="22"/>
                <w:lang w:val="en-US"/>
              </w:rPr>
            </w:pPr>
            <w:r w:rsidRPr="00BF5F3A">
              <w:rPr>
                <w:sz w:val="22"/>
                <w:szCs w:val="22"/>
                <w:lang w:val="en-US"/>
              </w:rPr>
              <w:t>422 (39.9)</w:t>
            </w:r>
          </w:p>
        </w:tc>
      </w:tr>
      <w:tr w:rsidR="00270E02" w:rsidRPr="00F120E2" w14:paraId="375B045F" w14:textId="77777777" w:rsidTr="00374744">
        <w:tc>
          <w:tcPr>
            <w:tcW w:w="2552" w:type="dxa"/>
            <w:tcBorders>
              <w:top w:val="nil"/>
              <w:bottom w:val="nil"/>
            </w:tcBorders>
            <w:shd w:val="clear" w:color="auto" w:fill="auto"/>
          </w:tcPr>
          <w:p w14:paraId="3F2F22A2" w14:textId="77777777" w:rsidR="00270E02" w:rsidRPr="00E81CA1" w:rsidRDefault="00270E02" w:rsidP="00D229EA">
            <w:pPr>
              <w:spacing w:line="480" w:lineRule="auto"/>
              <w:jc w:val="right"/>
              <w:rPr>
                <w:sz w:val="22"/>
                <w:szCs w:val="22"/>
                <w:lang w:val="en-US"/>
              </w:rPr>
            </w:pPr>
            <w:r w:rsidRPr="00E81CA1">
              <w:rPr>
                <w:sz w:val="22"/>
                <w:szCs w:val="22"/>
                <w:lang w:val="en-US"/>
              </w:rPr>
              <w:t>66-70</w:t>
            </w:r>
          </w:p>
        </w:tc>
        <w:tc>
          <w:tcPr>
            <w:tcW w:w="2302" w:type="dxa"/>
            <w:tcBorders>
              <w:top w:val="nil"/>
              <w:bottom w:val="nil"/>
            </w:tcBorders>
            <w:shd w:val="clear" w:color="auto" w:fill="auto"/>
          </w:tcPr>
          <w:p w14:paraId="0E506F14"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125 (35.0)</w:t>
            </w:r>
          </w:p>
        </w:tc>
        <w:tc>
          <w:tcPr>
            <w:tcW w:w="1701" w:type="dxa"/>
            <w:tcBorders>
              <w:top w:val="nil"/>
              <w:bottom w:val="nil"/>
            </w:tcBorders>
            <w:shd w:val="clear" w:color="auto" w:fill="auto"/>
          </w:tcPr>
          <w:p w14:paraId="3EC21E05"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102 (31.7)</w:t>
            </w:r>
          </w:p>
        </w:tc>
        <w:tc>
          <w:tcPr>
            <w:tcW w:w="2410" w:type="dxa"/>
            <w:tcBorders>
              <w:top w:val="nil"/>
              <w:bottom w:val="nil"/>
            </w:tcBorders>
            <w:shd w:val="clear" w:color="auto" w:fill="auto"/>
          </w:tcPr>
          <w:p w14:paraId="380671CB"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73 (30.8)</w:t>
            </w:r>
          </w:p>
        </w:tc>
        <w:tc>
          <w:tcPr>
            <w:tcW w:w="1701" w:type="dxa"/>
            <w:tcBorders>
              <w:top w:val="nil"/>
              <w:bottom w:val="nil"/>
            </w:tcBorders>
            <w:shd w:val="clear" w:color="auto" w:fill="auto"/>
          </w:tcPr>
          <w:p w14:paraId="6A4859A0"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47 (33.3)</w:t>
            </w:r>
          </w:p>
        </w:tc>
        <w:tc>
          <w:tcPr>
            <w:tcW w:w="2268" w:type="dxa"/>
            <w:tcBorders>
              <w:top w:val="nil"/>
              <w:bottom w:val="nil"/>
            </w:tcBorders>
            <w:shd w:val="clear" w:color="auto" w:fill="auto"/>
          </w:tcPr>
          <w:p w14:paraId="74A34A01" w14:textId="77777777" w:rsidR="00270E02" w:rsidRPr="00BF5F3A" w:rsidRDefault="00270E02" w:rsidP="00D229EA">
            <w:pPr>
              <w:spacing w:line="480" w:lineRule="auto"/>
              <w:jc w:val="center"/>
              <w:rPr>
                <w:sz w:val="22"/>
                <w:szCs w:val="22"/>
                <w:lang w:val="en-US"/>
              </w:rPr>
            </w:pPr>
            <w:r w:rsidRPr="00BF5F3A">
              <w:rPr>
                <w:sz w:val="22"/>
                <w:szCs w:val="22"/>
                <w:lang w:val="en-US"/>
              </w:rPr>
              <w:t>347 (32.8)</w:t>
            </w:r>
          </w:p>
        </w:tc>
      </w:tr>
      <w:tr w:rsidR="00270E02" w:rsidRPr="00F120E2" w14:paraId="0D366CA3" w14:textId="77777777" w:rsidTr="00374744">
        <w:tc>
          <w:tcPr>
            <w:tcW w:w="2552" w:type="dxa"/>
            <w:tcBorders>
              <w:top w:val="nil"/>
              <w:bottom w:val="nil"/>
            </w:tcBorders>
            <w:shd w:val="clear" w:color="auto" w:fill="auto"/>
          </w:tcPr>
          <w:p w14:paraId="39C37BAA" w14:textId="77777777" w:rsidR="00270E02" w:rsidRPr="00E81CA1" w:rsidRDefault="00270E02" w:rsidP="00D229EA">
            <w:pPr>
              <w:spacing w:line="480" w:lineRule="auto"/>
              <w:jc w:val="right"/>
              <w:rPr>
                <w:sz w:val="22"/>
                <w:szCs w:val="22"/>
                <w:lang w:val="en-US"/>
              </w:rPr>
            </w:pPr>
            <w:r w:rsidRPr="00E81CA1">
              <w:rPr>
                <w:sz w:val="22"/>
                <w:szCs w:val="22"/>
                <w:lang w:val="en-US"/>
              </w:rPr>
              <w:t>71-75</w:t>
            </w:r>
          </w:p>
        </w:tc>
        <w:tc>
          <w:tcPr>
            <w:tcW w:w="2302" w:type="dxa"/>
            <w:tcBorders>
              <w:top w:val="nil"/>
              <w:bottom w:val="nil"/>
            </w:tcBorders>
            <w:shd w:val="clear" w:color="auto" w:fill="auto"/>
          </w:tcPr>
          <w:p w14:paraId="1B6C09B8"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98 (27.5)</w:t>
            </w:r>
          </w:p>
        </w:tc>
        <w:tc>
          <w:tcPr>
            <w:tcW w:w="1701" w:type="dxa"/>
            <w:tcBorders>
              <w:top w:val="nil"/>
              <w:bottom w:val="nil"/>
            </w:tcBorders>
            <w:shd w:val="clear" w:color="auto" w:fill="auto"/>
          </w:tcPr>
          <w:p w14:paraId="1ABD8CF8"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117 (36.3)</w:t>
            </w:r>
          </w:p>
        </w:tc>
        <w:tc>
          <w:tcPr>
            <w:tcW w:w="2410" w:type="dxa"/>
            <w:tcBorders>
              <w:top w:val="nil"/>
              <w:bottom w:val="nil"/>
            </w:tcBorders>
            <w:shd w:val="clear" w:color="auto" w:fill="auto"/>
          </w:tcPr>
          <w:p w14:paraId="74D5D79D"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58 (24.5)</w:t>
            </w:r>
          </w:p>
        </w:tc>
        <w:tc>
          <w:tcPr>
            <w:tcW w:w="1701" w:type="dxa"/>
            <w:tcBorders>
              <w:top w:val="nil"/>
              <w:bottom w:val="nil"/>
            </w:tcBorders>
            <w:shd w:val="clear" w:color="auto" w:fill="auto"/>
          </w:tcPr>
          <w:p w14:paraId="4ABD93DA"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15 (10.6)</w:t>
            </w:r>
          </w:p>
        </w:tc>
        <w:tc>
          <w:tcPr>
            <w:tcW w:w="2268" w:type="dxa"/>
            <w:tcBorders>
              <w:top w:val="nil"/>
              <w:bottom w:val="nil"/>
            </w:tcBorders>
            <w:shd w:val="clear" w:color="auto" w:fill="auto"/>
          </w:tcPr>
          <w:p w14:paraId="65DDE8BC" w14:textId="77777777" w:rsidR="00270E02" w:rsidRPr="00BF5F3A" w:rsidRDefault="00270E02" w:rsidP="00D229EA">
            <w:pPr>
              <w:spacing w:line="480" w:lineRule="auto"/>
              <w:jc w:val="center"/>
              <w:rPr>
                <w:sz w:val="22"/>
                <w:szCs w:val="22"/>
                <w:lang w:val="en-US"/>
              </w:rPr>
            </w:pPr>
            <w:r w:rsidRPr="00BF5F3A">
              <w:rPr>
                <w:sz w:val="22"/>
                <w:szCs w:val="22"/>
                <w:lang w:val="en-US"/>
              </w:rPr>
              <w:t>288 (27.2)</w:t>
            </w:r>
          </w:p>
        </w:tc>
      </w:tr>
      <w:tr w:rsidR="00270E02" w:rsidRPr="00F120E2" w14:paraId="33ED4EFB" w14:textId="77777777" w:rsidTr="00374744">
        <w:trPr>
          <w:trHeight w:val="563"/>
        </w:trPr>
        <w:tc>
          <w:tcPr>
            <w:tcW w:w="2552" w:type="dxa"/>
            <w:tcBorders>
              <w:top w:val="nil"/>
              <w:bottom w:val="nil"/>
            </w:tcBorders>
            <w:shd w:val="clear" w:color="auto" w:fill="auto"/>
          </w:tcPr>
          <w:p w14:paraId="7BF251BF" w14:textId="77777777" w:rsidR="00270E02" w:rsidRPr="00E81CA1" w:rsidRDefault="00270E02" w:rsidP="00D229EA">
            <w:pPr>
              <w:spacing w:line="480" w:lineRule="auto"/>
              <w:rPr>
                <w:sz w:val="22"/>
                <w:szCs w:val="22"/>
                <w:lang w:val="en-US"/>
              </w:rPr>
            </w:pPr>
            <w:r w:rsidRPr="00E81CA1">
              <w:rPr>
                <w:sz w:val="22"/>
                <w:szCs w:val="22"/>
                <w:lang w:val="en-US"/>
              </w:rPr>
              <w:t>Education</w:t>
            </w:r>
          </w:p>
        </w:tc>
        <w:tc>
          <w:tcPr>
            <w:tcW w:w="2302" w:type="dxa"/>
            <w:tcBorders>
              <w:top w:val="nil"/>
              <w:bottom w:val="nil"/>
            </w:tcBorders>
            <w:shd w:val="clear" w:color="auto" w:fill="auto"/>
          </w:tcPr>
          <w:p w14:paraId="1A3716DB" w14:textId="77777777" w:rsidR="00270E02" w:rsidRPr="00E81CA1" w:rsidRDefault="00270E02" w:rsidP="00D229EA">
            <w:pPr>
              <w:spacing w:line="480" w:lineRule="auto"/>
              <w:jc w:val="center"/>
              <w:rPr>
                <w:color w:val="FF0000"/>
                <w:sz w:val="22"/>
                <w:szCs w:val="22"/>
                <w:lang w:val="en-US"/>
              </w:rPr>
            </w:pPr>
          </w:p>
        </w:tc>
        <w:tc>
          <w:tcPr>
            <w:tcW w:w="1701" w:type="dxa"/>
            <w:tcBorders>
              <w:top w:val="nil"/>
              <w:bottom w:val="nil"/>
            </w:tcBorders>
            <w:shd w:val="clear" w:color="auto" w:fill="auto"/>
          </w:tcPr>
          <w:p w14:paraId="4E749CCF" w14:textId="77777777" w:rsidR="00270E02" w:rsidRPr="00E81CA1" w:rsidRDefault="00270E02" w:rsidP="00D229EA">
            <w:pPr>
              <w:spacing w:line="480" w:lineRule="auto"/>
              <w:jc w:val="center"/>
              <w:rPr>
                <w:color w:val="FF0000"/>
                <w:sz w:val="22"/>
                <w:szCs w:val="22"/>
                <w:lang w:val="en-US"/>
              </w:rPr>
            </w:pPr>
          </w:p>
        </w:tc>
        <w:tc>
          <w:tcPr>
            <w:tcW w:w="2410" w:type="dxa"/>
            <w:tcBorders>
              <w:top w:val="nil"/>
              <w:bottom w:val="nil"/>
            </w:tcBorders>
            <w:shd w:val="clear" w:color="auto" w:fill="auto"/>
          </w:tcPr>
          <w:p w14:paraId="6AB09573" w14:textId="77777777" w:rsidR="00270E02" w:rsidRPr="00E81CA1" w:rsidRDefault="00270E02" w:rsidP="00D229EA">
            <w:pPr>
              <w:spacing w:line="480" w:lineRule="auto"/>
              <w:jc w:val="center"/>
              <w:rPr>
                <w:color w:val="FF0000"/>
                <w:sz w:val="22"/>
                <w:szCs w:val="22"/>
                <w:lang w:val="en-US"/>
              </w:rPr>
            </w:pPr>
          </w:p>
        </w:tc>
        <w:tc>
          <w:tcPr>
            <w:tcW w:w="1701" w:type="dxa"/>
            <w:tcBorders>
              <w:top w:val="nil"/>
              <w:bottom w:val="nil"/>
            </w:tcBorders>
            <w:shd w:val="clear" w:color="auto" w:fill="auto"/>
          </w:tcPr>
          <w:p w14:paraId="13625E55" w14:textId="77777777" w:rsidR="00270E02" w:rsidRPr="00E81CA1" w:rsidRDefault="00270E02" w:rsidP="00D229EA">
            <w:pPr>
              <w:spacing w:line="480" w:lineRule="auto"/>
              <w:jc w:val="center"/>
              <w:rPr>
                <w:color w:val="FF0000"/>
                <w:sz w:val="22"/>
                <w:szCs w:val="22"/>
                <w:lang w:val="en-US"/>
              </w:rPr>
            </w:pPr>
          </w:p>
        </w:tc>
        <w:tc>
          <w:tcPr>
            <w:tcW w:w="2268" w:type="dxa"/>
            <w:tcBorders>
              <w:top w:val="nil"/>
              <w:bottom w:val="nil"/>
            </w:tcBorders>
            <w:shd w:val="clear" w:color="auto" w:fill="auto"/>
          </w:tcPr>
          <w:p w14:paraId="3FC99887" w14:textId="77777777" w:rsidR="00270E02" w:rsidRPr="00345EB8" w:rsidRDefault="00270E02" w:rsidP="00D229EA">
            <w:pPr>
              <w:spacing w:line="480" w:lineRule="auto"/>
              <w:jc w:val="center"/>
              <w:rPr>
                <w:color w:val="FF0000"/>
                <w:sz w:val="22"/>
                <w:szCs w:val="22"/>
                <w:lang w:val="en-US"/>
              </w:rPr>
            </w:pPr>
          </w:p>
        </w:tc>
      </w:tr>
      <w:tr w:rsidR="00270E02" w:rsidRPr="00F120E2" w14:paraId="2FDDE389" w14:textId="77777777" w:rsidTr="00374744">
        <w:trPr>
          <w:trHeight w:val="560"/>
        </w:trPr>
        <w:tc>
          <w:tcPr>
            <w:tcW w:w="2552" w:type="dxa"/>
            <w:tcBorders>
              <w:top w:val="nil"/>
              <w:bottom w:val="nil"/>
            </w:tcBorders>
            <w:shd w:val="clear" w:color="auto" w:fill="auto"/>
          </w:tcPr>
          <w:p w14:paraId="31FBC827" w14:textId="77777777" w:rsidR="00270E02" w:rsidRPr="00E81CA1" w:rsidRDefault="00270E02" w:rsidP="00D229EA">
            <w:pPr>
              <w:spacing w:line="480" w:lineRule="auto"/>
              <w:jc w:val="right"/>
              <w:rPr>
                <w:color w:val="000000"/>
                <w:sz w:val="22"/>
                <w:szCs w:val="22"/>
                <w:lang w:val="en-US"/>
              </w:rPr>
            </w:pPr>
            <w:r w:rsidRPr="00E81CA1">
              <w:rPr>
                <w:color w:val="000000"/>
                <w:sz w:val="22"/>
                <w:szCs w:val="22"/>
                <w:lang w:val="en-US"/>
              </w:rPr>
              <w:t>Primary</w:t>
            </w:r>
          </w:p>
        </w:tc>
        <w:tc>
          <w:tcPr>
            <w:tcW w:w="2302" w:type="dxa"/>
            <w:tcBorders>
              <w:top w:val="nil"/>
              <w:bottom w:val="nil"/>
            </w:tcBorders>
            <w:shd w:val="clear" w:color="auto" w:fill="auto"/>
          </w:tcPr>
          <w:p w14:paraId="233A5943"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20 (5.6)</w:t>
            </w:r>
          </w:p>
        </w:tc>
        <w:tc>
          <w:tcPr>
            <w:tcW w:w="1701" w:type="dxa"/>
            <w:tcBorders>
              <w:top w:val="nil"/>
              <w:bottom w:val="nil"/>
            </w:tcBorders>
            <w:shd w:val="clear" w:color="auto" w:fill="auto"/>
          </w:tcPr>
          <w:p w14:paraId="107F11B2"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67 (20.8)</w:t>
            </w:r>
          </w:p>
        </w:tc>
        <w:tc>
          <w:tcPr>
            <w:tcW w:w="2410" w:type="dxa"/>
            <w:tcBorders>
              <w:top w:val="nil"/>
              <w:bottom w:val="nil"/>
            </w:tcBorders>
            <w:shd w:val="clear" w:color="auto" w:fill="auto"/>
          </w:tcPr>
          <w:p w14:paraId="75D68F89"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26 (11.1)</w:t>
            </w:r>
          </w:p>
        </w:tc>
        <w:tc>
          <w:tcPr>
            <w:tcW w:w="1701" w:type="dxa"/>
            <w:tcBorders>
              <w:top w:val="nil"/>
              <w:bottom w:val="nil"/>
            </w:tcBorders>
            <w:shd w:val="clear" w:color="auto" w:fill="auto"/>
          </w:tcPr>
          <w:p w14:paraId="434D6B9D"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38 (27.1)</w:t>
            </w:r>
          </w:p>
        </w:tc>
        <w:tc>
          <w:tcPr>
            <w:tcW w:w="2268" w:type="dxa"/>
            <w:tcBorders>
              <w:top w:val="nil"/>
              <w:bottom w:val="nil"/>
            </w:tcBorders>
            <w:shd w:val="clear" w:color="auto" w:fill="auto"/>
          </w:tcPr>
          <w:p w14:paraId="0C262ECB" w14:textId="77777777" w:rsidR="00270E02" w:rsidRPr="00BF5F3A" w:rsidRDefault="00270E02" w:rsidP="00D229EA">
            <w:pPr>
              <w:spacing w:line="480" w:lineRule="auto"/>
              <w:jc w:val="center"/>
              <w:rPr>
                <w:sz w:val="22"/>
                <w:szCs w:val="22"/>
                <w:lang w:val="en-US"/>
              </w:rPr>
            </w:pPr>
            <w:r w:rsidRPr="00BF5F3A">
              <w:rPr>
                <w:sz w:val="22"/>
                <w:szCs w:val="22"/>
                <w:lang w:val="en-US"/>
              </w:rPr>
              <w:t>151 (14.4)</w:t>
            </w:r>
          </w:p>
        </w:tc>
      </w:tr>
      <w:tr w:rsidR="00270E02" w:rsidRPr="00F120E2" w14:paraId="56AE312C" w14:textId="77777777" w:rsidTr="00374744">
        <w:trPr>
          <w:trHeight w:val="452"/>
        </w:trPr>
        <w:tc>
          <w:tcPr>
            <w:tcW w:w="2552" w:type="dxa"/>
            <w:tcBorders>
              <w:top w:val="nil"/>
              <w:bottom w:val="nil"/>
            </w:tcBorders>
            <w:shd w:val="clear" w:color="auto" w:fill="auto"/>
          </w:tcPr>
          <w:p w14:paraId="6E6EC4AD" w14:textId="77777777" w:rsidR="00270E02" w:rsidRPr="00E81CA1" w:rsidRDefault="00270E02" w:rsidP="00D229EA">
            <w:pPr>
              <w:spacing w:line="480" w:lineRule="auto"/>
              <w:jc w:val="right"/>
              <w:rPr>
                <w:color w:val="000000"/>
                <w:sz w:val="22"/>
                <w:szCs w:val="22"/>
                <w:lang w:val="en-US"/>
              </w:rPr>
            </w:pPr>
            <w:r w:rsidRPr="00E81CA1">
              <w:rPr>
                <w:color w:val="000000"/>
                <w:sz w:val="22"/>
                <w:szCs w:val="22"/>
                <w:lang w:val="en-US"/>
              </w:rPr>
              <w:t>Secondary</w:t>
            </w:r>
          </w:p>
        </w:tc>
        <w:tc>
          <w:tcPr>
            <w:tcW w:w="2302" w:type="dxa"/>
            <w:tcBorders>
              <w:top w:val="nil"/>
              <w:bottom w:val="nil"/>
            </w:tcBorders>
            <w:shd w:val="clear" w:color="auto" w:fill="auto"/>
          </w:tcPr>
          <w:p w14:paraId="2A7C0CBF"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143 (40.3)</w:t>
            </w:r>
          </w:p>
        </w:tc>
        <w:tc>
          <w:tcPr>
            <w:tcW w:w="1701" w:type="dxa"/>
            <w:tcBorders>
              <w:top w:val="nil"/>
              <w:bottom w:val="nil"/>
            </w:tcBorders>
            <w:shd w:val="clear" w:color="auto" w:fill="auto"/>
          </w:tcPr>
          <w:p w14:paraId="7401C470"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125 (38.8)</w:t>
            </w:r>
          </w:p>
        </w:tc>
        <w:tc>
          <w:tcPr>
            <w:tcW w:w="2410" w:type="dxa"/>
            <w:tcBorders>
              <w:top w:val="nil"/>
              <w:bottom w:val="nil"/>
            </w:tcBorders>
            <w:shd w:val="clear" w:color="auto" w:fill="auto"/>
          </w:tcPr>
          <w:p w14:paraId="02DA00B7"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123 (52.6)</w:t>
            </w:r>
          </w:p>
        </w:tc>
        <w:tc>
          <w:tcPr>
            <w:tcW w:w="1701" w:type="dxa"/>
            <w:tcBorders>
              <w:top w:val="nil"/>
              <w:bottom w:val="nil"/>
            </w:tcBorders>
            <w:shd w:val="clear" w:color="auto" w:fill="auto"/>
          </w:tcPr>
          <w:p w14:paraId="005A220F"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73 (52.1)</w:t>
            </w:r>
          </w:p>
        </w:tc>
        <w:tc>
          <w:tcPr>
            <w:tcW w:w="2268" w:type="dxa"/>
            <w:tcBorders>
              <w:top w:val="nil"/>
              <w:bottom w:val="nil"/>
            </w:tcBorders>
            <w:shd w:val="clear" w:color="auto" w:fill="auto"/>
          </w:tcPr>
          <w:p w14:paraId="1CD9480F" w14:textId="77777777" w:rsidR="00270E02" w:rsidRPr="00BF5F3A" w:rsidRDefault="00270E02" w:rsidP="00D229EA">
            <w:pPr>
              <w:spacing w:line="480" w:lineRule="auto"/>
              <w:jc w:val="center"/>
              <w:rPr>
                <w:sz w:val="22"/>
                <w:szCs w:val="22"/>
                <w:lang w:val="en-US"/>
              </w:rPr>
            </w:pPr>
            <w:r w:rsidRPr="00BF5F3A">
              <w:rPr>
                <w:sz w:val="22"/>
                <w:szCs w:val="22"/>
                <w:lang w:val="en-US"/>
              </w:rPr>
              <w:t>464 (44.1)</w:t>
            </w:r>
          </w:p>
        </w:tc>
      </w:tr>
      <w:tr w:rsidR="00270E02" w:rsidRPr="00F120E2" w14:paraId="39C0CAEE" w14:textId="77777777" w:rsidTr="00374744">
        <w:tc>
          <w:tcPr>
            <w:tcW w:w="2552" w:type="dxa"/>
            <w:tcBorders>
              <w:top w:val="nil"/>
              <w:bottom w:val="nil"/>
            </w:tcBorders>
            <w:shd w:val="clear" w:color="auto" w:fill="auto"/>
          </w:tcPr>
          <w:p w14:paraId="73A14ABC" w14:textId="77777777" w:rsidR="00270E02" w:rsidRPr="00E81CA1" w:rsidRDefault="00270E02" w:rsidP="00D229EA">
            <w:pPr>
              <w:spacing w:line="480" w:lineRule="auto"/>
              <w:jc w:val="right"/>
              <w:rPr>
                <w:color w:val="000000"/>
                <w:sz w:val="22"/>
                <w:szCs w:val="22"/>
                <w:lang w:val="en-US"/>
              </w:rPr>
            </w:pPr>
            <w:r w:rsidRPr="00E81CA1">
              <w:rPr>
                <w:color w:val="000000"/>
                <w:sz w:val="22"/>
                <w:szCs w:val="22"/>
                <w:lang w:val="en-US"/>
              </w:rPr>
              <w:t>Tertiary</w:t>
            </w:r>
          </w:p>
        </w:tc>
        <w:tc>
          <w:tcPr>
            <w:tcW w:w="2302" w:type="dxa"/>
            <w:tcBorders>
              <w:top w:val="nil"/>
              <w:bottom w:val="nil"/>
            </w:tcBorders>
            <w:shd w:val="clear" w:color="auto" w:fill="auto"/>
          </w:tcPr>
          <w:p w14:paraId="0DBD01C4"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192 (54.1)</w:t>
            </w:r>
          </w:p>
        </w:tc>
        <w:tc>
          <w:tcPr>
            <w:tcW w:w="1701" w:type="dxa"/>
            <w:tcBorders>
              <w:top w:val="nil"/>
              <w:bottom w:val="nil"/>
            </w:tcBorders>
            <w:shd w:val="clear" w:color="auto" w:fill="auto"/>
          </w:tcPr>
          <w:p w14:paraId="26F96C3C"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130 (40.4)</w:t>
            </w:r>
          </w:p>
        </w:tc>
        <w:tc>
          <w:tcPr>
            <w:tcW w:w="2410" w:type="dxa"/>
            <w:tcBorders>
              <w:top w:val="nil"/>
              <w:bottom w:val="nil"/>
            </w:tcBorders>
            <w:shd w:val="clear" w:color="auto" w:fill="auto"/>
          </w:tcPr>
          <w:p w14:paraId="49B9FDD5"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85 (36.3)</w:t>
            </w:r>
          </w:p>
        </w:tc>
        <w:tc>
          <w:tcPr>
            <w:tcW w:w="1701" w:type="dxa"/>
            <w:tcBorders>
              <w:top w:val="nil"/>
              <w:bottom w:val="nil"/>
            </w:tcBorders>
            <w:shd w:val="clear" w:color="auto" w:fill="auto"/>
          </w:tcPr>
          <w:p w14:paraId="7F4BAB84"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29 (20.7)</w:t>
            </w:r>
          </w:p>
        </w:tc>
        <w:tc>
          <w:tcPr>
            <w:tcW w:w="2268" w:type="dxa"/>
            <w:tcBorders>
              <w:top w:val="nil"/>
              <w:bottom w:val="nil"/>
            </w:tcBorders>
            <w:shd w:val="clear" w:color="auto" w:fill="auto"/>
          </w:tcPr>
          <w:p w14:paraId="14FFF0AD" w14:textId="77777777" w:rsidR="00270E02" w:rsidRPr="00BF5F3A" w:rsidRDefault="00270E02" w:rsidP="00D229EA">
            <w:pPr>
              <w:spacing w:line="480" w:lineRule="auto"/>
              <w:jc w:val="center"/>
              <w:rPr>
                <w:sz w:val="22"/>
                <w:szCs w:val="22"/>
                <w:lang w:val="en-US"/>
              </w:rPr>
            </w:pPr>
            <w:r w:rsidRPr="00BF5F3A">
              <w:rPr>
                <w:sz w:val="22"/>
                <w:szCs w:val="22"/>
                <w:lang w:val="en-US"/>
              </w:rPr>
              <w:t>436 (41.5)</w:t>
            </w:r>
          </w:p>
        </w:tc>
      </w:tr>
      <w:tr w:rsidR="00270E02" w:rsidRPr="00F120E2" w14:paraId="6F27FE7D" w14:textId="77777777" w:rsidTr="00374744">
        <w:tc>
          <w:tcPr>
            <w:tcW w:w="2552" w:type="dxa"/>
            <w:tcBorders>
              <w:top w:val="nil"/>
              <w:bottom w:val="nil"/>
            </w:tcBorders>
            <w:shd w:val="clear" w:color="auto" w:fill="auto"/>
          </w:tcPr>
          <w:p w14:paraId="3435DB23" w14:textId="77777777" w:rsidR="00270E02" w:rsidRPr="00E81CA1" w:rsidRDefault="00270E02" w:rsidP="00D229EA">
            <w:pPr>
              <w:spacing w:line="480" w:lineRule="auto"/>
              <w:rPr>
                <w:sz w:val="22"/>
                <w:szCs w:val="22"/>
                <w:lang w:val="en-US"/>
              </w:rPr>
            </w:pPr>
            <w:r w:rsidRPr="00E81CA1">
              <w:rPr>
                <w:sz w:val="22"/>
                <w:szCs w:val="22"/>
                <w:lang w:val="en-US"/>
              </w:rPr>
              <w:t>Religiosity</w:t>
            </w:r>
          </w:p>
        </w:tc>
        <w:tc>
          <w:tcPr>
            <w:tcW w:w="2302" w:type="dxa"/>
            <w:tcBorders>
              <w:top w:val="nil"/>
              <w:bottom w:val="nil"/>
            </w:tcBorders>
            <w:shd w:val="clear" w:color="auto" w:fill="auto"/>
          </w:tcPr>
          <w:p w14:paraId="11249CEB" w14:textId="77777777" w:rsidR="00270E02" w:rsidRPr="00E81CA1" w:rsidRDefault="00270E02" w:rsidP="00D229EA">
            <w:pPr>
              <w:spacing w:line="480" w:lineRule="auto"/>
              <w:jc w:val="center"/>
              <w:rPr>
                <w:color w:val="FF0000"/>
                <w:sz w:val="22"/>
                <w:szCs w:val="22"/>
                <w:lang w:val="en-US"/>
              </w:rPr>
            </w:pPr>
          </w:p>
        </w:tc>
        <w:tc>
          <w:tcPr>
            <w:tcW w:w="1701" w:type="dxa"/>
            <w:tcBorders>
              <w:top w:val="nil"/>
              <w:bottom w:val="nil"/>
            </w:tcBorders>
            <w:shd w:val="clear" w:color="auto" w:fill="auto"/>
          </w:tcPr>
          <w:p w14:paraId="44A4969F" w14:textId="77777777" w:rsidR="00270E02" w:rsidRPr="00E81CA1" w:rsidRDefault="00270E02" w:rsidP="00D229EA">
            <w:pPr>
              <w:spacing w:line="480" w:lineRule="auto"/>
              <w:jc w:val="center"/>
              <w:rPr>
                <w:color w:val="FF0000"/>
                <w:sz w:val="22"/>
                <w:szCs w:val="22"/>
                <w:lang w:val="en-US"/>
              </w:rPr>
            </w:pPr>
          </w:p>
        </w:tc>
        <w:tc>
          <w:tcPr>
            <w:tcW w:w="2410" w:type="dxa"/>
            <w:tcBorders>
              <w:top w:val="nil"/>
              <w:bottom w:val="nil"/>
            </w:tcBorders>
            <w:shd w:val="clear" w:color="auto" w:fill="auto"/>
          </w:tcPr>
          <w:p w14:paraId="793334E4" w14:textId="77777777" w:rsidR="00270E02" w:rsidRPr="00E81CA1" w:rsidRDefault="00270E02" w:rsidP="00D229EA">
            <w:pPr>
              <w:spacing w:line="480" w:lineRule="auto"/>
              <w:jc w:val="center"/>
              <w:rPr>
                <w:color w:val="FF0000"/>
                <w:sz w:val="22"/>
                <w:szCs w:val="22"/>
                <w:lang w:val="en-US"/>
              </w:rPr>
            </w:pPr>
          </w:p>
        </w:tc>
        <w:tc>
          <w:tcPr>
            <w:tcW w:w="1701" w:type="dxa"/>
            <w:tcBorders>
              <w:top w:val="nil"/>
              <w:bottom w:val="nil"/>
            </w:tcBorders>
            <w:shd w:val="clear" w:color="auto" w:fill="auto"/>
          </w:tcPr>
          <w:p w14:paraId="3C80F495" w14:textId="77777777" w:rsidR="00270E02" w:rsidRPr="00E81CA1" w:rsidRDefault="00270E02" w:rsidP="00D229EA">
            <w:pPr>
              <w:spacing w:line="480" w:lineRule="auto"/>
              <w:jc w:val="center"/>
              <w:rPr>
                <w:color w:val="000000"/>
                <w:sz w:val="22"/>
                <w:szCs w:val="22"/>
                <w:lang w:val="en-US"/>
              </w:rPr>
            </w:pPr>
          </w:p>
        </w:tc>
        <w:tc>
          <w:tcPr>
            <w:tcW w:w="2268" w:type="dxa"/>
            <w:tcBorders>
              <w:top w:val="nil"/>
              <w:bottom w:val="nil"/>
            </w:tcBorders>
            <w:shd w:val="clear" w:color="auto" w:fill="auto"/>
          </w:tcPr>
          <w:p w14:paraId="3A33C561" w14:textId="77777777" w:rsidR="00270E02" w:rsidRPr="00345EB8" w:rsidRDefault="00270E02" w:rsidP="00D229EA">
            <w:pPr>
              <w:spacing w:line="480" w:lineRule="auto"/>
              <w:jc w:val="center"/>
              <w:rPr>
                <w:color w:val="FF0000"/>
                <w:sz w:val="22"/>
                <w:szCs w:val="22"/>
                <w:lang w:val="en-US"/>
              </w:rPr>
            </w:pPr>
          </w:p>
        </w:tc>
      </w:tr>
      <w:tr w:rsidR="00270E02" w:rsidRPr="00F120E2" w14:paraId="1E5FADD7" w14:textId="77777777" w:rsidTr="00374744">
        <w:tc>
          <w:tcPr>
            <w:tcW w:w="2552" w:type="dxa"/>
            <w:tcBorders>
              <w:top w:val="nil"/>
              <w:bottom w:val="nil"/>
            </w:tcBorders>
            <w:shd w:val="clear" w:color="auto" w:fill="auto"/>
            <w:vAlign w:val="center"/>
          </w:tcPr>
          <w:p w14:paraId="6C5B02F5" w14:textId="77777777" w:rsidR="00270E02" w:rsidRPr="00E81CA1" w:rsidRDefault="00270E02" w:rsidP="00D229EA">
            <w:pPr>
              <w:spacing w:line="480" w:lineRule="auto"/>
              <w:jc w:val="right"/>
              <w:rPr>
                <w:sz w:val="22"/>
                <w:szCs w:val="22"/>
                <w:lang w:val="en-US"/>
              </w:rPr>
            </w:pPr>
            <w:r w:rsidRPr="00E81CA1">
              <w:rPr>
                <w:sz w:val="22"/>
                <w:szCs w:val="22"/>
                <w:lang w:val="en-US"/>
              </w:rPr>
              <w:t>Never</w:t>
            </w:r>
          </w:p>
        </w:tc>
        <w:tc>
          <w:tcPr>
            <w:tcW w:w="2302" w:type="dxa"/>
            <w:tcBorders>
              <w:top w:val="nil"/>
              <w:bottom w:val="nil"/>
            </w:tcBorders>
            <w:shd w:val="clear" w:color="auto" w:fill="auto"/>
            <w:vAlign w:val="center"/>
          </w:tcPr>
          <w:p w14:paraId="7A8D7373"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94 (26.6) </w:t>
            </w:r>
          </w:p>
        </w:tc>
        <w:tc>
          <w:tcPr>
            <w:tcW w:w="1701" w:type="dxa"/>
            <w:tcBorders>
              <w:top w:val="nil"/>
              <w:bottom w:val="nil"/>
            </w:tcBorders>
            <w:shd w:val="clear" w:color="auto" w:fill="auto"/>
            <w:vAlign w:val="center"/>
          </w:tcPr>
          <w:p w14:paraId="1F930C20"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76 (23.7)</w:t>
            </w:r>
          </w:p>
        </w:tc>
        <w:tc>
          <w:tcPr>
            <w:tcW w:w="2410" w:type="dxa"/>
            <w:tcBorders>
              <w:top w:val="nil"/>
              <w:bottom w:val="nil"/>
            </w:tcBorders>
            <w:shd w:val="clear" w:color="auto" w:fill="auto"/>
            <w:vAlign w:val="center"/>
          </w:tcPr>
          <w:p w14:paraId="6744D927"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86 (36.9) </w:t>
            </w:r>
          </w:p>
        </w:tc>
        <w:tc>
          <w:tcPr>
            <w:tcW w:w="1701" w:type="dxa"/>
            <w:tcBorders>
              <w:top w:val="nil"/>
              <w:bottom w:val="nil"/>
            </w:tcBorders>
            <w:shd w:val="clear" w:color="auto" w:fill="auto"/>
            <w:vAlign w:val="center"/>
          </w:tcPr>
          <w:p w14:paraId="574B897B"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33 (24.1) </w:t>
            </w:r>
          </w:p>
        </w:tc>
        <w:tc>
          <w:tcPr>
            <w:tcW w:w="2268" w:type="dxa"/>
            <w:tcBorders>
              <w:top w:val="nil"/>
              <w:bottom w:val="nil"/>
            </w:tcBorders>
            <w:shd w:val="clear" w:color="auto" w:fill="auto"/>
            <w:vAlign w:val="center"/>
          </w:tcPr>
          <w:p w14:paraId="07E60522" w14:textId="77777777" w:rsidR="00270E02" w:rsidRPr="00BF5F3A" w:rsidRDefault="00270E02" w:rsidP="00D229EA">
            <w:pPr>
              <w:spacing w:line="480" w:lineRule="auto"/>
              <w:jc w:val="center"/>
              <w:rPr>
                <w:sz w:val="22"/>
                <w:szCs w:val="22"/>
                <w:lang w:val="en-US"/>
              </w:rPr>
            </w:pPr>
            <w:r w:rsidRPr="00BF5F3A">
              <w:rPr>
                <w:sz w:val="22"/>
                <w:szCs w:val="22"/>
                <w:lang w:val="en-US"/>
              </w:rPr>
              <w:t xml:space="preserve">289 (27.7) </w:t>
            </w:r>
          </w:p>
        </w:tc>
      </w:tr>
      <w:tr w:rsidR="00270E02" w:rsidRPr="00F120E2" w14:paraId="4613CC57" w14:textId="77777777" w:rsidTr="00374744">
        <w:tc>
          <w:tcPr>
            <w:tcW w:w="2552" w:type="dxa"/>
            <w:tcBorders>
              <w:top w:val="nil"/>
              <w:bottom w:val="nil"/>
            </w:tcBorders>
            <w:shd w:val="clear" w:color="auto" w:fill="auto"/>
            <w:vAlign w:val="center"/>
          </w:tcPr>
          <w:p w14:paraId="579CC554" w14:textId="77777777" w:rsidR="00270E02" w:rsidRPr="00E81CA1" w:rsidRDefault="00270E02" w:rsidP="00D229EA">
            <w:pPr>
              <w:spacing w:line="480" w:lineRule="auto"/>
              <w:jc w:val="right"/>
              <w:rPr>
                <w:sz w:val="22"/>
                <w:szCs w:val="22"/>
                <w:lang w:val="en-US"/>
              </w:rPr>
            </w:pPr>
            <w:r w:rsidRPr="00E81CA1">
              <w:rPr>
                <w:sz w:val="22"/>
                <w:szCs w:val="22"/>
                <w:lang w:val="en-US"/>
              </w:rPr>
              <w:t>Less than once a year</w:t>
            </w:r>
          </w:p>
        </w:tc>
        <w:tc>
          <w:tcPr>
            <w:tcW w:w="2302" w:type="dxa"/>
            <w:tcBorders>
              <w:top w:val="nil"/>
              <w:bottom w:val="nil"/>
            </w:tcBorders>
            <w:shd w:val="clear" w:color="auto" w:fill="auto"/>
            <w:vAlign w:val="center"/>
          </w:tcPr>
          <w:p w14:paraId="344B1882"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86 (24.3) </w:t>
            </w:r>
          </w:p>
        </w:tc>
        <w:tc>
          <w:tcPr>
            <w:tcW w:w="1701" w:type="dxa"/>
            <w:tcBorders>
              <w:top w:val="nil"/>
              <w:bottom w:val="nil"/>
            </w:tcBorders>
            <w:shd w:val="clear" w:color="auto" w:fill="auto"/>
            <w:vAlign w:val="center"/>
          </w:tcPr>
          <w:p w14:paraId="3FF809C5"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83 (25.9)</w:t>
            </w:r>
          </w:p>
        </w:tc>
        <w:tc>
          <w:tcPr>
            <w:tcW w:w="2410" w:type="dxa"/>
            <w:tcBorders>
              <w:top w:val="nil"/>
              <w:bottom w:val="nil"/>
            </w:tcBorders>
            <w:shd w:val="clear" w:color="auto" w:fill="auto"/>
            <w:vAlign w:val="center"/>
          </w:tcPr>
          <w:p w14:paraId="299B9C8A"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22 (9.4) </w:t>
            </w:r>
          </w:p>
        </w:tc>
        <w:tc>
          <w:tcPr>
            <w:tcW w:w="1701" w:type="dxa"/>
            <w:tcBorders>
              <w:top w:val="nil"/>
              <w:bottom w:val="nil"/>
            </w:tcBorders>
            <w:shd w:val="clear" w:color="auto" w:fill="auto"/>
            <w:vAlign w:val="center"/>
          </w:tcPr>
          <w:p w14:paraId="51D12908"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18 (13.1) </w:t>
            </w:r>
          </w:p>
        </w:tc>
        <w:tc>
          <w:tcPr>
            <w:tcW w:w="2268" w:type="dxa"/>
            <w:tcBorders>
              <w:top w:val="nil"/>
              <w:bottom w:val="nil"/>
            </w:tcBorders>
            <w:shd w:val="clear" w:color="auto" w:fill="auto"/>
            <w:vAlign w:val="center"/>
          </w:tcPr>
          <w:p w14:paraId="601FFC02" w14:textId="77777777" w:rsidR="00270E02" w:rsidRPr="00BF5F3A" w:rsidRDefault="00270E02" w:rsidP="00D229EA">
            <w:pPr>
              <w:spacing w:line="480" w:lineRule="auto"/>
              <w:jc w:val="center"/>
              <w:rPr>
                <w:sz w:val="22"/>
                <w:szCs w:val="22"/>
                <w:lang w:val="en-US"/>
              </w:rPr>
            </w:pPr>
            <w:r w:rsidRPr="00BF5F3A">
              <w:rPr>
                <w:sz w:val="22"/>
                <w:szCs w:val="22"/>
                <w:lang w:val="en-US"/>
              </w:rPr>
              <w:t xml:space="preserve">209 (20.0) </w:t>
            </w:r>
          </w:p>
        </w:tc>
      </w:tr>
      <w:tr w:rsidR="00270E02" w:rsidRPr="00F120E2" w14:paraId="48A17E35" w14:textId="77777777" w:rsidTr="00374744">
        <w:tc>
          <w:tcPr>
            <w:tcW w:w="2552" w:type="dxa"/>
            <w:tcBorders>
              <w:top w:val="nil"/>
              <w:bottom w:val="nil"/>
            </w:tcBorders>
            <w:shd w:val="clear" w:color="auto" w:fill="auto"/>
            <w:vAlign w:val="center"/>
          </w:tcPr>
          <w:p w14:paraId="009309DD" w14:textId="77777777" w:rsidR="00270E02" w:rsidRPr="00E81CA1" w:rsidRDefault="00270E02" w:rsidP="00D229EA">
            <w:pPr>
              <w:spacing w:line="480" w:lineRule="auto"/>
              <w:jc w:val="right"/>
              <w:rPr>
                <w:sz w:val="22"/>
                <w:szCs w:val="22"/>
                <w:lang w:val="en-US"/>
              </w:rPr>
            </w:pPr>
            <w:r w:rsidRPr="00E81CA1">
              <w:rPr>
                <w:sz w:val="22"/>
                <w:szCs w:val="22"/>
                <w:lang w:val="en-US"/>
              </w:rPr>
              <w:t>Once or twice a year</w:t>
            </w:r>
          </w:p>
        </w:tc>
        <w:tc>
          <w:tcPr>
            <w:tcW w:w="2302" w:type="dxa"/>
            <w:tcBorders>
              <w:top w:val="nil"/>
              <w:bottom w:val="nil"/>
            </w:tcBorders>
            <w:shd w:val="clear" w:color="auto" w:fill="auto"/>
            <w:vAlign w:val="center"/>
          </w:tcPr>
          <w:p w14:paraId="23EE181D"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109 (30.8) </w:t>
            </w:r>
          </w:p>
        </w:tc>
        <w:tc>
          <w:tcPr>
            <w:tcW w:w="1701" w:type="dxa"/>
            <w:tcBorders>
              <w:top w:val="nil"/>
              <w:bottom w:val="nil"/>
            </w:tcBorders>
            <w:shd w:val="clear" w:color="auto" w:fill="auto"/>
            <w:vAlign w:val="center"/>
          </w:tcPr>
          <w:p w14:paraId="001FC630"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116 (36.1)</w:t>
            </w:r>
          </w:p>
        </w:tc>
        <w:tc>
          <w:tcPr>
            <w:tcW w:w="2410" w:type="dxa"/>
            <w:tcBorders>
              <w:top w:val="nil"/>
              <w:bottom w:val="nil"/>
            </w:tcBorders>
            <w:shd w:val="clear" w:color="auto" w:fill="auto"/>
            <w:vAlign w:val="center"/>
          </w:tcPr>
          <w:p w14:paraId="5E02E083"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74 (31.8) </w:t>
            </w:r>
          </w:p>
        </w:tc>
        <w:tc>
          <w:tcPr>
            <w:tcW w:w="1701" w:type="dxa"/>
            <w:tcBorders>
              <w:top w:val="nil"/>
              <w:bottom w:val="nil"/>
            </w:tcBorders>
            <w:shd w:val="clear" w:color="auto" w:fill="auto"/>
            <w:vAlign w:val="center"/>
          </w:tcPr>
          <w:p w14:paraId="2F6BE536"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29 (21.2) </w:t>
            </w:r>
          </w:p>
        </w:tc>
        <w:tc>
          <w:tcPr>
            <w:tcW w:w="2268" w:type="dxa"/>
            <w:tcBorders>
              <w:top w:val="nil"/>
              <w:bottom w:val="nil"/>
            </w:tcBorders>
            <w:shd w:val="clear" w:color="auto" w:fill="auto"/>
            <w:vAlign w:val="center"/>
          </w:tcPr>
          <w:p w14:paraId="59450A1A" w14:textId="77777777" w:rsidR="00270E02" w:rsidRPr="00BF5F3A" w:rsidRDefault="00270E02" w:rsidP="00D229EA">
            <w:pPr>
              <w:spacing w:line="480" w:lineRule="auto"/>
              <w:jc w:val="center"/>
              <w:rPr>
                <w:sz w:val="22"/>
                <w:szCs w:val="22"/>
                <w:lang w:val="en-US"/>
              </w:rPr>
            </w:pPr>
            <w:r w:rsidRPr="00BF5F3A">
              <w:rPr>
                <w:sz w:val="22"/>
                <w:szCs w:val="22"/>
                <w:lang w:val="en-US"/>
              </w:rPr>
              <w:t xml:space="preserve">328 (31.4) </w:t>
            </w:r>
          </w:p>
        </w:tc>
      </w:tr>
      <w:tr w:rsidR="00270E02" w:rsidRPr="00F120E2" w14:paraId="25F922F4" w14:textId="77777777" w:rsidTr="00374744">
        <w:trPr>
          <w:trHeight w:val="258"/>
        </w:trPr>
        <w:tc>
          <w:tcPr>
            <w:tcW w:w="2552" w:type="dxa"/>
            <w:tcBorders>
              <w:top w:val="nil"/>
              <w:bottom w:val="single" w:sz="4" w:space="0" w:color="auto"/>
            </w:tcBorders>
            <w:shd w:val="clear" w:color="auto" w:fill="auto"/>
            <w:vAlign w:val="center"/>
          </w:tcPr>
          <w:p w14:paraId="76738D45" w14:textId="77777777" w:rsidR="00270E02" w:rsidRPr="00E81CA1" w:rsidRDefault="00270E02" w:rsidP="00D229EA">
            <w:pPr>
              <w:spacing w:line="480" w:lineRule="auto"/>
              <w:jc w:val="right"/>
              <w:rPr>
                <w:sz w:val="22"/>
                <w:szCs w:val="22"/>
                <w:lang w:val="en-US"/>
              </w:rPr>
            </w:pPr>
            <w:r w:rsidRPr="00E81CA1">
              <w:rPr>
                <w:sz w:val="22"/>
                <w:szCs w:val="22"/>
                <w:lang w:val="en-US"/>
              </w:rPr>
              <w:t>At least once a month</w:t>
            </w:r>
          </w:p>
        </w:tc>
        <w:tc>
          <w:tcPr>
            <w:tcW w:w="2302" w:type="dxa"/>
            <w:tcBorders>
              <w:top w:val="nil"/>
              <w:bottom w:val="single" w:sz="4" w:space="0" w:color="auto"/>
            </w:tcBorders>
            <w:shd w:val="clear" w:color="auto" w:fill="auto"/>
          </w:tcPr>
          <w:p w14:paraId="49FF7DFC"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65 (18.4)</w:t>
            </w:r>
          </w:p>
        </w:tc>
        <w:tc>
          <w:tcPr>
            <w:tcW w:w="1701" w:type="dxa"/>
            <w:tcBorders>
              <w:top w:val="nil"/>
              <w:bottom w:val="single" w:sz="4" w:space="0" w:color="auto"/>
            </w:tcBorders>
            <w:shd w:val="clear" w:color="auto" w:fill="auto"/>
          </w:tcPr>
          <w:p w14:paraId="6991185E"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46 (14.3)</w:t>
            </w:r>
          </w:p>
        </w:tc>
        <w:tc>
          <w:tcPr>
            <w:tcW w:w="2410" w:type="dxa"/>
            <w:tcBorders>
              <w:top w:val="nil"/>
              <w:bottom w:val="single" w:sz="4" w:space="0" w:color="auto"/>
            </w:tcBorders>
            <w:shd w:val="clear" w:color="auto" w:fill="auto"/>
          </w:tcPr>
          <w:p w14:paraId="7E60B698"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51 (21.9) </w:t>
            </w:r>
          </w:p>
        </w:tc>
        <w:tc>
          <w:tcPr>
            <w:tcW w:w="1701" w:type="dxa"/>
            <w:tcBorders>
              <w:top w:val="nil"/>
              <w:bottom w:val="single" w:sz="4" w:space="0" w:color="auto"/>
            </w:tcBorders>
            <w:shd w:val="clear" w:color="auto" w:fill="auto"/>
          </w:tcPr>
          <w:p w14:paraId="5F49ED5D" w14:textId="77777777" w:rsidR="00270E02" w:rsidRPr="00E81CA1" w:rsidRDefault="00270E02" w:rsidP="00D229EA">
            <w:pPr>
              <w:spacing w:line="480" w:lineRule="auto"/>
              <w:jc w:val="center"/>
              <w:rPr>
                <w:color w:val="000000"/>
                <w:sz w:val="22"/>
                <w:szCs w:val="22"/>
                <w:lang w:val="en-US"/>
              </w:rPr>
            </w:pPr>
            <w:r w:rsidRPr="00E81CA1">
              <w:rPr>
                <w:color w:val="000000"/>
                <w:sz w:val="22"/>
                <w:szCs w:val="22"/>
                <w:lang w:val="en-US"/>
              </w:rPr>
              <w:t xml:space="preserve">57 (41.6) </w:t>
            </w:r>
          </w:p>
        </w:tc>
        <w:tc>
          <w:tcPr>
            <w:tcW w:w="2268" w:type="dxa"/>
            <w:tcBorders>
              <w:top w:val="nil"/>
              <w:bottom w:val="single" w:sz="4" w:space="0" w:color="auto"/>
            </w:tcBorders>
            <w:shd w:val="clear" w:color="auto" w:fill="auto"/>
          </w:tcPr>
          <w:p w14:paraId="3223E446" w14:textId="77777777" w:rsidR="00270E02" w:rsidRPr="00BF5F3A" w:rsidRDefault="00270E02" w:rsidP="00D229EA">
            <w:pPr>
              <w:spacing w:line="480" w:lineRule="auto"/>
              <w:jc w:val="center"/>
              <w:rPr>
                <w:sz w:val="22"/>
                <w:szCs w:val="22"/>
                <w:lang w:val="en-US"/>
              </w:rPr>
            </w:pPr>
            <w:r w:rsidRPr="00BF5F3A">
              <w:rPr>
                <w:sz w:val="22"/>
                <w:szCs w:val="22"/>
                <w:lang w:val="en-US"/>
              </w:rPr>
              <w:t xml:space="preserve">219 (21.0) </w:t>
            </w:r>
          </w:p>
        </w:tc>
      </w:tr>
    </w:tbl>
    <w:p w14:paraId="61BEB617" w14:textId="77777777" w:rsidR="00270E02" w:rsidRPr="00F120E2" w:rsidRDefault="00270E02" w:rsidP="00D229EA">
      <w:pPr>
        <w:spacing w:line="480" w:lineRule="auto"/>
        <w:rPr>
          <w:color w:val="000000"/>
        </w:rPr>
      </w:pPr>
    </w:p>
    <w:p w14:paraId="6C5C8D2F" w14:textId="77777777" w:rsidR="00270E02" w:rsidRPr="00F120E2" w:rsidRDefault="00270E02" w:rsidP="00D229EA">
      <w:pPr>
        <w:spacing w:line="480" w:lineRule="auto"/>
        <w:ind w:firstLine="810"/>
        <w:outlineLvl w:val="0"/>
        <w:rPr>
          <w:b/>
          <w:sz w:val="22"/>
          <w:szCs w:val="22"/>
          <w:lang w:val="hr-HR"/>
        </w:rPr>
        <w:sectPr w:rsidR="00270E02" w:rsidRPr="00F120E2" w:rsidSect="00716938">
          <w:pgSz w:w="15840" w:h="12240" w:orient="landscape"/>
          <w:pgMar w:top="1417" w:right="1417" w:bottom="1417" w:left="1417" w:header="708" w:footer="708" w:gutter="0"/>
          <w:cols w:space="708"/>
          <w:docGrid w:linePitch="360"/>
        </w:sectPr>
      </w:pPr>
    </w:p>
    <w:p w14:paraId="35A13571" w14:textId="77777777" w:rsidR="00270E02" w:rsidRPr="00F120E2" w:rsidRDefault="00270E02" w:rsidP="00D229EA">
      <w:pPr>
        <w:spacing w:line="480" w:lineRule="auto"/>
        <w:rPr>
          <w:i/>
        </w:rPr>
      </w:pPr>
      <w:r w:rsidRPr="00F120E2">
        <w:lastRenderedPageBreak/>
        <w:t xml:space="preserve">Table 2.  </w:t>
      </w:r>
      <w:r w:rsidRPr="00F120E2">
        <w:rPr>
          <w:i/>
        </w:rPr>
        <w:t xml:space="preserve">Prevalence of </w:t>
      </w:r>
      <w:r>
        <w:rPr>
          <w:i/>
        </w:rPr>
        <w:t>Sexual Difficulties by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gridCol w:w="1985"/>
        <w:gridCol w:w="1842"/>
        <w:gridCol w:w="302"/>
        <w:gridCol w:w="1541"/>
        <w:gridCol w:w="1843"/>
      </w:tblGrid>
      <w:tr w:rsidR="00270E02" w:rsidRPr="00F120E2" w14:paraId="3467633B" w14:textId="77777777" w:rsidTr="00374744">
        <w:trPr>
          <w:trHeight w:val="1120"/>
        </w:trPr>
        <w:tc>
          <w:tcPr>
            <w:tcW w:w="2835" w:type="dxa"/>
            <w:tcBorders>
              <w:top w:val="single" w:sz="4" w:space="0" w:color="auto"/>
              <w:bottom w:val="single" w:sz="4" w:space="0" w:color="auto"/>
            </w:tcBorders>
          </w:tcPr>
          <w:p w14:paraId="048C0326" w14:textId="77777777" w:rsidR="00270E02" w:rsidRPr="00F120E2" w:rsidRDefault="00270E02" w:rsidP="00D229EA">
            <w:pPr>
              <w:spacing w:line="480" w:lineRule="auto"/>
            </w:pPr>
            <w:r>
              <w:t xml:space="preserve"> </w:t>
            </w:r>
          </w:p>
        </w:tc>
        <w:tc>
          <w:tcPr>
            <w:tcW w:w="1843" w:type="dxa"/>
            <w:tcBorders>
              <w:top w:val="single" w:sz="4" w:space="0" w:color="auto"/>
              <w:bottom w:val="single" w:sz="4" w:space="0" w:color="auto"/>
            </w:tcBorders>
          </w:tcPr>
          <w:p w14:paraId="0A618D25" w14:textId="77777777" w:rsidR="00270E02" w:rsidRPr="00EF3CA5" w:rsidRDefault="00270E02" w:rsidP="00D229EA">
            <w:pPr>
              <w:spacing w:line="480" w:lineRule="auto"/>
              <w:jc w:val="center"/>
            </w:pPr>
            <w:r>
              <w:t>Norway</w:t>
            </w:r>
          </w:p>
          <w:p w14:paraId="5B706ABA" w14:textId="77777777" w:rsidR="00270E02" w:rsidRPr="00F120E2" w:rsidRDefault="00270E02" w:rsidP="00D229EA">
            <w:pPr>
              <w:spacing w:line="480" w:lineRule="auto"/>
              <w:jc w:val="center"/>
            </w:pPr>
            <w:r w:rsidRPr="00F120E2">
              <w:rPr>
                <w:i/>
              </w:rPr>
              <w:t>n</w:t>
            </w:r>
            <w:r w:rsidRPr="00F120E2">
              <w:t xml:space="preserve"> (%)</w:t>
            </w:r>
          </w:p>
        </w:tc>
        <w:tc>
          <w:tcPr>
            <w:tcW w:w="1985" w:type="dxa"/>
            <w:tcBorders>
              <w:top w:val="single" w:sz="4" w:space="0" w:color="auto"/>
              <w:bottom w:val="single" w:sz="4" w:space="0" w:color="auto"/>
            </w:tcBorders>
          </w:tcPr>
          <w:p w14:paraId="02BB5ACF" w14:textId="77777777" w:rsidR="00270E02" w:rsidRPr="00EF3CA5" w:rsidRDefault="00270E02" w:rsidP="00D229EA">
            <w:pPr>
              <w:spacing w:line="480" w:lineRule="auto"/>
              <w:jc w:val="center"/>
            </w:pPr>
            <w:r>
              <w:t>Denmark</w:t>
            </w:r>
          </w:p>
          <w:p w14:paraId="689766A0" w14:textId="77777777" w:rsidR="00270E02" w:rsidRPr="00F120E2" w:rsidRDefault="00270E02" w:rsidP="00D229EA">
            <w:pPr>
              <w:spacing w:line="480" w:lineRule="auto"/>
              <w:jc w:val="center"/>
            </w:pPr>
            <w:r w:rsidRPr="00F120E2">
              <w:rPr>
                <w:i/>
              </w:rPr>
              <w:t>n</w:t>
            </w:r>
            <w:r w:rsidRPr="00F120E2">
              <w:t xml:space="preserve"> (%)</w:t>
            </w:r>
          </w:p>
        </w:tc>
        <w:tc>
          <w:tcPr>
            <w:tcW w:w="1842" w:type="dxa"/>
            <w:tcBorders>
              <w:top w:val="single" w:sz="4" w:space="0" w:color="auto"/>
              <w:bottom w:val="single" w:sz="4" w:space="0" w:color="auto"/>
            </w:tcBorders>
          </w:tcPr>
          <w:p w14:paraId="13490782" w14:textId="77777777" w:rsidR="00270E02" w:rsidRPr="00EF3CA5" w:rsidRDefault="00270E02" w:rsidP="00D229EA">
            <w:pPr>
              <w:spacing w:line="480" w:lineRule="auto"/>
              <w:jc w:val="center"/>
            </w:pPr>
            <w:r>
              <w:t>Belgium</w:t>
            </w:r>
          </w:p>
          <w:p w14:paraId="73B1C89C" w14:textId="77777777" w:rsidR="00270E02" w:rsidRPr="00F120E2" w:rsidRDefault="00270E02" w:rsidP="00D229EA">
            <w:pPr>
              <w:spacing w:line="480" w:lineRule="auto"/>
              <w:jc w:val="center"/>
            </w:pPr>
            <w:r w:rsidRPr="00F120E2">
              <w:rPr>
                <w:i/>
              </w:rPr>
              <w:t>n</w:t>
            </w:r>
            <w:r w:rsidRPr="00F120E2">
              <w:t xml:space="preserve"> (%)</w:t>
            </w:r>
          </w:p>
        </w:tc>
        <w:tc>
          <w:tcPr>
            <w:tcW w:w="1843" w:type="dxa"/>
            <w:gridSpan w:val="2"/>
            <w:tcBorders>
              <w:top w:val="single" w:sz="4" w:space="0" w:color="auto"/>
              <w:bottom w:val="single" w:sz="4" w:space="0" w:color="auto"/>
            </w:tcBorders>
          </w:tcPr>
          <w:p w14:paraId="066A0655" w14:textId="77777777" w:rsidR="00270E02" w:rsidRPr="00EF3CA5" w:rsidRDefault="00270E02" w:rsidP="00D229EA">
            <w:pPr>
              <w:spacing w:line="480" w:lineRule="auto"/>
              <w:jc w:val="center"/>
            </w:pPr>
            <w:r>
              <w:t>Portugal</w:t>
            </w:r>
          </w:p>
          <w:p w14:paraId="2C818F85" w14:textId="77777777" w:rsidR="00270E02" w:rsidRPr="00F120E2" w:rsidRDefault="00270E02" w:rsidP="00D229EA">
            <w:pPr>
              <w:spacing w:line="480" w:lineRule="auto"/>
              <w:jc w:val="center"/>
            </w:pPr>
            <w:r w:rsidRPr="00F120E2">
              <w:rPr>
                <w:i/>
              </w:rPr>
              <w:t>n</w:t>
            </w:r>
            <w:r w:rsidRPr="00F120E2">
              <w:t xml:space="preserve"> (%)</w:t>
            </w:r>
          </w:p>
        </w:tc>
        <w:tc>
          <w:tcPr>
            <w:tcW w:w="1843" w:type="dxa"/>
            <w:tcBorders>
              <w:top w:val="single" w:sz="4" w:space="0" w:color="auto"/>
              <w:bottom w:val="single" w:sz="4" w:space="0" w:color="auto"/>
            </w:tcBorders>
          </w:tcPr>
          <w:p w14:paraId="016BB457" w14:textId="77777777" w:rsidR="00270E02" w:rsidRDefault="00270E02" w:rsidP="00D229EA">
            <w:pPr>
              <w:spacing w:line="480" w:lineRule="auto"/>
              <w:jc w:val="center"/>
            </w:pPr>
            <w:r>
              <w:t>Total</w:t>
            </w:r>
          </w:p>
          <w:p w14:paraId="1BF22AF9" w14:textId="77777777" w:rsidR="00270E02" w:rsidRPr="00F120E2" w:rsidRDefault="00270E02" w:rsidP="00D229EA">
            <w:pPr>
              <w:spacing w:line="480" w:lineRule="auto"/>
              <w:jc w:val="center"/>
            </w:pPr>
            <w:r w:rsidRPr="00F120E2">
              <w:rPr>
                <w:i/>
              </w:rPr>
              <w:t>n</w:t>
            </w:r>
            <w:r w:rsidRPr="00F120E2">
              <w:t xml:space="preserve"> (%)</w:t>
            </w:r>
          </w:p>
        </w:tc>
      </w:tr>
      <w:tr w:rsidR="00806230" w:rsidRPr="00806230" w14:paraId="57ED395C" w14:textId="77777777" w:rsidTr="00A81145">
        <w:tc>
          <w:tcPr>
            <w:tcW w:w="2835" w:type="dxa"/>
          </w:tcPr>
          <w:p w14:paraId="7D56AC6D" w14:textId="77777777" w:rsidR="00806230" w:rsidRPr="00806230" w:rsidRDefault="00806230" w:rsidP="00806230">
            <w:pPr>
              <w:spacing w:line="480" w:lineRule="auto"/>
            </w:pPr>
            <w:r w:rsidRPr="00806230">
              <w:t>Vaginal dryness</w:t>
            </w:r>
          </w:p>
        </w:tc>
        <w:tc>
          <w:tcPr>
            <w:tcW w:w="1843" w:type="dxa"/>
          </w:tcPr>
          <w:p w14:paraId="0121DFEE" w14:textId="77777777" w:rsidR="00806230" w:rsidRPr="00806230" w:rsidRDefault="00806230" w:rsidP="00806230">
            <w:pPr>
              <w:spacing w:line="480" w:lineRule="auto"/>
            </w:pPr>
            <w:r w:rsidRPr="00806230">
              <w:t>138 (38.7)</w:t>
            </w:r>
          </w:p>
        </w:tc>
        <w:tc>
          <w:tcPr>
            <w:tcW w:w="1985" w:type="dxa"/>
          </w:tcPr>
          <w:p w14:paraId="0B984ECF" w14:textId="77777777" w:rsidR="00806230" w:rsidRPr="00806230" w:rsidRDefault="00806230" w:rsidP="00806230">
            <w:pPr>
              <w:spacing w:line="480" w:lineRule="auto"/>
            </w:pPr>
            <w:r w:rsidRPr="00806230">
              <w:t>133 (41.3)</w:t>
            </w:r>
          </w:p>
        </w:tc>
        <w:tc>
          <w:tcPr>
            <w:tcW w:w="1842" w:type="dxa"/>
          </w:tcPr>
          <w:p w14:paraId="6D140828" w14:textId="77777777" w:rsidR="00806230" w:rsidRPr="00806230" w:rsidRDefault="00806230" w:rsidP="00806230">
            <w:pPr>
              <w:spacing w:line="480" w:lineRule="auto"/>
            </w:pPr>
            <w:r w:rsidRPr="00806230">
              <w:t>119 (50.2)</w:t>
            </w:r>
          </w:p>
        </w:tc>
        <w:tc>
          <w:tcPr>
            <w:tcW w:w="1843" w:type="dxa"/>
            <w:gridSpan w:val="2"/>
          </w:tcPr>
          <w:p w14:paraId="3489CB46" w14:textId="77777777" w:rsidR="00806230" w:rsidRPr="00806230" w:rsidRDefault="00806230" w:rsidP="00806230">
            <w:pPr>
              <w:spacing w:line="480" w:lineRule="auto"/>
            </w:pPr>
            <w:r w:rsidRPr="00806230">
              <w:t>74 (52.5)</w:t>
            </w:r>
          </w:p>
        </w:tc>
        <w:tc>
          <w:tcPr>
            <w:tcW w:w="1843" w:type="dxa"/>
          </w:tcPr>
          <w:p w14:paraId="25480B7B" w14:textId="77777777" w:rsidR="00806230" w:rsidRPr="00806230" w:rsidRDefault="00806230" w:rsidP="00806230">
            <w:pPr>
              <w:spacing w:line="480" w:lineRule="auto"/>
            </w:pPr>
            <w:r w:rsidRPr="00806230">
              <w:t>464 (47.7)</w:t>
            </w:r>
          </w:p>
        </w:tc>
      </w:tr>
      <w:tr w:rsidR="00270E02" w:rsidRPr="00F120E2" w14:paraId="17E6BAEF" w14:textId="77777777" w:rsidTr="00806230">
        <w:trPr>
          <w:trHeight w:val="563"/>
        </w:trPr>
        <w:tc>
          <w:tcPr>
            <w:tcW w:w="2835" w:type="dxa"/>
          </w:tcPr>
          <w:p w14:paraId="42BE69CB" w14:textId="77777777" w:rsidR="00270E02" w:rsidRPr="00F120E2" w:rsidRDefault="00270E02" w:rsidP="00D229EA">
            <w:pPr>
              <w:spacing w:line="480" w:lineRule="auto"/>
            </w:pPr>
            <w:r w:rsidRPr="00F120E2">
              <w:t>Orgasmic difficulties</w:t>
            </w:r>
          </w:p>
        </w:tc>
        <w:tc>
          <w:tcPr>
            <w:tcW w:w="1843" w:type="dxa"/>
          </w:tcPr>
          <w:p w14:paraId="1DED75C0" w14:textId="77777777" w:rsidR="00270E02" w:rsidRPr="00F120E2" w:rsidRDefault="00270E02" w:rsidP="00806230">
            <w:pPr>
              <w:spacing w:line="480" w:lineRule="auto"/>
            </w:pPr>
            <w:r>
              <w:t>159 (51.6)</w:t>
            </w:r>
          </w:p>
        </w:tc>
        <w:tc>
          <w:tcPr>
            <w:tcW w:w="1985" w:type="dxa"/>
          </w:tcPr>
          <w:p w14:paraId="39CB1AE5" w14:textId="77777777" w:rsidR="00270E02" w:rsidRPr="00F120E2" w:rsidRDefault="00270E02" w:rsidP="00806230">
            <w:pPr>
              <w:spacing w:line="480" w:lineRule="auto"/>
            </w:pPr>
            <w:r>
              <w:t>121 (43.1)</w:t>
            </w:r>
          </w:p>
        </w:tc>
        <w:tc>
          <w:tcPr>
            <w:tcW w:w="1842" w:type="dxa"/>
          </w:tcPr>
          <w:p w14:paraId="3FD39C5B" w14:textId="77777777" w:rsidR="00270E02" w:rsidRPr="00F120E2" w:rsidRDefault="00270E02" w:rsidP="00806230">
            <w:pPr>
              <w:spacing w:line="480" w:lineRule="auto"/>
            </w:pPr>
            <w:r>
              <w:t>105 (50.0)</w:t>
            </w:r>
          </w:p>
        </w:tc>
        <w:tc>
          <w:tcPr>
            <w:tcW w:w="1843" w:type="dxa"/>
            <w:gridSpan w:val="2"/>
          </w:tcPr>
          <w:p w14:paraId="34222EBE" w14:textId="77777777" w:rsidR="00270E02" w:rsidRPr="00F120E2" w:rsidRDefault="00270E02" w:rsidP="00806230">
            <w:pPr>
              <w:spacing w:line="480" w:lineRule="auto"/>
            </w:pPr>
            <w:r>
              <w:t>78 (63.4)</w:t>
            </w:r>
          </w:p>
        </w:tc>
        <w:tc>
          <w:tcPr>
            <w:tcW w:w="1843" w:type="dxa"/>
          </w:tcPr>
          <w:p w14:paraId="1E680724" w14:textId="77777777" w:rsidR="00270E02" w:rsidRPr="00345EB8" w:rsidRDefault="00270E02" w:rsidP="00806230">
            <w:pPr>
              <w:spacing w:line="480" w:lineRule="auto"/>
              <w:rPr>
                <w:color w:val="FF0000"/>
              </w:rPr>
            </w:pPr>
            <w:r w:rsidRPr="009B6AA6">
              <w:t>463 (50.2)</w:t>
            </w:r>
          </w:p>
        </w:tc>
      </w:tr>
      <w:tr w:rsidR="00270E02" w:rsidRPr="009B6AA6" w14:paraId="6AB593F3" w14:textId="77777777" w:rsidTr="00374744">
        <w:tc>
          <w:tcPr>
            <w:tcW w:w="2835" w:type="dxa"/>
          </w:tcPr>
          <w:p w14:paraId="099E27E9" w14:textId="77777777" w:rsidR="00270E02" w:rsidRPr="00F120E2" w:rsidRDefault="00270E02" w:rsidP="00D229EA">
            <w:pPr>
              <w:spacing w:line="480" w:lineRule="auto"/>
            </w:pPr>
            <w:r w:rsidRPr="00F120E2">
              <w:t>Lack</w:t>
            </w:r>
            <w:r>
              <w:t>ed</w:t>
            </w:r>
            <w:r w:rsidRPr="00F120E2">
              <w:t xml:space="preserve"> interest in sex</w:t>
            </w:r>
          </w:p>
        </w:tc>
        <w:tc>
          <w:tcPr>
            <w:tcW w:w="1843" w:type="dxa"/>
          </w:tcPr>
          <w:p w14:paraId="136DDB42" w14:textId="77777777" w:rsidR="00270E02" w:rsidRPr="004E3B99" w:rsidRDefault="00270E02" w:rsidP="00806230">
            <w:pPr>
              <w:spacing w:line="480" w:lineRule="auto"/>
            </w:pPr>
            <w:r w:rsidRPr="004E3B99">
              <w:t>136 (40.7)</w:t>
            </w:r>
          </w:p>
        </w:tc>
        <w:tc>
          <w:tcPr>
            <w:tcW w:w="1985" w:type="dxa"/>
          </w:tcPr>
          <w:p w14:paraId="78811CA2" w14:textId="77777777" w:rsidR="00270E02" w:rsidRPr="004E3B99" w:rsidRDefault="00270E02" w:rsidP="00806230">
            <w:pPr>
              <w:spacing w:line="480" w:lineRule="auto"/>
            </w:pPr>
            <w:r w:rsidRPr="004E3B99">
              <w:t>118 (38.8)</w:t>
            </w:r>
          </w:p>
        </w:tc>
        <w:tc>
          <w:tcPr>
            <w:tcW w:w="1842" w:type="dxa"/>
          </w:tcPr>
          <w:p w14:paraId="0C3472C2" w14:textId="77777777" w:rsidR="00270E02" w:rsidRPr="004E3B99" w:rsidRDefault="00270E02" w:rsidP="00806230">
            <w:pPr>
              <w:spacing w:line="480" w:lineRule="auto"/>
            </w:pPr>
            <w:r w:rsidRPr="004E3B99">
              <w:t>140 (62.8)</w:t>
            </w:r>
          </w:p>
        </w:tc>
        <w:tc>
          <w:tcPr>
            <w:tcW w:w="1843" w:type="dxa"/>
            <w:gridSpan w:val="2"/>
          </w:tcPr>
          <w:p w14:paraId="53233259" w14:textId="77777777" w:rsidR="00270E02" w:rsidRPr="004E3B99" w:rsidRDefault="00270E02" w:rsidP="00806230">
            <w:pPr>
              <w:spacing w:line="480" w:lineRule="auto"/>
            </w:pPr>
            <w:r w:rsidRPr="004E3B99">
              <w:t>65 (48.1)</w:t>
            </w:r>
          </w:p>
        </w:tc>
        <w:tc>
          <w:tcPr>
            <w:tcW w:w="1843" w:type="dxa"/>
          </w:tcPr>
          <w:p w14:paraId="084F712E" w14:textId="77777777" w:rsidR="00270E02" w:rsidRPr="009B6AA6" w:rsidRDefault="00270E02" w:rsidP="00806230">
            <w:pPr>
              <w:spacing w:line="480" w:lineRule="auto"/>
            </w:pPr>
            <w:r w:rsidRPr="009B6AA6">
              <w:t>459 (46.1)</w:t>
            </w:r>
          </w:p>
        </w:tc>
      </w:tr>
      <w:tr w:rsidR="00270E02" w:rsidRPr="00F120E2" w14:paraId="00BB2E1C" w14:textId="77777777" w:rsidTr="00374744">
        <w:tc>
          <w:tcPr>
            <w:tcW w:w="2835" w:type="dxa"/>
          </w:tcPr>
          <w:p w14:paraId="52F9D1DA" w14:textId="77777777" w:rsidR="00270E02" w:rsidRPr="00F120E2" w:rsidRDefault="00270E02" w:rsidP="00D229EA">
            <w:pPr>
              <w:spacing w:line="480" w:lineRule="auto"/>
            </w:pPr>
            <w:r w:rsidRPr="00F120E2">
              <w:t>Lack</w:t>
            </w:r>
            <w:r>
              <w:t>ed</w:t>
            </w:r>
            <w:r w:rsidRPr="00F120E2">
              <w:t xml:space="preserve"> enjoyment </w:t>
            </w:r>
          </w:p>
        </w:tc>
        <w:tc>
          <w:tcPr>
            <w:tcW w:w="1843" w:type="dxa"/>
          </w:tcPr>
          <w:p w14:paraId="54F48CB5" w14:textId="0851797C" w:rsidR="00270E02" w:rsidRPr="004E3B99" w:rsidRDefault="00EE5778" w:rsidP="00806230">
            <w:pPr>
              <w:spacing w:line="480" w:lineRule="auto"/>
            </w:pPr>
            <w:r>
              <w:t xml:space="preserve">  </w:t>
            </w:r>
            <w:r w:rsidR="00270E02" w:rsidRPr="004E3B99">
              <w:t>92 (29.5)</w:t>
            </w:r>
          </w:p>
        </w:tc>
        <w:tc>
          <w:tcPr>
            <w:tcW w:w="1985" w:type="dxa"/>
          </w:tcPr>
          <w:p w14:paraId="44C6E6E7" w14:textId="25FE2EBB" w:rsidR="00270E02" w:rsidRPr="004E3B99" w:rsidRDefault="00EE5778" w:rsidP="00806230">
            <w:pPr>
              <w:spacing w:line="480" w:lineRule="auto"/>
            </w:pPr>
            <w:r>
              <w:t xml:space="preserve">  </w:t>
            </w:r>
            <w:r w:rsidR="00270E02" w:rsidRPr="004E3B99">
              <w:t>76 (26.6)</w:t>
            </w:r>
          </w:p>
        </w:tc>
        <w:tc>
          <w:tcPr>
            <w:tcW w:w="1842" w:type="dxa"/>
          </w:tcPr>
          <w:p w14:paraId="1D94FC05" w14:textId="522C83FE" w:rsidR="00270E02" w:rsidRPr="004E3B99" w:rsidRDefault="00EE5778" w:rsidP="00806230">
            <w:pPr>
              <w:spacing w:line="480" w:lineRule="auto"/>
            </w:pPr>
            <w:r>
              <w:t xml:space="preserve">  </w:t>
            </w:r>
            <w:r w:rsidR="00270E02" w:rsidRPr="004E3B99">
              <w:t>94 (36.5)</w:t>
            </w:r>
          </w:p>
        </w:tc>
        <w:tc>
          <w:tcPr>
            <w:tcW w:w="1843" w:type="dxa"/>
            <w:gridSpan w:val="2"/>
          </w:tcPr>
          <w:p w14:paraId="779505F5" w14:textId="77777777" w:rsidR="00270E02" w:rsidRPr="004E3B99" w:rsidRDefault="00270E02" w:rsidP="00806230">
            <w:pPr>
              <w:spacing w:line="480" w:lineRule="auto"/>
            </w:pPr>
            <w:r w:rsidRPr="004E3B99">
              <w:t>46 (36.5)</w:t>
            </w:r>
          </w:p>
        </w:tc>
        <w:tc>
          <w:tcPr>
            <w:tcW w:w="1843" w:type="dxa"/>
          </w:tcPr>
          <w:p w14:paraId="2B128669" w14:textId="77777777" w:rsidR="00270E02" w:rsidRPr="00345EB8" w:rsidRDefault="00270E02" w:rsidP="00806230">
            <w:pPr>
              <w:spacing w:line="480" w:lineRule="auto"/>
              <w:rPr>
                <w:color w:val="FF0000"/>
              </w:rPr>
            </w:pPr>
            <w:r w:rsidRPr="009B6AA6">
              <w:t>308 (33.2)</w:t>
            </w:r>
          </w:p>
        </w:tc>
      </w:tr>
      <w:tr w:rsidR="00270E02" w:rsidRPr="00F120E2" w14:paraId="1FFA9F9F" w14:textId="77777777" w:rsidTr="00374744">
        <w:tc>
          <w:tcPr>
            <w:tcW w:w="2835" w:type="dxa"/>
          </w:tcPr>
          <w:p w14:paraId="27E491FC" w14:textId="77777777" w:rsidR="00270E02" w:rsidRPr="00F120E2" w:rsidRDefault="00270E02" w:rsidP="00D229EA">
            <w:pPr>
              <w:spacing w:line="480" w:lineRule="auto"/>
            </w:pPr>
            <w:r w:rsidRPr="00F120E2">
              <w:t>Pain during sex</w:t>
            </w:r>
          </w:p>
        </w:tc>
        <w:tc>
          <w:tcPr>
            <w:tcW w:w="1843" w:type="dxa"/>
          </w:tcPr>
          <w:p w14:paraId="06C131AA" w14:textId="569F7668" w:rsidR="00270E02" w:rsidRPr="004E3B99" w:rsidRDefault="00EE5778" w:rsidP="00806230">
            <w:pPr>
              <w:spacing w:line="480" w:lineRule="auto"/>
            </w:pPr>
            <w:r>
              <w:t xml:space="preserve">  </w:t>
            </w:r>
            <w:r w:rsidR="00270E02" w:rsidRPr="004E3B99">
              <w:t>64 (20.1)</w:t>
            </w:r>
          </w:p>
        </w:tc>
        <w:tc>
          <w:tcPr>
            <w:tcW w:w="1985" w:type="dxa"/>
          </w:tcPr>
          <w:p w14:paraId="3C9AFFD1" w14:textId="02CED1D9" w:rsidR="00270E02" w:rsidRPr="004E3B99" w:rsidRDefault="00EE5778" w:rsidP="00806230">
            <w:pPr>
              <w:spacing w:line="480" w:lineRule="auto"/>
            </w:pPr>
            <w:r>
              <w:t xml:space="preserve">  </w:t>
            </w:r>
            <w:r w:rsidR="00270E02" w:rsidRPr="004E3B99">
              <w:t>66 (22.8)</w:t>
            </w:r>
          </w:p>
        </w:tc>
        <w:tc>
          <w:tcPr>
            <w:tcW w:w="1842" w:type="dxa"/>
          </w:tcPr>
          <w:p w14:paraId="2154C7D6" w14:textId="575CA3EA" w:rsidR="00270E02" w:rsidRPr="004E3B99" w:rsidRDefault="00EE5778" w:rsidP="00806230">
            <w:pPr>
              <w:spacing w:line="480" w:lineRule="auto"/>
            </w:pPr>
            <w:r>
              <w:t xml:space="preserve">  </w:t>
            </w:r>
            <w:r w:rsidR="00270E02" w:rsidRPr="004E3B99">
              <w:t>59 (28.2)</w:t>
            </w:r>
          </w:p>
        </w:tc>
        <w:tc>
          <w:tcPr>
            <w:tcW w:w="1843" w:type="dxa"/>
            <w:gridSpan w:val="2"/>
          </w:tcPr>
          <w:p w14:paraId="4C8322E0" w14:textId="77777777" w:rsidR="00270E02" w:rsidRPr="004E3B99" w:rsidRDefault="00270E02" w:rsidP="00806230">
            <w:pPr>
              <w:spacing w:line="480" w:lineRule="auto"/>
            </w:pPr>
            <w:r w:rsidRPr="004E3B99">
              <w:t>33 (26.2)</w:t>
            </w:r>
          </w:p>
        </w:tc>
        <w:tc>
          <w:tcPr>
            <w:tcW w:w="1843" w:type="dxa"/>
          </w:tcPr>
          <w:p w14:paraId="5DDDC5D0" w14:textId="77777777" w:rsidR="00270E02" w:rsidRPr="00345EB8" w:rsidRDefault="00270E02" w:rsidP="00806230">
            <w:pPr>
              <w:spacing w:line="480" w:lineRule="auto"/>
              <w:rPr>
                <w:color w:val="FF0000"/>
              </w:rPr>
            </w:pPr>
            <w:r w:rsidRPr="009B6AA6">
              <w:t>222 (23.5)</w:t>
            </w:r>
          </w:p>
        </w:tc>
      </w:tr>
      <w:tr w:rsidR="00270E02" w:rsidRPr="00F120E2" w14:paraId="10F06266" w14:textId="77777777" w:rsidTr="00374744">
        <w:tc>
          <w:tcPr>
            <w:tcW w:w="2835" w:type="dxa"/>
            <w:tcBorders>
              <w:bottom w:val="single" w:sz="4" w:space="0" w:color="auto"/>
            </w:tcBorders>
          </w:tcPr>
          <w:p w14:paraId="6CCA4F2E" w14:textId="77777777" w:rsidR="00270E02" w:rsidRPr="00F120E2" w:rsidRDefault="00270E02" w:rsidP="00D229EA">
            <w:pPr>
              <w:spacing w:line="480" w:lineRule="auto"/>
            </w:pPr>
            <w:r w:rsidRPr="00F120E2">
              <w:t xml:space="preserve">No excitement/arousal </w:t>
            </w:r>
          </w:p>
        </w:tc>
        <w:tc>
          <w:tcPr>
            <w:tcW w:w="1843" w:type="dxa"/>
            <w:tcBorders>
              <w:bottom w:val="single" w:sz="4" w:space="0" w:color="auto"/>
            </w:tcBorders>
          </w:tcPr>
          <w:p w14:paraId="284C8F4C" w14:textId="59508DE4" w:rsidR="00270E02" w:rsidRPr="009B6AA6" w:rsidRDefault="00EE5778" w:rsidP="00806230">
            <w:pPr>
              <w:spacing w:line="480" w:lineRule="auto"/>
            </w:pPr>
            <w:r>
              <w:t xml:space="preserve">  </w:t>
            </w:r>
            <w:r w:rsidR="00270E02" w:rsidRPr="009B6AA6">
              <w:t>88 (28.7)</w:t>
            </w:r>
          </w:p>
        </w:tc>
        <w:tc>
          <w:tcPr>
            <w:tcW w:w="1985" w:type="dxa"/>
            <w:tcBorders>
              <w:bottom w:val="single" w:sz="4" w:space="0" w:color="auto"/>
            </w:tcBorders>
          </w:tcPr>
          <w:p w14:paraId="1C222C8E" w14:textId="5FB316A8" w:rsidR="00270E02" w:rsidRPr="009B6AA6" w:rsidRDefault="00EE5778" w:rsidP="00806230">
            <w:pPr>
              <w:spacing w:line="480" w:lineRule="auto"/>
            </w:pPr>
            <w:r>
              <w:t xml:space="preserve">  </w:t>
            </w:r>
            <w:r w:rsidR="00270E02" w:rsidRPr="009B6AA6">
              <w:t>71 (25.7)</w:t>
            </w:r>
          </w:p>
        </w:tc>
        <w:tc>
          <w:tcPr>
            <w:tcW w:w="1842" w:type="dxa"/>
            <w:tcBorders>
              <w:bottom w:val="single" w:sz="4" w:space="0" w:color="auto"/>
            </w:tcBorders>
          </w:tcPr>
          <w:p w14:paraId="6614042C" w14:textId="6FFAF113" w:rsidR="00270E02" w:rsidRPr="009B6AA6" w:rsidRDefault="00EE5778" w:rsidP="00806230">
            <w:pPr>
              <w:spacing w:line="480" w:lineRule="auto"/>
            </w:pPr>
            <w:r>
              <w:t xml:space="preserve">  </w:t>
            </w:r>
            <w:r w:rsidR="00270E02" w:rsidRPr="009B6AA6">
              <w:t>70 (34.5)</w:t>
            </w:r>
          </w:p>
        </w:tc>
        <w:tc>
          <w:tcPr>
            <w:tcW w:w="1843" w:type="dxa"/>
            <w:gridSpan w:val="2"/>
            <w:tcBorders>
              <w:bottom w:val="single" w:sz="4" w:space="0" w:color="auto"/>
            </w:tcBorders>
          </w:tcPr>
          <w:p w14:paraId="28F0FBDB" w14:textId="77777777" w:rsidR="00270E02" w:rsidRPr="009B6AA6" w:rsidRDefault="00270E02" w:rsidP="00806230">
            <w:pPr>
              <w:spacing w:line="480" w:lineRule="auto"/>
            </w:pPr>
            <w:r w:rsidRPr="009B6AA6">
              <w:t>48 (44.0)</w:t>
            </w:r>
          </w:p>
        </w:tc>
        <w:tc>
          <w:tcPr>
            <w:tcW w:w="1843" w:type="dxa"/>
            <w:tcBorders>
              <w:bottom w:val="single" w:sz="4" w:space="0" w:color="auto"/>
            </w:tcBorders>
          </w:tcPr>
          <w:p w14:paraId="3FFABB4D" w14:textId="77777777" w:rsidR="00270E02" w:rsidRPr="009B6AA6" w:rsidRDefault="00270E02" w:rsidP="00806230">
            <w:pPr>
              <w:spacing w:line="480" w:lineRule="auto"/>
            </w:pPr>
            <w:r w:rsidRPr="009B6AA6">
              <w:t>277 (30.9)</w:t>
            </w:r>
          </w:p>
        </w:tc>
      </w:tr>
      <w:tr w:rsidR="00270E02" w:rsidRPr="00F120E2" w14:paraId="020F2B73" w14:textId="77777777" w:rsidTr="00374744">
        <w:trPr>
          <w:gridAfter w:val="2"/>
          <w:wAfter w:w="3384" w:type="dxa"/>
        </w:trPr>
        <w:tc>
          <w:tcPr>
            <w:tcW w:w="8807" w:type="dxa"/>
            <w:gridSpan w:val="5"/>
            <w:tcBorders>
              <w:top w:val="single" w:sz="4" w:space="0" w:color="auto"/>
            </w:tcBorders>
          </w:tcPr>
          <w:p w14:paraId="70FBAC55" w14:textId="77777777" w:rsidR="00270E02" w:rsidRPr="00F120E2" w:rsidRDefault="00270E02" w:rsidP="00D229EA">
            <w:pPr>
              <w:spacing w:line="480" w:lineRule="auto"/>
            </w:pPr>
          </w:p>
        </w:tc>
      </w:tr>
    </w:tbl>
    <w:p w14:paraId="1B0283EA" w14:textId="77777777" w:rsidR="00270E02" w:rsidRPr="00F120E2" w:rsidRDefault="00270E02" w:rsidP="00D229EA">
      <w:pPr>
        <w:spacing w:line="480" w:lineRule="auto"/>
      </w:pPr>
    </w:p>
    <w:p w14:paraId="4A8B7722" w14:textId="77777777" w:rsidR="00270E02" w:rsidRPr="00F120E2" w:rsidRDefault="00270E02" w:rsidP="00D229EA">
      <w:pPr>
        <w:spacing w:line="480" w:lineRule="auto"/>
        <w:ind w:firstLine="810"/>
        <w:outlineLvl w:val="0"/>
        <w:rPr>
          <w:b/>
          <w:sz w:val="22"/>
          <w:szCs w:val="22"/>
          <w:lang w:val="hr-HR"/>
        </w:rPr>
        <w:sectPr w:rsidR="00270E02" w:rsidRPr="00F120E2" w:rsidSect="00716938">
          <w:pgSz w:w="15840" w:h="12240" w:orient="landscape"/>
          <w:pgMar w:top="1417" w:right="1417" w:bottom="1417" w:left="1417" w:header="708" w:footer="708" w:gutter="0"/>
          <w:cols w:space="708"/>
          <w:docGrid w:linePitch="360"/>
        </w:sectPr>
      </w:pPr>
    </w:p>
    <w:p w14:paraId="63663D00" w14:textId="77777777" w:rsidR="00270E02" w:rsidRPr="00F120E2" w:rsidRDefault="00270E02" w:rsidP="00D229EA">
      <w:pPr>
        <w:spacing w:line="480" w:lineRule="auto"/>
        <w:rPr>
          <w:i/>
        </w:rPr>
      </w:pPr>
      <w:r w:rsidRPr="00F120E2">
        <w:lastRenderedPageBreak/>
        <w:t xml:space="preserve">Table 3.  </w:t>
      </w:r>
      <w:r w:rsidRPr="00F120E2">
        <w:rPr>
          <w:i/>
        </w:rPr>
        <w:t>Prevalence of Distressing Sexual Difficulties by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1139"/>
        <w:gridCol w:w="983"/>
        <w:gridCol w:w="1013"/>
        <w:gridCol w:w="1109"/>
        <w:gridCol w:w="1140"/>
        <w:gridCol w:w="983"/>
        <w:gridCol w:w="1013"/>
        <w:gridCol w:w="1109"/>
        <w:gridCol w:w="1060"/>
        <w:gridCol w:w="1131"/>
      </w:tblGrid>
      <w:tr w:rsidR="00270E02" w:rsidRPr="00F120E2" w14:paraId="58AF8833" w14:textId="77777777" w:rsidTr="00374744">
        <w:tc>
          <w:tcPr>
            <w:tcW w:w="2078" w:type="dxa"/>
            <w:tcBorders>
              <w:top w:val="single" w:sz="4" w:space="0" w:color="auto"/>
              <w:bottom w:val="single" w:sz="4" w:space="0" w:color="auto"/>
            </w:tcBorders>
          </w:tcPr>
          <w:p w14:paraId="643F072F" w14:textId="77777777" w:rsidR="00270E02" w:rsidRPr="001E1892" w:rsidRDefault="00270E02" w:rsidP="00D229EA">
            <w:pPr>
              <w:spacing w:line="480" w:lineRule="auto"/>
              <w:rPr>
                <w:sz w:val="20"/>
                <w:szCs w:val="20"/>
              </w:rPr>
            </w:pPr>
          </w:p>
        </w:tc>
        <w:tc>
          <w:tcPr>
            <w:tcW w:w="2122" w:type="dxa"/>
            <w:gridSpan w:val="2"/>
            <w:tcBorders>
              <w:top w:val="single" w:sz="4" w:space="0" w:color="auto"/>
              <w:bottom w:val="single" w:sz="4" w:space="0" w:color="auto"/>
            </w:tcBorders>
          </w:tcPr>
          <w:p w14:paraId="61037C46" w14:textId="77777777" w:rsidR="00270E02" w:rsidRPr="001E1892" w:rsidRDefault="00270E02" w:rsidP="00D229EA">
            <w:pPr>
              <w:spacing w:line="480" w:lineRule="auto"/>
              <w:jc w:val="center"/>
              <w:rPr>
                <w:sz w:val="20"/>
                <w:szCs w:val="20"/>
              </w:rPr>
            </w:pPr>
            <w:r w:rsidRPr="001E1892">
              <w:rPr>
                <w:sz w:val="20"/>
                <w:szCs w:val="20"/>
              </w:rPr>
              <w:t>Norway</w:t>
            </w:r>
          </w:p>
        </w:tc>
        <w:tc>
          <w:tcPr>
            <w:tcW w:w="2122" w:type="dxa"/>
            <w:gridSpan w:val="2"/>
            <w:tcBorders>
              <w:top w:val="single" w:sz="4" w:space="0" w:color="auto"/>
              <w:bottom w:val="single" w:sz="4" w:space="0" w:color="auto"/>
            </w:tcBorders>
          </w:tcPr>
          <w:p w14:paraId="5DC38057" w14:textId="77777777" w:rsidR="00270E02" w:rsidRPr="001E1892" w:rsidRDefault="00270E02" w:rsidP="00D229EA">
            <w:pPr>
              <w:spacing w:line="480" w:lineRule="auto"/>
              <w:jc w:val="center"/>
              <w:rPr>
                <w:sz w:val="20"/>
                <w:szCs w:val="20"/>
              </w:rPr>
            </w:pPr>
            <w:r w:rsidRPr="001E1892">
              <w:rPr>
                <w:sz w:val="20"/>
                <w:szCs w:val="20"/>
              </w:rPr>
              <w:t>Denmark</w:t>
            </w:r>
          </w:p>
        </w:tc>
        <w:tc>
          <w:tcPr>
            <w:tcW w:w="2123" w:type="dxa"/>
            <w:gridSpan w:val="2"/>
            <w:tcBorders>
              <w:top w:val="single" w:sz="4" w:space="0" w:color="auto"/>
              <w:bottom w:val="single" w:sz="4" w:space="0" w:color="auto"/>
            </w:tcBorders>
          </w:tcPr>
          <w:p w14:paraId="301F6D90" w14:textId="77777777" w:rsidR="00270E02" w:rsidRPr="001E1892" w:rsidRDefault="00270E02" w:rsidP="00D229EA">
            <w:pPr>
              <w:spacing w:line="480" w:lineRule="auto"/>
              <w:jc w:val="center"/>
              <w:rPr>
                <w:sz w:val="20"/>
                <w:szCs w:val="20"/>
              </w:rPr>
            </w:pPr>
            <w:r w:rsidRPr="001E1892">
              <w:rPr>
                <w:sz w:val="20"/>
                <w:szCs w:val="20"/>
              </w:rPr>
              <w:t>Belgium</w:t>
            </w:r>
          </w:p>
        </w:tc>
        <w:tc>
          <w:tcPr>
            <w:tcW w:w="2122" w:type="dxa"/>
            <w:gridSpan w:val="2"/>
            <w:tcBorders>
              <w:top w:val="single" w:sz="4" w:space="0" w:color="auto"/>
              <w:bottom w:val="single" w:sz="4" w:space="0" w:color="auto"/>
            </w:tcBorders>
          </w:tcPr>
          <w:p w14:paraId="40BAECA1" w14:textId="77777777" w:rsidR="00270E02" w:rsidRPr="001E1892" w:rsidRDefault="00270E02" w:rsidP="00D229EA">
            <w:pPr>
              <w:spacing w:line="480" w:lineRule="auto"/>
              <w:jc w:val="center"/>
              <w:rPr>
                <w:sz w:val="20"/>
                <w:szCs w:val="20"/>
              </w:rPr>
            </w:pPr>
            <w:r w:rsidRPr="001E1892">
              <w:rPr>
                <w:sz w:val="20"/>
                <w:szCs w:val="20"/>
              </w:rPr>
              <w:t>Portugal</w:t>
            </w:r>
          </w:p>
        </w:tc>
        <w:tc>
          <w:tcPr>
            <w:tcW w:w="2191" w:type="dxa"/>
            <w:gridSpan w:val="2"/>
            <w:tcBorders>
              <w:top w:val="single" w:sz="4" w:space="0" w:color="auto"/>
              <w:bottom w:val="single" w:sz="4" w:space="0" w:color="auto"/>
            </w:tcBorders>
          </w:tcPr>
          <w:p w14:paraId="5E14A29F" w14:textId="77777777" w:rsidR="00270E02" w:rsidRPr="001E1892" w:rsidRDefault="00270E02" w:rsidP="00D229EA">
            <w:pPr>
              <w:spacing w:line="480" w:lineRule="auto"/>
              <w:jc w:val="center"/>
              <w:rPr>
                <w:sz w:val="20"/>
                <w:szCs w:val="20"/>
              </w:rPr>
            </w:pPr>
            <w:r>
              <w:rPr>
                <w:sz w:val="20"/>
                <w:szCs w:val="20"/>
              </w:rPr>
              <w:t>Total</w:t>
            </w:r>
          </w:p>
        </w:tc>
      </w:tr>
      <w:tr w:rsidR="00270E02" w:rsidRPr="00F120E2" w14:paraId="60480AF6" w14:textId="77777777" w:rsidTr="00374744">
        <w:tc>
          <w:tcPr>
            <w:tcW w:w="2078" w:type="dxa"/>
            <w:tcBorders>
              <w:top w:val="single" w:sz="4" w:space="0" w:color="auto"/>
              <w:bottom w:val="single" w:sz="4" w:space="0" w:color="auto"/>
            </w:tcBorders>
          </w:tcPr>
          <w:p w14:paraId="6108EF95" w14:textId="77777777" w:rsidR="00270E02" w:rsidRPr="001E1892" w:rsidRDefault="00270E02" w:rsidP="00D229EA">
            <w:pPr>
              <w:spacing w:line="480" w:lineRule="auto"/>
              <w:rPr>
                <w:sz w:val="20"/>
                <w:szCs w:val="20"/>
              </w:rPr>
            </w:pPr>
          </w:p>
        </w:tc>
        <w:tc>
          <w:tcPr>
            <w:tcW w:w="1139" w:type="dxa"/>
            <w:tcBorders>
              <w:top w:val="single" w:sz="4" w:space="0" w:color="auto"/>
              <w:bottom w:val="single" w:sz="4" w:space="0" w:color="auto"/>
            </w:tcBorders>
          </w:tcPr>
          <w:p w14:paraId="2EDC05EA" w14:textId="77777777" w:rsidR="00270E02" w:rsidRPr="001E1892" w:rsidRDefault="00270E02" w:rsidP="00D229EA">
            <w:pPr>
              <w:spacing w:line="480" w:lineRule="auto"/>
              <w:jc w:val="center"/>
              <w:rPr>
                <w:sz w:val="20"/>
                <w:szCs w:val="20"/>
              </w:rPr>
            </w:pPr>
            <w:r w:rsidRPr="001E1892">
              <w:rPr>
                <w:sz w:val="20"/>
                <w:szCs w:val="20"/>
              </w:rPr>
              <w:t>No or mild distress</w:t>
            </w:r>
          </w:p>
        </w:tc>
        <w:tc>
          <w:tcPr>
            <w:tcW w:w="983" w:type="dxa"/>
            <w:tcBorders>
              <w:top w:val="single" w:sz="4" w:space="0" w:color="auto"/>
              <w:bottom w:val="single" w:sz="4" w:space="0" w:color="auto"/>
            </w:tcBorders>
          </w:tcPr>
          <w:p w14:paraId="49DBB33B" w14:textId="77777777" w:rsidR="00270E02" w:rsidRPr="001E1892" w:rsidRDefault="00270E02" w:rsidP="00D229EA">
            <w:pPr>
              <w:spacing w:line="480" w:lineRule="auto"/>
              <w:jc w:val="center"/>
              <w:rPr>
                <w:sz w:val="20"/>
                <w:szCs w:val="20"/>
              </w:rPr>
            </w:pPr>
            <w:r w:rsidRPr="001E1892">
              <w:rPr>
                <w:sz w:val="20"/>
                <w:szCs w:val="20"/>
              </w:rPr>
              <w:t>Moderate or severe distress</w:t>
            </w:r>
          </w:p>
        </w:tc>
        <w:tc>
          <w:tcPr>
            <w:tcW w:w="1013" w:type="dxa"/>
            <w:tcBorders>
              <w:top w:val="single" w:sz="4" w:space="0" w:color="auto"/>
              <w:bottom w:val="single" w:sz="4" w:space="0" w:color="auto"/>
            </w:tcBorders>
          </w:tcPr>
          <w:p w14:paraId="0C77B461" w14:textId="77777777" w:rsidR="00270E02" w:rsidRPr="001E1892" w:rsidRDefault="00270E02" w:rsidP="00D229EA">
            <w:pPr>
              <w:spacing w:line="480" w:lineRule="auto"/>
              <w:jc w:val="center"/>
              <w:rPr>
                <w:sz w:val="20"/>
                <w:szCs w:val="20"/>
              </w:rPr>
            </w:pPr>
            <w:r w:rsidRPr="001E1892">
              <w:rPr>
                <w:sz w:val="20"/>
                <w:szCs w:val="20"/>
              </w:rPr>
              <w:t>No or mild distress</w:t>
            </w:r>
          </w:p>
        </w:tc>
        <w:tc>
          <w:tcPr>
            <w:tcW w:w="1109" w:type="dxa"/>
            <w:tcBorders>
              <w:top w:val="single" w:sz="4" w:space="0" w:color="auto"/>
              <w:bottom w:val="single" w:sz="4" w:space="0" w:color="auto"/>
            </w:tcBorders>
          </w:tcPr>
          <w:p w14:paraId="674FADD3" w14:textId="77777777" w:rsidR="00270E02" w:rsidRPr="001E1892" w:rsidRDefault="00270E02" w:rsidP="00D229EA">
            <w:pPr>
              <w:spacing w:line="480" w:lineRule="auto"/>
              <w:jc w:val="center"/>
              <w:rPr>
                <w:sz w:val="20"/>
                <w:szCs w:val="20"/>
              </w:rPr>
            </w:pPr>
            <w:r w:rsidRPr="001E1892">
              <w:rPr>
                <w:sz w:val="20"/>
                <w:szCs w:val="20"/>
              </w:rPr>
              <w:t>Moderate or severe distress</w:t>
            </w:r>
          </w:p>
        </w:tc>
        <w:tc>
          <w:tcPr>
            <w:tcW w:w="1140" w:type="dxa"/>
            <w:tcBorders>
              <w:top w:val="single" w:sz="4" w:space="0" w:color="auto"/>
              <w:bottom w:val="single" w:sz="4" w:space="0" w:color="auto"/>
            </w:tcBorders>
          </w:tcPr>
          <w:p w14:paraId="76CC6784" w14:textId="77777777" w:rsidR="00270E02" w:rsidRPr="001E1892" w:rsidRDefault="00270E02" w:rsidP="00D229EA">
            <w:pPr>
              <w:spacing w:line="480" w:lineRule="auto"/>
              <w:jc w:val="center"/>
              <w:rPr>
                <w:sz w:val="20"/>
                <w:szCs w:val="20"/>
              </w:rPr>
            </w:pPr>
            <w:r w:rsidRPr="001E1892">
              <w:rPr>
                <w:sz w:val="20"/>
                <w:szCs w:val="20"/>
              </w:rPr>
              <w:t>No or mild distress</w:t>
            </w:r>
          </w:p>
        </w:tc>
        <w:tc>
          <w:tcPr>
            <w:tcW w:w="983" w:type="dxa"/>
            <w:tcBorders>
              <w:top w:val="single" w:sz="4" w:space="0" w:color="auto"/>
              <w:bottom w:val="single" w:sz="4" w:space="0" w:color="auto"/>
            </w:tcBorders>
          </w:tcPr>
          <w:p w14:paraId="1AAC3A6D" w14:textId="77777777" w:rsidR="00270E02" w:rsidRPr="001E1892" w:rsidRDefault="00270E02" w:rsidP="00D229EA">
            <w:pPr>
              <w:spacing w:line="480" w:lineRule="auto"/>
              <w:jc w:val="center"/>
              <w:rPr>
                <w:sz w:val="20"/>
                <w:szCs w:val="20"/>
              </w:rPr>
            </w:pPr>
            <w:r w:rsidRPr="001E1892">
              <w:rPr>
                <w:sz w:val="20"/>
                <w:szCs w:val="20"/>
              </w:rPr>
              <w:t>Moderate or severe distress</w:t>
            </w:r>
          </w:p>
        </w:tc>
        <w:tc>
          <w:tcPr>
            <w:tcW w:w="1013" w:type="dxa"/>
            <w:tcBorders>
              <w:top w:val="single" w:sz="4" w:space="0" w:color="auto"/>
              <w:bottom w:val="single" w:sz="4" w:space="0" w:color="auto"/>
            </w:tcBorders>
          </w:tcPr>
          <w:p w14:paraId="5C4A2AA8" w14:textId="77777777" w:rsidR="00270E02" w:rsidRPr="001E1892" w:rsidRDefault="00270E02" w:rsidP="00D229EA">
            <w:pPr>
              <w:spacing w:line="480" w:lineRule="auto"/>
              <w:jc w:val="center"/>
              <w:rPr>
                <w:sz w:val="20"/>
                <w:szCs w:val="20"/>
              </w:rPr>
            </w:pPr>
            <w:r w:rsidRPr="001E1892">
              <w:rPr>
                <w:sz w:val="20"/>
                <w:szCs w:val="20"/>
              </w:rPr>
              <w:t>No or mild distress</w:t>
            </w:r>
          </w:p>
        </w:tc>
        <w:tc>
          <w:tcPr>
            <w:tcW w:w="1109" w:type="dxa"/>
            <w:tcBorders>
              <w:top w:val="single" w:sz="4" w:space="0" w:color="auto"/>
              <w:bottom w:val="single" w:sz="4" w:space="0" w:color="auto"/>
            </w:tcBorders>
          </w:tcPr>
          <w:p w14:paraId="24535EAD" w14:textId="77777777" w:rsidR="00270E02" w:rsidRPr="001E1892" w:rsidRDefault="00270E02" w:rsidP="00D229EA">
            <w:pPr>
              <w:spacing w:line="480" w:lineRule="auto"/>
              <w:jc w:val="center"/>
              <w:rPr>
                <w:sz w:val="20"/>
                <w:szCs w:val="20"/>
              </w:rPr>
            </w:pPr>
            <w:r w:rsidRPr="001E1892">
              <w:rPr>
                <w:sz w:val="20"/>
                <w:szCs w:val="20"/>
              </w:rPr>
              <w:t>Moderate or severe distress</w:t>
            </w:r>
          </w:p>
        </w:tc>
        <w:tc>
          <w:tcPr>
            <w:tcW w:w="1060" w:type="dxa"/>
            <w:tcBorders>
              <w:top w:val="single" w:sz="4" w:space="0" w:color="auto"/>
              <w:bottom w:val="single" w:sz="4" w:space="0" w:color="auto"/>
            </w:tcBorders>
          </w:tcPr>
          <w:p w14:paraId="2D63DF0D" w14:textId="77777777" w:rsidR="00270E02" w:rsidRPr="001E1892" w:rsidRDefault="00270E02" w:rsidP="00D229EA">
            <w:pPr>
              <w:spacing w:line="480" w:lineRule="auto"/>
              <w:jc w:val="center"/>
              <w:rPr>
                <w:sz w:val="20"/>
                <w:szCs w:val="20"/>
              </w:rPr>
            </w:pPr>
            <w:r>
              <w:rPr>
                <w:sz w:val="20"/>
                <w:szCs w:val="20"/>
              </w:rPr>
              <w:t>No or mild distress</w:t>
            </w:r>
          </w:p>
        </w:tc>
        <w:tc>
          <w:tcPr>
            <w:tcW w:w="1131" w:type="dxa"/>
            <w:tcBorders>
              <w:top w:val="single" w:sz="4" w:space="0" w:color="auto"/>
              <w:bottom w:val="single" w:sz="4" w:space="0" w:color="auto"/>
            </w:tcBorders>
          </w:tcPr>
          <w:p w14:paraId="6B70C525" w14:textId="77777777" w:rsidR="00270E02" w:rsidRPr="001E1892" w:rsidRDefault="00270E02" w:rsidP="00D229EA">
            <w:pPr>
              <w:spacing w:line="480" w:lineRule="auto"/>
              <w:jc w:val="center"/>
              <w:rPr>
                <w:sz w:val="20"/>
                <w:szCs w:val="20"/>
              </w:rPr>
            </w:pPr>
            <w:r>
              <w:rPr>
                <w:sz w:val="20"/>
                <w:szCs w:val="20"/>
              </w:rPr>
              <w:t>Moderate or severe distress</w:t>
            </w:r>
          </w:p>
        </w:tc>
      </w:tr>
      <w:tr w:rsidR="00270E02" w:rsidRPr="00F120E2" w14:paraId="6C37CB93" w14:textId="77777777" w:rsidTr="00374744">
        <w:tc>
          <w:tcPr>
            <w:tcW w:w="2078" w:type="dxa"/>
            <w:tcBorders>
              <w:top w:val="single" w:sz="4" w:space="0" w:color="auto"/>
              <w:bottom w:val="single" w:sz="4" w:space="0" w:color="auto"/>
            </w:tcBorders>
          </w:tcPr>
          <w:p w14:paraId="46D95636" w14:textId="77777777" w:rsidR="00270E02" w:rsidRPr="001E1892" w:rsidRDefault="00270E02" w:rsidP="00D229EA">
            <w:pPr>
              <w:spacing w:line="480" w:lineRule="auto"/>
              <w:rPr>
                <w:sz w:val="20"/>
                <w:szCs w:val="20"/>
              </w:rPr>
            </w:pPr>
          </w:p>
        </w:tc>
        <w:tc>
          <w:tcPr>
            <w:tcW w:w="1139" w:type="dxa"/>
            <w:tcBorders>
              <w:top w:val="single" w:sz="4" w:space="0" w:color="auto"/>
              <w:bottom w:val="single" w:sz="4" w:space="0" w:color="auto"/>
            </w:tcBorders>
          </w:tcPr>
          <w:p w14:paraId="1ACD1D1A" w14:textId="77777777" w:rsidR="00270E02" w:rsidRPr="001E1892" w:rsidRDefault="00270E02" w:rsidP="00D229EA">
            <w:pPr>
              <w:spacing w:line="480" w:lineRule="auto"/>
              <w:jc w:val="center"/>
              <w:rPr>
                <w:i/>
                <w:sz w:val="20"/>
                <w:szCs w:val="20"/>
              </w:rPr>
            </w:pPr>
            <w:r w:rsidRPr="001E1892">
              <w:rPr>
                <w:i/>
                <w:sz w:val="20"/>
                <w:szCs w:val="20"/>
              </w:rPr>
              <w:t>n</w:t>
            </w:r>
          </w:p>
          <w:p w14:paraId="49E22CDC" w14:textId="77777777" w:rsidR="00270E02" w:rsidRPr="001E1892" w:rsidRDefault="00270E02" w:rsidP="00D229EA">
            <w:pPr>
              <w:spacing w:line="480" w:lineRule="auto"/>
              <w:jc w:val="center"/>
              <w:rPr>
                <w:sz w:val="20"/>
                <w:szCs w:val="20"/>
              </w:rPr>
            </w:pPr>
            <w:r w:rsidRPr="001E1892">
              <w:rPr>
                <w:sz w:val="20"/>
                <w:szCs w:val="20"/>
              </w:rPr>
              <w:t>(%)</w:t>
            </w:r>
          </w:p>
        </w:tc>
        <w:tc>
          <w:tcPr>
            <w:tcW w:w="983" w:type="dxa"/>
            <w:tcBorders>
              <w:top w:val="single" w:sz="4" w:space="0" w:color="auto"/>
              <w:bottom w:val="single" w:sz="4" w:space="0" w:color="auto"/>
            </w:tcBorders>
          </w:tcPr>
          <w:p w14:paraId="04DFD987" w14:textId="77777777" w:rsidR="00270E02" w:rsidRPr="001E1892" w:rsidRDefault="00270E02" w:rsidP="00D229EA">
            <w:pPr>
              <w:spacing w:line="480" w:lineRule="auto"/>
              <w:jc w:val="center"/>
              <w:rPr>
                <w:i/>
                <w:sz w:val="20"/>
                <w:szCs w:val="20"/>
              </w:rPr>
            </w:pPr>
            <w:r w:rsidRPr="001E1892">
              <w:rPr>
                <w:i/>
                <w:sz w:val="20"/>
                <w:szCs w:val="20"/>
              </w:rPr>
              <w:t>n</w:t>
            </w:r>
          </w:p>
          <w:p w14:paraId="1AA8CF36" w14:textId="77777777" w:rsidR="00270E02" w:rsidRPr="001E1892" w:rsidRDefault="00270E02" w:rsidP="00D229EA">
            <w:pPr>
              <w:spacing w:line="480" w:lineRule="auto"/>
              <w:jc w:val="center"/>
              <w:rPr>
                <w:sz w:val="20"/>
                <w:szCs w:val="20"/>
              </w:rPr>
            </w:pPr>
            <w:r w:rsidRPr="001E1892">
              <w:rPr>
                <w:sz w:val="20"/>
                <w:szCs w:val="20"/>
              </w:rPr>
              <w:t>(%)</w:t>
            </w:r>
          </w:p>
        </w:tc>
        <w:tc>
          <w:tcPr>
            <w:tcW w:w="1013" w:type="dxa"/>
            <w:tcBorders>
              <w:top w:val="single" w:sz="4" w:space="0" w:color="auto"/>
              <w:bottom w:val="single" w:sz="4" w:space="0" w:color="auto"/>
            </w:tcBorders>
          </w:tcPr>
          <w:p w14:paraId="592202D0" w14:textId="77777777" w:rsidR="00270E02" w:rsidRPr="001E1892" w:rsidRDefault="00270E02" w:rsidP="00D229EA">
            <w:pPr>
              <w:spacing w:line="480" w:lineRule="auto"/>
              <w:jc w:val="center"/>
              <w:rPr>
                <w:i/>
                <w:sz w:val="20"/>
                <w:szCs w:val="20"/>
              </w:rPr>
            </w:pPr>
            <w:r w:rsidRPr="001E1892">
              <w:rPr>
                <w:i/>
                <w:sz w:val="20"/>
                <w:szCs w:val="20"/>
              </w:rPr>
              <w:t>n</w:t>
            </w:r>
          </w:p>
          <w:p w14:paraId="08D2C83F" w14:textId="77777777" w:rsidR="00270E02" w:rsidRPr="001E1892" w:rsidRDefault="00270E02" w:rsidP="00D229EA">
            <w:pPr>
              <w:spacing w:line="480" w:lineRule="auto"/>
              <w:jc w:val="center"/>
              <w:rPr>
                <w:sz w:val="20"/>
                <w:szCs w:val="20"/>
              </w:rPr>
            </w:pPr>
            <w:r w:rsidRPr="001E1892">
              <w:rPr>
                <w:sz w:val="20"/>
                <w:szCs w:val="20"/>
              </w:rPr>
              <w:t>(%)</w:t>
            </w:r>
          </w:p>
        </w:tc>
        <w:tc>
          <w:tcPr>
            <w:tcW w:w="1109" w:type="dxa"/>
            <w:tcBorders>
              <w:top w:val="single" w:sz="4" w:space="0" w:color="auto"/>
              <w:bottom w:val="single" w:sz="4" w:space="0" w:color="auto"/>
            </w:tcBorders>
          </w:tcPr>
          <w:p w14:paraId="1958D4D5" w14:textId="77777777" w:rsidR="00270E02" w:rsidRPr="001E1892" w:rsidRDefault="00270E02" w:rsidP="00D229EA">
            <w:pPr>
              <w:spacing w:line="480" w:lineRule="auto"/>
              <w:jc w:val="center"/>
              <w:rPr>
                <w:i/>
                <w:sz w:val="20"/>
                <w:szCs w:val="20"/>
              </w:rPr>
            </w:pPr>
            <w:r w:rsidRPr="001E1892">
              <w:rPr>
                <w:i/>
                <w:sz w:val="20"/>
                <w:szCs w:val="20"/>
              </w:rPr>
              <w:t>n</w:t>
            </w:r>
          </w:p>
          <w:p w14:paraId="7FE9AED7" w14:textId="77777777" w:rsidR="00270E02" w:rsidRPr="001E1892" w:rsidRDefault="00270E02" w:rsidP="00D229EA">
            <w:pPr>
              <w:spacing w:line="480" w:lineRule="auto"/>
              <w:jc w:val="center"/>
              <w:rPr>
                <w:sz w:val="20"/>
                <w:szCs w:val="20"/>
              </w:rPr>
            </w:pPr>
            <w:r w:rsidRPr="001E1892">
              <w:rPr>
                <w:sz w:val="20"/>
                <w:szCs w:val="20"/>
              </w:rPr>
              <w:t>(%)</w:t>
            </w:r>
          </w:p>
        </w:tc>
        <w:tc>
          <w:tcPr>
            <w:tcW w:w="1140" w:type="dxa"/>
            <w:tcBorders>
              <w:top w:val="single" w:sz="4" w:space="0" w:color="auto"/>
              <w:bottom w:val="single" w:sz="4" w:space="0" w:color="auto"/>
            </w:tcBorders>
          </w:tcPr>
          <w:p w14:paraId="42E5688A" w14:textId="77777777" w:rsidR="00270E02" w:rsidRPr="001E1892" w:rsidRDefault="00270E02" w:rsidP="00D229EA">
            <w:pPr>
              <w:spacing w:line="480" w:lineRule="auto"/>
              <w:jc w:val="center"/>
              <w:rPr>
                <w:i/>
                <w:sz w:val="20"/>
                <w:szCs w:val="20"/>
              </w:rPr>
            </w:pPr>
            <w:r w:rsidRPr="001E1892">
              <w:rPr>
                <w:i/>
                <w:sz w:val="20"/>
                <w:szCs w:val="20"/>
              </w:rPr>
              <w:t>n</w:t>
            </w:r>
          </w:p>
          <w:p w14:paraId="75E8487A" w14:textId="77777777" w:rsidR="00270E02" w:rsidRPr="001E1892" w:rsidRDefault="00270E02" w:rsidP="00D229EA">
            <w:pPr>
              <w:spacing w:line="480" w:lineRule="auto"/>
              <w:jc w:val="center"/>
              <w:rPr>
                <w:sz w:val="20"/>
                <w:szCs w:val="20"/>
              </w:rPr>
            </w:pPr>
            <w:r w:rsidRPr="001E1892">
              <w:rPr>
                <w:sz w:val="20"/>
                <w:szCs w:val="20"/>
              </w:rPr>
              <w:t>(%)</w:t>
            </w:r>
          </w:p>
        </w:tc>
        <w:tc>
          <w:tcPr>
            <w:tcW w:w="983" w:type="dxa"/>
            <w:tcBorders>
              <w:top w:val="single" w:sz="4" w:space="0" w:color="auto"/>
              <w:bottom w:val="single" w:sz="4" w:space="0" w:color="auto"/>
            </w:tcBorders>
          </w:tcPr>
          <w:p w14:paraId="6B31620F" w14:textId="77777777" w:rsidR="00270E02" w:rsidRPr="001E1892" w:rsidRDefault="00270E02" w:rsidP="00D229EA">
            <w:pPr>
              <w:spacing w:line="480" w:lineRule="auto"/>
              <w:jc w:val="center"/>
              <w:rPr>
                <w:i/>
                <w:sz w:val="20"/>
                <w:szCs w:val="20"/>
              </w:rPr>
            </w:pPr>
            <w:r w:rsidRPr="001E1892">
              <w:rPr>
                <w:i/>
                <w:sz w:val="20"/>
                <w:szCs w:val="20"/>
              </w:rPr>
              <w:t>n</w:t>
            </w:r>
          </w:p>
          <w:p w14:paraId="608BCF76" w14:textId="77777777" w:rsidR="00270E02" w:rsidRPr="001E1892" w:rsidRDefault="00270E02" w:rsidP="00D229EA">
            <w:pPr>
              <w:spacing w:line="480" w:lineRule="auto"/>
              <w:jc w:val="center"/>
              <w:rPr>
                <w:sz w:val="20"/>
                <w:szCs w:val="20"/>
              </w:rPr>
            </w:pPr>
            <w:r w:rsidRPr="001E1892">
              <w:rPr>
                <w:sz w:val="20"/>
                <w:szCs w:val="20"/>
              </w:rPr>
              <w:t>(%)</w:t>
            </w:r>
          </w:p>
        </w:tc>
        <w:tc>
          <w:tcPr>
            <w:tcW w:w="1013" w:type="dxa"/>
            <w:tcBorders>
              <w:top w:val="single" w:sz="4" w:space="0" w:color="auto"/>
              <w:bottom w:val="single" w:sz="4" w:space="0" w:color="auto"/>
            </w:tcBorders>
          </w:tcPr>
          <w:p w14:paraId="6EA2BF00" w14:textId="77777777" w:rsidR="00270E02" w:rsidRPr="001E1892" w:rsidRDefault="00270E02" w:rsidP="00D229EA">
            <w:pPr>
              <w:spacing w:line="480" w:lineRule="auto"/>
              <w:jc w:val="center"/>
              <w:rPr>
                <w:i/>
                <w:sz w:val="20"/>
                <w:szCs w:val="20"/>
              </w:rPr>
            </w:pPr>
            <w:r w:rsidRPr="001E1892">
              <w:rPr>
                <w:i/>
                <w:sz w:val="20"/>
                <w:szCs w:val="20"/>
              </w:rPr>
              <w:t>n</w:t>
            </w:r>
          </w:p>
          <w:p w14:paraId="74865ABC" w14:textId="77777777" w:rsidR="00270E02" w:rsidRPr="001E1892" w:rsidRDefault="00270E02" w:rsidP="00D229EA">
            <w:pPr>
              <w:spacing w:line="480" w:lineRule="auto"/>
              <w:jc w:val="center"/>
              <w:rPr>
                <w:sz w:val="20"/>
                <w:szCs w:val="20"/>
              </w:rPr>
            </w:pPr>
            <w:r w:rsidRPr="001E1892">
              <w:rPr>
                <w:sz w:val="20"/>
                <w:szCs w:val="20"/>
              </w:rPr>
              <w:t>(%)</w:t>
            </w:r>
          </w:p>
        </w:tc>
        <w:tc>
          <w:tcPr>
            <w:tcW w:w="1109" w:type="dxa"/>
            <w:tcBorders>
              <w:top w:val="single" w:sz="4" w:space="0" w:color="auto"/>
              <w:bottom w:val="single" w:sz="4" w:space="0" w:color="auto"/>
            </w:tcBorders>
          </w:tcPr>
          <w:p w14:paraId="6153C253" w14:textId="77777777" w:rsidR="00270E02" w:rsidRPr="001E1892" w:rsidRDefault="00270E02" w:rsidP="00D229EA">
            <w:pPr>
              <w:spacing w:line="480" w:lineRule="auto"/>
              <w:jc w:val="center"/>
              <w:rPr>
                <w:i/>
                <w:sz w:val="20"/>
                <w:szCs w:val="20"/>
              </w:rPr>
            </w:pPr>
            <w:r w:rsidRPr="001E1892">
              <w:rPr>
                <w:i/>
                <w:sz w:val="20"/>
                <w:szCs w:val="20"/>
              </w:rPr>
              <w:t>n</w:t>
            </w:r>
          </w:p>
          <w:p w14:paraId="6552D6DF" w14:textId="77777777" w:rsidR="00270E02" w:rsidRPr="001E1892" w:rsidRDefault="00270E02" w:rsidP="00D229EA">
            <w:pPr>
              <w:spacing w:line="480" w:lineRule="auto"/>
              <w:jc w:val="center"/>
              <w:rPr>
                <w:sz w:val="20"/>
                <w:szCs w:val="20"/>
              </w:rPr>
            </w:pPr>
            <w:r w:rsidRPr="001E1892">
              <w:rPr>
                <w:sz w:val="20"/>
                <w:szCs w:val="20"/>
              </w:rPr>
              <w:t>(%)</w:t>
            </w:r>
          </w:p>
        </w:tc>
        <w:tc>
          <w:tcPr>
            <w:tcW w:w="1060" w:type="dxa"/>
            <w:tcBorders>
              <w:top w:val="single" w:sz="4" w:space="0" w:color="auto"/>
              <w:bottom w:val="single" w:sz="4" w:space="0" w:color="auto"/>
            </w:tcBorders>
          </w:tcPr>
          <w:p w14:paraId="360A185B" w14:textId="77777777" w:rsidR="00270E02" w:rsidRPr="001E1892" w:rsidRDefault="00270E02" w:rsidP="00D229EA">
            <w:pPr>
              <w:spacing w:line="480" w:lineRule="auto"/>
              <w:jc w:val="center"/>
              <w:rPr>
                <w:i/>
                <w:sz w:val="20"/>
                <w:szCs w:val="20"/>
              </w:rPr>
            </w:pPr>
            <w:r w:rsidRPr="001E1892">
              <w:rPr>
                <w:i/>
                <w:sz w:val="20"/>
                <w:szCs w:val="20"/>
              </w:rPr>
              <w:t>n</w:t>
            </w:r>
          </w:p>
          <w:p w14:paraId="3C5531C0" w14:textId="77777777" w:rsidR="00270E02" w:rsidRPr="001E1892" w:rsidRDefault="00270E02" w:rsidP="00D229EA">
            <w:pPr>
              <w:spacing w:line="480" w:lineRule="auto"/>
              <w:jc w:val="center"/>
              <w:rPr>
                <w:i/>
                <w:sz w:val="20"/>
                <w:szCs w:val="20"/>
              </w:rPr>
            </w:pPr>
            <w:r w:rsidRPr="001E1892">
              <w:rPr>
                <w:sz w:val="20"/>
                <w:szCs w:val="20"/>
              </w:rPr>
              <w:t>(%)</w:t>
            </w:r>
          </w:p>
        </w:tc>
        <w:tc>
          <w:tcPr>
            <w:tcW w:w="1131" w:type="dxa"/>
            <w:tcBorders>
              <w:top w:val="single" w:sz="4" w:space="0" w:color="auto"/>
              <w:bottom w:val="single" w:sz="4" w:space="0" w:color="auto"/>
            </w:tcBorders>
          </w:tcPr>
          <w:p w14:paraId="2B6272A9" w14:textId="77777777" w:rsidR="00270E02" w:rsidRPr="001E1892" w:rsidRDefault="00270E02" w:rsidP="00D229EA">
            <w:pPr>
              <w:spacing w:line="480" w:lineRule="auto"/>
              <w:jc w:val="center"/>
              <w:rPr>
                <w:i/>
                <w:sz w:val="20"/>
                <w:szCs w:val="20"/>
              </w:rPr>
            </w:pPr>
            <w:r w:rsidRPr="001E1892">
              <w:rPr>
                <w:i/>
                <w:sz w:val="20"/>
                <w:szCs w:val="20"/>
              </w:rPr>
              <w:t>n</w:t>
            </w:r>
          </w:p>
          <w:p w14:paraId="7AD5840C" w14:textId="77777777" w:rsidR="00270E02" w:rsidRPr="001E1892" w:rsidRDefault="00270E02" w:rsidP="00D229EA">
            <w:pPr>
              <w:spacing w:line="480" w:lineRule="auto"/>
              <w:jc w:val="center"/>
              <w:rPr>
                <w:i/>
                <w:sz w:val="20"/>
                <w:szCs w:val="20"/>
              </w:rPr>
            </w:pPr>
            <w:r w:rsidRPr="001E1892">
              <w:rPr>
                <w:sz w:val="20"/>
                <w:szCs w:val="20"/>
              </w:rPr>
              <w:t>(%)</w:t>
            </w:r>
          </w:p>
        </w:tc>
      </w:tr>
      <w:tr w:rsidR="00270E02" w:rsidRPr="00F120E2" w14:paraId="3FACFB24" w14:textId="77777777" w:rsidTr="00374744">
        <w:tc>
          <w:tcPr>
            <w:tcW w:w="2078" w:type="dxa"/>
            <w:tcBorders>
              <w:top w:val="single" w:sz="4" w:space="0" w:color="auto"/>
            </w:tcBorders>
          </w:tcPr>
          <w:p w14:paraId="3389B320" w14:textId="77777777" w:rsidR="00270E02" w:rsidRPr="001E1892" w:rsidRDefault="00270E02" w:rsidP="00D229EA">
            <w:pPr>
              <w:spacing w:line="480" w:lineRule="auto"/>
              <w:rPr>
                <w:sz w:val="20"/>
                <w:szCs w:val="20"/>
              </w:rPr>
            </w:pPr>
            <w:r w:rsidRPr="001E1892">
              <w:rPr>
                <w:sz w:val="20"/>
                <w:szCs w:val="20"/>
              </w:rPr>
              <w:t>Vaginal dryness</w:t>
            </w:r>
          </w:p>
        </w:tc>
        <w:tc>
          <w:tcPr>
            <w:tcW w:w="1139" w:type="dxa"/>
            <w:tcBorders>
              <w:top w:val="single" w:sz="4" w:space="0" w:color="auto"/>
            </w:tcBorders>
          </w:tcPr>
          <w:p w14:paraId="44A99BAE" w14:textId="52EA5F3D" w:rsidR="00270E02" w:rsidRPr="001E1892" w:rsidRDefault="00EE5778" w:rsidP="00D229EA">
            <w:pPr>
              <w:spacing w:line="480" w:lineRule="auto"/>
              <w:jc w:val="center"/>
              <w:rPr>
                <w:sz w:val="20"/>
                <w:szCs w:val="20"/>
              </w:rPr>
            </w:pPr>
            <w:r>
              <w:rPr>
                <w:sz w:val="20"/>
                <w:szCs w:val="20"/>
              </w:rPr>
              <w:t xml:space="preserve"> </w:t>
            </w:r>
            <w:r w:rsidR="00270E02" w:rsidRPr="001E1892">
              <w:rPr>
                <w:sz w:val="20"/>
                <w:szCs w:val="20"/>
              </w:rPr>
              <w:t>59 (48.4)</w:t>
            </w:r>
          </w:p>
        </w:tc>
        <w:tc>
          <w:tcPr>
            <w:tcW w:w="983" w:type="dxa"/>
            <w:tcBorders>
              <w:top w:val="single" w:sz="4" w:space="0" w:color="auto"/>
            </w:tcBorders>
          </w:tcPr>
          <w:p w14:paraId="39C63FDF" w14:textId="77777777" w:rsidR="00270E02" w:rsidRPr="001E1892" w:rsidRDefault="00270E02" w:rsidP="00D229EA">
            <w:pPr>
              <w:spacing w:line="480" w:lineRule="auto"/>
              <w:jc w:val="center"/>
              <w:rPr>
                <w:sz w:val="20"/>
                <w:szCs w:val="20"/>
              </w:rPr>
            </w:pPr>
            <w:r w:rsidRPr="001E1892">
              <w:rPr>
                <w:sz w:val="20"/>
                <w:szCs w:val="20"/>
              </w:rPr>
              <w:t>63 (51.6)</w:t>
            </w:r>
          </w:p>
        </w:tc>
        <w:tc>
          <w:tcPr>
            <w:tcW w:w="1013" w:type="dxa"/>
            <w:tcBorders>
              <w:top w:val="single" w:sz="4" w:space="0" w:color="auto"/>
            </w:tcBorders>
          </w:tcPr>
          <w:p w14:paraId="058D29CE" w14:textId="77777777" w:rsidR="00270E02" w:rsidRPr="001E1892" w:rsidRDefault="00270E02" w:rsidP="00D229EA">
            <w:pPr>
              <w:spacing w:line="480" w:lineRule="auto"/>
              <w:jc w:val="center"/>
              <w:rPr>
                <w:sz w:val="20"/>
                <w:szCs w:val="20"/>
              </w:rPr>
            </w:pPr>
            <w:r w:rsidRPr="001E1892">
              <w:rPr>
                <w:sz w:val="20"/>
                <w:szCs w:val="20"/>
              </w:rPr>
              <w:t>81 (77.1)</w:t>
            </w:r>
          </w:p>
        </w:tc>
        <w:tc>
          <w:tcPr>
            <w:tcW w:w="1109" w:type="dxa"/>
            <w:tcBorders>
              <w:top w:val="single" w:sz="4" w:space="0" w:color="auto"/>
            </w:tcBorders>
          </w:tcPr>
          <w:p w14:paraId="13896482" w14:textId="77777777" w:rsidR="00270E02" w:rsidRPr="001E1892" w:rsidRDefault="00270E02" w:rsidP="00D229EA">
            <w:pPr>
              <w:spacing w:line="480" w:lineRule="auto"/>
              <w:jc w:val="center"/>
              <w:rPr>
                <w:sz w:val="20"/>
                <w:szCs w:val="20"/>
              </w:rPr>
            </w:pPr>
            <w:r w:rsidRPr="001E1892">
              <w:rPr>
                <w:sz w:val="20"/>
                <w:szCs w:val="20"/>
              </w:rPr>
              <w:t>24 (22.9)</w:t>
            </w:r>
          </w:p>
        </w:tc>
        <w:tc>
          <w:tcPr>
            <w:tcW w:w="1140" w:type="dxa"/>
            <w:tcBorders>
              <w:top w:val="single" w:sz="4" w:space="0" w:color="auto"/>
            </w:tcBorders>
          </w:tcPr>
          <w:p w14:paraId="18E18A33" w14:textId="77777777" w:rsidR="00270E02" w:rsidRPr="001E1892" w:rsidRDefault="00270E02" w:rsidP="00D229EA">
            <w:pPr>
              <w:spacing w:line="480" w:lineRule="auto"/>
              <w:jc w:val="center"/>
              <w:rPr>
                <w:sz w:val="20"/>
                <w:szCs w:val="20"/>
              </w:rPr>
            </w:pPr>
            <w:r w:rsidRPr="001E1892">
              <w:rPr>
                <w:sz w:val="20"/>
                <w:szCs w:val="20"/>
              </w:rPr>
              <w:t>42 (38.9)</w:t>
            </w:r>
          </w:p>
        </w:tc>
        <w:tc>
          <w:tcPr>
            <w:tcW w:w="983" w:type="dxa"/>
            <w:tcBorders>
              <w:top w:val="single" w:sz="4" w:space="0" w:color="auto"/>
            </w:tcBorders>
          </w:tcPr>
          <w:p w14:paraId="1F7F7822" w14:textId="77777777" w:rsidR="00270E02" w:rsidRPr="001E1892" w:rsidRDefault="00270E02" w:rsidP="00D229EA">
            <w:pPr>
              <w:spacing w:line="480" w:lineRule="auto"/>
              <w:jc w:val="center"/>
              <w:rPr>
                <w:sz w:val="20"/>
                <w:szCs w:val="20"/>
              </w:rPr>
            </w:pPr>
            <w:r w:rsidRPr="001E1892">
              <w:rPr>
                <w:sz w:val="20"/>
                <w:szCs w:val="20"/>
              </w:rPr>
              <w:t>66 (61.1)</w:t>
            </w:r>
          </w:p>
        </w:tc>
        <w:tc>
          <w:tcPr>
            <w:tcW w:w="1013" w:type="dxa"/>
            <w:tcBorders>
              <w:top w:val="single" w:sz="4" w:space="0" w:color="auto"/>
            </w:tcBorders>
          </w:tcPr>
          <w:p w14:paraId="78306D44" w14:textId="77777777" w:rsidR="00270E02" w:rsidRPr="001E1892" w:rsidRDefault="00270E02" w:rsidP="00D229EA">
            <w:pPr>
              <w:spacing w:line="480" w:lineRule="auto"/>
              <w:jc w:val="center"/>
              <w:rPr>
                <w:sz w:val="20"/>
                <w:szCs w:val="20"/>
              </w:rPr>
            </w:pPr>
            <w:r w:rsidRPr="001E1892">
              <w:rPr>
                <w:sz w:val="20"/>
                <w:szCs w:val="20"/>
              </w:rPr>
              <w:t>24 (40.0)</w:t>
            </w:r>
          </w:p>
        </w:tc>
        <w:tc>
          <w:tcPr>
            <w:tcW w:w="1109" w:type="dxa"/>
            <w:tcBorders>
              <w:top w:val="single" w:sz="4" w:space="0" w:color="auto"/>
            </w:tcBorders>
          </w:tcPr>
          <w:p w14:paraId="74DCBD64" w14:textId="77777777" w:rsidR="00270E02" w:rsidRPr="001E1892" w:rsidRDefault="00270E02" w:rsidP="00D229EA">
            <w:pPr>
              <w:spacing w:line="480" w:lineRule="auto"/>
              <w:jc w:val="center"/>
              <w:rPr>
                <w:sz w:val="20"/>
                <w:szCs w:val="20"/>
              </w:rPr>
            </w:pPr>
            <w:r w:rsidRPr="001E1892">
              <w:rPr>
                <w:sz w:val="20"/>
                <w:szCs w:val="20"/>
              </w:rPr>
              <w:t>36 (60.0)</w:t>
            </w:r>
          </w:p>
        </w:tc>
        <w:tc>
          <w:tcPr>
            <w:tcW w:w="1060" w:type="dxa"/>
            <w:tcBorders>
              <w:top w:val="single" w:sz="4" w:space="0" w:color="auto"/>
            </w:tcBorders>
          </w:tcPr>
          <w:p w14:paraId="535A908D" w14:textId="77777777" w:rsidR="00270E02" w:rsidRPr="006B2E1B" w:rsidRDefault="00270E02" w:rsidP="00D229EA">
            <w:pPr>
              <w:spacing w:line="480" w:lineRule="auto"/>
              <w:jc w:val="center"/>
              <w:rPr>
                <w:sz w:val="20"/>
                <w:szCs w:val="20"/>
              </w:rPr>
            </w:pPr>
            <w:r w:rsidRPr="006B2E1B">
              <w:rPr>
                <w:sz w:val="20"/>
                <w:szCs w:val="20"/>
              </w:rPr>
              <w:t>206 (52.2)</w:t>
            </w:r>
          </w:p>
        </w:tc>
        <w:tc>
          <w:tcPr>
            <w:tcW w:w="1131" w:type="dxa"/>
            <w:tcBorders>
              <w:top w:val="single" w:sz="4" w:space="0" w:color="auto"/>
            </w:tcBorders>
          </w:tcPr>
          <w:p w14:paraId="5468485D" w14:textId="77777777" w:rsidR="00270E02" w:rsidRPr="006B2E1B" w:rsidRDefault="00270E02" w:rsidP="00D229EA">
            <w:pPr>
              <w:spacing w:line="480" w:lineRule="auto"/>
              <w:jc w:val="center"/>
              <w:rPr>
                <w:sz w:val="20"/>
                <w:szCs w:val="20"/>
              </w:rPr>
            </w:pPr>
            <w:r w:rsidRPr="006B2E1B">
              <w:rPr>
                <w:sz w:val="20"/>
                <w:szCs w:val="20"/>
              </w:rPr>
              <w:t>189 (47.8)</w:t>
            </w:r>
          </w:p>
        </w:tc>
      </w:tr>
      <w:tr w:rsidR="00270E02" w:rsidRPr="00F120E2" w14:paraId="33278EC8" w14:textId="77777777" w:rsidTr="00374744">
        <w:tc>
          <w:tcPr>
            <w:tcW w:w="2078" w:type="dxa"/>
          </w:tcPr>
          <w:p w14:paraId="6A2B685F" w14:textId="77777777" w:rsidR="00270E02" w:rsidRPr="001E1892" w:rsidRDefault="00270E02" w:rsidP="00D229EA">
            <w:pPr>
              <w:spacing w:line="480" w:lineRule="auto"/>
              <w:rPr>
                <w:sz w:val="20"/>
                <w:szCs w:val="20"/>
              </w:rPr>
            </w:pPr>
            <w:r w:rsidRPr="001E1892">
              <w:rPr>
                <w:sz w:val="20"/>
                <w:szCs w:val="20"/>
              </w:rPr>
              <w:t>Orgasmic difficulties</w:t>
            </w:r>
          </w:p>
        </w:tc>
        <w:tc>
          <w:tcPr>
            <w:tcW w:w="1139" w:type="dxa"/>
          </w:tcPr>
          <w:p w14:paraId="1E4FEB9E" w14:textId="77777777" w:rsidR="00270E02" w:rsidRPr="001E1892" w:rsidRDefault="00270E02" w:rsidP="00D229EA">
            <w:pPr>
              <w:spacing w:line="480" w:lineRule="auto"/>
              <w:jc w:val="center"/>
              <w:rPr>
                <w:sz w:val="20"/>
                <w:szCs w:val="20"/>
              </w:rPr>
            </w:pPr>
            <w:r w:rsidRPr="001E1892">
              <w:rPr>
                <w:sz w:val="20"/>
                <w:szCs w:val="20"/>
              </w:rPr>
              <w:t>107 (75.9)</w:t>
            </w:r>
          </w:p>
        </w:tc>
        <w:tc>
          <w:tcPr>
            <w:tcW w:w="983" w:type="dxa"/>
          </w:tcPr>
          <w:p w14:paraId="7B0EBD79" w14:textId="77777777" w:rsidR="00270E02" w:rsidRPr="001E1892" w:rsidRDefault="00270E02" w:rsidP="00D229EA">
            <w:pPr>
              <w:spacing w:line="480" w:lineRule="auto"/>
              <w:jc w:val="center"/>
              <w:rPr>
                <w:sz w:val="20"/>
                <w:szCs w:val="20"/>
              </w:rPr>
            </w:pPr>
            <w:r w:rsidRPr="001E1892">
              <w:rPr>
                <w:sz w:val="20"/>
                <w:szCs w:val="20"/>
              </w:rPr>
              <w:t>34 (34.1)</w:t>
            </w:r>
          </w:p>
        </w:tc>
        <w:tc>
          <w:tcPr>
            <w:tcW w:w="1013" w:type="dxa"/>
          </w:tcPr>
          <w:p w14:paraId="7F87CA2F" w14:textId="77777777" w:rsidR="00270E02" w:rsidRPr="001E1892" w:rsidRDefault="00270E02" w:rsidP="00D229EA">
            <w:pPr>
              <w:spacing w:line="480" w:lineRule="auto"/>
              <w:jc w:val="center"/>
              <w:rPr>
                <w:sz w:val="20"/>
                <w:szCs w:val="20"/>
              </w:rPr>
            </w:pPr>
            <w:r w:rsidRPr="001E1892">
              <w:rPr>
                <w:sz w:val="20"/>
                <w:szCs w:val="20"/>
              </w:rPr>
              <w:t>74 (81.3)</w:t>
            </w:r>
          </w:p>
        </w:tc>
        <w:tc>
          <w:tcPr>
            <w:tcW w:w="1109" w:type="dxa"/>
          </w:tcPr>
          <w:p w14:paraId="17645766" w14:textId="77777777" w:rsidR="00270E02" w:rsidRPr="001E1892" w:rsidRDefault="00270E02" w:rsidP="00D229EA">
            <w:pPr>
              <w:spacing w:line="480" w:lineRule="auto"/>
              <w:jc w:val="center"/>
              <w:rPr>
                <w:sz w:val="20"/>
                <w:szCs w:val="20"/>
              </w:rPr>
            </w:pPr>
            <w:r w:rsidRPr="001E1892">
              <w:rPr>
                <w:sz w:val="20"/>
                <w:szCs w:val="20"/>
              </w:rPr>
              <w:t>17 (18.7)</w:t>
            </w:r>
          </w:p>
        </w:tc>
        <w:tc>
          <w:tcPr>
            <w:tcW w:w="1140" w:type="dxa"/>
          </w:tcPr>
          <w:p w14:paraId="7F79B44D" w14:textId="77777777" w:rsidR="00270E02" w:rsidRPr="001E1892" w:rsidRDefault="00270E02" w:rsidP="00D229EA">
            <w:pPr>
              <w:spacing w:line="480" w:lineRule="auto"/>
              <w:jc w:val="center"/>
              <w:rPr>
                <w:sz w:val="20"/>
                <w:szCs w:val="20"/>
              </w:rPr>
            </w:pPr>
            <w:r w:rsidRPr="001E1892">
              <w:rPr>
                <w:sz w:val="20"/>
                <w:szCs w:val="20"/>
              </w:rPr>
              <w:t>59 (59.6)</w:t>
            </w:r>
          </w:p>
        </w:tc>
        <w:tc>
          <w:tcPr>
            <w:tcW w:w="983" w:type="dxa"/>
          </w:tcPr>
          <w:p w14:paraId="7B06DC6A" w14:textId="77777777" w:rsidR="00270E02" w:rsidRPr="001E1892" w:rsidRDefault="00270E02" w:rsidP="00D229EA">
            <w:pPr>
              <w:spacing w:line="480" w:lineRule="auto"/>
              <w:jc w:val="center"/>
              <w:rPr>
                <w:sz w:val="20"/>
                <w:szCs w:val="20"/>
              </w:rPr>
            </w:pPr>
            <w:r w:rsidRPr="001E1892">
              <w:rPr>
                <w:sz w:val="20"/>
                <w:szCs w:val="20"/>
              </w:rPr>
              <w:t>40 (40.4)</w:t>
            </w:r>
          </w:p>
        </w:tc>
        <w:tc>
          <w:tcPr>
            <w:tcW w:w="1013" w:type="dxa"/>
          </w:tcPr>
          <w:p w14:paraId="5142C4D2" w14:textId="77777777" w:rsidR="00270E02" w:rsidRPr="001E1892" w:rsidRDefault="00270E02" w:rsidP="00D229EA">
            <w:pPr>
              <w:spacing w:line="480" w:lineRule="auto"/>
              <w:jc w:val="center"/>
              <w:rPr>
                <w:sz w:val="20"/>
                <w:szCs w:val="20"/>
              </w:rPr>
            </w:pPr>
            <w:r w:rsidRPr="001E1892">
              <w:rPr>
                <w:sz w:val="20"/>
                <w:szCs w:val="20"/>
              </w:rPr>
              <w:t>30 (50.0)</w:t>
            </w:r>
          </w:p>
        </w:tc>
        <w:tc>
          <w:tcPr>
            <w:tcW w:w="1109" w:type="dxa"/>
          </w:tcPr>
          <w:p w14:paraId="09857EF0" w14:textId="77777777" w:rsidR="00270E02" w:rsidRPr="007872C2" w:rsidRDefault="00270E02" w:rsidP="00D229EA">
            <w:pPr>
              <w:spacing w:line="480" w:lineRule="auto"/>
              <w:jc w:val="center"/>
              <w:rPr>
                <w:sz w:val="20"/>
                <w:szCs w:val="20"/>
              </w:rPr>
            </w:pPr>
            <w:r w:rsidRPr="007872C2">
              <w:rPr>
                <w:sz w:val="20"/>
                <w:szCs w:val="20"/>
              </w:rPr>
              <w:t>30 (50.0)</w:t>
            </w:r>
          </w:p>
        </w:tc>
        <w:tc>
          <w:tcPr>
            <w:tcW w:w="1060" w:type="dxa"/>
          </w:tcPr>
          <w:p w14:paraId="61637E13" w14:textId="77777777" w:rsidR="00270E02" w:rsidRPr="007872C2" w:rsidRDefault="00270E02" w:rsidP="00D229EA">
            <w:pPr>
              <w:spacing w:line="480" w:lineRule="auto"/>
              <w:jc w:val="center"/>
              <w:rPr>
                <w:sz w:val="20"/>
                <w:szCs w:val="20"/>
              </w:rPr>
            </w:pPr>
            <w:r w:rsidRPr="007872C2">
              <w:rPr>
                <w:sz w:val="20"/>
                <w:szCs w:val="20"/>
              </w:rPr>
              <w:t>270 (69.1)</w:t>
            </w:r>
          </w:p>
        </w:tc>
        <w:tc>
          <w:tcPr>
            <w:tcW w:w="1131" w:type="dxa"/>
          </w:tcPr>
          <w:p w14:paraId="40E88448" w14:textId="77777777" w:rsidR="00270E02" w:rsidRPr="007872C2" w:rsidRDefault="00270E02" w:rsidP="00D229EA">
            <w:pPr>
              <w:spacing w:line="480" w:lineRule="auto"/>
              <w:jc w:val="center"/>
              <w:rPr>
                <w:sz w:val="20"/>
                <w:szCs w:val="20"/>
              </w:rPr>
            </w:pPr>
            <w:r w:rsidRPr="007872C2">
              <w:rPr>
                <w:sz w:val="20"/>
                <w:szCs w:val="20"/>
              </w:rPr>
              <w:t>121 (30.9)</w:t>
            </w:r>
          </w:p>
        </w:tc>
      </w:tr>
      <w:tr w:rsidR="00270E02" w:rsidRPr="00F120E2" w14:paraId="55F5349A" w14:textId="77777777" w:rsidTr="00374744">
        <w:tc>
          <w:tcPr>
            <w:tcW w:w="2078" w:type="dxa"/>
          </w:tcPr>
          <w:p w14:paraId="0F9D5338" w14:textId="77777777" w:rsidR="00270E02" w:rsidRPr="001E1892" w:rsidRDefault="00270E02" w:rsidP="00D229EA">
            <w:pPr>
              <w:spacing w:line="480" w:lineRule="auto"/>
              <w:rPr>
                <w:sz w:val="20"/>
                <w:szCs w:val="20"/>
              </w:rPr>
            </w:pPr>
            <w:r w:rsidRPr="001E1892">
              <w:rPr>
                <w:sz w:val="20"/>
                <w:szCs w:val="20"/>
              </w:rPr>
              <w:t>Lacked interest in sex</w:t>
            </w:r>
          </w:p>
        </w:tc>
        <w:tc>
          <w:tcPr>
            <w:tcW w:w="1139" w:type="dxa"/>
          </w:tcPr>
          <w:p w14:paraId="218E468A" w14:textId="27E06086" w:rsidR="00270E02" w:rsidRPr="001E1892" w:rsidRDefault="00EE5778" w:rsidP="00D229EA">
            <w:pPr>
              <w:spacing w:line="480" w:lineRule="auto"/>
              <w:jc w:val="center"/>
              <w:rPr>
                <w:sz w:val="20"/>
                <w:szCs w:val="20"/>
              </w:rPr>
            </w:pPr>
            <w:r>
              <w:rPr>
                <w:sz w:val="20"/>
                <w:szCs w:val="20"/>
              </w:rPr>
              <w:t xml:space="preserve"> </w:t>
            </w:r>
            <w:r w:rsidR="00270E02" w:rsidRPr="001E1892">
              <w:rPr>
                <w:sz w:val="20"/>
                <w:szCs w:val="20"/>
              </w:rPr>
              <w:t>98 (74.2)</w:t>
            </w:r>
          </w:p>
        </w:tc>
        <w:tc>
          <w:tcPr>
            <w:tcW w:w="983" w:type="dxa"/>
          </w:tcPr>
          <w:p w14:paraId="6A34E2A3" w14:textId="77777777" w:rsidR="00270E02" w:rsidRPr="001E1892" w:rsidRDefault="00270E02" w:rsidP="00D229EA">
            <w:pPr>
              <w:spacing w:line="480" w:lineRule="auto"/>
              <w:jc w:val="center"/>
              <w:rPr>
                <w:sz w:val="20"/>
                <w:szCs w:val="20"/>
              </w:rPr>
            </w:pPr>
            <w:r w:rsidRPr="001E1892">
              <w:rPr>
                <w:sz w:val="20"/>
                <w:szCs w:val="20"/>
              </w:rPr>
              <w:t>34 (25.8)</w:t>
            </w:r>
          </w:p>
        </w:tc>
        <w:tc>
          <w:tcPr>
            <w:tcW w:w="1013" w:type="dxa"/>
          </w:tcPr>
          <w:p w14:paraId="09E78480" w14:textId="77777777" w:rsidR="00270E02" w:rsidRPr="001E1892" w:rsidRDefault="00270E02" w:rsidP="00D229EA">
            <w:pPr>
              <w:spacing w:line="480" w:lineRule="auto"/>
              <w:jc w:val="center"/>
              <w:rPr>
                <w:sz w:val="20"/>
                <w:szCs w:val="20"/>
              </w:rPr>
            </w:pPr>
            <w:r w:rsidRPr="001E1892">
              <w:rPr>
                <w:sz w:val="20"/>
                <w:szCs w:val="20"/>
              </w:rPr>
              <w:t>93 (86.1)</w:t>
            </w:r>
          </w:p>
        </w:tc>
        <w:tc>
          <w:tcPr>
            <w:tcW w:w="1109" w:type="dxa"/>
          </w:tcPr>
          <w:p w14:paraId="11D2CA97" w14:textId="77777777" w:rsidR="00270E02" w:rsidRPr="001E1892" w:rsidRDefault="00270E02" w:rsidP="00D229EA">
            <w:pPr>
              <w:spacing w:line="480" w:lineRule="auto"/>
              <w:jc w:val="center"/>
              <w:rPr>
                <w:sz w:val="20"/>
                <w:szCs w:val="20"/>
              </w:rPr>
            </w:pPr>
            <w:r w:rsidRPr="001E1892">
              <w:rPr>
                <w:sz w:val="20"/>
                <w:szCs w:val="20"/>
              </w:rPr>
              <w:t>15 (13.9)</w:t>
            </w:r>
          </w:p>
        </w:tc>
        <w:tc>
          <w:tcPr>
            <w:tcW w:w="1140" w:type="dxa"/>
          </w:tcPr>
          <w:p w14:paraId="5EB2BD26" w14:textId="77777777" w:rsidR="00270E02" w:rsidRPr="001E1892" w:rsidRDefault="00270E02" w:rsidP="00D229EA">
            <w:pPr>
              <w:spacing w:line="480" w:lineRule="auto"/>
              <w:jc w:val="center"/>
              <w:rPr>
                <w:sz w:val="20"/>
                <w:szCs w:val="20"/>
              </w:rPr>
            </w:pPr>
            <w:r w:rsidRPr="001E1892">
              <w:rPr>
                <w:sz w:val="20"/>
                <w:szCs w:val="20"/>
              </w:rPr>
              <w:t>82 (65.6)</w:t>
            </w:r>
          </w:p>
        </w:tc>
        <w:tc>
          <w:tcPr>
            <w:tcW w:w="983" w:type="dxa"/>
          </w:tcPr>
          <w:p w14:paraId="0A0F40C9" w14:textId="77777777" w:rsidR="00270E02" w:rsidRPr="001E1892" w:rsidRDefault="00270E02" w:rsidP="00D229EA">
            <w:pPr>
              <w:spacing w:line="480" w:lineRule="auto"/>
              <w:jc w:val="center"/>
              <w:rPr>
                <w:sz w:val="20"/>
                <w:szCs w:val="20"/>
              </w:rPr>
            </w:pPr>
            <w:r w:rsidRPr="001E1892">
              <w:rPr>
                <w:sz w:val="20"/>
                <w:szCs w:val="20"/>
              </w:rPr>
              <w:t>43 (34.3)</w:t>
            </w:r>
          </w:p>
        </w:tc>
        <w:tc>
          <w:tcPr>
            <w:tcW w:w="1013" w:type="dxa"/>
          </w:tcPr>
          <w:p w14:paraId="06351AAB" w14:textId="77777777" w:rsidR="00270E02" w:rsidRPr="001E1892" w:rsidRDefault="00270E02" w:rsidP="00D229EA">
            <w:pPr>
              <w:spacing w:line="480" w:lineRule="auto"/>
              <w:jc w:val="center"/>
              <w:rPr>
                <w:sz w:val="20"/>
                <w:szCs w:val="20"/>
              </w:rPr>
            </w:pPr>
            <w:r w:rsidRPr="001E1892">
              <w:rPr>
                <w:sz w:val="20"/>
                <w:szCs w:val="20"/>
              </w:rPr>
              <w:t>33 (57.9)</w:t>
            </w:r>
          </w:p>
        </w:tc>
        <w:tc>
          <w:tcPr>
            <w:tcW w:w="1109" w:type="dxa"/>
          </w:tcPr>
          <w:p w14:paraId="3E4CB5B6" w14:textId="77777777" w:rsidR="00270E02" w:rsidRPr="001E1892" w:rsidRDefault="00270E02" w:rsidP="00D229EA">
            <w:pPr>
              <w:spacing w:line="480" w:lineRule="auto"/>
              <w:jc w:val="center"/>
              <w:rPr>
                <w:sz w:val="20"/>
                <w:szCs w:val="20"/>
              </w:rPr>
            </w:pPr>
            <w:r w:rsidRPr="001E1892">
              <w:rPr>
                <w:sz w:val="20"/>
                <w:szCs w:val="20"/>
              </w:rPr>
              <w:t>24 (42.1)</w:t>
            </w:r>
          </w:p>
        </w:tc>
        <w:tc>
          <w:tcPr>
            <w:tcW w:w="1060" w:type="dxa"/>
          </w:tcPr>
          <w:p w14:paraId="1FE3EBAC" w14:textId="77777777" w:rsidR="00270E02" w:rsidRPr="00333EE9" w:rsidRDefault="00270E02" w:rsidP="00D229EA">
            <w:pPr>
              <w:spacing w:line="480" w:lineRule="auto"/>
              <w:jc w:val="center"/>
              <w:rPr>
                <w:sz w:val="20"/>
                <w:szCs w:val="20"/>
              </w:rPr>
            </w:pPr>
            <w:r w:rsidRPr="00333EE9">
              <w:rPr>
                <w:sz w:val="20"/>
                <w:szCs w:val="20"/>
              </w:rPr>
              <w:t>306 (72.5)</w:t>
            </w:r>
          </w:p>
        </w:tc>
        <w:tc>
          <w:tcPr>
            <w:tcW w:w="1131" w:type="dxa"/>
          </w:tcPr>
          <w:p w14:paraId="05D4F630" w14:textId="77777777" w:rsidR="00270E02" w:rsidRPr="00333EE9" w:rsidRDefault="00270E02" w:rsidP="00D229EA">
            <w:pPr>
              <w:spacing w:line="480" w:lineRule="auto"/>
              <w:jc w:val="center"/>
              <w:rPr>
                <w:sz w:val="20"/>
                <w:szCs w:val="20"/>
              </w:rPr>
            </w:pPr>
            <w:r w:rsidRPr="00333EE9">
              <w:rPr>
                <w:sz w:val="20"/>
                <w:szCs w:val="20"/>
              </w:rPr>
              <w:t>116 (27.5)</w:t>
            </w:r>
          </w:p>
        </w:tc>
      </w:tr>
      <w:tr w:rsidR="00270E02" w:rsidRPr="00F120E2" w14:paraId="41B34572" w14:textId="77777777" w:rsidTr="00374744">
        <w:tc>
          <w:tcPr>
            <w:tcW w:w="2078" w:type="dxa"/>
          </w:tcPr>
          <w:p w14:paraId="3AEFD562" w14:textId="77777777" w:rsidR="00270E02" w:rsidRPr="001E1892" w:rsidRDefault="00270E02" w:rsidP="00D229EA">
            <w:pPr>
              <w:spacing w:line="480" w:lineRule="auto"/>
              <w:rPr>
                <w:sz w:val="20"/>
                <w:szCs w:val="20"/>
              </w:rPr>
            </w:pPr>
            <w:r w:rsidRPr="001E1892">
              <w:rPr>
                <w:sz w:val="20"/>
                <w:szCs w:val="20"/>
              </w:rPr>
              <w:t xml:space="preserve">Lacked enjoyment </w:t>
            </w:r>
          </w:p>
        </w:tc>
        <w:tc>
          <w:tcPr>
            <w:tcW w:w="1139" w:type="dxa"/>
          </w:tcPr>
          <w:p w14:paraId="1DD9D77C" w14:textId="1FBD09F3" w:rsidR="00270E02" w:rsidRPr="001E1892" w:rsidRDefault="00EE5778" w:rsidP="00D229EA">
            <w:pPr>
              <w:spacing w:line="480" w:lineRule="auto"/>
              <w:jc w:val="center"/>
              <w:rPr>
                <w:sz w:val="20"/>
                <w:szCs w:val="20"/>
              </w:rPr>
            </w:pPr>
            <w:r>
              <w:rPr>
                <w:sz w:val="20"/>
                <w:szCs w:val="20"/>
              </w:rPr>
              <w:t xml:space="preserve"> </w:t>
            </w:r>
            <w:r w:rsidR="00270E02" w:rsidRPr="001E1892">
              <w:rPr>
                <w:sz w:val="20"/>
                <w:szCs w:val="20"/>
              </w:rPr>
              <w:t>51 (60.7)</w:t>
            </w:r>
          </w:p>
        </w:tc>
        <w:tc>
          <w:tcPr>
            <w:tcW w:w="983" w:type="dxa"/>
          </w:tcPr>
          <w:p w14:paraId="492C8371" w14:textId="77777777" w:rsidR="00270E02" w:rsidRPr="001E1892" w:rsidRDefault="00270E02" w:rsidP="00D229EA">
            <w:pPr>
              <w:spacing w:line="480" w:lineRule="auto"/>
              <w:jc w:val="center"/>
              <w:rPr>
                <w:sz w:val="20"/>
                <w:szCs w:val="20"/>
              </w:rPr>
            </w:pPr>
            <w:r w:rsidRPr="001E1892">
              <w:rPr>
                <w:sz w:val="20"/>
                <w:szCs w:val="20"/>
              </w:rPr>
              <w:t>33 (39.3)</w:t>
            </w:r>
          </w:p>
        </w:tc>
        <w:tc>
          <w:tcPr>
            <w:tcW w:w="1013" w:type="dxa"/>
          </w:tcPr>
          <w:p w14:paraId="4BBB6642" w14:textId="77777777" w:rsidR="00270E02" w:rsidRPr="001E1892" w:rsidRDefault="00270E02" w:rsidP="00D229EA">
            <w:pPr>
              <w:spacing w:line="480" w:lineRule="auto"/>
              <w:jc w:val="center"/>
              <w:rPr>
                <w:sz w:val="20"/>
                <w:szCs w:val="20"/>
              </w:rPr>
            </w:pPr>
            <w:r w:rsidRPr="001E1892">
              <w:rPr>
                <w:sz w:val="20"/>
                <w:szCs w:val="20"/>
              </w:rPr>
              <w:t>47 (70.1)</w:t>
            </w:r>
          </w:p>
        </w:tc>
        <w:tc>
          <w:tcPr>
            <w:tcW w:w="1109" w:type="dxa"/>
          </w:tcPr>
          <w:p w14:paraId="6F4ED481" w14:textId="77777777" w:rsidR="00270E02" w:rsidRPr="001E1892" w:rsidRDefault="00270E02" w:rsidP="00D229EA">
            <w:pPr>
              <w:spacing w:line="480" w:lineRule="auto"/>
              <w:jc w:val="center"/>
              <w:rPr>
                <w:sz w:val="20"/>
                <w:szCs w:val="20"/>
              </w:rPr>
            </w:pPr>
            <w:r w:rsidRPr="001E1892">
              <w:rPr>
                <w:sz w:val="20"/>
                <w:szCs w:val="20"/>
              </w:rPr>
              <w:t>20 (29.9)</w:t>
            </w:r>
          </w:p>
        </w:tc>
        <w:tc>
          <w:tcPr>
            <w:tcW w:w="1140" w:type="dxa"/>
          </w:tcPr>
          <w:p w14:paraId="3E3B5399" w14:textId="77777777" w:rsidR="00270E02" w:rsidRPr="001E1892" w:rsidRDefault="00270E02" w:rsidP="00D229EA">
            <w:pPr>
              <w:spacing w:line="480" w:lineRule="auto"/>
              <w:jc w:val="center"/>
              <w:rPr>
                <w:sz w:val="20"/>
                <w:szCs w:val="20"/>
              </w:rPr>
            </w:pPr>
            <w:r w:rsidRPr="001E1892">
              <w:rPr>
                <w:sz w:val="20"/>
                <w:szCs w:val="20"/>
              </w:rPr>
              <w:t>51 (58.6)</w:t>
            </w:r>
          </w:p>
        </w:tc>
        <w:tc>
          <w:tcPr>
            <w:tcW w:w="983" w:type="dxa"/>
          </w:tcPr>
          <w:p w14:paraId="0502DC71" w14:textId="77777777" w:rsidR="00270E02" w:rsidRPr="001E1892" w:rsidRDefault="00270E02" w:rsidP="00D229EA">
            <w:pPr>
              <w:spacing w:line="480" w:lineRule="auto"/>
              <w:jc w:val="center"/>
              <w:rPr>
                <w:sz w:val="20"/>
                <w:szCs w:val="20"/>
              </w:rPr>
            </w:pPr>
            <w:r w:rsidRPr="001E1892">
              <w:rPr>
                <w:sz w:val="20"/>
                <w:szCs w:val="20"/>
              </w:rPr>
              <w:t>36 41.4)</w:t>
            </w:r>
          </w:p>
        </w:tc>
        <w:tc>
          <w:tcPr>
            <w:tcW w:w="1013" w:type="dxa"/>
          </w:tcPr>
          <w:p w14:paraId="59CF95F1" w14:textId="77777777" w:rsidR="00270E02" w:rsidRPr="001E1892" w:rsidRDefault="00270E02" w:rsidP="00D229EA">
            <w:pPr>
              <w:spacing w:line="480" w:lineRule="auto"/>
              <w:jc w:val="center"/>
              <w:rPr>
                <w:sz w:val="20"/>
                <w:szCs w:val="20"/>
              </w:rPr>
            </w:pPr>
            <w:r w:rsidRPr="001E1892">
              <w:rPr>
                <w:sz w:val="20"/>
                <w:szCs w:val="20"/>
              </w:rPr>
              <w:t>20 (52.6)</w:t>
            </w:r>
          </w:p>
        </w:tc>
        <w:tc>
          <w:tcPr>
            <w:tcW w:w="1109" w:type="dxa"/>
          </w:tcPr>
          <w:p w14:paraId="0BB835EA" w14:textId="77777777" w:rsidR="00270E02" w:rsidRPr="001E1892" w:rsidRDefault="00270E02" w:rsidP="00D229EA">
            <w:pPr>
              <w:spacing w:line="480" w:lineRule="auto"/>
              <w:jc w:val="center"/>
              <w:rPr>
                <w:sz w:val="20"/>
                <w:szCs w:val="20"/>
              </w:rPr>
            </w:pPr>
            <w:r w:rsidRPr="001E1892">
              <w:rPr>
                <w:sz w:val="20"/>
                <w:szCs w:val="20"/>
              </w:rPr>
              <w:t>18 (47.4)</w:t>
            </w:r>
          </w:p>
        </w:tc>
        <w:tc>
          <w:tcPr>
            <w:tcW w:w="1060" w:type="dxa"/>
          </w:tcPr>
          <w:p w14:paraId="34F9130C" w14:textId="77777777" w:rsidR="00270E02" w:rsidRPr="00734AAF" w:rsidRDefault="00270E02" w:rsidP="00D229EA">
            <w:pPr>
              <w:spacing w:line="480" w:lineRule="auto"/>
              <w:jc w:val="center"/>
              <w:rPr>
                <w:sz w:val="20"/>
                <w:szCs w:val="20"/>
              </w:rPr>
            </w:pPr>
            <w:r w:rsidRPr="00734AAF">
              <w:rPr>
                <w:sz w:val="20"/>
                <w:szCs w:val="20"/>
              </w:rPr>
              <w:t>169 (61.2)</w:t>
            </w:r>
          </w:p>
        </w:tc>
        <w:tc>
          <w:tcPr>
            <w:tcW w:w="1131" w:type="dxa"/>
          </w:tcPr>
          <w:p w14:paraId="525C804F" w14:textId="77777777" w:rsidR="00270E02" w:rsidRPr="00734AAF" w:rsidRDefault="00270E02" w:rsidP="00D229EA">
            <w:pPr>
              <w:spacing w:line="480" w:lineRule="auto"/>
              <w:jc w:val="center"/>
              <w:rPr>
                <w:sz w:val="20"/>
                <w:szCs w:val="20"/>
              </w:rPr>
            </w:pPr>
            <w:r w:rsidRPr="00734AAF">
              <w:rPr>
                <w:sz w:val="20"/>
                <w:szCs w:val="20"/>
              </w:rPr>
              <w:t>107 (38.8)</w:t>
            </w:r>
          </w:p>
        </w:tc>
      </w:tr>
      <w:tr w:rsidR="00270E02" w:rsidRPr="00F120E2" w14:paraId="3512E5B5" w14:textId="77777777" w:rsidTr="00374744">
        <w:trPr>
          <w:trHeight w:val="352"/>
        </w:trPr>
        <w:tc>
          <w:tcPr>
            <w:tcW w:w="2078" w:type="dxa"/>
          </w:tcPr>
          <w:p w14:paraId="157BEBBA" w14:textId="77777777" w:rsidR="00270E02" w:rsidRPr="001E1892" w:rsidRDefault="00270E02" w:rsidP="00D229EA">
            <w:pPr>
              <w:spacing w:line="480" w:lineRule="auto"/>
              <w:rPr>
                <w:sz w:val="20"/>
                <w:szCs w:val="20"/>
              </w:rPr>
            </w:pPr>
            <w:r w:rsidRPr="001E1892">
              <w:rPr>
                <w:sz w:val="20"/>
                <w:szCs w:val="20"/>
              </w:rPr>
              <w:t>Pain during sex</w:t>
            </w:r>
          </w:p>
        </w:tc>
        <w:tc>
          <w:tcPr>
            <w:tcW w:w="1139" w:type="dxa"/>
          </w:tcPr>
          <w:p w14:paraId="4E0EF2B8" w14:textId="6C9D0EE5" w:rsidR="00270E02" w:rsidRPr="001E1892" w:rsidRDefault="00EE5778" w:rsidP="00D229EA">
            <w:pPr>
              <w:spacing w:line="480" w:lineRule="auto"/>
              <w:jc w:val="center"/>
              <w:rPr>
                <w:sz w:val="20"/>
                <w:szCs w:val="20"/>
              </w:rPr>
            </w:pPr>
            <w:r>
              <w:rPr>
                <w:sz w:val="20"/>
                <w:szCs w:val="20"/>
              </w:rPr>
              <w:t xml:space="preserve"> </w:t>
            </w:r>
            <w:r w:rsidR="00270E02" w:rsidRPr="001E1892">
              <w:rPr>
                <w:sz w:val="20"/>
                <w:szCs w:val="20"/>
              </w:rPr>
              <w:t>27 (43.5)</w:t>
            </w:r>
          </w:p>
        </w:tc>
        <w:tc>
          <w:tcPr>
            <w:tcW w:w="983" w:type="dxa"/>
          </w:tcPr>
          <w:p w14:paraId="2E8266DE" w14:textId="77777777" w:rsidR="00270E02" w:rsidRPr="001E1892" w:rsidRDefault="00270E02" w:rsidP="00D229EA">
            <w:pPr>
              <w:spacing w:line="480" w:lineRule="auto"/>
              <w:jc w:val="center"/>
              <w:rPr>
                <w:sz w:val="20"/>
                <w:szCs w:val="20"/>
              </w:rPr>
            </w:pPr>
            <w:r w:rsidRPr="001E1892">
              <w:rPr>
                <w:sz w:val="20"/>
                <w:szCs w:val="20"/>
              </w:rPr>
              <w:t>35 (56.5)</w:t>
            </w:r>
          </w:p>
        </w:tc>
        <w:tc>
          <w:tcPr>
            <w:tcW w:w="1013" w:type="dxa"/>
          </w:tcPr>
          <w:p w14:paraId="5BB12D4F" w14:textId="77777777" w:rsidR="00270E02" w:rsidRPr="001E1892" w:rsidRDefault="00270E02" w:rsidP="00D229EA">
            <w:pPr>
              <w:spacing w:line="480" w:lineRule="auto"/>
              <w:jc w:val="center"/>
              <w:rPr>
                <w:sz w:val="20"/>
                <w:szCs w:val="20"/>
              </w:rPr>
            </w:pPr>
            <w:r w:rsidRPr="001E1892">
              <w:rPr>
                <w:sz w:val="20"/>
                <w:szCs w:val="20"/>
              </w:rPr>
              <w:t>35 (60.3)</w:t>
            </w:r>
          </w:p>
        </w:tc>
        <w:tc>
          <w:tcPr>
            <w:tcW w:w="1109" w:type="dxa"/>
          </w:tcPr>
          <w:p w14:paraId="372427A9" w14:textId="77777777" w:rsidR="00270E02" w:rsidRPr="001E1892" w:rsidRDefault="00270E02" w:rsidP="00D229EA">
            <w:pPr>
              <w:spacing w:line="480" w:lineRule="auto"/>
              <w:jc w:val="center"/>
              <w:rPr>
                <w:sz w:val="20"/>
                <w:szCs w:val="20"/>
              </w:rPr>
            </w:pPr>
            <w:r w:rsidRPr="001E1892">
              <w:rPr>
                <w:sz w:val="20"/>
                <w:szCs w:val="20"/>
              </w:rPr>
              <w:t>23 (39.7)</w:t>
            </w:r>
          </w:p>
        </w:tc>
        <w:tc>
          <w:tcPr>
            <w:tcW w:w="1140" w:type="dxa"/>
          </w:tcPr>
          <w:p w14:paraId="011250D2" w14:textId="77777777" w:rsidR="00270E02" w:rsidRPr="001E1892" w:rsidRDefault="00270E02" w:rsidP="00D229EA">
            <w:pPr>
              <w:spacing w:line="480" w:lineRule="auto"/>
              <w:jc w:val="center"/>
              <w:rPr>
                <w:sz w:val="20"/>
                <w:szCs w:val="20"/>
              </w:rPr>
            </w:pPr>
            <w:r w:rsidRPr="001E1892">
              <w:rPr>
                <w:sz w:val="20"/>
                <w:szCs w:val="20"/>
              </w:rPr>
              <w:t>26 (45.6)</w:t>
            </w:r>
          </w:p>
        </w:tc>
        <w:tc>
          <w:tcPr>
            <w:tcW w:w="983" w:type="dxa"/>
          </w:tcPr>
          <w:p w14:paraId="36B33446" w14:textId="77777777" w:rsidR="00270E02" w:rsidRPr="001E1892" w:rsidRDefault="00270E02" w:rsidP="00D229EA">
            <w:pPr>
              <w:spacing w:line="480" w:lineRule="auto"/>
              <w:jc w:val="center"/>
              <w:rPr>
                <w:sz w:val="20"/>
                <w:szCs w:val="20"/>
              </w:rPr>
            </w:pPr>
            <w:r w:rsidRPr="001E1892">
              <w:rPr>
                <w:sz w:val="20"/>
                <w:szCs w:val="20"/>
              </w:rPr>
              <w:t>31 (54.4)</w:t>
            </w:r>
          </w:p>
        </w:tc>
        <w:tc>
          <w:tcPr>
            <w:tcW w:w="1013" w:type="dxa"/>
          </w:tcPr>
          <w:p w14:paraId="13E92CD0" w14:textId="77777777" w:rsidR="00270E02" w:rsidRPr="001E1892" w:rsidRDefault="00270E02" w:rsidP="00D229EA">
            <w:pPr>
              <w:spacing w:line="480" w:lineRule="auto"/>
              <w:jc w:val="center"/>
              <w:rPr>
                <w:sz w:val="20"/>
                <w:szCs w:val="20"/>
              </w:rPr>
            </w:pPr>
            <w:r w:rsidRPr="001E1892">
              <w:rPr>
                <w:sz w:val="20"/>
                <w:szCs w:val="20"/>
              </w:rPr>
              <w:t>9 (40.9)</w:t>
            </w:r>
          </w:p>
        </w:tc>
        <w:tc>
          <w:tcPr>
            <w:tcW w:w="1109" w:type="dxa"/>
          </w:tcPr>
          <w:p w14:paraId="7368DC29" w14:textId="77777777" w:rsidR="00270E02" w:rsidRPr="00B4059A" w:rsidRDefault="00270E02" w:rsidP="00D229EA">
            <w:pPr>
              <w:spacing w:line="480" w:lineRule="auto"/>
              <w:jc w:val="center"/>
              <w:rPr>
                <w:sz w:val="20"/>
                <w:szCs w:val="20"/>
              </w:rPr>
            </w:pPr>
            <w:r w:rsidRPr="00B4059A">
              <w:rPr>
                <w:sz w:val="20"/>
                <w:szCs w:val="20"/>
              </w:rPr>
              <w:t>13 (59.1)</w:t>
            </w:r>
          </w:p>
        </w:tc>
        <w:tc>
          <w:tcPr>
            <w:tcW w:w="1060" w:type="dxa"/>
          </w:tcPr>
          <w:p w14:paraId="18D2FE5E" w14:textId="77777777" w:rsidR="00270E02" w:rsidRPr="00B4059A" w:rsidRDefault="00270E02" w:rsidP="00D229EA">
            <w:pPr>
              <w:spacing w:line="480" w:lineRule="auto"/>
              <w:jc w:val="center"/>
              <w:rPr>
                <w:sz w:val="20"/>
                <w:szCs w:val="20"/>
              </w:rPr>
            </w:pPr>
            <w:r w:rsidRPr="00B4059A">
              <w:rPr>
                <w:sz w:val="20"/>
                <w:szCs w:val="20"/>
              </w:rPr>
              <w:t>97 (48.7)</w:t>
            </w:r>
          </w:p>
        </w:tc>
        <w:tc>
          <w:tcPr>
            <w:tcW w:w="1131" w:type="dxa"/>
          </w:tcPr>
          <w:p w14:paraId="71751E28" w14:textId="77777777" w:rsidR="00270E02" w:rsidRPr="00B4059A" w:rsidRDefault="00270E02" w:rsidP="00D229EA">
            <w:pPr>
              <w:spacing w:line="480" w:lineRule="auto"/>
              <w:jc w:val="center"/>
              <w:rPr>
                <w:sz w:val="20"/>
                <w:szCs w:val="20"/>
              </w:rPr>
            </w:pPr>
            <w:r w:rsidRPr="00B4059A">
              <w:rPr>
                <w:sz w:val="20"/>
                <w:szCs w:val="20"/>
              </w:rPr>
              <w:t>199 (51.3)</w:t>
            </w:r>
          </w:p>
        </w:tc>
      </w:tr>
      <w:tr w:rsidR="00270E02" w:rsidRPr="00F120E2" w14:paraId="58FBA796" w14:textId="77777777" w:rsidTr="00374744">
        <w:trPr>
          <w:trHeight w:val="517"/>
        </w:trPr>
        <w:tc>
          <w:tcPr>
            <w:tcW w:w="2078" w:type="dxa"/>
            <w:tcBorders>
              <w:bottom w:val="single" w:sz="4" w:space="0" w:color="auto"/>
            </w:tcBorders>
          </w:tcPr>
          <w:p w14:paraId="3103304A" w14:textId="77777777" w:rsidR="00270E02" w:rsidRPr="001E1892" w:rsidRDefault="00270E02" w:rsidP="00D229EA">
            <w:pPr>
              <w:spacing w:line="480" w:lineRule="auto"/>
              <w:rPr>
                <w:sz w:val="20"/>
                <w:szCs w:val="20"/>
              </w:rPr>
            </w:pPr>
            <w:r w:rsidRPr="001E1892">
              <w:rPr>
                <w:sz w:val="20"/>
                <w:szCs w:val="20"/>
              </w:rPr>
              <w:t xml:space="preserve">No excitement/arousal </w:t>
            </w:r>
          </w:p>
        </w:tc>
        <w:tc>
          <w:tcPr>
            <w:tcW w:w="1139" w:type="dxa"/>
            <w:tcBorders>
              <w:bottom w:val="single" w:sz="4" w:space="0" w:color="auto"/>
            </w:tcBorders>
          </w:tcPr>
          <w:p w14:paraId="6260510F" w14:textId="6F8579E6" w:rsidR="00270E02" w:rsidRPr="001E1892" w:rsidRDefault="00EE5778" w:rsidP="00D229EA">
            <w:pPr>
              <w:spacing w:line="480" w:lineRule="auto"/>
              <w:jc w:val="center"/>
              <w:rPr>
                <w:sz w:val="20"/>
                <w:szCs w:val="20"/>
              </w:rPr>
            </w:pPr>
            <w:r>
              <w:rPr>
                <w:sz w:val="20"/>
                <w:szCs w:val="20"/>
              </w:rPr>
              <w:t xml:space="preserve"> </w:t>
            </w:r>
            <w:r w:rsidR="00270E02" w:rsidRPr="001E1892">
              <w:rPr>
                <w:sz w:val="20"/>
                <w:szCs w:val="20"/>
              </w:rPr>
              <w:t>46 (60.5)</w:t>
            </w:r>
          </w:p>
        </w:tc>
        <w:tc>
          <w:tcPr>
            <w:tcW w:w="983" w:type="dxa"/>
            <w:tcBorders>
              <w:bottom w:val="single" w:sz="4" w:space="0" w:color="auto"/>
            </w:tcBorders>
          </w:tcPr>
          <w:p w14:paraId="2412A5E9" w14:textId="77777777" w:rsidR="00270E02" w:rsidRPr="001E1892" w:rsidRDefault="00270E02" w:rsidP="00D229EA">
            <w:pPr>
              <w:spacing w:line="480" w:lineRule="auto"/>
              <w:jc w:val="center"/>
              <w:rPr>
                <w:sz w:val="20"/>
                <w:szCs w:val="20"/>
              </w:rPr>
            </w:pPr>
            <w:r w:rsidRPr="001E1892">
              <w:rPr>
                <w:sz w:val="20"/>
                <w:szCs w:val="20"/>
              </w:rPr>
              <w:t>30 (39.5)</w:t>
            </w:r>
          </w:p>
        </w:tc>
        <w:tc>
          <w:tcPr>
            <w:tcW w:w="1013" w:type="dxa"/>
            <w:tcBorders>
              <w:bottom w:val="single" w:sz="4" w:space="0" w:color="auto"/>
            </w:tcBorders>
          </w:tcPr>
          <w:p w14:paraId="7A739FFA" w14:textId="77777777" w:rsidR="00270E02" w:rsidRPr="001E1892" w:rsidRDefault="00270E02" w:rsidP="00D229EA">
            <w:pPr>
              <w:spacing w:line="480" w:lineRule="auto"/>
              <w:jc w:val="center"/>
              <w:rPr>
                <w:sz w:val="20"/>
                <w:szCs w:val="20"/>
              </w:rPr>
            </w:pPr>
            <w:r w:rsidRPr="001E1892">
              <w:rPr>
                <w:sz w:val="20"/>
                <w:szCs w:val="20"/>
              </w:rPr>
              <w:t>42 (77.8)</w:t>
            </w:r>
          </w:p>
        </w:tc>
        <w:tc>
          <w:tcPr>
            <w:tcW w:w="1109" w:type="dxa"/>
            <w:tcBorders>
              <w:bottom w:val="single" w:sz="4" w:space="0" w:color="auto"/>
            </w:tcBorders>
          </w:tcPr>
          <w:p w14:paraId="40CD2CD6" w14:textId="77777777" w:rsidR="00270E02" w:rsidRPr="001E1892" w:rsidRDefault="00270E02" w:rsidP="00D229EA">
            <w:pPr>
              <w:spacing w:line="480" w:lineRule="auto"/>
              <w:jc w:val="center"/>
              <w:rPr>
                <w:sz w:val="20"/>
                <w:szCs w:val="20"/>
              </w:rPr>
            </w:pPr>
            <w:r w:rsidRPr="001E1892">
              <w:rPr>
                <w:sz w:val="20"/>
                <w:szCs w:val="20"/>
              </w:rPr>
              <w:t>12 (22.2)</w:t>
            </w:r>
          </w:p>
        </w:tc>
        <w:tc>
          <w:tcPr>
            <w:tcW w:w="1140" w:type="dxa"/>
            <w:tcBorders>
              <w:bottom w:val="single" w:sz="4" w:space="0" w:color="auto"/>
            </w:tcBorders>
          </w:tcPr>
          <w:p w14:paraId="1A3DE0B1" w14:textId="77777777" w:rsidR="00270E02" w:rsidRPr="001E1892" w:rsidRDefault="00270E02" w:rsidP="00D229EA">
            <w:pPr>
              <w:spacing w:line="480" w:lineRule="auto"/>
              <w:jc w:val="center"/>
              <w:rPr>
                <w:sz w:val="20"/>
                <w:szCs w:val="20"/>
              </w:rPr>
            </w:pPr>
            <w:r w:rsidRPr="001E1892">
              <w:rPr>
                <w:sz w:val="20"/>
                <w:szCs w:val="20"/>
              </w:rPr>
              <w:t>39 (58.2)</w:t>
            </w:r>
          </w:p>
        </w:tc>
        <w:tc>
          <w:tcPr>
            <w:tcW w:w="983" w:type="dxa"/>
            <w:tcBorders>
              <w:bottom w:val="single" w:sz="4" w:space="0" w:color="auto"/>
            </w:tcBorders>
          </w:tcPr>
          <w:p w14:paraId="52E19CB3" w14:textId="77777777" w:rsidR="00270E02" w:rsidRPr="001E1892" w:rsidRDefault="00270E02" w:rsidP="00D229EA">
            <w:pPr>
              <w:spacing w:line="480" w:lineRule="auto"/>
              <w:jc w:val="center"/>
              <w:rPr>
                <w:sz w:val="20"/>
                <w:szCs w:val="20"/>
              </w:rPr>
            </w:pPr>
            <w:r w:rsidRPr="001E1892">
              <w:rPr>
                <w:sz w:val="20"/>
                <w:szCs w:val="20"/>
              </w:rPr>
              <w:t>28 (41.8)</w:t>
            </w:r>
          </w:p>
        </w:tc>
        <w:tc>
          <w:tcPr>
            <w:tcW w:w="1013" w:type="dxa"/>
            <w:tcBorders>
              <w:bottom w:val="single" w:sz="4" w:space="0" w:color="auto"/>
            </w:tcBorders>
          </w:tcPr>
          <w:p w14:paraId="344553EC" w14:textId="77777777" w:rsidR="00270E02" w:rsidRPr="001E1892" w:rsidRDefault="00270E02" w:rsidP="00D229EA">
            <w:pPr>
              <w:spacing w:line="480" w:lineRule="auto"/>
              <w:jc w:val="center"/>
              <w:rPr>
                <w:sz w:val="20"/>
                <w:szCs w:val="20"/>
              </w:rPr>
            </w:pPr>
            <w:r w:rsidRPr="001E1892">
              <w:rPr>
                <w:sz w:val="20"/>
                <w:szCs w:val="20"/>
              </w:rPr>
              <w:t>19 (59.4)</w:t>
            </w:r>
          </w:p>
        </w:tc>
        <w:tc>
          <w:tcPr>
            <w:tcW w:w="1109" w:type="dxa"/>
            <w:tcBorders>
              <w:bottom w:val="single" w:sz="4" w:space="0" w:color="auto"/>
            </w:tcBorders>
          </w:tcPr>
          <w:p w14:paraId="62B156DB" w14:textId="77777777" w:rsidR="00270E02" w:rsidRPr="001E1892" w:rsidRDefault="00270E02" w:rsidP="00D229EA">
            <w:pPr>
              <w:spacing w:line="480" w:lineRule="auto"/>
              <w:jc w:val="center"/>
              <w:rPr>
                <w:sz w:val="20"/>
                <w:szCs w:val="20"/>
              </w:rPr>
            </w:pPr>
            <w:r w:rsidRPr="001E1892">
              <w:rPr>
                <w:sz w:val="20"/>
                <w:szCs w:val="20"/>
              </w:rPr>
              <w:t>13 (40.6)</w:t>
            </w:r>
          </w:p>
        </w:tc>
        <w:tc>
          <w:tcPr>
            <w:tcW w:w="1060" w:type="dxa"/>
            <w:tcBorders>
              <w:bottom w:val="single" w:sz="4" w:space="0" w:color="auto"/>
            </w:tcBorders>
          </w:tcPr>
          <w:p w14:paraId="485DEC65" w14:textId="77777777" w:rsidR="00270E02" w:rsidRPr="003E127D" w:rsidRDefault="00270E02" w:rsidP="00D229EA">
            <w:pPr>
              <w:spacing w:line="480" w:lineRule="auto"/>
              <w:jc w:val="center"/>
              <w:rPr>
                <w:sz w:val="20"/>
                <w:szCs w:val="20"/>
              </w:rPr>
            </w:pPr>
            <w:r w:rsidRPr="003E127D">
              <w:rPr>
                <w:sz w:val="20"/>
                <w:szCs w:val="20"/>
              </w:rPr>
              <w:t>229 (63.8)</w:t>
            </w:r>
          </w:p>
        </w:tc>
        <w:tc>
          <w:tcPr>
            <w:tcW w:w="1131" w:type="dxa"/>
            <w:tcBorders>
              <w:bottom w:val="single" w:sz="4" w:space="0" w:color="auto"/>
            </w:tcBorders>
          </w:tcPr>
          <w:p w14:paraId="5642BA8D" w14:textId="3803B525" w:rsidR="00270E02" w:rsidRPr="003E127D" w:rsidRDefault="00EE5778" w:rsidP="00D229EA">
            <w:pPr>
              <w:spacing w:line="480" w:lineRule="auto"/>
              <w:jc w:val="center"/>
              <w:rPr>
                <w:sz w:val="20"/>
                <w:szCs w:val="20"/>
              </w:rPr>
            </w:pPr>
            <w:r>
              <w:rPr>
                <w:sz w:val="20"/>
                <w:szCs w:val="20"/>
              </w:rPr>
              <w:t xml:space="preserve"> </w:t>
            </w:r>
            <w:r w:rsidR="00270E02" w:rsidRPr="003E127D">
              <w:rPr>
                <w:sz w:val="20"/>
                <w:szCs w:val="20"/>
              </w:rPr>
              <w:t>83 (36.2)</w:t>
            </w:r>
          </w:p>
        </w:tc>
      </w:tr>
    </w:tbl>
    <w:p w14:paraId="495902B4" w14:textId="77777777" w:rsidR="00270E02" w:rsidRDefault="00270E02" w:rsidP="00D229EA">
      <w:pPr>
        <w:spacing w:line="480" w:lineRule="auto"/>
      </w:pPr>
    </w:p>
    <w:p w14:paraId="76C98BBA" w14:textId="77777777" w:rsidR="0060315E" w:rsidRDefault="0060315E">
      <w:r>
        <w:br w:type="page"/>
      </w:r>
    </w:p>
    <w:p w14:paraId="2D0264B2" w14:textId="77777777" w:rsidR="0060315E" w:rsidRPr="00565EDA" w:rsidRDefault="0060315E" w:rsidP="0060315E">
      <w:pPr>
        <w:spacing w:line="480" w:lineRule="auto"/>
        <w:rPr>
          <w:i/>
        </w:rPr>
      </w:pPr>
      <w:r w:rsidRPr="00E324A0">
        <w:lastRenderedPageBreak/>
        <w:t xml:space="preserve">Table </w:t>
      </w:r>
      <w:r>
        <w:t>4.</w:t>
      </w:r>
      <w:r w:rsidRPr="00E324A0">
        <w:t xml:space="preserve"> </w:t>
      </w:r>
      <w:r w:rsidRPr="00565EDA">
        <w:rPr>
          <w:i/>
        </w:rPr>
        <w:t>Predictors and Correlates of Moderately to Severely Distressing Sexual Difficulties in Older European Women.</w:t>
      </w:r>
    </w:p>
    <w:p w14:paraId="4FDDB989" w14:textId="77777777" w:rsidR="0060315E" w:rsidRPr="00E324A0" w:rsidRDefault="0060315E" w:rsidP="0060315E">
      <w:pPr>
        <w:spacing w:line="480" w:lineRule="auto"/>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1701"/>
        <w:gridCol w:w="1701"/>
        <w:gridCol w:w="1701"/>
        <w:gridCol w:w="1701"/>
        <w:gridCol w:w="1701"/>
        <w:gridCol w:w="1661"/>
      </w:tblGrid>
      <w:tr w:rsidR="0060315E" w:rsidRPr="004D57FF" w14:paraId="0F1C1083" w14:textId="77777777" w:rsidTr="00A81145">
        <w:tc>
          <w:tcPr>
            <w:tcW w:w="2830" w:type="dxa"/>
          </w:tcPr>
          <w:p w14:paraId="08239171" w14:textId="77777777" w:rsidR="0060315E" w:rsidRPr="00E324A0" w:rsidRDefault="0060315E" w:rsidP="00A81145">
            <w:pPr>
              <w:spacing w:line="480" w:lineRule="auto"/>
            </w:pPr>
          </w:p>
        </w:tc>
        <w:tc>
          <w:tcPr>
            <w:tcW w:w="1701" w:type="dxa"/>
          </w:tcPr>
          <w:p w14:paraId="578F5944" w14:textId="77777777" w:rsidR="0060315E" w:rsidRPr="00E324A0" w:rsidRDefault="0060315E" w:rsidP="00A81145">
            <w:pPr>
              <w:spacing w:line="480" w:lineRule="auto"/>
              <w:jc w:val="center"/>
            </w:pPr>
            <w:r w:rsidRPr="00E324A0">
              <w:t>Vaginal dryness</w:t>
            </w:r>
          </w:p>
        </w:tc>
        <w:tc>
          <w:tcPr>
            <w:tcW w:w="1701" w:type="dxa"/>
          </w:tcPr>
          <w:p w14:paraId="31606EE7" w14:textId="77777777" w:rsidR="0060315E" w:rsidRPr="00E324A0" w:rsidRDefault="0060315E" w:rsidP="00A81145">
            <w:pPr>
              <w:spacing w:line="480" w:lineRule="auto"/>
              <w:jc w:val="center"/>
            </w:pPr>
            <w:r w:rsidRPr="00E324A0">
              <w:t>Orgasmic difficulties</w:t>
            </w:r>
          </w:p>
        </w:tc>
        <w:tc>
          <w:tcPr>
            <w:tcW w:w="1701" w:type="dxa"/>
          </w:tcPr>
          <w:p w14:paraId="5B8B6EA8" w14:textId="77777777" w:rsidR="0060315E" w:rsidRPr="00E324A0" w:rsidRDefault="0060315E" w:rsidP="00A81145">
            <w:pPr>
              <w:spacing w:line="480" w:lineRule="auto"/>
              <w:jc w:val="center"/>
            </w:pPr>
            <w:r w:rsidRPr="00E324A0">
              <w:t>Lack</w:t>
            </w:r>
            <w:r>
              <w:t>ed</w:t>
            </w:r>
            <w:r w:rsidRPr="00E324A0">
              <w:t xml:space="preserve"> interest in sex</w:t>
            </w:r>
          </w:p>
        </w:tc>
        <w:tc>
          <w:tcPr>
            <w:tcW w:w="1701" w:type="dxa"/>
          </w:tcPr>
          <w:p w14:paraId="0F20FB9A" w14:textId="77777777" w:rsidR="0060315E" w:rsidRPr="00E324A0" w:rsidRDefault="0060315E" w:rsidP="00A81145">
            <w:pPr>
              <w:spacing w:line="480" w:lineRule="auto"/>
              <w:jc w:val="center"/>
            </w:pPr>
            <w:r w:rsidRPr="00E324A0">
              <w:t>Lack</w:t>
            </w:r>
            <w:r>
              <w:t>ed</w:t>
            </w:r>
            <w:r w:rsidRPr="00E324A0">
              <w:t xml:space="preserve"> enjoyment in sex</w:t>
            </w:r>
          </w:p>
        </w:tc>
        <w:tc>
          <w:tcPr>
            <w:tcW w:w="1701" w:type="dxa"/>
          </w:tcPr>
          <w:p w14:paraId="7F60EAE1" w14:textId="77777777" w:rsidR="0060315E" w:rsidRPr="00E324A0" w:rsidRDefault="0060315E" w:rsidP="00A81145">
            <w:pPr>
              <w:spacing w:line="480" w:lineRule="auto"/>
              <w:jc w:val="center"/>
            </w:pPr>
            <w:r w:rsidRPr="00E324A0">
              <w:t>Pain during sex</w:t>
            </w:r>
          </w:p>
        </w:tc>
        <w:tc>
          <w:tcPr>
            <w:tcW w:w="1661" w:type="dxa"/>
          </w:tcPr>
          <w:p w14:paraId="441FB2D3" w14:textId="77777777" w:rsidR="0060315E" w:rsidRPr="00E324A0" w:rsidRDefault="0060315E" w:rsidP="00A81145">
            <w:pPr>
              <w:spacing w:line="480" w:lineRule="auto"/>
              <w:jc w:val="center"/>
            </w:pPr>
            <w:r w:rsidRPr="00E324A0">
              <w:t>No excitement or arousal during sex</w:t>
            </w:r>
          </w:p>
        </w:tc>
      </w:tr>
      <w:tr w:rsidR="0060315E" w:rsidRPr="004D57FF" w14:paraId="711A2A1E" w14:textId="77777777" w:rsidTr="00A81145">
        <w:tc>
          <w:tcPr>
            <w:tcW w:w="2830" w:type="dxa"/>
            <w:tcBorders>
              <w:bottom w:val="single" w:sz="4" w:space="0" w:color="auto"/>
            </w:tcBorders>
          </w:tcPr>
          <w:p w14:paraId="42B22C7C" w14:textId="77777777" w:rsidR="0060315E" w:rsidRPr="00E324A0" w:rsidRDefault="0060315E" w:rsidP="00A81145">
            <w:pPr>
              <w:spacing w:line="480" w:lineRule="auto"/>
            </w:pPr>
          </w:p>
        </w:tc>
        <w:tc>
          <w:tcPr>
            <w:tcW w:w="1701" w:type="dxa"/>
            <w:tcBorders>
              <w:bottom w:val="single" w:sz="4" w:space="0" w:color="auto"/>
            </w:tcBorders>
          </w:tcPr>
          <w:p w14:paraId="4861620B" w14:textId="77777777" w:rsidR="0060315E" w:rsidRPr="00E324A0" w:rsidRDefault="0060315E" w:rsidP="00A81145">
            <w:pPr>
              <w:spacing w:line="480" w:lineRule="auto"/>
              <w:jc w:val="center"/>
              <w:rPr>
                <w:i/>
              </w:rPr>
            </w:pPr>
            <w:r w:rsidRPr="00E324A0">
              <w:rPr>
                <w:i/>
              </w:rPr>
              <w:t>b (SE)</w:t>
            </w:r>
          </w:p>
        </w:tc>
        <w:tc>
          <w:tcPr>
            <w:tcW w:w="1701" w:type="dxa"/>
            <w:tcBorders>
              <w:bottom w:val="single" w:sz="4" w:space="0" w:color="auto"/>
            </w:tcBorders>
          </w:tcPr>
          <w:p w14:paraId="5AFB2765" w14:textId="77777777" w:rsidR="0060315E" w:rsidRPr="00E324A0" w:rsidRDefault="0060315E" w:rsidP="00A81145">
            <w:pPr>
              <w:spacing w:line="480" w:lineRule="auto"/>
              <w:jc w:val="center"/>
              <w:rPr>
                <w:i/>
              </w:rPr>
            </w:pPr>
            <w:r w:rsidRPr="00E324A0">
              <w:rPr>
                <w:i/>
              </w:rPr>
              <w:t>b (SE)</w:t>
            </w:r>
          </w:p>
        </w:tc>
        <w:tc>
          <w:tcPr>
            <w:tcW w:w="1701" w:type="dxa"/>
            <w:tcBorders>
              <w:bottom w:val="single" w:sz="4" w:space="0" w:color="auto"/>
            </w:tcBorders>
          </w:tcPr>
          <w:p w14:paraId="70234101" w14:textId="77777777" w:rsidR="0060315E" w:rsidRPr="00E324A0" w:rsidRDefault="0060315E" w:rsidP="00A81145">
            <w:pPr>
              <w:spacing w:line="480" w:lineRule="auto"/>
              <w:jc w:val="center"/>
              <w:rPr>
                <w:i/>
              </w:rPr>
            </w:pPr>
            <w:r w:rsidRPr="00E324A0">
              <w:rPr>
                <w:i/>
              </w:rPr>
              <w:t>b (SE)</w:t>
            </w:r>
          </w:p>
        </w:tc>
        <w:tc>
          <w:tcPr>
            <w:tcW w:w="1701" w:type="dxa"/>
            <w:tcBorders>
              <w:bottom w:val="single" w:sz="4" w:space="0" w:color="auto"/>
            </w:tcBorders>
          </w:tcPr>
          <w:p w14:paraId="1381B21C" w14:textId="77777777" w:rsidR="0060315E" w:rsidRPr="00E324A0" w:rsidRDefault="0060315E" w:rsidP="00A81145">
            <w:pPr>
              <w:spacing w:line="480" w:lineRule="auto"/>
              <w:jc w:val="center"/>
              <w:rPr>
                <w:i/>
              </w:rPr>
            </w:pPr>
            <w:r w:rsidRPr="00E324A0">
              <w:rPr>
                <w:i/>
              </w:rPr>
              <w:t>b (SE)</w:t>
            </w:r>
          </w:p>
        </w:tc>
        <w:tc>
          <w:tcPr>
            <w:tcW w:w="1701" w:type="dxa"/>
            <w:tcBorders>
              <w:bottom w:val="single" w:sz="4" w:space="0" w:color="auto"/>
            </w:tcBorders>
          </w:tcPr>
          <w:p w14:paraId="719AA1A1" w14:textId="77777777" w:rsidR="0060315E" w:rsidRPr="00E324A0" w:rsidRDefault="0060315E" w:rsidP="00A81145">
            <w:pPr>
              <w:spacing w:line="480" w:lineRule="auto"/>
              <w:jc w:val="center"/>
              <w:rPr>
                <w:i/>
              </w:rPr>
            </w:pPr>
            <w:r w:rsidRPr="00E324A0">
              <w:rPr>
                <w:i/>
              </w:rPr>
              <w:t>b (SE)</w:t>
            </w:r>
          </w:p>
        </w:tc>
        <w:tc>
          <w:tcPr>
            <w:tcW w:w="1661" w:type="dxa"/>
            <w:tcBorders>
              <w:bottom w:val="single" w:sz="4" w:space="0" w:color="auto"/>
            </w:tcBorders>
          </w:tcPr>
          <w:p w14:paraId="543785F0" w14:textId="77777777" w:rsidR="0060315E" w:rsidRPr="00E324A0" w:rsidRDefault="0060315E" w:rsidP="00A81145">
            <w:pPr>
              <w:spacing w:line="480" w:lineRule="auto"/>
              <w:jc w:val="center"/>
              <w:rPr>
                <w:i/>
              </w:rPr>
            </w:pPr>
            <w:r w:rsidRPr="00E324A0">
              <w:rPr>
                <w:i/>
              </w:rPr>
              <w:t>b (SE)</w:t>
            </w:r>
          </w:p>
        </w:tc>
      </w:tr>
      <w:tr w:rsidR="0060315E" w:rsidRPr="004D57FF" w14:paraId="6748984A" w14:textId="77777777" w:rsidTr="00A81145">
        <w:tc>
          <w:tcPr>
            <w:tcW w:w="2830" w:type="dxa"/>
            <w:tcBorders>
              <w:bottom w:val="nil"/>
            </w:tcBorders>
          </w:tcPr>
          <w:p w14:paraId="13CEAA40" w14:textId="77777777" w:rsidR="0060315E" w:rsidRDefault="0060315E" w:rsidP="00A81145">
            <w:pPr>
              <w:spacing w:line="480" w:lineRule="auto"/>
            </w:pPr>
          </w:p>
          <w:p w14:paraId="7A661BB5" w14:textId="77777777" w:rsidR="0060315E" w:rsidRPr="00E324A0" w:rsidRDefault="0060315E" w:rsidP="00A81145">
            <w:pPr>
              <w:spacing w:line="480" w:lineRule="auto"/>
            </w:pPr>
            <w:r w:rsidRPr="00E324A0">
              <w:t>Denmark</w:t>
            </w:r>
          </w:p>
        </w:tc>
        <w:tc>
          <w:tcPr>
            <w:tcW w:w="1701" w:type="dxa"/>
            <w:tcBorders>
              <w:bottom w:val="nil"/>
            </w:tcBorders>
          </w:tcPr>
          <w:p w14:paraId="3A41F361" w14:textId="77777777" w:rsidR="0060315E" w:rsidRDefault="0060315E" w:rsidP="00A81145">
            <w:pPr>
              <w:spacing w:line="480" w:lineRule="auto"/>
              <w:jc w:val="center"/>
            </w:pPr>
          </w:p>
          <w:p w14:paraId="0F229733" w14:textId="77777777" w:rsidR="0060315E" w:rsidRPr="00E324A0" w:rsidRDefault="0060315E" w:rsidP="00A81145">
            <w:pPr>
              <w:spacing w:line="480" w:lineRule="auto"/>
              <w:jc w:val="center"/>
            </w:pPr>
            <w:r>
              <w:t>-0.33 (.</w:t>
            </w:r>
            <w:proofErr w:type="gramStart"/>
            <w:r>
              <w:t>11)*</w:t>
            </w:r>
            <w:proofErr w:type="gramEnd"/>
            <w:r>
              <w:t>*</w:t>
            </w:r>
          </w:p>
        </w:tc>
        <w:tc>
          <w:tcPr>
            <w:tcW w:w="1701" w:type="dxa"/>
            <w:tcBorders>
              <w:bottom w:val="nil"/>
            </w:tcBorders>
          </w:tcPr>
          <w:p w14:paraId="3D0F3387" w14:textId="77777777" w:rsidR="0060315E" w:rsidRDefault="0060315E" w:rsidP="00A81145">
            <w:pPr>
              <w:spacing w:line="480" w:lineRule="auto"/>
              <w:jc w:val="center"/>
            </w:pPr>
          </w:p>
          <w:p w14:paraId="0B389E22" w14:textId="77777777" w:rsidR="0060315E" w:rsidRPr="00E324A0" w:rsidRDefault="0060315E" w:rsidP="00A81145">
            <w:pPr>
              <w:spacing w:line="480" w:lineRule="auto"/>
              <w:jc w:val="center"/>
            </w:pPr>
            <w:r>
              <w:t>-0.24 (.</w:t>
            </w:r>
            <w:proofErr w:type="gramStart"/>
            <w:r>
              <w:t>11)*</w:t>
            </w:r>
            <w:proofErr w:type="gramEnd"/>
          </w:p>
        </w:tc>
        <w:tc>
          <w:tcPr>
            <w:tcW w:w="1701" w:type="dxa"/>
            <w:tcBorders>
              <w:bottom w:val="nil"/>
            </w:tcBorders>
          </w:tcPr>
          <w:p w14:paraId="16173AE6" w14:textId="77777777" w:rsidR="0060315E" w:rsidRDefault="0060315E" w:rsidP="00A81145">
            <w:pPr>
              <w:spacing w:line="480" w:lineRule="auto"/>
              <w:jc w:val="center"/>
            </w:pPr>
          </w:p>
          <w:p w14:paraId="143B340B" w14:textId="77777777" w:rsidR="0060315E" w:rsidRPr="00E324A0" w:rsidRDefault="0060315E" w:rsidP="00A81145">
            <w:pPr>
              <w:spacing w:line="480" w:lineRule="auto"/>
              <w:jc w:val="center"/>
            </w:pPr>
            <w:r>
              <w:t>-0.25 (.</w:t>
            </w:r>
            <w:proofErr w:type="gramStart"/>
            <w:r>
              <w:t>12)*</w:t>
            </w:r>
            <w:proofErr w:type="gramEnd"/>
          </w:p>
        </w:tc>
        <w:tc>
          <w:tcPr>
            <w:tcW w:w="1701" w:type="dxa"/>
            <w:tcBorders>
              <w:bottom w:val="nil"/>
            </w:tcBorders>
          </w:tcPr>
          <w:p w14:paraId="3E483D19" w14:textId="77777777" w:rsidR="0060315E" w:rsidRDefault="0060315E" w:rsidP="00A81145">
            <w:pPr>
              <w:spacing w:line="480" w:lineRule="auto"/>
              <w:jc w:val="center"/>
            </w:pPr>
          </w:p>
          <w:p w14:paraId="745CBD46" w14:textId="77777777" w:rsidR="0060315E" w:rsidRPr="00E324A0" w:rsidRDefault="0060315E" w:rsidP="00A81145">
            <w:pPr>
              <w:spacing w:line="480" w:lineRule="auto"/>
              <w:jc w:val="center"/>
            </w:pPr>
            <w:r>
              <w:t>-0.07 (-16)</w:t>
            </w:r>
          </w:p>
        </w:tc>
        <w:tc>
          <w:tcPr>
            <w:tcW w:w="1701" w:type="dxa"/>
            <w:tcBorders>
              <w:bottom w:val="nil"/>
            </w:tcBorders>
          </w:tcPr>
          <w:p w14:paraId="24D6146D" w14:textId="77777777" w:rsidR="0060315E" w:rsidRDefault="0060315E" w:rsidP="00A81145">
            <w:pPr>
              <w:spacing w:line="480" w:lineRule="auto"/>
              <w:jc w:val="center"/>
            </w:pPr>
          </w:p>
          <w:p w14:paraId="43DA65F3" w14:textId="77777777" w:rsidR="0060315E" w:rsidRPr="00E324A0" w:rsidRDefault="0060315E" w:rsidP="00A81145">
            <w:pPr>
              <w:spacing w:line="480" w:lineRule="auto"/>
              <w:jc w:val="center"/>
            </w:pPr>
            <w:r>
              <w:t>-0.15 (.17)</w:t>
            </w:r>
          </w:p>
        </w:tc>
        <w:tc>
          <w:tcPr>
            <w:tcW w:w="1661" w:type="dxa"/>
            <w:tcBorders>
              <w:bottom w:val="nil"/>
            </w:tcBorders>
          </w:tcPr>
          <w:p w14:paraId="2C85F8A4" w14:textId="77777777" w:rsidR="0060315E" w:rsidRDefault="0060315E" w:rsidP="00A81145">
            <w:pPr>
              <w:spacing w:line="480" w:lineRule="auto"/>
              <w:jc w:val="center"/>
            </w:pPr>
            <w:r>
              <w:t xml:space="preserve">   </w:t>
            </w:r>
          </w:p>
          <w:p w14:paraId="2AA06B7E" w14:textId="77777777" w:rsidR="0060315E" w:rsidRPr="00E324A0" w:rsidRDefault="0060315E" w:rsidP="00A81145">
            <w:pPr>
              <w:spacing w:line="480" w:lineRule="auto"/>
              <w:jc w:val="center"/>
            </w:pPr>
            <w:r>
              <w:t>-0.50 (.</w:t>
            </w:r>
            <w:proofErr w:type="gramStart"/>
            <w:r>
              <w:t>17)*</w:t>
            </w:r>
            <w:proofErr w:type="gramEnd"/>
            <w:r>
              <w:t>*</w:t>
            </w:r>
          </w:p>
        </w:tc>
      </w:tr>
      <w:tr w:rsidR="0060315E" w:rsidRPr="004D57FF" w14:paraId="7583652B" w14:textId="77777777" w:rsidTr="00A81145">
        <w:tc>
          <w:tcPr>
            <w:tcW w:w="2830" w:type="dxa"/>
            <w:tcBorders>
              <w:top w:val="nil"/>
              <w:bottom w:val="nil"/>
            </w:tcBorders>
          </w:tcPr>
          <w:p w14:paraId="67072EB7" w14:textId="77777777" w:rsidR="0060315E" w:rsidRPr="00E324A0" w:rsidRDefault="0060315E" w:rsidP="00A81145">
            <w:pPr>
              <w:spacing w:line="480" w:lineRule="auto"/>
            </w:pPr>
            <w:r w:rsidRPr="00E324A0">
              <w:t>Belgium</w:t>
            </w:r>
          </w:p>
        </w:tc>
        <w:tc>
          <w:tcPr>
            <w:tcW w:w="1701" w:type="dxa"/>
            <w:tcBorders>
              <w:top w:val="nil"/>
              <w:bottom w:val="nil"/>
            </w:tcBorders>
          </w:tcPr>
          <w:p w14:paraId="19980889" w14:textId="77777777" w:rsidR="0060315E" w:rsidRPr="00E324A0" w:rsidRDefault="0060315E" w:rsidP="00A81145">
            <w:pPr>
              <w:spacing w:line="480" w:lineRule="auto"/>
              <w:jc w:val="center"/>
            </w:pPr>
            <w:r>
              <w:t>0.24 (.13)</w:t>
            </w:r>
          </w:p>
        </w:tc>
        <w:tc>
          <w:tcPr>
            <w:tcW w:w="1701" w:type="dxa"/>
            <w:tcBorders>
              <w:top w:val="nil"/>
              <w:bottom w:val="nil"/>
            </w:tcBorders>
          </w:tcPr>
          <w:p w14:paraId="788C3261" w14:textId="77777777" w:rsidR="0060315E" w:rsidRPr="00E324A0" w:rsidRDefault="0060315E" w:rsidP="00A81145">
            <w:pPr>
              <w:spacing w:line="480" w:lineRule="auto"/>
              <w:jc w:val="center"/>
            </w:pPr>
            <w:r>
              <w:t>0.27 (.</w:t>
            </w:r>
            <w:proofErr w:type="gramStart"/>
            <w:r>
              <w:t>13)*</w:t>
            </w:r>
            <w:proofErr w:type="gramEnd"/>
          </w:p>
        </w:tc>
        <w:tc>
          <w:tcPr>
            <w:tcW w:w="1701" w:type="dxa"/>
            <w:tcBorders>
              <w:top w:val="nil"/>
              <w:bottom w:val="nil"/>
            </w:tcBorders>
          </w:tcPr>
          <w:p w14:paraId="35759F70" w14:textId="77777777" w:rsidR="0060315E" w:rsidRPr="00E324A0" w:rsidRDefault="0060315E" w:rsidP="00A81145">
            <w:pPr>
              <w:spacing w:line="480" w:lineRule="auto"/>
              <w:jc w:val="center"/>
            </w:pPr>
            <w:r>
              <w:t>0.15 (.14)</w:t>
            </w:r>
          </w:p>
        </w:tc>
        <w:tc>
          <w:tcPr>
            <w:tcW w:w="1701" w:type="dxa"/>
            <w:tcBorders>
              <w:top w:val="nil"/>
              <w:bottom w:val="nil"/>
            </w:tcBorders>
          </w:tcPr>
          <w:p w14:paraId="7C724A40" w14:textId="77777777" w:rsidR="0060315E" w:rsidRPr="00E324A0" w:rsidRDefault="0060315E" w:rsidP="00A81145">
            <w:pPr>
              <w:spacing w:line="480" w:lineRule="auto"/>
              <w:jc w:val="center"/>
            </w:pPr>
            <w:r>
              <w:t>0.21 (.16)</w:t>
            </w:r>
          </w:p>
        </w:tc>
        <w:tc>
          <w:tcPr>
            <w:tcW w:w="1701" w:type="dxa"/>
            <w:tcBorders>
              <w:top w:val="nil"/>
              <w:bottom w:val="nil"/>
            </w:tcBorders>
          </w:tcPr>
          <w:p w14:paraId="47976CCA" w14:textId="77777777" w:rsidR="0060315E" w:rsidRPr="00E324A0" w:rsidRDefault="0060315E" w:rsidP="00A81145">
            <w:pPr>
              <w:spacing w:line="480" w:lineRule="auto"/>
              <w:jc w:val="center"/>
            </w:pPr>
            <w:r>
              <w:t>-0.11 (.20)</w:t>
            </w:r>
          </w:p>
        </w:tc>
        <w:tc>
          <w:tcPr>
            <w:tcW w:w="1661" w:type="dxa"/>
            <w:tcBorders>
              <w:top w:val="nil"/>
              <w:bottom w:val="nil"/>
            </w:tcBorders>
          </w:tcPr>
          <w:p w14:paraId="17355ED2" w14:textId="77777777" w:rsidR="0060315E" w:rsidRPr="00E324A0" w:rsidRDefault="0060315E" w:rsidP="00A81145">
            <w:pPr>
              <w:spacing w:line="480" w:lineRule="auto"/>
              <w:jc w:val="center"/>
            </w:pPr>
            <w:r>
              <w:t>-0.08 (.17)</w:t>
            </w:r>
          </w:p>
        </w:tc>
      </w:tr>
      <w:tr w:rsidR="0060315E" w:rsidRPr="004D57FF" w14:paraId="6CD3CE7B" w14:textId="77777777" w:rsidTr="00A81145">
        <w:tc>
          <w:tcPr>
            <w:tcW w:w="2830" w:type="dxa"/>
            <w:tcBorders>
              <w:top w:val="nil"/>
              <w:bottom w:val="single" w:sz="4" w:space="0" w:color="auto"/>
            </w:tcBorders>
          </w:tcPr>
          <w:p w14:paraId="4CCD1C61" w14:textId="77777777" w:rsidR="0060315E" w:rsidRPr="00E324A0" w:rsidRDefault="0060315E" w:rsidP="00A81145">
            <w:pPr>
              <w:spacing w:line="480" w:lineRule="auto"/>
            </w:pPr>
            <w:r w:rsidRPr="00E324A0">
              <w:t>Portugal</w:t>
            </w:r>
          </w:p>
        </w:tc>
        <w:tc>
          <w:tcPr>
            <w:tcW w:w="1701" w:type="dxa"/>
            <w:tcBorders>
              <w:top w:val="nil"/>
              <w:bottom w:val="single" w:sz="4" w:space="0" w:color="auto"/>
            </w:tcBorders>
          </w:tcPr>
          <w:p w14:paraId="73C69585" w14:textId="5AF209AC" w:rsidR="0060315E" w:rsidRPr="00E324A0" w:rsidRDefault="00EE5778" w:rsidP="00A81145">
            <w:pPr>
              <w:spacing w:line="480" w:lineRule="auto"/>
              <w:jc w:val="center"/>
            </w:pPr>
            <w:r>
              <w:t>0</w:t>
            </w:r>
            <w:r w:rsidR="0060315E">
              <w:t>.37 (.</w:t>
            </w:r>
            <w:proofErr w:type="gramStart"/>
            <w:r w:rsidR="0060315E">
              <w:t>16)*</w:t>
            </w:r>
            <w:proofErr w:type="gramEnd"/>
          </w:p>
        </w:tc>
        <w:tc>
          <w:tcPr>
            <w:tcW w:w="1701" w:type="dxa"/>
            <w:tcBorders>
              <w:top w:val="nil"/>
              <w:bottom w:val="single" w:sz="4" w:space="0" w:color="auto"/>
            </w:tcBorders>
          </w:tcPr>
          <w:p w14:paraId="2462F8D1" w14:textId="77777777" w:rsidR="0060315E" w:rsidRPr="00E324A0" w:rsidRDefault="0060315E" w:rsidP="00A81145">
            <w:pPr>
              <w:spacing w:line="480" w:lineRule="auto"/>
              <w:jc w:val="center"/>
            </w:pPr>
            <w:r>
              <w:t>0.32 (.</w:t>
            </w:r>
            <w:proofErr w:type="gramStart"/>
            <w:r>
              <w:t>15)*</w:t>
            </w:r>
            <w:proofErr w:type="gramEnd"/>
          </w:p>
        </w:tc>
        <w:tc>
          <w:tcPr>
            <w:tcW w:w="1701" w:type="dxa"/>
            <w:tcBorders>
              <w:top w:val="nil"/>
              <w:bottom w:val="single" w:sz="4" w:space="0" w:color="auto"/>
            </w:tcBorders>
          </w:tcPr>
          <w:p w14:paraId="03F03A2E" w14:textId="77777777" w:rsidR="0060315E" w:rsidRPr="00E324A0" w:rsidRDefault="0060315E" w:rsidP="00A81145">
            <w:pPr>
              <w:spacing w:line="480" w:lineRule="auto"/>
              <w:jc w:val="center"/>
            </w:pPr>
            <w:r>
              <w:t>0.18 (.18)</w:t>
            </w:r>
          </w:p>
        </w:tc>
        <w:tc>
          <w:tcPr>
            <w:tcW w:w="1701" w:type="dxa"/>
            <w:tcBorders>
              <w:top w:val="nil"/>
              <w:bottom w:val="single" w:sz="4" w:space="0" w:color="auto"/>
            </w:tcBorders>
          </w:tcPr>
          <w:p w14:paraId="31F4986E" w14:textId="77777777" w:rsidR="0060315E" w:rsidRPr="00E324A0" w:rsidRDefault="0060315E" w:rsidP="00A81145">
            <w:pPr>
              <w:spacing w:line="480" w:lineRule="auto"/>
              <w:jc w:val="center"/>
            </w:pPr>
            <w:r>
              <w:t>0.21 (.20)</w:t>
            </w:r>
          </w:p>
        </w:tc>
        <w:tc>
          <w:tcPr>
            <w:tcW w:w="1701" w:type="dxa"/>
            <w:tcBorders>
              <w:top w:val="nil"/>
              <w:bottom w:val="single" w:sz="4" w:space="0" w:color="auto"/>
            </w:tcBorders>
          </w:tcPr>
          <w:p w14:paraId="0F8883C3" w14:textId="77777777" w:rsidR="0060315E" w:rsidRPr="00E324A0" w:rsidRDefault="0060315E" w:rsidP="00A81145">
            <w:pPr>
              <w:spacing w:line="480" w:lineRule="auto"/>
              <w:jc w:val="center"/>
            </w:pPr>
            <w:r>
              <w:t>-0.06 (.27)</w:t>
            </w:r>
          </w:p>
        </w:tc>
        <w:tc>
          <w:tcPr>
            <w:tcW w:w="1661" w:type="dxa"/>
            <w:tcBorders>
              <w:top w:val="nil"/>
              <w:bottom w:val="single" w:sz="4" w:space="0" w:color="auto"/>
            </w:tcBorders>
          </w:tcPr>
          <w:p w14:paraId="0333947A" w14:textId="77777777" w:rsidR="0060315E" w:rsidRPr="00E324A0" w:rsidRDefault="0060315E" w:rsidP="00A81145">
            <w:pPr>
              <w:spacing w:line="480" w:lineRule="auto"/>
              <w:jc w:val="center"/>
            </w:pPr>
            <w:r>
              <w:t>-0.16 (.22)</w:t>
            </w:r>
          </w:p>
        </w:tc>
      </w:tr>
      <w:tr w:rsidR="0060315E" w:rsidRPr="004D57FF" w14:paraId="69087825" w14:textId="77777777" w:rsidTr="00A81145">
        <w:tc>
          <w:tcPr>
            <w:tcW w:w="2830" w:type="dxa"/>
            <w:tcBorders>
              <w:top w:val="single" w:sz="4" w:space="0" w:color="auto"/>
              <w:bottom w:val="nil"/>
            </w:tcBorders>
          </w:tcPr>
          <w:p w14:paraId="14A52D70" w14:textId="77777777" w:rsidR="0060315E" w:rsidRDefault="0060315E" w:rsidP="00A81145">
            <w:pPr>
              <w:spacing w:line="480" w:lineRule="auto"/>
            </w:pPr>
          </w:p>
          <w:p w14:paraId="1FCCE9B2" w14:textId="77777777" w:rsidR="0060315E" w:rsidRPr="00E324A0" w:rsidRDefault="0060315E" w:rsidP="00A81145">
            <w:pPr>
              <w:spacing w:line="480" w:lineRule="auto"/>
            </w:pPr>
            <w:r w:rsidRPr="00E324A0">
              <w:t>Age</w:t>
            </w:r>
          </w:p>
        </w:tc>
        <w:tc>
          <w:tcPr>
            <w:tcW w:w="1701" w:type="dxa"/>
            <w:tcBorders>
              <w:top w:val="single" w:sz="4" w:space="0" w:color="auto"/>
              <w:bottom w:val="nil"/>
            </w:tcBorders>
          </w:tcPr>
          <w:p w14:paraId="132E1A7F" w14:textId="77777777" w:rsidR="0060315E" w:rsidRDefault="0060315E" w:rsidP="00A81145">
            <w:pPr>
              <w:spacing w:line="480" w:lineRule="auto"/>
              <w:jc w:val="center"/>
            </w:pPr>
          </w:p>
          <w:p w14:paraId="6ABB42E4" w14:textId="77777777" w:rsidR="0060315E" w:rsidRPr="00E324A0" w:rsidRDefault="0060315E" w:rsidP="00A81145">
            <w:pPr>
              <w:spacing w:line="480" w:lineRule="auto"/>
              <w:jc w:val="center"/>
            </w:pPr>
            <w:r>
              <w:t>-0.00 (.01)</w:t>
            </w:r>
          </w:p>
        </w:tc>
        <w:tc>
          <w:tcPr>
            <w:tcW w:w="1701" w:type="dxa"/>
            <w:tcBorders>
              <w:top w:val="single" w:sz="4" w:space="0" w:color="auto"/>
              <w:bottom w:val="nil"/>
            </w:tcBorders>
          </w:tcPr>
          <w:p w14:paraId="2D020CFB" w14:textId="77777777" w:rsidR="0060315E" w:rsidRDefault="0060315E" w:rsidP="00A81145">
            <w:pPr>
              <w:spacing w:line="480" w:lineRule="auto"/>
              <w:jc w:val="center"/>
            </w:pPr>
          </w:p>
          <w:p w14:paraId="42B8BF18" w14:textId="77777777" w:rsidR="0060315E" w:rsidRPr="00E324A0" w:rsidRDefault="0060315E" w:rsidP="00A81145">
            <w:pPr>
              <w:spacing w:line="480" w:lineRule="auto"/>
              <w:jc w:val="center"/>
            </w:pPr>
            <w:r>
              <w:t>0.01 (.01)</w:t>
            </w:r>
          </w:p>
        </w:tc>
        <w:tc>
          <w:tcPr>
            <w:tcW w:w="1701" w:type="dxa"/>
            <w:tcBorders>
              <w:top w:val="single" w:sz="4" w:space="0" w:color="auto"/>
              <w:bottom w:val="nil"/>
            </w:tcBorders>
          </w:tcPr>
          <w:p w14:paraId="4487C141" w14:textId="77777777" w:rsidR="0060315E" w:rsidRDefault="0060315E" w:rsidP="00A81145">
            <w:pPr>
              <w:spacing w:line="480" w:lineRule="auto"/>
              <w:jc w:val="center"/>
            </w:pPr>
          </w:p>
          <w:p w14:paraId="270DA3AC" w14:textId="77777777" w:rsidR="0060315E" w:rsidRPr="00E324A0" w:rsidRDefault="0060315E" w:rsidP="00A81145">
            <w:pPr>
              <w:spacing w:line="480" w:lineRule="auto"/>
              <w:jc w:val="center"/>
            </w:pPr>
            <w:r>
              <w:t>-0.02 (.01)</w:t>
            </w:r>
          </w:p>
        </w:tc>
        <w:tc>
          <w:tcPr>
            <w:tcW w:w="1701" w:type="dxa"/>
            <w:tcBorders>
              <w:top w:val="single" w:sz="4" w:space="0" w:color="auto"/>
              <w:bottom w:val="nil"/>
            </w:tcBorders>
          </w:tcPr>
          <w:p w14:paraId="514CB4C8" w14:textId="77777777" w:rsidR="0060315E" w:rsidRDefault="0060315E" w:rsidP="00A81145">
            <w:pPr>
              <w:spacing w:line="480" w:lineRule="auto"/>
              <w:jc w:val="center"/>
            </w:pPr>
          </w:p>
          <w:p w14:paraId="06C03872" w14:textId="77777777" w:rsidR="0060315E" w:rsidRPr="00E324A0" w:rsidRDefault="0060315E" w:rsidP="00A81145">
            <w:pPr>
              <w:spacing w:line="480" w:lineRule="auto"/>
              <w:jc w:val="center"/>
            </w:pPr>
            <w:r>
              <w:t>-0.00 (.02)</w:t>
            </w:r>
          </w:p>
        </w:tc>
        <w:tc>
          <w:tcPr>
            <w:tcW w:w="1701" w:type="dxa"/>
            <w:tcBorders>
              <w:top w:val="single" w:sz="4" w:space="0" w:color="auto"/>
              <w:bottom w:val="nil"/>
            </w:tcBorders>
          </w:tcPr>
          <w:p w14:paraId="17423473" w14:textId="77777777" w:rsidR="0060315E" w:rsidRDefault="0060315E" w:rsidP="00A81145">
            <w:pPr>
              <w:spacing w:line="480" w:lineRule="auto"/>
              <w:jc w:val="center"/>
            </w:pPr>
          </w:p>
          <w:p w14:paraId="61E2DABF" w14:textId="77777777" w:rsidR="0060315E" w:rsidRPr="00E324A0" w:rsidRDefault="0060315E" w:rsidP="00A81145">
            <w:pPr>
              <w:spacing w:line="480" w:lineRule="auto"/>
              <w:jc w:val="center"/>
            </w:pPr>
            <w:r>
              <w:t>0.00 (.02)</w:t>
            </w:r>
          </w:p>
        </w:tc>
        <w:tc>
          <w:tcPr>
            <w:tcW w:w="1661" w:type="dxa"/>
            <w:tcBorders>
              <w:top w:val="single" w:sz="4" w:space="0" w:color="auto"/>
              <w:bottom w:val="nil"/>
            </w:tcBorders>
          </w:tcPr>
          <w:p w14:paraId="56EEA95A" w14:textId="77777777" w:rsidR="0060315E" w:rsidRDefault="0060315E" w:rsidP="00A81145">
            <w:pPr>
              <w:spacing w:line="480" w:lineRule="auto"/>
              <w:jc w:val="center"/>
            </w:pPr>
          </w:p>
          <w:p w14:paraId="1CE3C4FA" w14:textId="77777777" w:rsidR="0060315E" w:rsidRPr="00E324A0" w:rsidRDefault="0060315E" w:rsidP="00A81145">
            <w:pPr>
              <w:spacing w:line="480" w:lineRule="auto"/>
              <w:jc w:val="center"/>
            </w:pPr>
            <w:r>
              <w:t>-0.00 (.01)</w:t>
            </w:r>
          </w:p>
        </w:tc>
      </w:tr>
      <w:tr w:rsidR="0060315E" w:rsidRPr="004D57FF" w14:paraId="641CB9D7" w14:textId="77777777" w:rsidTr="00A81145">
        <w:tc>
          <w:tcPr>
            <w:tcW w:w="2830" w:type="dxa"/>
            <w:tcBorders>
              <w:top w:val="nil"/>
              <w:bottom w:val="nil"/>
            </w:tcBorders>
          </w:tcPr>
          <w:p w14:paraId="04F60EAB" w14:textId="77777777" w:rsidR="0060315E" w:rsidRPr="00E324A0" w:rsidRDefault="0060315E" w:rsidP="00A81145">
            <w:pPr>
              <w:spacing w:line="480" w:lineRule="auto"/>
            </w:pPr>
            <w:r w:rsidRPr="00E324A0">
              <w:t>Secondary education</w:t>
            </w:r>
          </w:p>
        </w:tc>
        <w:tc>
          <w:tcPr>
            <w:tcW w:w="1701" w:type="dxa"/>
            <w:tcBorders>
              <w:top w:val="nil"/>
              <w:bottom w:val="nil"/>
            </w:tcBorders>
          </w:tcPr>
          <w:p w14:paraId="6E9D66D2" w14:textId="77777777" w:rsidR="0060315E" w:rsidRPr="00E324A0" w:rsidRDefault="0060315E" w:rsidP="00A81145">
            <w:pPr>
              <w:spacing w:line="480" w:lineRule="auto"/>
              <w:jc w:val="center"/>
            </w:pPr>
            <w:r>
              <w:t>0.19 (.14)</w:t>
            </w:r>
          </w:p>
        </w:tc>
        <w:tc>
          <w:tcPr>
            <w:tcW w:w="1701" w:type="dxa"/>
            <w:tcBorders>
              <w:top w:val="nil"/>
              <w:bottom w:val="nil"/>
            </w:tcBorders>
          </w:tcPr>
          <w:p w14:paraId="277E890A" w14:textId="77777777" w:rsidR="0060315E" w:rsidRPr="00E324A0" w:rsidRDefault="0060315E" w:rsidP="00A81145">
            <w:pPr>
              <w:spacing w:line="480" w:lineRule="auto"/>
              <w:jc w:val="center"/>
            </w:pPr>
            <w:r>
              <w:t>-0.01 (.15)</w:t>
            </w:r>
          </w:p>
        </w:tc>
        <w:tc>
          <w:tcPr>
            <w:tcW w:w="1701" w:type="dxa"/>
            <w:tcBorders>
              <w:top w:val="nil"/>
              <w:bottom w:val="nil"/>
            </w:tcBorders>
          </w:tcPr>
          <w:p w14:paraId="3C5C1D20" w14:textId="77777777" w:rsidR="0060315E" w:rsidRPr="00E324A0" w:rsidRDefault="0060315E" w:rsidP="00A81145">
            <w:pPr>
              <w:spacing w:line="480" w:lineRule="auto"/>
              <w:jc w:val="center"/>
            </w:pPr>
            <w:r>
              <w:t>-0.11 (.18)</w:t>
            </w:r>
          </w:p>
        </w:tc>
        <w:tc>
          <w:tcPr>
            <w:tcW w:w="1701" w:type="dxa"/>
            <w:tcBorders>
              <w:top w:val="nil"/>
              <w:bottom w:val="nil"/>
            </w:tcBorders>
          </w:tcPr>
          <w:p w14:paraId="34D61BF5" w14:textId="77777777" w:rsidR="0060315E" w:rsidRPr="00E324A0" w:rsidRDefault="0060315E" w:rsidP="00A81145">
            <w:pPr>
              <w:spacing w:line="480" w:lineRule="auto"/>
              <w:jc w:val="center"/>
            </w:pPr>
            <w:r>
              <w:t>-0.02 (.21)</w:t>
            </w:r>
          </w:p>
        </w:tc>
        <w:tc>
          <w:tcPr>
            <w:tcW w:w="1701" w:type="dxa"/>
            <w:tcBorders>
              <w:top w:val="nil"/>
              <w:bottom w:val="nil"/>
            </w:tcBorders>
          </w:tcPr>
          <w:p w14:paraId="14FB5CD9" w14:textId="77777777" w:rsidR="0060315E" w:rsidRPr="00E324A0" w:rsidRDefault="0060315E" w:rsidP="00A81145">
            <w:pPr>
              <w:spacing w:line="480" w:lineRule="auto"/>
              <w:jc w:val="center"/>
            </w:pPr>
            <w:r>
              <w:t>0.22 (.28)</w:t>
            </w:r>
          </w:p>
        </w:tc>
        <w:tc>
          <w:tcPr>
            <w:tcW w:w="1661" w:type="dxa"/>
            <w:tcBorders>
              <w:top w:val="nil"/>
              <w:bottom w:val="nil"/>
            </w:tcBorders>
          </w:tcPr>
          <w:p w14:paraId="0A25B851" w14:textId="77777777" w:rsidR="0060315E" w:rsidRPr="00E324A0" w:rsidRDefault="0060315E" w:rsidP="00A81145">
            <w:pPr>
              <w:spacing w:line="480" w:lineRule="auto"/>
              <w:jc w:val="center"/>
            </w:pPr>
            <w:r>
              <w:t>-0.09 (.21)</w:t>
            </w:r>
          </w:p>
        </w:tc>
      </w:tr>
      <w:tr w:rsidR="0060315E" w:rsidRPr="004D57FF" w14:paraId="387BA82D" w14:textId="77777777" w:rsidTr="00A81145">
        <w:tc>
          <w:tcPr>
            <w:tcW w:w="2830" w:type="dxa"/>
            <w:tcBorders>
              <w:top w:val="nil"/>
              <w:bottom w:val="nil"/>
            </w:tcBorders>
          </w:tcPr>
          <w:p w14:paraId="3D1252B5" w14:textId="77777777" w:rsidR="0060315E" w:rsidRPr="00E324A0" w:rsidRDefault="0060315E" w:rsidP="00A81145">
            <w:pPr>
              <w:spacing w:line="480" w:lineRule="auto"/>
            </w:pPr>
            <w:r w:rsidRPr="00E324A0">
              <w:t>Tertiary education</w:t>
            </w:r>
          </w:p>
        </w:tc>
        <w:tc>
          <w:tcPr>
            <w:tcW w:w="1701" w:type="dxa"/>
            <w:tcBorders>
              <w:top w:val="nil"/>
              <w:bottom w:val="nil"/>
            </w:tcBorders>
          </w:tcPr>
          <w:p w14:paraId="02FBCF49" w14:textId="77777777" w:rsidR="0060315E" w:rsidRPr="00E324A0" w:rsidRDefault="0060315E" w:rsidP="00A81145">
            <w:pPr>
              <w:spacing w:line="480" w:lineRule="auto"/>
              <w:jc w:val="center"/>
            </w:pPr>
            <w:r>
              <w:t>0.38 (.</w:t>
            </w:r>
            <w:proofErr w:type="gramStart"/>
            <w:r>
              <w:t>15)*</w:t>
            </w:r>
            <w:proofErr w:type="gramEnd"/>
          </w:p>
        </w:tc>
        <w:tc>
          <w:tcPr>
            <w:tcW w:w="1701" w:type="dxa"/>
            <w:tcBorders>
              <w:top w:val="nil"/>
              <w:bottom w:val="nil"/>
            </w:tcBorders>
          </w:tcPr>
          <w:p w14:paraId="114BDBB8" w14:textId="77777777" w:rsidR="0060315E" w:rsidRPr="00E324A0" w:rsidRDefault="0060315E" w:rsidP="00A81145">
            <w:pPr>
              <w:spacing w:line="480" w:lineRule="auto"/>
              <w:jc w:val="center"/>
            </w:pPr>
            <w:r>
              <w:t>0.20 (.15)</w:t>
            </w:r>
          </w:p>
        </w:tc>
        <w:tc>
          <w:tcPr>
            <w:tcW w:w="1701" w:type="dxa"/>
            <w:tcBorders>
              <w:top w:val="nil"/>
              <w:bottom w:val="nil"/>
            </w:tcBorders>
          </w:tcPr>
          <w:p w14:paraId="2638DE2A" w14:textId="77777777" w:rsidR="0060315E" w:rsidRPr="00E324A0" w:rsidRDefault="0060315E" w:rsidP="00A81145">
            <w:pPr>
              <w:spacing w:line="480" w:lineRule="auto"/>
              <w:jc w:val="center"/>
            </w:pPr>
            <w:r>
              <w:t>0.01 (.19)</w:t>
            </w:r>
          </w:p>
        </w:tc>
        <w:tc>
          <w:tcPr>
            <w:tcW w:w="1701" w:type="dxa"/>
            <w:tcBorders>
              <w:top w:val="nil"/>
              <w:bottom w:val="nil"/>
            </w:tcBorders>
          </w:tcPr>
          <w:p w14:paraId="6EAFC433" w14:textId="77777777" w:rsidR="0060315E" w:rsidRPr="00E324A0" w:rsidRDefault="0060315E" w:rsidP="00A81145">
            <w:pPr>
              <w:spacing w:line="480" w:lineRule="auto"/>
              <w:jc w:val="center"/>
            </w:pPr>
            <w:r>
              <w:t>0.34 (.21)</w:t>
            </w:r>
          </w:p>
        </w:tc>
        <w:tc>
          <w:tcPr>
            <w:tcW w:w="1701" w:type="dxa"/>
            <w:tcBorders>
              <w:top w:val="nil"/>
              <w:bottom w:val="nil"/>
            </w:tcBorders>
          </w:tcPr>
          <w:p w14:paraId="6806DBA6" w14:textId="77777777" w:rsidR="0060315E" w:rsidRPr="00E324A0" w:rsidRDefault="0060315E" w:rsidP="00A81145">
            <w:pPr>
              <w:spacing w:line="480" w:lineRule="auto"/>
              <w:jc w:val="center"/>
            </w:pPr>
            <w:r>
              <w:t>0.42 (.28)</w:t>
            </w:r>
          </w:p>
        </w:tc>
        <w:tc>
          <w:tcPr>
            <w:tcW w:w="1661" w:type="dxa"/>
            <w:tcBorders>
              <w:top w:val="nil"/>
              <w:bottom w:val="nil"/>
            </w:tcBorders>
          </w:tcPr>
          <w:p w14:paraId="6A256AB6" w14:textId="77777777" w:rsidR="0060315E" w:rsidRPr="00E324A0" w:rsidRDefault="0060315E" w:rsidP="00A81145">
            <w:pPr>
              <w:spacing w:line="480" w:lineRule="auto"/>
              <w:jc w:val="center"/>
            </w:pPr>
            <w:r>
              <w:t>0.08 (.20)</w:t>
            </w:r>
          </w:p>
        </w:tc>
      </w:tr>
      <w:tr w:rsidR="0060315E" w:rsidRPr="004D57FF" w14:paraId="23BDD8CE" w14:textId="77777777" w:rsidTr="00A81145">
        <w:tc>
          <w:tcPr>
            <w:tcW w:w="2830" w:type="dxa"/>
            <w:tcBorders>
              <w:top w:val="nil"/>
              <w:bottom w:val="nil"/>
            </w:tcBorders>
          </w:tcPr>
          <w:p w14:paraId="7AEF9AF0" w14:textId="77777777" w:rsidR="0060315E" w:rsidRPr="00E324A0" w:rsidRDefault="0060315E" w:rsidP="00A81145">
            <w:pPr>
              <w:spacing w:line="480" w:lineRule="auto"/>
            </w:pPr>
            <w:r w:rsidRPr="00E324A0">
              <w:t>Religiosity</w:t>
            </w:r>
          </w:p>
        </w:tc>
        <w:tc>
          <w:tcPr>
            <w:tcW w:w="1701" w:type="dxa"/>
            <w:tcBorders>
              <w:top w:val="nil"/>
              <w:bottom w:val="nil"/>
            </w:tcBorders>
          </w:tcPr>
          <w:p w14:paraId="5517EC29" w14:textId="77777777" w:rsidR="0060315E" w:rsidRPr="00E324A0" w:rsidRDefault="0060315E" w:rsidP="00A81145">
            <w:pPr>
              <w:spacing w:line="480" w:lineRule="auto"/>
              <w:jc w:val="center"/>
            </w:pPr>
            <w:r>
              <w:t>-0.04 (.02)</w:t>
            </w:r>
          </w:p>
        </w:tc>
        <w:tc>
          <w:tcPr>
            <w:tcW w:w="1701" w:type="dxa"/>
            <w:tcBorders>
              <w:top w:val="nil"/>
              <w:bottom w:val="nil"/>
            </w:tcBorders>
          </w:tcPr>
          <w:p w14:paraId="11CBCE38" w14:textId="77777777" w:rsidR="0060315E" w:rsidRPr="00E324A0" w:rsidRDefault="0060315E" w:rsidP="00A81145">
            <w:pPr>
              <w:spacing w:line="480" w:lineRule="auto"/>
              <w:jc w:val="center"/>
            </w:pPr>
            <w:r>
              <w:t>0.03 (.02)</w:t>
            </w:r>
          </w:p>
        </w:tc>
        <w:tc>
          <w:tcPr>
            <w:tcW w:w="1701" w:type="dxa"/>
            <w:tcBorders>
              <w:top w:val="nil"/>
              <w:bottom w:val="nil"/>
            </w:tcBorders>
          </w:tcPr>
          <w:p w14:paraId="52B2EE58" w14:textId="77777777" w:rsidR="0060315E" w:rsidRPr="00E324A0" w:rsidRDefault="0060315E" w:rsidP="00A81145">
            <w:pPr>
              <w:spacing w:line="480" w:lineRule="auto"/>
              <w:jc w:val="center"/>
            </w:pPr>
            <w:r>
              <w:t>0.03 (.03)</w:t>
            </w:r>
          </w:p>
        </w:tc>
        <w:tc>
          <w:tcPr>
            <w:tcW w:w="1701" w:type="dxa"/>
            <w:tcBorders>
              <w:top w:val="nil"/>
              <w:bottom w:val="nil"/>
            </w:tcBorders>
          </w:tcPr>
          <w:p w14:paraId="356E820E" w14:textId="77777777" w:rsidR="0060315E" w:rsidRPr="00E324A0" w:rsidRDefault="0060315E" w:rsidP="00A81145">
            <w:pPr>
              <w:spacing w:line="480" w:lineRule="auto"/>
              <w:jc w:val="center"/>
            </w:pPr>
            <w:r>
              <w:t>0.01 (.03)</w:t>
            </w:r>
          </w:p>
        </w:tc>
        <w:tc>
          <w:tcPr>
            <w:tcW w:w="1701" w:type="dxa"/>
            <w:tcBorders>
              <w:top w:val="nil"/>
              <w:bottom w:val="nil"/>
            </w:tcBorders>
          </w:tcPr>
          <w:p w14:paraId="6B8035FD" w14:textId="77777777" w:rsidR="0060315E" w:rsidRPr="00E324A0" w:rsidRDefault="0060315E" w:rsidP="00A81145">
            <w:pPr>
              <w:spacing w:line="480" w:lineRule="auto"/>
              <w:jc w:val="center"/>
            </w:pPr>
            <w:r>
              <w:t>-0.02 (.04)</w:t>
            </w:r>
          </w:p>
        </w:tc>
        <w:tc>
          <w:tcPr>
            <w:tcW w:w="1661" w:type="dxa"/>
            <w:tcBorders>
              <w:top w:val="nil"/>
              <w:bottom w:val="nil"/>
            </w:tcBorders>
          </w:tcPr>
          <w:p w14:paraId="30A4221F" w14:textId="77777777" w:rsidR="0060315E" w:rsidRPr="00E324A0" w:rsidRDefault="0060315E" w:rsidP="00A81145">
            <w:pPr>
              <w:spacing w:line="480" w:lineRule="auto"/>
              <w:jc w:val="center"/>
            </w:pPr>
            <w:r>
              <w:t>0.01 (.03)</w:t>
            </w:r>
          </w:p>
        </w:tc>
      </w:tr>
      <w:tr w:rsidR="0060315E" w:rsidRPr="004D57FF" w14:paraId="5980F6DC" w14:textId="77777777" w:rsidTr="00A81145">
        <w:tc>
          <w:tcPr>
            <w:tcW w:w="2830" w:type="dxa"/>
            <w:tcBorders>
              <w:top w:val="nil"/>
              <w:bottom w:val="nil"/>
            </w:tcBorders>
          </w:tcPr>
          <w:p w14:paraId="45330CA2" w14:textId="77777777" w:rsidR="0060315E" w:rsidRPr="00E324A0" w:rsidRDefault="0060315E" w:rsidP="00A81145">
            <w:pPr>
              <w:spacing w:line="480" w:lineRule="auto"/>
            </w:pPr>
            <w:r w:rsidRPr="00E324A0">
              <w:t>Sexual intimacy</w:t>
            </w:r>
          </w:p>
        </w:tc>
        <w:tc>
          <w:tcPr>
            <w:tcW w:w="1701" w:type="dxa"/>
            <w:tcBorders>
              <w:top w:val="nil"/>
              <w:bottom w:val="nil"/>
            </w:tcBorders>
          </w:tcPr>
          <w:p w14:paraId="52788CB9" w14:textId="77777777" w:rsidR="0060315E" w:rsidRPr="00E324A0" w:rsidRDefault="0060315E" w:rsidP="00A81145">
            <w:pPr>
              <w:spacing w:line="480" w:lineRule="auto"/>
              <w:jc w:val="center"/>
            </w:pPr>
            <w:r>
              <w:t>0.05 (.07)</w:t>
            </w:r>
          </w:p>
        </w:tc>
        <w:tc>
          <w:tcPr>
            <w:tcW w:w="1701" w:type="dxa"/>
            <w:tcBorders>
              <w:top w:val="nil"/>
              <w:bottom w:val="nil"/>
            </w:tcBorders>
          </w:tcPr>
          <w:p w14:paraId="75BB884B" w14:textId="77777777" w:rsidR="0060315E" w:rsidRPr="00E324A0" w:rsidRDefault="0060315E" w:rsidP="00A81145">
            <w:pPr>
              <w:spacing w:line="480" w:lineRule="auto"/>
              <w:jc w:val="center"/>
            </w:pPr>
            <w:r>
              <w:t>-0.15 (.</w:t>
            </w:r>
            <w:proofErr w:type="gramStart"/>
            <w:r>
              <w:t>06)*</w:t>
            </w:r>
            <w:proofErr w:type="gramEnd"/>
          </w:p>
        </w:tc>
        <w:tc>
          <w:tcPr>
            <w:tcW w:w="1701" w:type="dxa"/>
            <w:tcBorders>
              <w:top w:val="nil"/>
              <w:bottom w:val="nil"/>
            </w:tcBorders>
          </w:tcPr>
          <w:p w14:paraId="3668A573" w14:textId="77777777" w:rsidR="0060315E" w:rsidRPr="00E324A0" w:rsidRDefault="0060315E" w:rsidP="00A81145">
            <w:pPr>
              <w:spacing w:line="480" w:lineRule="auto"/>
              <w:jc w:val="center"/>
            </w:pPr>
            <w:r>
              <w:t>-0.03 (.06)</w:t>
            </w:r>
          </w:p>
        </w:tc>
        <w:tc>
          <w:tcPr>
            <w:tcW w:w="1701" w:type="dxa"/>
            <w:tcBorders>
              <w:top w:val="nil"/>
              <w:bottom w:val="nil"/>
            </w:tcBorders>
          </w:tcPr>
          <w:p w14:paraId="679FFE86" w14:textId="77777777" w:rsidR="0060315E" w:rsidRPr="00E324A0" w:rsidRDefault="0060315E" w:rsidP="00A81145">
            <w:pPr>
              <w:spacing w:line="480" w:lineRule="auto"/>
              <w:jc w:val="center"/>
            </w:pPr>
            <w:r>
              <w:t>-0.02 (.07)</w:t>
            </w:r>
          </w:p>
        </w:tc>
        <w:tc>
          <w:tcPr>
            <w:tcW w:w="1701" w:type="dxa"/>
            <w:tcBorders>
              <w:top w:val="nil"/>
              <w:bottom w:val="nil"/>
            </w:tcBorders>
          </w:tcPr>
          <w:p w14:paraId="7FF43B09" w14:textId="77777777" w:rsidR="0060315E" w:rsidRPr="00E324A0" w:rsidRDefault="0060315E" w:rsidP="00A81145">
            <w:pPr>
              <w:spacing w:line="480" w:lineRule="auto"/>
              <w:jc w:val="center"/>
            </w:pPr>
            <w:r>
              <w:t>-0.01 (.10)</w:t>
            </w:r>
          </w:p>
        </w:tc>
        <w:tc>
          <w:tcPr>
            <w:tcW w:w="1661" w:type="dxa"/>
            <w:tcBorders>
              <w:top w:val="nil"/>
              <w:bottom w:val="nil"/>
            </w:tcBorders>
          </w:tcPr>
          <w:p w14:paraId="5789B8BC" w14:textId="77777777" w:rsidR="0060315E" w:rsidRPr="00E324A0" w:rsidRDefault="0060315E" w:rsidP="00A81145">
            <w:pPr>
              <w:spacing w:line="480" w:lineRule="auto"/>
              <w:jc w:val="center"/>
            </w:pPr>
            <w:r>
              <w:t>-0.12 (.08)</w:t>
            </w:r>
          </w:p>
        </w:tc>
      </w:tr>
      <w:tr w:rsidR="0060315E" w:rsidRPr="004D57FF" w14:paraId="526F39B8" w14:textId="77777777" w:rsidTr="00A81145">
        <w:tc>
          <w:tcPr>
            <w:tcW w:w="2830" w:type="dxa"/>
            <w:tcBorders>
              <w:top w:val="nil"/>
              <w:bottom w:val="nil"/>
            </w:tcBorders>
          </w:tcPr>
          <w:p w14:paraId="438B4BB6" w14:textId="77777777" w:rsidR="0060315E" w:rsidRPr="00E324A0" w:rsidRDefault="0060315E" w:rsidP="00A81145">
            <w:pPr>
              <w:spacing w:line="480" w:lineRule="auto"/>
            </w:pPr>
            <w:r w:rsidRPr="00E324A0">
              <w:lastRenderedPageBreak/>
              <w:t>Emotional intimacy</w:t>
            </w:r>
          </w:p>
        </w:tc>
        <w:tc>
          <w:tcPr>
            <w:tcW w:w="1701" w:type="dxa"/>
            <w:tcBorders>
              <w:top w:val="nil"/>
              <w:bottom w:val="nil"/>
            </w:tcBorders>
          </w:tcPr>
          <w:p w14:paraId="51E44D46" w14:textId="77777777" w:rsidR="0060315E" w:rsidRPr="00E324A0" w:rsidRDefault="0060315E" w:rsidP="00A81145">
            <w:pPr>
              <w:spacing w:line="480" w:lineRule="auto"/>
              <w:jc w:val="center"/>
            </w:pPr>
            <w:r>
              <w:t>-0.02 (.</w:t>
            </w:r>
            <w:proofErr w:type="gramStart"/>
            <w:r>
              <w:t>01)*</w:t>
            </w:r>
            <w:proofErr w:type="gramEnd"/>
          </w:p>
        </w:tc>
        <w:tc>
          <w:tcPr>
            <w:tcW w:w="1701" w:type="dxa"/>
            <w:tcBorders>
              <w:top w:val="nil"/>
              <w:bottom w:val="nil"/>
            </w:tcBorders>
          </w:tcPr>
          <w:p w14:paraId="3E754D32" w14:textId="77777777" w:rsidR="0060315E" w:rsidRPr="00E324A0" w:rsidRDefault="0060315E" w:rsidP="00A81145">
            <w:pPr>
              <w:spacing w:line="480" w:lineRule="auto"/>
              <w:jc w:val="center"/>
            </w:pPr>
            <w:r>
              <w:t>-0.01 (.01)</w:t>
            </w:r>
          </w:p>
        </w:tc>
        <w:tc>
          <w:tcPr>
            <w:tcW w:w="1701" w:type="dxa"/>
            <w:tcBorders>
              <w:top w:val="nil"/>
              <w:bottom w:val="nil"/>
            </w:tcBorders>
          </w:tcPr>
          <w:p w14:paraId="351F5E0B" w14:textId="77777777" w:rsidR="0060315E" w:rsidRPr="00E324A0" w:rsidRDefault="0060315E" w:rsidP="00A81145">
            <w:pPr>
              <w:spacing w:line="480" w:lineRule="auto"/>
              <w:jc w:val="center"/>
            </w:pPr>
            <w:r>
              <w:t>-0.00 (.01)</w:t>
            </w:r>
          </w:p>
        </w:tc>
        <w:tc>
          <w:tcPr>
            <w:tcW w:w="1701" w:type="dxa"/>
            <w:tcBorders>
              <w:top w:val="nil"/>
              <w:bottom w:val="nil"/>
            </w:tcBorders>
          </w:tcPr>
          <w:p w14:paraId="0F678E89" w14:textId="77777777" w:rsidR="0060315E" w:rsidRPr="00E324A0" w:rsidRDefault="0060315E" w:rsidP="00A81145">
            <w:pPr>
              <w:spacing w:line="480" w:lineRule="auto"/>
              <w:jc w:val="center"/>
            </w:pPr>
            <w:r>
              <w:t>-0.01 (.02)</w:t>
            </w:r>
          </w:p>
        </w:tc>
        <w:tc>
          <w:tcPr>
            <w:tcW w:w="1701" w:type="dxa"/>
            <w:tcBorders>
              <w:top w:val="nil"/>
              <w:bottom w:val="nil"/>
            </w:tcBorders>
          </w:tcPr>
          <w:p w14:paraId="12D3DCA3" w14:textId="77777777" w:rsidR="0060315E" w:rsidRPr="00E324A0" w:rsidRDefault="0060315E" w:rsidP="00A81145">
            <w:pPr>
              <w:spacing w:line="480" w:lineRule="auto"/>
              <w:jc w:val="center"/>
            </w:pPr>
            <w:r>
              <w:t>-0.02 (.01)</w:t>
            </w:r>
          </w:p>
        </w:tc>
        <w:tc>
          <w:tcPr>
            <w:tcW w:w="1661" w:type="dxa"/>
            <w:tcBorders>
              <w:top w:val="nil"/>
              <w:bottom w:val="nil"/>
            </w:tcBorders>
          </w:tcPr>
          <w:p w14:paraId="64C41BE6" w14:textId="77777777" w:rsidR="0060315E" w:rsidRPr="00E324A0" w:rsidRDefault="0060315E" w:rsidP="00A81145">
            <w:pPr>
              <w:spacing w:line="480" w:lineRule="auto"/>
              <w:jc w:val="center"/>
            </w:pPr>
            <w:r>
              <w:t>-0.00 (.01)</w:t>
            </w:r>
          </w:p>
        </w:tc>
      </w:tr>
      <w:tr w:rsidR="0060315E" w:rsidRPr="004D57FF" w14:paraId="3207C39C" w14:textId="77777777" w:rsidTr="00A81145">
        <w:tc>
          <w:tcPr>
            <w:tcW w:w="2830" w:type="dxa"/>
            <w:tcBorders>
              <w:top w:val="nil"/>
              <w:bottom w:val="nil"/>
            </w:tcBorders>
          </w:tcPr>
          <w:p w14:paraId="100628A8" w14:textId="77777777" w:rsidR="0060315E" w:rsidRPr="00E324A0" w:rsidRDefault="0060315E" w:rsidP="00A81145">
            <w:pPr>
              <w:spacing w:line="480" w:lineRule="auto"/>
            </w:pPr>
            <w:r w:rsidRPr="00E324A0">
              <w:t>Mental health (SF-12)</w:t>
            </w:r>
          </w:p>
        </w:tc>
        <w:tc>
          <w:tcPr>
            <w:tcW w:w="1701" w:type="dxa"/>
            <w:tcBorders>
              <w:top w:val="nil"/>
              <w:bottom w:val="nil"/>
            </w:tcBorders>
          </w:tcPr>
          <w:p w14:paraId="57525C38" w14:textId="77777777" w:rsidR="0060315E" w:rsidRPr="00E324A0" w:rsidRDefault="0060315E" w:rsidP="00A81145">
            <w:pPr>
              <w:spacing w:line="480" w:lineRule="auto"/>
              <w:jc w:val="center"/>
            </w:pPr>
            <w:r>
              <w:t>0.01 (.01)</w:t>
            </w:r>
          </w:p>
        </w:tc>
        <w:tc>
          <w:tcPr>
            <w:tcW w:w="1701" w:type="dxa"/>
            <w:tcBorders>
              <w:top w:val="nil"/>
              <w:bottom w:val="nil"/>
            </w:tcBorders>
          </w:tcPr>
          <w:p w14:paraId="0DA8AA1C" w14:textId="77777777" w:rsidR="0060315E" w:rsidRPr="00E324A0" w:rsidRDefault="0060315E" w:rsidP="00A81145">
            <w:pPr>
              <w:spacing w:line="480" w:lineRule="auto"/>
              <w:jc w:val="center"/>
            </w:pPr>
            <w:r>
              <w:t>-0.01 (.01)</w:t>
            </w:r>
          </w:p>
        </w:tc>
        <w:tc>
          <w:tcPr>
            <w:tcW w:w="1701" w:type="dxa"/>
            <w:tcBorders>
              <w:top w:val="nil"/>
              <w:bottom w:val="nil"/>
            </w:tcBorders>
          </w:tcPr>
          <w:p w14:paraId="1A92BEE1" w14:textId="77777777" w:rsidR="0060315E" w:rsidRPr="00E324A0" w:rsidRDefault="0060315E" w:rsidP="00A81145">
            <w:pPr>
              <w:spacing w:line="480" w:lineRule="auto"/>
              <w:jc w:val="center"/>
            </w:pPr>
            <w:r>
              <w:t>-0.01 (.01)</w:t>
            </w:r>
          </w:p>
        </w:tc>
        <w:tc>
          <w:tcPr>
            <w:tcW w:w="1701" w:type="dxa"/>
            <w:tcBorders>
              <w:top w:val="nil"/>
              <w:bottom w:val="nil"/>
            </w:tcBorders>
          </w:tcPr>
          <w:p w14:paraId="0AB174E4" w14:textId="77777777" w:rsidR="0060315E" w:rsidRPr="00E324A0" w:rsidRDefault="0060315E" w:rsidP="00A81145">
            <w:pPr>
              <w:spacing w:line="480" w:lineRule="auto"/>
              <w:jc w:val="center"/>
            </w:pPr>
            <w:r>
              <w:t>-0.02 (.</w:t>
            </w:r>
            <w:proofErr w:type="gramStart"/>
            <w:r>
              <w:t>01)*</w:t>
            </w:r>
            <w:proofErr w:type="gramEnd"/>
          </w:p>
        </w:tc>
        <w:tc>
          <w:tcPr>
            <w:tcW w:w="1701" w:type="dxa"/>
            <w:tcBorders>
              <w:top w:val="nil"/>
              <w:bottom w:val="nil"/>
            </w:tcBorders>
          </w:tcPr>
          <w:p w14:paraId="54DDF650" w14:textId="77777777" w:rsidR="0060315E" w:rsidRPr="00E324A0" w:rsidRDefault="0060315E" w:rsidP="00A81145">
            <w:pPr>
              <w:spacing w:line="480" w:lineRule="auto"/>
              <w:jc w:val="center"/>
            </w:pPr>
            <w:r>
              <w:t>-0.01 (.01)</w:t>
            </w:r>
          </w:p>
        </w:tc>
        <w:tc>
          <w:tcPr>
            <w:tcW w:w="1661" w:type="dxa"/>
            <w:tcBorders>
              <w:top w:val="nil"/>
              <w:bottom w:val="nil"/>
            </w:tcBorders>
          </w:tcPr>
          <w:p w14:paraId="623F50B3" w14:textId="77777777" w:rsidR="0060315E" w:rsidRPr="00E324A0" w:rsidRDefault="0060315E" w:rsidP="00A81145">
            <w:pPr>
              <w:spacing w:line="480" w:lineRule="auto"/>
              <w:jc w:val="center"/>
            </w:pPr>
            <w:r>
              <w:t>-0.00 (.01)</w:t>
            </w:r>
          </w:p>
        </w:tc>
      </w:tr>
      <w:tr w:rsidR="0060315E" w:rsidRPr="004D57FF" w14:paraId="5080E8C0" w14:textId="77777777" w:rsidTr="00A81145">
        <w:tc>
          <w:tcPr>
            <w:tcW w:w="2830" w:type="dxa"/>
            <w:tcBorders>
              <w:top w:val="nil"/>
              <w:bottom w:val="nil"/>
            </w:tcBorders>
          </w:tcPr>
          <w:p w14:paraId="6EE816AE" w14:textId="77777777" w:rsidR="0060315E" w:rsidRPr="00E324A0" w:rsidRDefault="0060315E" w:rsidP="00A81145">
            <w:pPr>
              <w:spacing w:line="480" w:lineRule="auto"/>
            </w:pPr>
            <w:r w:rsidRPr="00E324A0">
              <w:t>Physical health (SF-12)</w:t>
            </w:r>
          </w:p>
        </w:tc>
        <w:tc>
          <w:tcPr>
            <w:tcW w:w="1701" w:type="dxa"/>
            <w:tcBorders>
              <w:top w:val="nil"/>
              <w:bottom w:val="nil"/>
            </w:tcBorders>
          </w:tcPr>
          <w:p w14:paraId="58BAF756" w14:textId="77777777" w:rsidR="0060315E" w:rsidRPr="00E324A0" w:rsidRDefault="0060315E" w:rsidP="00A81145">
            <w:pPr>
              <w:spacing w:line="480" w:lineRule="auto"/>
              <w:jc w:val="center"/>
            </w:pPr>
            <w:r>
              <w:t>-0.00 (.00)</w:t>
            </w:r>
          </w:p>
        </w:tc>
        <w:tc>
          <w:tcPr>
            <w:tcW w:w="1701" w:type="dxa"/>
            <w:tcBorders>
              <w:top w:val="nil"/>
              <w:bottom w:val="nil"/>
            </w:tcBorders>
          </w:tcPr>
          <w:p w14:paraId="17AF8E43" w14:textId="77777777" w:rsidR="0060315E" w:rsidRPr="00E324A0" w:rsidRDefault="0060315E" w:rsidP="00A81145">
            <w:pPr>
              <w:spacing w:line="480" w:lineRule="auto"/>
              <w:jc w:val="center"/>
            </w:pPr>
            <w:r>
              <w:t>-0.00 (.01)</w:t>
            </w:r>
          </w:p>
        </w:tc>
        <w:tc>
          <w:tcPr>
            <w:tcW w:w="1701" w:type="dxa"/>
            <w:tcBorders>
              <w:top w:val="nil"/>
              <w:bottom w:val="nil"/>
            </w:tcBorders>
          </w:tcPr>
          <w:p w14:paraId="44F16905" w14:textId="77777777" w:rsidR="0060315E" w:rsidRPr="00E324A0" w:rsidRDefault="0060315E" w:rsidP="00A81145">
            <w:pPr>
              <w:spacing w:line="480" w:lineRule="auto"/>
              <w:jc w:val="center"/>
            </w:pPr>
            <w:r>
              <w:t>-0.00 (.01)</w:t>
            </w:r>
          </w:p>
        </w:tc>
        <w:tc>
          <w:tcPr>
            <w:tcW w:w="1701" w:type="dxa"/>
            <w:tcBorders>
              <w:top w:val="nil"/>
              <w:bottom w:val="nil"/>
            </w:tcBorders>
          </w:tcPr>
          <w:p w14:paraId="7C56C5FF" w14:textId="77777777" w:rsidR="0060315E" w:rsidRPr="00E324A0" w:rsidRDefault="0060315E" w:rsidP="00A81145">
            <w:pPr>
              <w:spacing w:line="480" w:lineRule="auto"/>
              <w:jc w:val="center"/>
            </w:pPr>
            <w:r>
              <w:t>-0.00 (.01)</w:t>
            </w:r>
          </w:p>
        </w:tc>
        <w:tc>
          <w:tcPr>
            <w:tcW w:w="1701" w:type="dxa"/>
            <w:tcBorders>
              <w:top w:val="nil"/>
              <w:bottom w:val="nil"/>
            </w:tcBorders>
          </w:tcPr>
          <w:p w14:paraId="27F6B808" w14:textId="77777777" w:rsidR="0060315E" w:rsidRPr="00E324A0" w:rsidRDefault="0060315E" w:rsidP="00A81145">
            <w:pPr>
              <w:spacing w:line="480" w:lineRule="auto"/>
              <w:jc w:val="center"/>
            </w:pPr>
            <w:r>
              <w:t>0.00 (.01)</w:t>
            </w:r>
          </w:p>
        </w:tc>
        <w:tc>
          <w:tcPr>
            <w:tcW w:w="1661" w:type="dxa"/>
            <w:tcBorders>
              <w:top w:val="nil"/>
              <w:bottom w:val="nil"/>
            </w:tcBorders>
          </w:tcPr>
          <w:p w14:paraId="3EFED011" w14:textId="77777777" w:rsidR="0060315E" w:rsidRPr="00E324A0" w:rsidRDefault="0060315E" w:rsidP="00A81145">
            <w:pPr>
              <w:spacing w:line="480" w:lineRule="auto"/>
              <w:jc w:val="center"/>
            </w:pPr>
            <w:r>
              <w:t>0.00 (.01)</w:t>
            </w:r>
          </w:p>
        </w:tc>
      </w:tr>
      <w:tr w:rsidR="0060315E" w:rsidRPr="004D57FF" w14:paraId="09E1FABA" w14:textId="77777777" w:rsidTr="00A81145">
        <w:tc>
          <w:tcPr>
            <w:tcW w:w="2830" w:type="dxa"/>
            <w:tcBorders>
              <w:top w:val="nil"/>
            </w:tcBorders>
          </w:tcPr>
          <w:p w14:paraId="7C6E0003" w14:textId="77777777" w:rsidR="0060315E" w:rsidRPr="00E324A0" w:rsidRDefault="0060315E" w:rsidP="00A81145">
            <w:pPr>
              <w:spacing w:line="480" w:lineRule="auto"/>
            </w:pPr>
            <w:r w:rsidRPr="00E324A0">
              <w:t>Number of sexual difficulties</w:t>
            </w:r>
          </w:p>
        </w:tc>
        <w:tc>
          <w:tcPr>
            <w:tcW w:w="1701" w:type="dxa"/>
            <w:tcBorders>
              <w:top w:val="nil"/>
            </w:tcBorders>
          </w:tcPr>
          <w:p w14:paraId="2303735F" w14:textId="77777777" w:rsidR="0060315E" w:rsidRPr="00E324A0" w:rsidRDefault="0060315E" w:rsidP="00A81145">
            <w:pPr>
              <w:spacing w:line="480" w:lineRule="auto"/>
              <w:jc w:val="center"/>
            </w:pPr>
            <w:r>
              <w:t>0.19 (.</w:t>
            </w:r>
            <w:proofErr w:type="gramStart"/>
            <w:r>
              <w:t>03)*</w:t>
            </w:r>
            <w:proofErr w:type="gramEnd"/>
            <w:r>
              <w:t>**</w:t>
            </w:r>
          </w:p>
        </w:tc>
        <w:tc>
          <w:tcPr>
            <w:tcW w:w="1701" w:type="dxa"/>
            <w:tcBorders>
              <w:top w:val="nil"/>
            </w:tcBorders>
          </w:tcPr>
          <w:p w14:paraId="566DB5CA" w14:textId="77777777" w:rsidR="0060315E" w:rsidRPr="00E324A0" w:rsidRDefault="0060315E" w:rsidP="00A81145">
            <w:pPr>
              <w:spacing w:line="480" w:lineRule="auto"/>
              <w:jc w:val="center"/>
            </w:pPr>
            <w:r>
              <w:t>0.19 (.</w:t>
            </w:r>
            <w:proofErr w:type="gramStart"/>
            <w:r>
              <w:t>03)*</w:t>
            </w:r>
            <w:proofErr w:type="gramEnd"/>
            <w:r>
              <w:t>**</w:t>
            </w:r>
          </w:p>
        </w:tc>
        <w:tc>
          <w:tcPr>
            <w:tcW w:w="1701" w:type="dxa"/>
            <w:tcBorders>
              <w:top w:val="nil"/>
            </w:tcBorders>
          </w:tcPr>
          <w:p w14:paraId="49E3DBA7" w14:textId="77777777" w:rsidR="0060315E" w:rsidRPr="00E324A0" w:rsidRDefault="0060315E" w:rsidP="00A81145">
            <w:pPr>
              <w:spacing w:line="480" w:lineRule="auto"/>
              <w:jc w:val="center"/>
            </w:pPr>
            <w:r>
              <w:t>0.16 (.</w:t>
            </w:r>
            <w:proofErr w:type="gramStart"/>
            <w:r>
              <w:t>03)*</w:t>
            </w:r>
            <w:proofErr w:type="gramEnd"/>
            <w:r>
              <w:t>**</w:t>
            </w:r>
          </w:p>
        </w:tc>
        <w:tc>
          <w:tcPr>
            <w:tcW w:w="1701" w:type="dxa"/>
            <w:tcBorders>
              <w:top w:val="nil"/>
            </w:tcBorders>
          </w:tcPr>
          <w:p w14:paraId="456E6445" w14:textId="77777777" w:rsidR="0060315E" w:rsidRPr="00E324A0" w:rsidRDefault="0060315E" w:rsidP="00A81145">
            <w:pPr>
              <w:spacing w:line="480" w:lineRule="auto"/>
              <w:jc w:val="center"/>
            </w:pPr>
            <w:r>
              <w:t>0.20 (.</w:t>
            </w:r>
            <w:proofErr w:type="gramStart"/>
            <w:r>
              <w:t>04)*</w:t>
            </w:r>
            <w:proofErr w:type="gramEnd"/>
            <w:r>
              <w:t>**</w:t>
            </w:r>
          </w:p>
        </w:tc>
        <w:tc>
          <w:tcPr>
            <w:tcW w:w="1701" w:type="dxa"/>
            <w:tcBorders>
              <w:top w:val="nil"/>
            </w:tcBorders>
          </w:tcPr>
          <w:p w14:paraId="3709734C" w14:textId="77777777" w:rsidR="0060315E" w:rsidRPr="00E324A0" w:rsidRDefault="0060315E" w:rsidP="00A81145">
            <w:pPr>
              <w:spacing w:line="480" w:lineRule="auto"/>
              <w:jc w:val="center"/>
            </w:pPr>
            <w:r>
              <w:t>0.14 (.</w:t>
            </w:r>
            <w:proofErr w:type="gramStart"/>
            <w:r>
              <w:t>06)*</w:t>
            </w:r>
            <w:proofErr w:type="gramEnd"/>
          </w:p>
        </w:tc>
        <w:tc>
          <w:tcPr>
            <w:tcW w:w="1661" w:type="dxa"/>
            <w:tcBorders>
              <w:top w:val="nil"/>
            </w:tcBorders>
          </w:tcPr>
          <w:p w14:paraId="00990859" w14:textId="77777777" w:rsidR="0060315E" w:rsidRPr="00E324A0" w:rsidRDefault="0060315E" w:rsidP="00A81145">
            <w:pPr>
              <w:spacing w:line="480" w:lineRule="auto"/>
              <w:jc w:val="center"/>
            </w:pPr>
            <w:r>
              <w:t>0.23 (.</w:t>
            </w:r>
            <w:proofErr w:type="gramStart"/>
            <w:r>
              <w:t>05)*</w:t>
            </w:r>
            <w:proofErr w:type="gramEnd"/>
            <w:r>
              <w:t>**</w:t>
            </w:r>
          </w:p>
        </w:tc>
      </w:tr>
      <w:tr w:rsidR="0060315E" w:rsidRPr="004D57FF" w14:paraId="670E67CE" w14:textId="77777777" w:rsidTr="00A81145">
        <w:tc>
          <w:tcPr>
            <w:tcW w:w="2830" w:type="dxa"/>
          </w:tcPr>
          <w:p w14:paraId="3D5C747C" w14:textId="77777777" w:rsidR="0060315E" w:rsidRPr="001A6F71" w:rsidRDefault="0060315E" w:rsidP="00A81145">
            <w:pPr>
              <w:spacing w:line="480" w:lineRule="auto"/>
              <w:rPr>
                <w:i/>
              </w:rPr>
            </w:pPr>
            <w:r w:rsidRPr="001A6F71">
              <w:rPr>
                <w:i/>
              </w:rPr>
              <w:t>R</w:t>
            </w:r>
            <w:r w:rsidRPr="001A6F71">
              <w:rPr>
                <w:i/>
                <w:vertAlign w:val="superscript"/>
              </w:rPr>
              <w:t>2</w:t>
            </w:r>
          </w:p>
        </w:tc>
        <w:tc>
          <w:tcPr>
            <w:tcW w:w="1701" w:type="dxa"/>
          </w:tcPr>
          <w:p w14:paraId="1EED7FE5" w14:textId="77777777" w:rsidR="0060315E" w:rsidRDefault="0060315E" w:rsidP="00A81145">
            <w:pPr>
              <w:spacing w:line="480" w:lineRule="auto"/>
              <w:jc w:val="center"/>
            </w:pPr>
            <w:r>
              <w:t>.26</w:t>
            </w:r>
          </w:p>
        </w:tc>
        <w:tc>
          <w:tcPr>
            <w:tcW w:w="1701" w:type="dxa"/>
          </w:tcPr>
          <w:p w14:paraId="185030E3" w14:textId="77777777" w:rsidR="0060315E" w:rsidRDefault="0060315E" w:rsidP="00A81145">
            <w:pPr>
              <w:spacing w:line="480" w:lineRule="auto"/>
              <w:jc w:val="center"/>
            </w:pPr>
            <w:r>
              <w:t>.30</w:t>
            </w:r>
          </w:p>
        </w:tc>
        <w:tc>
          <w:tcPr>
            <w:tcW w:w="1701" w:type="dxa"/>
          </w:tcPr>
          <w:p w14:paraId="57702CE2" w14:textId="77777777" w:rsidR="0060315E" w:rsidRDefault="0060315E" w:rsidP="00A81145">
            <w:pPr>
              <w:spacing w:line="480" w:lineRule="auto"/>
              <w:jc w:val="center"/>
            </w:pPr>
            <w:r>
              <w:t>.19</w:t>
            </w:r>
          </w:p>
        </w:tc>
        <w:tc>
          <w:tcPr>
            <w:tcW w:w="1701" w:type="dxa"/>
          </w:tcPr>
          <w:p w14:paraId="0576D1B1" w14:textId="77777777" w:rsidR="0060315E" w:rsidRDefault="0060315E" w:rsidP="00A81145">
            <w:pPr>
              <w:spacing w:line="480" w:lineRule="auto"/>
              <w:jc w:val="center"/>
            </w:pPr>
            <w:r>
              <w:t>.22</w:t>
            </w:r>
          </w:p>
        </w:tc>
        <w:tc>
          <w:tcPr>
            <w:tcW w:w="1701" w:type="dxa"/>
          </w:tcPr>
          <w:p w14:paraId="3A5722E2" w14:textId="77777777" w:rsidR="0060315E" w:rsidRDefault="0060315E" w:rsidP="00A81145">
            <w:pPr>
              <w:spacing w:line="480" w:lineRule="auto"/>
              <w:jc w:val="center"/>
            </w:pPr>
            <w:r>
              <w:t>.17</w:t>
            </w:r>
          </w:p>
        </w:tc>
        <w:tc>
          <w:tcPr>
            <w:tcW w:w="1661" w:type="dxa"/>
          </w:tcPr>
          <w:p w14:paraId="3BE1F8B1" w14:textId="77777777" w:rsidR="0060315E" w:rsidRPr="00E324A0" w:rsidRDefault="0060315E" w:rsidP="00A81145">
            <w:pPr>
              <w:spacing w:line="480" w:lineRule="auto"/>
              <w:jc w:val="center"/>
            </w:pPr>
            <w:r>
              <w:t>.22</w:t>
            </w:r>
          </w:p>
        </w:tc>
      </w:tr>
    </w:tbl>
    <w:p w14:paraId="2EB12AF2" w14:textId="77777777" w:rsidR="0060315E" w:rsidRPr="00E324A0" w:rsidRDefault="0060315E" w:rsidP="0060315E">
      <w:pPr>
        <w:spacing w:line="480" w:lineRule="auto"/>
        <w:rPr>
          <w:lang w:val="hr-HR"/>
        </w:rPr>
      </w:pPr>
      <w:r w:rsidRPr="00E324A0">
        <w:rPr>
          <w:lang w:val="hr-HR"/>
        </w:rPr>
        <w:t>* p &lt; .05, ** p &lt; .01, *** p &lt; .001</w:t>
      </w:r>
    </w:p>
    <w:p w14:paraId="5DC948F9" w14:textId="77777777" w:rsidR="00270E02" w:rsidRPr="009054B6" w:rsidRDefault="00270E02" w:rsidP="00D229EA">
      <w:pPr>
        <w:spacing w:line="480" w:lineRule="auto"/>
        <w:ind w:left="360" w:hanging="360"/>
      </w:pPr>
    </w:p>
    <w:p w14:paraId="0E01681B" w14:textId="77777777" w:rsidR="009054B6" w:rsidRPr="009054B6" w:rsidRDefault="009054B6" w:rsidP="00D229EA">
      <w:pPr>
        <w:spacing w:line="480" w:lineRule="auto"/>
        <w:ind w:left="360" w:hanging="360"/>
      </w:pPr>
    </w:p>
    <w:p w14:paraId="670379A5" w14:textId="77777777" w:rsidR="00A67568" w:rsidRPr="00F120E2" w:rsidRDefault="00A67568" w:rsidP="00D229EA">
      <w:pPr>
        <w:spacing w:line="480" w:lineRule="auto"/>
        <w:outlineLvl w:val="0"/>
      </w:pPr>
    </w:p>
    <w:sectPr w:rsidR="00A67568" w:rsidRPr="00F120E2" w:rsidSect="00810791">
      <w:pgSz w:w="15840" w:h="122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73AEE" w14:textId="77777777" w:rsidR="00FC43CA" w:rsidRDefault="00FC43CA" w:rsidP="00C8136C">
      <w:r>
        <w:separator/>
      </w:r>
    </w:p>
  </w:endnote>
  <w:endnote w:type="continuationSeparator" w:id="0">
    <w:p w14:paraId="6623F17F" w14:textId="77777777" w:rsidR="00FC43CA" w:rsidRDefault="00FC43CA" w:rsidP="00C8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E5CBC" w14:textId="77777777" w:rsidR="00FC43CA" w:rsidRDefault="00FC43CA" w:rsidP="00C8136C">
      <w:r>
        <w:separator/>
      </w:r>
    </w:p>
  </w:footnote>
  <w:footnote w:type="continuationSeparator" w:id="0">
    <w:p w14:paraId="6E11B25E" w14:textId="77777777" w:rsidR="00FC43CA" w:rsidRDefault="00FC43CA" w:rsidP="00C813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98A98" w14:textId="16222E10" w:rsidR="00A144FB" w:rsidRDefault="00A144FB" w:rsidP="0047081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4CF2">
      <w:rPr>
        <w:rStyle w:val="PageNumber"/>
        <w:noProof/>
      </w:rPr>
      <w:t>2</w:t>
    </w:r>
    <w:r>
      <w:rPr>
        <w:rStyle w:val="PageNumber"/>
      </w:rPr>
      <w:fldChar w:fldCharType="end"/>
    </w:r>
  </w:p>
  <w:p w14:paraId="2B36D322" w14:textId="77777777" w:rsidR="00A144FB" w:rsidRDefault="00A144FB" w:rsidP="00C8136C">
    <w:pPr>
      <w:pStyle w:val="Header"/>
      <w:ind w:right="360"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51043" w14:textId="4046C40D" w:rsidR="00A144FB" w:rsidRDefault="00A144FB" w:rsidP="0047081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4CF2">
      <w:rPr>
        <w:rStyle w:val="PageNumber"/>
        <w:noProof/>
      </w:rPr>
      <w:t>3</w:t>
    </w:r>
    <w:r>
      <w:rPr>
        <w:rStyle w:val="PageNumber"/>
      </w:rPr>
      <w:fldChar w:fldCharType="end"/>
    </w:r>
  </w:p>
  <w:p w14:paraId="3C4DC184" w14:textId="77777777" w:rsidR="00A144FB" w:rsidRDefault="00A144FB" w:rsidP="00C8136C">
    <w:pPr>
      <w:pStyle w:val="Header"/>
      <w:ind w:right="360"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24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B1816A7"/>
    <w:multiLevelType w:val="hybridMultilevel"/>
    <w:tmpl w:val="8C1806AA"/>
    <w:lvl w:ilvl="0" w:tplc="1D967362">
      <w:start w:val="1"/>
      <w:numFmt w:val="bullet"/>
      <w:lvlText w:val="•"/>
      <w:lvlJc w:val="left"/>
      <w:pPr>
        <w:tabs>
          <w:tab w:val="num" w:pos="720"/>
        </w:tabs>
        <w:ind w:left="720" w:hanging="360"/>
      </w:pPr>
      <w:rPr>
        <w:rFonts w:ascii="Arial" w:hAnsi="Arial" w:hint="default"/>
      </w:rPr>
    </w:lvl>
    <w:lvl w:ilvl="1" w:tplc="EF5E6FDC" w:tentative="1">
      <w:start w:val="1"/>
      <w:numFmt w:val="bullet"/>
      <w:lvlText w:val="•"/>
      <w:lvlJc w:val="left"/>
      <w:pPr>
        <w:tabs>
          <w:tab w:val="num" w:pos="1440"/>
        </w:tabs>
        <w:ind w:left="1440" w:hanging="360"/>
      </w:pPr>
      <w:rPr>
        <w:rFonts w:ascii="Arial" w:hAnsi="Arial" w:hint="default"/>
      </w:rPr>
    </w:lvl>
    <w:lvl w:ilvl="2" w:tplc="D7D0004A" w:tentative="1">
      <w:start w:val="1"/>
      <w:numFmt w:val="bullet"/>
      <w:lvlText w:val="•"/>
      <w:lvlJc w:val="left"/>
      <w:pPr>
        <w:tabs>
          <w:tab w:val="num" w:pos="2160"/>
        </w:tabs>
        <w:ind w:left="2160" w:hanging="360"/>
      </w:pPr>
      <w:rPr>
        <w:rFonts w:ascii="Arial" w:hAnsi="Arial" w:hint="default"/>
      </w:rPr>
    </w:lvl>
    <w:lvl w:ilvl="3" w:tplc="78B4FC1A" w:tentative="1">
      <w:start w:val="1"/>
      <w:numFmt w:val="bullet"/>
      <w:lvlText w:val="•"/>
      <w:lvlJc w:val="left"/>
      <w:pPr>
        <w:tabs>
          <w:tab w:val="num" w:pos="2880"/>
        </w:tabs>
        <w:ind w:left="2880" w:hanging="360"/>
      </w:pPr>
      <w:rPr>
        <w:rFonts w:ascii="Arial" w:hAnsi="Arial" w:hint="default"/>
      </w:rPr>
    </w:lvl>
    <w:lvl w:ilvl="4" w:tplc="082CF0FE" w:tentative="1">
      <w:start w:val="1"/>
      <w:numFmt w:val="bullet"/>
      <w:lvlText w:val="•"/>
      <w:lvlJc w:val="left"/>
      <w:pPr>
        <w:tabs>
          <w:tab w:val="num" w:pos="3600"/>
        </w:tabs>
        <w:ind w:left="3600" w:hanging="360"/>
      </w:pPr>
      <w:rPr>
        <w:rFonts w:ascii="Arial" w:hAnsi="Arial" w:hint="default"/>
      </w:rPr>
    </w:lvl>
    <w:lvl w:ilvl="5" w:tplc="E3EA02B2" w:tentative="1">
      <w:start w:val="1"/>
      <w:numFmt w:val="bullet"/>
      <w:lvlText w:val="•"/>
      <w:lvlJc w:val="left"/>
      <w:pPr>
        <w:tabs>
          <w:tab w:val="num" w:pos="4320"/>
        </w:tabs>
        <w:ind w:left="4320" w:hanging="360"/>
      </w:pPr>
      <w:rPr>
        <w:rFonts w:ascii="Arial" w:hAnsi="Arial" w:hint="default"/>
      </w:rPr>
    </w:lvl>
    <w:lvl w:ilvl="6" w:tplc="B11040A6" w:tentative="1">
      <w:start w:val="1"/>
      <w:numFmt w:val="bullet"/>
      <w:lvlText w:val="•"/>
      <w:lvlJc w:val="left"/>
      <w:pPr>
        <w:tabs>
          <w:tab w:val="num" w:pos="5040"/>
        </w:tabs>
        <w:ind w:left="5040" w:hanging="360"/>
      </w:pPr>
      <w:rPr>
        <w:rFonts w:ascii="Arial" w:hAnsi="Arial" w:hint="default"/>
      </w:rPr>
    </w:lvl>
    <w:lvl w:ilvl="7" w:tplc="7D04AA9A" w:tentative="1">
      <w:start w:val="1"/>
      <w:numFmt w:val="bullet"/>
      <w:lvlText w:val="•"/>
      <w:lvlJc w:val="left"/>
      <w:pPr>
        <w:tabs>
          <w:tab w:val="num" w:pos="5760"/>
        </w:tabs>
        <w:ind w:left="5760" w:hanging="360"/>
      </w:pPr>
      <w:rPr>
        <w:rFonts w:ascii="Arial" w:hAnsi="Arial" w:hint="default"/>
      </w:rPr>
    </w:lvl>
    <w:lvl w:ilvl="8" w:tplc="49AE131A" w:tentative="1">
      <w:start w:val="1"/>
      <w:numFmt w:val="bullet"/>
      <w:lvlText w:val="•"/>
      <w:lvlJc w:val="left"/>
      <w:pPr>
        <w:tabs>
          <w:tab w:val="num" w:pos="6480"/>
        </w:tabs>
        <w:ind w:left="6480" w:hanging="360"/>
      </w:pPr>
      <w:rPr>
        <w:rFonts w:ascii="Arial" w:hAnsi="Arial" w:hint="default"/>
      </w:rPr>
    </w:lvl>
  </w:abstractNum>
  <w:abstractNum w:abstractNumId="2">
    <w:nsid w:val="3D8C5D64"/>
    <w:multiLevelType w:val="hybridMultilevel"/>
    <w:tmpl w:val="F8DE1B9E"/>
    <w:lvl w:ilvl="0" w:tplc="FA44A520">
      <w:start w:val="1"/>
      <w:numFmt w:val="bullet"/>
      <w:lvlText w:val=""/>
      <w:lvlJc w:val="left"/>
      <w:pPr>
        <w:tabs>
          <w:tab w:val="num" w:pos="720"/>
        </w:tabs>
        <w:ind w:left="720" w:hanging="360"/>
      </w:pPr>
      <w:rPr>
        <w:rFonts w:ascii="Wingdings" w:hAnsi="Wingdings" w:hint="default"/>
      </w:rPr>
    </w:lvl>
    <w:lvl w:ilvl="1" w:tplc="4D7C25B4" w:tentative="1">
      <w:start w:val="1"/>
      <w:numFmt w:val="bullet"/>
      <w:lvlText w:val=""/>
      <w:lvlJc w:val="left"/>
      <w:pPr>
        <w:tabs>
          <w:tab w:val="num" w:pos="1440"/>
        </w:tabs>
        <w:ind w:left="1440" w:hanging="360"/>
      </w:pPr>
      <w:rPr>
        <w:rFonts w:ascii="Wingdings" w:hAnsi="Wingdings" w:hint="default"/>
      </w:rPr>
    </w:lvl>
    <w:lvl w:ilvl="2" w:tplc="EF8EC05C" w:tentative="1">
      <w:start w:val="1"/>
      <w:numFmt w:val="bullet"/>
      <w:lvlText w:val=""/>
      <w:lvlJc w:val="left"/>
      <w:pPr>
        <w:tabs>
          <w:tab w:val="num" w:pos="2160"/>
        </w:tabs>
        <w:ind w:left="2160" w:hanging="360"/>
      </w:pPr>
      <w:rPr>
        <w:rFonts w:ascii="Wingdings" w:hAnsi="Wingdings" w:hint="default"/>
      </w:rPr>
    </w:lvl>
    <w:lvl w:ilvl="3" w:tplc="21925994" w:tentative="1">
      <w:start w:val="1"/>
      <w:numFmt w:val="bullet"/>
      <w:lvlText w:val=""/>
      <w:lvlJc w:val="left"/>
      <w:pPr>
        <w:tabs>
          <w:tab w:val="num" w:pos="2880"/>
        </w:tabs>
        <w:ind w:left="2880" w:hanging="360"/>
      </w:pPr>
      <w:rPr>
        <w:rFonts w:ascii="Wingdings" w:hAnsi="Wingdings" w:hint="default"/>
      </w:rPr>
    </w:lvl>
    <w:lvl w:ilvl="4" w:tplc="F6F819D4" w:tentative="1">
      <w:start w:val="1"/>
      <w:numFmt w:val="bullet"/>
      <w:lvlText w:val=""/>
      <w:lvlJc w:val="left"/>
      <w:pPr>
        <w:tabs>
          <w:tab w:val="num" w:pos="3600"/>
        </w:tabs>
        <w:ind w:left="3600" w:hanging="360"/>
      </w:pPr>
      <w:rPr>
        <w:rFonts w:ascii="Wingdings" w:hAnsi="Wingdings" w:hint="default"/>
      </w:rPr>
    </w:lvl>
    <w:lvl w:ilvl="5" w:tplc="2C1823C4" w:tentative="1">
      <w:start w:val="1"/>
      <w:numFmt w:val="bullet"/>
      <w:lvlText w:val=""/>
      <w:lvlJc w:val="left"/>
      <w:pPr>
        <w:tabs>
          <w:tab w:val="num" w:pos="4320"/>
        </w:tabs>
        <w:ind w:left="4320" w:hanging="360"/>
      </w:pPr>
      <w:rPr>
        <w:rFonts w:ascii="Wingdings" w:hAnsi="Wingdings" w:hint="default"/>
      </w:rPr>
    </w:lvl>
    <w:lvl w:ilvl="6" w:tplc="65108478" w:tentative="1">
      <w:start w:val="1"/>
      <w:numFmt w:val="bullet"/>
      <w:lvlText w:val=""/>
      <w:lvlJc w:val="left"/>
      <w:pPr>
        <w:tabs>
          <w:tab w:val="num" w:pos="5040"/>
        </w:tabs>
        <w:ind w:left="5040" w:hanging="360"/>
      </w:pPr>
      <w:rPr>
        <w:rFonts w:ascii="Wingdings" w:hAnsi="Wingdings" w:hint="default"/>
      </w:rPr>
    </w:lvl>
    <w:lvl w:ilvl="7" w:tplc="6D5617E0" w:tentative="1">
      <w:start w:val="1"/>
      <w:numFmt w:val="bullet"/>
      <w:lvlText w:val=""/>
      <w:lvlJc w:val="left"/>
      <w:pPr>
        <w:tabs>
          <w:tab w:val="num" w:pos="5760"/>
        </w:tabs>
        <w:ind w:left="5760" w:hanging="360"/>
      </w:pPr>
      <w:rPr>
        <w:rFonts w:ascii="Wingdings" w:hAnsi="Wingdings" w:hint="default"/>
      </w:rPr>
    </w:lvl>
    <w:lvl w:ilvl="8" w:tplc="6B7E21DA" w:tentative="1">
      <w:start w:val="1"/>
      <w:numFmt w:val="bullet"/>
      <w:lvlText w:val=""/>
      <w:lvlJc w:val="left"/>
      <w:pPr>
        <w:tabs>
          <w:tab w:val="num" w:pos="6480"/>
        </w:tabs>
        <w:ind w:left="6480" w:hanging="360"/>
      </w:pPr>
      <w:rPr>
        <w:rFonts w:ascii="Wingdings" w:hAnsi="Wingdings" w:hint="default"/>
      </w:rPr>
    </w:lvl>
  </w:abstractNum>
  <w:abstractNum w:abstractNumId="3">
    <w:nsid w:val="47913AAA"/>
    <w:multiLevelType w:val="hybridMultilevel"/>
    <w:tmpl w:val="96665C68"/>
    <w:lvl w:ilvl="0" w:tplc="8C18F830">
      <w:start w:val="1"/>
      <w:numFmt w:val="bullet"/>
      <w:lvlText w:val=""/>
      <w:lvlJc w:val="left"/>
      <w:pPr>
        <w:tabs>
          <w:tab w:val="num" w:pos="720"/>
        </w:tabs>
        <w:ind w:left="720" w:hanging="360"/>
      </w:pPr>
      <w:rPr>
        <w:rFonts w:ascii="Wingdings" w:hAnsi="Wingdings" w:hint="default"/>
      </w:rPr>
    </w:lvl>
    <w:lvl w:ilvl="1" w:tplc="D55E2246" w:tentative="1">
      <w:start w:val="1"/>
      <w:numFmt w:val="bullet"/>
      <w:lvlText w:val=""/>
      <w:lvlJc w:val="left"/>
      <w:pPr>
        <w:tabs>
          <w:tab w:val="num" w:pos="1440"/>
        </w:tabs>
        <w:ind w:left="1440" w:hanging="360"/>
      </w:pPr>
      <w:rPr>
        <w:rFonts w:ascii="Wingdings" w:hAnsi="Wingdings" w:hint="default"/>
      </w:rPr>
    </w:lvl>
    <w:lvl w:ilvl="2" w:tplc="42EE1264" w:tentative="1">
      <w:start w:val="1"/>
      <w:numFmt w:val="bullet"/>
      <w:lvlText w:val=""/>
      <w:lvlJc w:val="left"/>
      <w:pPr>
        <w:tabs>
          <w:tab w:val="num" w:pos="2160"/>
        </w:tabs>
        <w:ind w:left="2160" w:hanging="360"/>
      </w:pPr>
      <w:rPr>
        <w:rFonts w:ascii="Wingdings" w:hAnsi="Wingdings" w:hint="default"/>
      </w:rPr>
    </w:lvl>
    <w:lvl w:ilvl="3" w:tplc="FA1A3B42" w:tentative="1">
      <w:start w:val="1"/>
      <w:numFmt w:val="bullet"/>
      <w:lvlText w:val=""/>
      <w:lvlJc w:val="left"/>
      <w:pPr>
        <w:tabs>
          <w:tab w:val="num" w:pos="2880"/>
        </w:tabs>
        <w:ind w:left="2880" w:hanging="360"/>
      </w:pPr>
      <w:rPr>
        <w:rFonts w:ascii="Wingdings" w:hAnsi="Wingdings" w:hint="default"/>
      </w:rPr>
    </w:lvl>
    <w:lvl w:ilvl="4" w:tplc="9AECE4AC" w:tentative="1">
      <w:start w:val="1"/>
      <w:numFmt w:val="bullet"/>
      <w:lvlText w:val=""/>
      <w:lvlJc w:val="left"/>
      <w:pPr>
        <w:tabs>
          <w:tab w:val="num" w:pos="3600"/>
        </w:tabs>
        <w:ind w:left="3600" w:hanging="360"/>
      </w:pPr>
      <w:rPr>
        <w:rFonts w:ascii="Wingdings" w:hAnsi="Wingdings" w:hint="default"/>
      </w:rPr>
    </w:lvl>
    <w:lvl w:ilvl="5" w:tplc="34C86932" w:tentative="1">
      <w:start w:val="1"/>
      <w:numFmt w:val="bullet"/>
      <w:lvlText w:val=""/>
      <w:lvlJc w:val="left"/>
      <w:pPr>
        <w:tabs>
          <w:tab w:val="num" w:pos="4320"/>
        </w:tabs>
        <w:ind w:left="4320" w:hanging="360"/>
      </w:pPr>
      <w:rPr>
        <w:rFonts w:ascii="Wingdings" w:hAnsi="Wingdings" w:hint="default"/>
      </w:rPr>
    </w:lvl>
    <w:lvl w:ilvl="6" w:tplc="01D48166" w:tentative="1">
      <w:start w:val="1"/>
      <w:numFmt w:val="bullet"/>
      <w:lvlText w:val=""/>
      <w:lvlJc w:val="left"/>
      <w:pPr>
        <w:tabs>
          <w:tab w:val="num" w:pos="5040"/>
        </w:tabs>
        <w:ind w:left="5040" w:hanging="360"/>
      </w:pPr>
      <w:rPr>
        <w:rFonts w:ascii="Wingdings" w:hAnsi="Wingdings" w:hint="default"/>
      </w:rPr>
    </w:lvl>
    <w:lvl w:ilvl="7" w:tplc="B78E63E6" w:tentative="1">
      <w:start w:val="1"/>
      <w:numFmt w:val="bullet"/>
      <w:lvlText w:val=""/>
      <w:lvlJc w:val="left"/>
      <w:pPr>
        <w:tabs>
          <w:tab w:val="num" w:pos="5760"/>
        </w:tabs>
        <w:ind w:left="5760" w:hanging="360"/>
      </w:pPr>
      <w:rPr>
        <w:rFonts w:ascii="Wingdings" w:hAnsi="Wingdings" w:hint="default"/>
      </w:rPr>
    </w:lvl>
    <w:lvl w:ilvl="8" w:tplc="C74C615C" w:tentative="1">
      <w:start w:val="1"/>
      <w:numFmt w:val="bullet"/>
      <w:lvlText w:val=""/>
      <w:lvlJc w:val="left"/>
      <w:pPr>
        <w:tabs>
          <w:tab w:val="num" w:pos="6480"/>
        </w:tabs>
        <w:ind w:left="6480" w:hanging="360"/>
      </w:pPr>
      <w:rPr>
        <w:rFonts w:ascii="Wingdings" w:hAnsi="Wingdings" w:hint="default"/>
      </w:rPr>
    </w:lvl>
  </w:abstractNum>
  <w:abstractNum w:abstractNumId="4">
    <w:nsid w:val="60741A9D"/>
    <w:multiLevelType w:val="hybridMultilevel"/>
    <w:tmpl w:val="4CB2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EB2CDA"/>
    <w:multiLevelType w:val="hybridMultilevel"/>
    <w:tmpl w:val="D02CD856"/>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
    <w:nsid w:val="7CEE098F"/>
    <w:multiLevelType w:val="hybridMultilevel"/>
    <w:tmpl w:val="A2BA3CDE"/>
    <w:lvl w:ilvl="0" w:tplc="83AE449C">
      <w:start w:val="1"/>
      <w:numFmt w:val="bullet"/>
      <w:lvlText w:val=""/>
      <w:lvlJc w:val="left"/>
      <w:pPr>
        <w:tabs>
          <w:tab w:val="num" w:pos="720"/>
        </w:tabs>
        <w:ind w:left="720" w:hanging="360"/>
      </w:pPr>
      <w:rPr>
        <w:rFonts w:ascii="Wingdings" w:hAnsi="Wingdings" w:hint="default"/>
      </w:rPr>
    </w:lvl>
    <w:lvl w:ilvl="1" w:tplc="9CCA6600" w:tentative="1">
      <w:start w:val="1"/>
      <w:numFmt w:val="bullet"/>
      <w:lvlText w:val=""/>
      <w:lvlJc w:val="left"/>
      <w:pPr>
        <w:tabs>
          <w:tab w:val="num" w:pos="1440"/>
        </w:tabs>
        <w:ind w:left="1440" w:hanging="360"/>
      </w:pPr>
      <w:rPr>
        <w:rFonts w:ascii="Wingdings" w:hAnsi="Wingdings" w:hint="default"/>
      </w:rPr>
    </w:lvl>
    <w:lvl w:ilvl="2" w:tplc="A0BE2E32" w:tentative="1">
      <w:start w:val="1"/>
      <w:numFmt w:val="bullet"/>
      <w:lvlText w:val=""/>
      <w:lvlJc w:val="left"/>
      <w:pPr>
        <w:tabs>
          <w:tab w:val="num" w:pos="2160"/>
        </w:tabs>
        <w:ind w:left="2160" w:hanging="360"/>
      </w:pPr>
      <w:rPr>
        <w:rFonts w:ascii="Wingdings" w:hAnsi="Wingdings" w:hint="default"/>
      </w:rPr>
    </w:lvl>
    <w:lvl w:ilvl="3" w:tplc="AD228EC0" w:tentative="1">
      <w:start w:val="1"/>
      <w:numFmt w:val="bullet"/>
      <w:lvlText w:val=""/>
      <w:lvlJc w:val="left"/>
      <w:pPr>
        <w:tabs>
          <w:tab w:val="num" w:pos="2880"/>
        </w:tabs>
        <w:ind w:left="2880" w:hanging="360"/>
      </w:pPr>
      <w:rPr>
        <w:rFonts w:ascii="Wingdings" w:hAnsi="Wingdings" w:hint="default"/>
      </w:rPr>
    </w:lvl>
    <w:lvl w:ilvl="4" w:tplc="048E1BB0" w:tentative="1">
      <w:start w:val="1"/>
      <w:numFmt w:val="bullet"/>
      <w:lvlText w:val=""/>
      <w:lvlJc w:val="left"/>
      <w:pPr>
        <w:tabs>
          <w:tab w:val="num" w:pos="3600"/>
        </w:tabs>
        <w:ind w:left="3600" w:hanging="360"/>
      </w:pPr>
      <w:rPr>
        <w:rFonts w:ascii="Wingdings" w:hAnsi="Wingdings" w:hint="default"/>
      </w:rPr>
    </w:lvl>
    <w:lvl w:ilvl="5" w:tplc="8040BAA8" w:tentative="1">
      <w:start w:val="1"/>
      <w:numFmt w:val="bullet"/>
      <w:lvlText w:val=""/>
      <w:lvlJc w:val="left"/>
      <w:pPr>
        <w:tabs>
          <w:tab w:val="num" w:pos="4320"/>
        </w:tabs>
        <w:ind w:left="4320" w:hanging="360"/>
      </w:pPr>
      <w:rPr>
        <w:rFonts w:ascii="Wingdings" w:hAnsi="Wingdings" w:hint="default"/>
      </w:rPr>
    </w:lvl>
    <w:lvl w:ilvl="6" w:tplc="49AE1FAA" w:tentative="1">
      <w:start w:val="1"/>
      <w:numFmt w:val="bullet"/>
      <w:lvlText w:val=""/>
      <w:lvlJc w:val="left"/>
      <w:pPr>
        <w:tabs>
          <w:tab w:val="num" w:pos="5040"/>
        </w:tabs>
        <w:ind w:left="5040" w:hanging="360"/>
      </w:pPr>
      <w:rPr>
        <w:rFonts w:ascii="Wingdings" w:hAnsi="Wingdings" w:hint="default"/>
      </w:rPr>
    </w:lvl>
    <w:lvl w:ilvl="7" w:tplc="1458D5D2" w:tentative="1">
      <w:start w:val="1"/>
      <w:numFmt w:val="bullet"/>
      <w:lvlText w:val=""/>
      <w:lvlJc w:val="left"/>
      <w:pPr>
        <w:tabs>
          <w:tab w:val="num" w:pos="5760"/>
        </w:tabs>
        <w:ind w:left="5760" w:hanging="360"/>
      </w:pPr>
      <w:rPr>
        <w:rFonts w:ascii="Wingdings" w:hAnsi="Wingdings" w:hint="default"/>
      </w:rPr>
    </w:lvl>
    <w:lvl w:ilvl="8" w:tplc="66AA239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removePersonalInformation/>
  <w:removeDateAndTime/>
  <w:proofState w:spelling="clean" w:grammar="clean"/>
  <w:trackRevisions/>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CB"/>
    <w:rsid w:val="00004843"/>
    <w:rsid w:val="000116DA"/>
    <w:rsid w:val="00011DF6"/>
    <w:rsid w:val="000178B5"/>
    <w:rsid w:val="000238DB"/>
    <w:rsid w:val="00026FC7"/>
    <w:rsid w:val="00027002"/>
    <w:rsid w:val="00032D49"/>
    <w:rsid w:val="00033B80"/>
    <w:rsid w:val="00035B40"/>
    <w:rsid w:val="00036270"/>
    <w:rsid w:val="000376D8"/>
    <w:rsid w:val="000549CF"/>
    <w:rsid w:val="00060512"/>
    <w:rsid w:val="00072DB7"/>
    <w:rsid w:val="0008008B"/>
    <w:rsid w:val="00081537"/>
    <w:rsid w:val="0008280E"/>
    <w:rsid w:val="000852B5"/>
    <w:rsid w:val="0008543D"/>
    <w:rsid w:val="00096227"/>
    <w:rsid w:val="000A02E2"/>
    <w:rsid w:val="000A2C8C"/>
    <w:rsid w:val="000A5BFD"/>
    <w:rsid w:val="000A7031"/>
    <w:rsid w:val="000A7994"/>
    <w:rsid w:val="000B6F2C"/>
    <w:rsid w:val="000C0612"/>
    <w:rsid w:val="000E16C6"/>
    <w:rsid w:val="000E4D12"/>
    <w:rsid w:val="000E5333"/>
    <w:rsid w:val="000F16B3"/>
    <w:rsid w:val="000F3C1B"/>
    <w:rsid w:val="00104E4A"/>
    <w:rsid w:val="00106DC4"/>
    <w:rsid w:val="001134B0"/>
    <w:rsid w:val="00113CC1"/>
    <w:rsid w:val="001159D1"/>
    <w:rsid w:val="0013440E"/>
    <w:rsid w:val="0014680B"/>
    <w:rsid w:val="001509AD"/>
    <w:rsid w:val="0015247B"/>
    <w:rsid w:val="00166885"/>
    <w:rsid w:val="00172296"/>
    <w:rsid w:val="00182425"/>
    <w:rsid w:val="001841F3"/>
    <w:rsid w:val="00186B70"/>
    <w:rsid w:val="00191EA5"/>
    <w:rsid w:val="0019513D"/>
    <w:rsid w:val="00195160"/>
    <w:rsid w:val="001A5066"/>
    <w:rsid w:val="001A6EF3"/>
    <w:rsid w:val="001A7DB1"/>
    <w:rsid w:val="001B170E"/>
    <w:rsid w:val="001C4558"/>
    <w:rsid w:val="001C4DEA"/>
    <w:rsid w:val="001C5930"/>
    <w:rsid w:val="001D107B"/>
    <w:rsid w:val="001D3546"/>
    <w:rsid w:val="001E03E2"/>
    <w:rsid w:val="001E4097"/>
    <w:rsid w:val="001F5645"/>
    <w:rsid w:val="001F6DAB"/>
    <w:rsid w:val="00204A1F"/>
    <w:rsid w:val="0020638C"/>
    <w:rsid w:val="00210B0E"/>
    <w:rsid w:val="002164AC"/>
    <w:rsid w:val="00216FBE"/>
    <w:rsid w:val="00227DF9"/>
    <w:rsid w:val="002301FC"/>
    <w:rsid w:val="002334F0"/>
    <w:rsid w:val="00233F19"/>
    <w:rsid w:val="002401C2"/>
    <w:rsid w:val="002412FB"/>
    <w:rsid w:val="00241A19"/>
    <w:rsid w:val="00244C1D"/>
    <w:rsid w:val="0025290C"/>
    <w:rsid w:val="00253C51"/>
    <w:rsid w:val="00270E02"/>
    <w:rsid w:val="00280735"/>
    <w:rsid w:val="00292CE5"/>
    <w:rsid w:val="002A1DA4"/>
    <w:rsid w:val="002A3581"/>
    <w:rsid w:val="002A6383"/>
    <w:rsid w:val="002A7599"/>
    <w:rsid w:val="002B1EF5"/>
    <w:rsid w:val="002B5B86"/>
    <w:rsid w:val="002B6497"/>
    <w:rsid w:val="002C1BC7"/>
    <w:rsid w:val="002C1E97"/>
    <w:rsid w:val="002C3F87"/>
    <w:rsid w:val="002C4BAD"/>
    <w:rsid w:val="002C564C"/>
    <w:rsid w:val="002C576B"/>
    <w:rsid w:val="002D47D0"/>
    <w:rsid w:val="002E4F49"/>
    <w:rsid w:val="002F05B3"/>
    <w:rsid w:val="002F475C"/>
    <w:rsid w:val="002F6AE0"/>
    <w:rsid w:val="002F6C38"/>
    <w:rsid w:val="00301B4D"/>
    <w:rsid w:val="0030205B"/>
    <w:rsid w:val="003028AC"/>
    <w:rsid w:val="00304DDA"/>
    <w:rsid w:val="00317058"/>
    <w:rsid w:val="00320A9D"/>
    <w:rsid w:val="00321EF3"/>
    <w:rsid w:val="00322826"/>
    <w:rsid w:val="003247E2"/>
    <w:rsid w:val="00331DE4"/>
    <w:rsid w:val="00343D17"/>
    <w:rsid w:val="00343E5C"/>
    <w:rsid w:val="00345C55"/>
    <w:rsid w:val="00347EB7"/>
    <w:rsid w:val="00350F7F"/>
    <w:rsid w:val="00353845"/>
    <w:rsid w:val="003624DD"/>
    <w:rsid w:val="00364C8C"/>
    <w:rsid w:val="0036607A"/>
    <w:rsid w:val="00371EF5"/>
    <w:rsid w:val="00372519"/>
    <w:rsid w:val="00374744"/>
    <w:rsid w:val="00375D3C"/>
    <w:rsid w:val="003771F3"/>
    <w:rsid w:val="00377B1E"/>
    <w:rsid w:val="00382D2B"/>
    <w:rsid w:val="00383CAF"/>
    <w:rsid w:val="00387E07"/>
    <w:rsid w:val="00390E7E"/>
    <w:rsid w:val="00393719"/>
    <w:rsid w:val="00396242"/>
    <w:rsid w:val="00397015"/>
    <w:rsid w:val="003A35FB"/>
    <w:rsid w:val="003A3C09"/>
    <w:rsid w:val="003A7E96"/>
    <w:rsid w:val="003B3693"/>
    <w:rsid w:val="003B4958"/>
    <w:rsid w:val="003B5DAA"/>
    <w:rsid w:val="003B7F1A"/>
    <w:rsid w:val="003C4304"/>
    <w:rsid w:val="003C4F29"/>
    <w:rsid w:val="003C7EEE"/>
    <w:rsid w:val="003E6FEA"/>
    <w:rsid w:val="003F339E"/>
    <w:rsid w:val="003F46EF"/>
    <w:rsid w:val="003F6D9B"/>
    <w:rsid w:val="003F7803"/>
    <w:rsid w:val="004024DA"/>
    <w:rsid w:val="00402C09"/>
    <w:rsid w:val="00404466"/>
    <w:rsid w:val="00405A5E"/>
    <w:rsid w:val="00407B7F"/>
    <w:rsid w:val="00412C1E"/>
    <w:rsid w:val="00416B53"/>
    <w:rsid w:val="00416B8B"/>
    <w:rsid w:val="004248D9"/>
    <w:rsid w:val="004258DA"/>
    <w:rsid w:val="00427512"/>
    <w:rsid w:val="00433F97"/>
    <w:rsid w:val="0043434E"/>
    <w:rsid w:val="00435F1D"/>
    <w:rsid w:val="00446530"/>
    <w:rsid w:val="00451E03"/>
    <w:rsid w:val="00452046"/>
    <w:rsid w:val="004537BA"/>
    <w:rsid w:val="0045409A"/>
    <w:rsid w:val="004578B7"/>
    <w:rsid w:val="0046362A"/>
    <w:rsid w:val="00467321"/>
    <w:rsid w:val="00470816"/>
    <w:rsid w:val="004731DB"/>
    <w:rsid w:val="0047332E"/>
    <w:rsid w:val="0048736C"/>
    <w:rsid w:val="004A680E"/>
    <w:rsid w:val="004B0D19"/>
    <w:rsid w:val="004B1B43"/>
    <w:rsid w:val="004B1E80"/>
    <w:rsid w:val="004B3E43"/>
    <w:rsid w:val="004C32C7"/>
    <w:rsid w:val="004C4342"/>
    <w:rsid w:val="004C60F9"/>
    <w:rsid w:val="004C677B"/>
    <w:rsid w:val="004C7449"/>
    <w:rsid w:val="004D63B3"/>
    <w:rsid w:val="004D6531"/>
    <w:rsid w:val="004E2843"/>
    <w:rsid w:val="004E4FFB"/>
    <w:rsid w:val="004E55A2"/>
    <w:rsid w:val="004F0987"/>
    <w:rsid w:val="00500410"/>
    <w:rsid w:val="00502A18"/>
    <w:rsid w:val="0050514F"/>
    <w:rsid w:val="00510AEC"/>
    <w:rsid w:val="00510DAA"/>
    <w:rsid w:val="00512A57"/>
    <w:rsid w:val="00517322"/>
    <w:rsid w:val="00525CD4"/>
    <w:rsid w:val="0052682A"/>
    <w:rsid w:val="0053597B"/>
    <w:rsid w:val="0054005F"/>
    <w:rsid w:val="00550DE6"/>
    <w:rsid w:val="00561BDD"/>
    <w:rsid w:val="00563130"/>
    <w:rsid w:val="00565820"/>
    <w:rsid w:val="00565EDA"/>
    <w:rsid w:val="00566B69"/>
    <w:rsid w:val="00571386"/>
    <w:rsid w:val="00571BE1"/>
    <w:rsid w:val="00571F56"/>
    <w:rsid w:val="00581133"/>
    <w:rsid w:val="00586A91"/>
    <w:rsid w:val="0058772E"/>
    <w:rsid w:val="0059236C"/>
    <w:rsid w:val="005A0664"/>
    <w:rsid w:val="005A07E0"/>
    <w:rsid w:val="005A1514"/>
    <w:rsid w:val="005A1C9C"/>
    <w:rsid w:val="005A3374"/>
    <w:rsid w:val="005A5356"/>
    <w:rsid w:val="005A61B6"/>
    <w:rsid w:val="005B56AE"/>
    <w:rsid w:val="005C24A0"/>
    <w:rsid w:val="005C269D"/>
    <w:rsid w:val="005C79E9"/>
    <w:rsid w:val="005E40AE"/>
    <w:rsid w:val="005E7F21"/>
    <w:rsid w:val="005F1112"/>
    <w:rsid w:val="005F5CE7"/>
    <w:rsid w:val="00600D1F"/>
    <w:rsid w:val="0060315E"/>
    <w:rsid w:val="0060551F"/>
    <w:rsid w:val="00605EAB"/>
    <w:rsid w:val="006106D9"/>
    <w:rsid w:val="00621AE1"/>
    <w:rsid w:val="00622556"/>
    <w:rsid w:val="006252FB"/>
    <w:rsid w:val="0062585D"/>
    <w:rsid w:val="00627C36"/>
    <w:rsid w:val="0066032B"/>
    <w:rsid w:val="006667D5"/>
    <w:rsid w:val="00667F5F"/>
    <w:rsid w:val="00670A3C"/>
    <w:rsid w:val="0067265E"/>
    <w:rsid w:val="00674DAE"/>
    <w:rsid w:val="006808BF"/>
    <w:rsid w:val="00680ED7"/>
    <w:rsid w:val="00682AF8"/>
    <w:rsid w:val="00684FAA"/>
    <w:rsid w:val="00692D19"/>
    <w:rsid w:val="00696933"/>
    <w:rsid w:val="006A144E"/>
    <w:rsid w:val="006A1E2B"/>
    <w:rsid w:val="006A246E"/>
    <w:rsid w:val="006A2DD1"/>
    <w:rsid w:val="006B4346"/>
    <w:rsid w:val="006B52E8"/>
    <w:rsid w:val="006B73DA"/>
    <w:rsid w:val="006C4F20"/>
    <w:rsid w:val="006C7D22"/>
    <w:rsid w:val="006C7ECA"/>
    <w:rsid w:val="006D0A03"/>
    <w:rsid w:val="006D1A4A"/>
    <w:rsid w:val="006D327B"/>
    <w:rsid w:val="006D48E1"/>
    <w:rsid w:val="006D5918"/>
    <w:rsid w:val="006D6B10"/>
    <w:rsid w:val="006E4507"/>
    <w:rsid w:val="006E6882"/>
    <w:rsid w:val="006E785D"/>
    <w:rsid w:val="006F38DE"/>
    <w:rsid w:val="006F399B"/>
    <w:rsid w:val="006F40E0"/>
    <w:rsid w:val="006F7002"/>
    <w:rsid w:val="00702558"/>
    <w:rsid w:val="007039AC"/>
    <w:rsid w:val="00704BA6"/>
    <w:rsid w:val="00704D24"/>
    <w:rsid w:val="00710164"/>
    <w:rsid w:val="007168A9"/>
    <w:rsid w:val="00716938"/>
    <w:rsid w:val="00717F2B"/>
    <w:rsid w:val="007219CE"/>
    <w:rsid w:val="00726C0D"/>
    <w:rsid w:val="00732674"/>
    <w:rsid w:val="007358E9"/>
    <w:rsid w:val="00737942"/>
    <w:rsid w:val="00744F3C"/>
    <w:rsid w:val="0075131E"/>
    <w:rsid w:val="00752596"/>
    <w:rsid w:val="007563B9"/>
    <w:rsid w:val="0075672D"/>
    <w:rsid w:val="0075695F"/>
    <w:rsid w:val="00756AF2"/>
    <w:rsid w:val="0076296E"/>
    <w:rsid w:val="00770BFD"/>
    <w:rsid w:val="00771E0D"/>
    <w:rsid w:val="00774F9C"/>
    <w:rsid w:val="00775FF4"/>
    <w:rsid w:val="0077659C"/>
    <w:rsid w:val="00776C7E"/>
    <w:rsid w:val="00781EB4"/>
    <w:rsid w:val="0078621B"/>
    <w:rsid w:val="00791CF1"/>
    <w:rsid w:val="00791E61"/>
    <w:rsid w:val="0079384D"/>
    <w:rsid w:val="007A3F6C"/>
    <w:rsid w:val="007A5999"/>
    <w:rsid w:val="007A7673"/>
    <w:rsid w:val="007B08F6"/>
    <w:rsid w:val="007B39EB"/>
    <w:rsid w:val="007B42F0"/>
    <w:rsid w:val="007B594A"/>
    <w:rsid w:val="007B719E"/>
    <w:rsid w:val="007C07BA"/>
    <w:rsid w:val="007C08A0"/>
    <w:rsid w:val="007C21BF"/>
    <w:rsid w:val="007C3513"/>
    <w:rsid w:val="007C5779"/>
    <w:rsid w:val="007D11C8"/>
    <w:rsid w:val="007D1E7E"/>
    <w:rsid w:val="007D33FD"/>
    <w:rsid w:val="007D758F"/>
    <w:rsid w:val="007E251E"/>
    <w:rsid w:val="007E4BAB"/>
    <w:rsid w:val="007E6E2A"/>
    <w:rsid w:val="007E7150"/>
    <w:rsid w:val="007F5547"/>
    <w:rsid w:val="007F76C7"/>
    <w:rsid w:val="00800A9C"/>
    <w:rsid w:val="00804F26"/>
    <w:rsid w:val="00805A83"/>
    <w:rsid w:val="00806230"/>
    <w:rsid w:val="00807229"/>
    <w:rsid w:val="00810791"/>
    <w:rsid w:val="00823B87"/>
    <w:rsid w:val="00823E76"/>
    <w:rsid w:val="00826A93"/>
    <w:rsid w:val="00834300"/>
    <w:rsid w:val="00835066"/>
    <w:rsid w:val="00840734"/>
    <w:rsid w:val="008414F7"/>
    <w:rsid w:val="00846F5A"/>
    <w:rsid w:val="0085427C"/>
    <w:rsid w:val="00856397"/>
    <w:rsid w:val="0085730F"/>
    <w:rsid w:val="00867DAC"/>
    <w:rsid w:val="00872E4D"/>
    <w:rsid w:val="00880D3E"/>
    <w:rsid w:val="00885241"/>
    <w:rsid w:val="008855E7"/>
    <w:rsid w:val="00885DDF"/>
    <w:rsid w:val="008867DF"/>
    <w:rsid w:val="008908C9"/>
    <w:rsid w:val="00895619"/>
    <w:rsid w:val="008A1FEB"/>
    <w:rsid w:val="008A2772"/>
    <w:rsid w:val="008B1D67"/>
    <w:rsid w:val="008B68F8"/>
    <w:rsid w:val="008B69B1"/>
    <w:rsid w:val="008D2D73"/>
    <w:rsid w:val="008E0458"/>
    <w:rsid w:val="008E1525"/>
    <w:rsid w:val="008E2CCB"/>
    <w:rsid w:val="008E3A78"/>
    <w:rsid w:val="008F23A4"/>
    <w:rsid w:val="008F3C04"/>
    <w:rsid w:val="008F63C2"/>
    <w:rsid w:val="008F6938"/>
    <w:rsid w:val="00901A98"/>
    <w:rsid w:val="0090222F"/>
    <w:rsid w:val="009054B6"/>
    <w:rsid w:val="00905BE1"/>
    <w:rsid w:val="00912517"/>
    <w:rsid w:val="009150BA"/>
    <w:rsid w:val="009150D3"/>
    <w:rsid w:val="009155D4"/>
    <w:rsid w:val="009237C9"/>
    <w:rsid w:val="009266E3"/>
    <w:rsid w:val="00930326"/>
    <w:rsid w:val="00934880"/>
    <w:rsid w:val="00934932"/>
    <w:rsid w:val="00943626"/>
    <w:rsid w:val="0094660F"/>
    <w:rsid w:val="009468B4"/>
    <w:rsid w:val="009472AE"/>
    <w:rsid w:val="009500F6"/>
    <w:rsid w:val="0096311B"/>
    <w:rsid w:val="009677C7"/>
    <w:rsid w:val="00967E03"/>
    <w:rsid w:val="00972CF1"/>
    <w:rsid w:val="00977E1B"/>
    <w:rsid w:val="00982E9B"/>
    <w:rsid w:val="009845CB"/>
    <w:rsid w:val="00986B45"/>
    <w:rsid w:val="0099544C"/>
    <w:rsid w:val="00997EBF"/>
    <w:rsid w:val="009A166D"/>
    <w:rsid w:val="009A1C0F"/>
    <w:rsid w:val="009B10AA"/>
    <w:rsid w:val="009B49A7"/>
    <w:rsid w:val="009B5507"/>
    <w:rsid w:val="009C35E9"/>
    <w:rsid w:val="009C443F"/>
    <w:rsid w:val="009C5A4F"/>
    <w:rsid w:val="009C6293"/>
    <w:rsid w:val="009C7F8C"/>
    <w:rsid w:val="009D3A3A"/>
    <w:rsid w:val="009D4675"/>
    <w:rsid w:val="009E148B"/>
    <w:rsid w:val="009E251A"/>
    <w:rsid w:val="009E4070"/>
    <w:rsid w:val="009E5F8E"/>
    <w:rsid w:val="009E628A"/>
    <w:rsid w:val="009E77F8"/>
    <w:rsid w:val="009F1FCD"/>
    <w:rsid w:val="00A03AE3"/>
    <w:rsid w:val="00A11302"/>
    <w:rsid w:val="00A144FB"/>
    <w:rsid w:val="00A16C7B"/>
    <w:rsid w:val="00A17766"/>
    <w:rsid w:val="00A24407"/>
    <w:rsid w:val="00A253C9"/>
    <w:rsid w:val="00A26950"/>
    <w:rsid w:val="00A304BF"/>
    <w:rsid w:val="00A311DD"/>
    <w:rsid w:val="00A32D5E"/>
    <w:rsid w:val="00A33C66"/>
    <w:rsid w:val="00A34205"/>
    <w:rsid w:val="00A37E1F"/>
    <w:rsid w:val="00A5435A"/>
    <w:rsid w:val="00A56D75"/>
    <w:rsid w:val="00A605EA"/>
    <w:rsid w:val="00A64B94"/>
    <w:rsid w:val="00A66157"/>
    <w:rsid w:val="00A66AC3"/>
    <w:rsid w:val="00A67568"/>
    <w:rsid w:val="00A678C2"/>
    <w:rsid w:val="00A73EE4"/>
    <w:rsid w:val="00A80380"/>
    <w:rsid w:val="00A81145"/>
    <w:rsid w:val="00A81F8D"/>
    <w:rsid w:val="00A835E4"/>
    <w:rsid w:val="00A84375"/>
    <w:rsid w:val="00A85F05"/>
    <w:rsid w:val="00A913F4"/>
    <w:rsid w:val="00A91B59"/>
    <w:rsid w:val="00A93585"/>
    <w:rsid w:val="00A952F3"/>
    <w:rsid w:val="00A9533A"/>
    <w:rsid w:val="00AA0AA6"/>
    <w:rsid w:val="00AA1E6E"/>
    <w:rsid w:val="00AA2F7A"/>
    <w:rsid w:val="00AA5B70"/>
    <w:rsid w:val="00AB005E"/>
    <w:rsid w:val="00AB09E2"/>
    <w:rsid w:val="00AB67D6"/>
    <w:rsid w:val="00AC1DF4"/>
    <w:rsid w:val="00AC6A42"/>
    <w:rsid w:val="00AD158C"/>
    <w:rsid w:val="00AD4C80"/>
    <w:rsid w:val="00AD5C6E"/>
    <w:rsid w:val="00AE23FB"/>
    <w:rsid w:val="00AE2DA2"/>
    <w:rsid w:val="00AE366D"/>
    <w:rsid w:val="00AE5AA8"/>
    <w:rsid w:val="00AE7D4A"/>
    <w:rsid w:val="00AF4299"/>
    <w:rsid w:val="00AF70C8"/>
    <w:rsid w:val="00B07CCA"/>
    <w:rsid w:val="00B1238F"/>
    <w:rsid w:val="00B151FC"/>
    <w:rsid w:val="00B24B5B"/>
    <w:rsid w:val="00B351FF"/>
    <w:rsid w:val="00B453E5"/>
    <w:rsid w:val="00B45740"/>
    <w:rsid w:val="00B45E0C"/>
    <w:rsid w:val="00B515D2"/>
    <w:rsid w:val="00B528CE"/>
    <w:rsid w:val="00B55FDB"/>
    <w:rsid w:val="00B5743A"/>
    <w:rsid w:val="00B629F2"/>
    <w:rsid w:val="00B62EDE"/>
    <w:rsid w:val="00B669DB"/>
    <w:rsid w:val="00B73D69"/>
    <w:rsid w:val="00B7753F"/>
    <w:rsid w:val="00B801CE"/>
    <w:rsid w:val="00B834FA"/>
    <w:rsid w:val="00B84231"/>
    <w:rsid w:val="00B8547F"/>
    <w:rsid w:val="00B95595"/>
    <w:rsid w:val="00B97C6D"/>
    <w:rsid w:val="00B97E84"/>
    <w:rsid w:val="00BA3307"/>
    <w:rsid w:val="00BB456C"/>
    <w:rsid w:val="00BC425E"/>
    <w:rsid w:val="00BD0CF5"/>
    <w:rsid w:val="00BE05BA"/>
    <w:rsid w:val="00BE31CD"/>
    <w:rsid w:val="00BE3B74"/>
    <w:rsid w:val="00C0037D"/>
    <w:rsid w:val="00C06B5F"/>
    <w:rsid w:val="00C11F19"/>
    <w:rsid w:val="00C170B4"/>
    <w:rsid w:val="00C224F8"/>
    <w:rsid w:val="00C312A0"/>
    <w:rsid w:val="00C31C63"/>
    <w:rsid w:val="00C34E76"/>
    <w:rsid w:val="00C404CD"/>
    <w:rsid w:val="00C42906"/>
    <w:rsid w:val="00C501C5"/>
    <w:rsid w:val="00C51008"/>
    <w:rsid w:val="00C5340B"/>
    <w:rsid w:val="00C53A90"/>
    <w:rsid w:val="00C54CF2"/>
    <w:rsid w:val="00C56968"/>
    <w:rsid w:val="00C71412"/>
    <w:rsid w:val="00C73B30"/>
    <w:rsid w:val="00C7591B"/>
    <w:rsid w:val="00C76843"/>
    <w:rsid w:val="00C76F43"/>
    <w:rsid w:val="00C778CD"/>
    <w:rsid w:val="00C803F5"/>
    <w:rsid w:val="00C8136C"/>
    <w:rsid w:val="00C854AF"/>
    <w:rsid w:val="00C93E8B"/>
    <w:rsid w:val="00CA19DD"/>
    <w:rsid w:val="00CB0C7D"/>
    <w:rsid w:val="00CB1F88"/>
    <w:rsid w:val="00CB4737"/>
    <w:rsid w:val="00CB5883"/>
    <w:rsid w:val="00CB65A5"/>
    <w:rsid w:val="00CB798C"/>
    <w:rsid w:val="00CC7DFA"/>
    <w:rsid w:val="00CD2CCA"/>
    <w:rsid w:val="00CD55B9"/>
    <w:rsid w:val="00CE5959"/>
    <w:rsid w:val="00CE616E"/>
    <w:rsid w:val="00CF4754"/>
    <w:rsid w:val="00CF606D"/>
    <w:rsid w:val="00CF69A9"/>
    <w:rsid w:val="00CF6D03"/>
    <w:rsid w:val="00D045C8"/>
    <w:rsid w:val="00D069B6"/>
    <w:rsid w:val="00D2110B"/>
    <w:rsid w:val="00D2212B"/>
    <w:rsid w:val="00D229EA"/>
    <w:rsid w:val="00D2519A"/>
    <w:rsid w:val="00D36640"/>
    <w:rsid w:val="00D420ED"/>
    <w:rsid w:val="00D53151"/>
    <w:rsid w:val="00D542F2"/>
    <w:rsid w:val="00D55D85"/>
    <w:rsid w:val="00D631AE"/>
    <w:rsid w:val="00D63FB8"/>
    <w:rsid w:val="00D668ED"/>
    <w:rsid w:val="00D70329"/>
    <w:rsid w:val="00D74A40"/>
    <w:rsid w:val="00D7732F"/>
    <w:rsid w:val="00D80B8F"/>
    <w:rsid w:val="00D82732"/>
    <w:rsid w:val="00D86FC8"/>
    <w:rsid w:val="00DB0332"/>
    <w:rsid w:val="00DC5B9C"/>
    <w:rsid w:val="00DD11FF"/>
    <w:rsid w:val="00DD1968"/>
    <w:rsid w:val="00DD3153"/>
    <w:rsid w:val="00DD7956"/>
    <w:rsid w:val="00DE4FF6"/>
    <w:rsid w:val="00DF5477"/>
    <w:rsid w:val="00E03C72"/>
    <w:rsid w:val="00E165A3"/>
    <w:rsid w:val="00E17FE9"/>
    <w:rsid w:val="00E20872"/>
    <w:rsid w:val="00E23265"/>
    <w:rsid w:val="00E3056D"/>
    <w:rsid w:val="00E35FAB"/>
    <w:rsid w:val="00E37A14"/>
    <w:rsid w:val="00E42588"/>
    <w:rsid w:val="00E43210"/>
    <w:rsid w:val="00E448C4"/>
    <w:rsid w:val="00E46096"/>
    <w:rsid w:val="00E4646E"/>
    <w:rsid w:val="00E5146A"/>
    <w:rsid w:val="00E51ACF"/>
    <w:rsid w:val="00E52238"/>
    <w:rsid w:val="00E5568E"/>
    <w:rsid w:val="00E6175C"/>
    <w:rsid w:val="00E64C77"/>
    <w:rsid w:val="00E64F14"/>
    <w:rsid w:val="00E71A9C"/>
    <w:rsid w:val="00E721C0"/>
    <w:rsid w:val="00E84278"/>
    <w:rsid w:val="00E84843"/>
    <w:rsid w:val="00E954E7"/>
    <w:rsid w:val="00EA0AE9"/>
    <w:rsid w:val="00EA5194"/>
    <w:rsid w:val="00EB41AA"/>
    <w:rsid w:val="00EB7675"/>
    <w:rsid w:val="00EC7592"/>
    <w:rsid w:val="00ED4B06"/>
    <w:rsid w:val="00ED68E1"/>
    <w:rsid w:val="00ED7273"/>
    <w:rsid w:val="00EE5778"/>
    <w:rsid w:val="00EE67ED"/>
    <w:rsid w:val="00EF4106"/>
    <w:rsid w:val="00EF4855"/>
    <w:rsid w:val="00EF6408"/>
    <w:rsid w:val="00F00A76"/>
    <w:rsid w:val="00F120E2"/>
    <w:rsid w:val="00F130A6"/>
    <w:rsid w:val="00F14C10"/>
    <w:rsid w:val="00F17347"/>
    <w:rsid w:val="00F21A89"/>
    <w:rsid w:val="00F24ACD"/>
    <w:rsid w:val="00F3008C"/>
    <w:rsid w:val="00F30880"/>
    <w:rsid w:val="00F33965"/>
    <w:rsid w:val="00F43467"/>
    <w:rsid w:val="00F45191"/>
    <w:rsid w:val="00F47395"/>
    <w:rsid w:val="00F561D4"/>
    <w:rsid w:val="00F57A8D"/>
    <w:rsid w:val="00F61125"/>
    <w:rsid w:val="00F628A6"/>
    <w:rsid w:val="00F62C8B"/>
    <w:rsid w:val="00F65252"/>
    <w:rsid w:val="00F67B80"/>
    <w:rsid w:val="00F7253D"/>
    <w:rsid w:val="00F74857"/>
    <w:rsid w:val="00F83D09"/>
    <w:rsid w:val="00F85533"/>
    <w:rsid w:val="00F92134"/>
    <w:rsid w:val="00F94E7C"/>
    <w:rsid w:val="00F977AE"/>
    <w:rsid w:val="00FB3013"/>
    <w:rsid w:val="00FB4F8E"/>
    <w:rsid w:val="00FB6C80"/>
    <w:rsid w:val="00FC277C"/>
    <w:rsid w:val="00FC3067"/>
    <w:rsid w:val="00FC399B"/>
    <w:rsid w:val="00FC43CA"/>
    <w:rsid w:val="00FD0947"/>
    <w:rsid w:val="00FD1D95"/>
    <w:rsid w:val="00FD2675"/>
    <w:rsid w:val="00FD4C35"/>
    <w:rsid w:val="00FD662D"/>
    <w:rsid w:val="00FE3CA3"/>
    <w:rsid w:val="00FE6553"/>
    <w:rsid w:val="00FF08A0"/>
    <w:rsid w:val="00FF7F5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748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0ED7"/>
    <w:rPr>
      <w:rFonts w:ascii="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1D4"/>
    <w:pPr>
      <w:ind w:left="720"/>
      <w:contextualSpacing/>
    </w:pPr>
    <w:rPr>
      <w:rFonts w:asciiTheme="minorHAnsi" w:hAnsiTheme="minorHAnsi" w:cstheme="minorBidi"/>
      <w:lang w:eastAsia="en-US"/>
    </w:rPr>
  </w:style>
  <w:style w:type="character" w:styleId="CommentReference">
    <w:name w:val="annotation reference"/>
    <w:basedOn w:val="DefaultParagraphFont"/>
    <w:uiPriority w:val="99"/>
    <w:semiHidden/>
    <w:unhideWhenUsed/>
    <w:rsid w:val="00895619"/>
    <w:rPr>
      <w:sz w:val="18"/>
      <w:szCs w:val="18"/>
    </w:rPr>
  </w:style>
  <w:style w:type="paragraph" w:styleId="CommentText">
    <w:name w:val="annotation text"/>
    <w:basedOn w:val="Normal"/>
    <w:link w:val="CommentTextChar"/>
    <w:uiPriority w:val="99"/>
    <w:semiHidden/>
    <w:unhideWhenUsed/>
    <w:rsid w:val="00895619"/>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895619"/>
  </w:style>
  <w:style w:type="paragraph" w:styleId="CommentSubject">
    <w:name w:val="annotation subject"/>
    <w:basedOn w:val="CommentText"/>
    <w:next w:val="CommentText"/>
    <w:link w:val="CommentSubjectChar"/>
    <w:uiPriority w:val="99"/>
    <w:semiHidden/>
    <w:unhideWhenUsed/>
    <w:rsid w:val="00895619"/>
    <w:rPr>
      <w:b/>
      <w:bCs/>
      <w:sz w:val="20"/>
      <w:szCs w:val="20"/>
    </w:rPr>
  </w:style>
  <w:style w:type="character" w:customStyle="1" w:styleId="CommentSubjectChar">
    <w:name w:val="Comment Subject Char"/>
    <w:basedOn w:val="CommentTextChar"/>
    <w:link w:val="CommentSubject"/>
    <w:uiPriority w:val="99"/>
    <w:semiHidden/>
    <w:rsid w:val="00895619"/>
    <w:rPr>
      <w:b/>
      <w:bCs/>
      <w:sz w:val="20"/>
      <w:szCs w:val="20"/>
    </w:rPr>
  </w:style>
  <w:style w:type="paragraph" w:styleId="BalloonText">
    <w:name w:val="Balloon Text"/>
    <w:basedOn w:val="Normal"/>
    <w:link w:val="BalloonTextChar"/>
    <w:uiPriority w:val="99"/>
    <w:semiHidden/>
    <w:unhideWhenUsed/>
    <w:rsid w:val="00895619"/>
    <w:rPr>
      <w:sz w:val="18"/>
      <w:szCs w:val="18"/>
    </w:rPr>
  </w:style>
  <w:style w:type="character" w:customStyle="1" w:styleId="BalloonTextChar">
    <w:name w:val="Balloon Text Char"/>
    <w:basedOn w:val="DefaultParagraphFont"/>
    <w:link w:val="BalloonText"/>
    <w:uiPriority w:val="99"/>
    <w:semiHidden/>
    <w:rsid w:val="00895619"/>
    <w:rPr>
      <w:rFonts w:ascii="Times New Roman" w:hAnsi="Times New Roman" w:cs="Times New Roman"/>
      <w:sz w:val="18"/>
      <w:szCs w:val="18"/>
    </w:rPr>
  </w:style>
  <w:style w:type="character" w:styleId="PlaceholderText">
    <w:name w:val="Placeholder Text"/>
    <w:basedOn w:val="DefaultParagraphFont"/>
    <w:uiPriority w:val="99"/>
    <w:semiHidden/>
    <w:rsid w:val="00353845"/>
    <w:rPr>
      <w:color w:val="808080"/>
    </w:rPr>
  </w:style>
  <w:style w:type="paragraph" w:styleId="NormalWeb">
    <w:name w:val="Normal (Web)"/>
    <w:basedOn w:val="Normal"/>
    <w:uiPriority w:val="99"/>
    <w:semiHidden/>
    <w:unhideWhenUsed/>
    <w:rsid w:val="007C21BF"/>
  </w:style>
  <w:style w:type="paragraph" w:styleId="DocumentMap">
    <w:name w:val="Document Map"/>
    <w:basedOn w:val="Normal"/>
    <w:link w:val="DocumentMapChar"/>
    <w:uiPriority w:val="99"/>
    <w:semiHidden/>
    <w:unhideWhenUsed/>
    <w:rsid w:val="00B97C6D"/>
  </w:style>
  <w:style w:type="character" w:customStyle="1" w:styleId="DocumentMapChar">
    <w:name w:val="Document Map Char"/>
    <w:basedOn w:val="DefaultParagraphFont"/>
    <w:link w:val="DocumentMap"/>
    <w:uiPriority w:val="99"/>
    <w:semiHidden/>
    <w:rsid w:val="00B97C6D"/>
    <w:rPr>
      <w:rFonts w:ascii="Times New Roman" w:hAnsi="Times New Roman" w:cs="Times New Roman"/>
    </w:rPr>
  </w:style>
  <w:style w:type="paragraph" w:styleId="Header">
    <w:name w:val="header"/>
    <w:basedOn w:val="Normal"/>
    <w:link w:val="HeaderChar"/>
    <w:uiPriority w:val="99"/>
    <w:unhideWhenUsed/>
    <w:rsid w:val="00C8136C"/>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C8136C"/>
  </w:style>
  <w:style w:type="character" w:styleId="PageNumber">
    <w:name w:val="page number"/>
    <w:basedOn w:val="DefaultParagraphFont"/>
    <w:uiPriority w:val="99"/>
    <w:semiHidden/>
    <w:unhideWhenUsed/>
    <w:rsid w:val="00C8136C"/>
  </w:style>
  <w:style w:type="table" w:styleId="TableGrid">
    <w:name w:val="Table Grid"/>
    <w:basedOn w:val="TableNormal"/>
    <w:uiPriority w:val="39"/>
    <w:rsid w:val="00A67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66AC3"/>
  </w:style>
  <w:style w:type="character" w:styleId="Hyperlink">
    <w:name w:val="Hyperlink"/>
    <w:basedOn w:val="DefaultParagraphFont"/>
    <w:uiPriority w:val="99"/>
    <w:unhideWhenUsed/>
    <w:rsid w:val="009054B6"/>
    <w:rPr>
      <w:color w:val="0563C1" w:themeColor="hyperlink"/>
      <w:u w:val="single"/>
    </w:rPr>
  </w:style>
  <w:style w:type="paragraph" w:styleId="Footer">
    <w:name w:val="footer"/>
    <w:basedOn w:val="Normal"/>
    <w:link w:val="FooterChar"/>
    <w:uiPriority w:val="99"/>
    <w:unhideWhenUsed/>
    <w:rsid w:val="00FE6553"/>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E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1127">
      <w:bodyDiv w:val="1"/>
      <w:marLeft w:val="0"/>
      <w:marRight w:val="0"/>
      <w:marTop w:val="0"/>
      <w:marBottom w:val="0"/>
      <w:divBdr>
        <w:top w:val="none" w:sz="0" w:space="0" w:color="auto"/>
        <w:left w:val="none" w:sz="0" w:space="0" w:color="auto"/>
        <w:bottom w:val="none" w:sz="0" w:space="0" w:color="auto"/>
        <w:right w:val="none" w:sz="0" w:space="0" w:color="auto"/>
      </w:divBdr>
    </w:div>
    <w:div w:id="136998830">
      <w:bodyDiv w:val="1"/>
      <w:marLeft w:val="0"/>
      <w:marRight w:val="0"/>
      <w:marTop w:val="0"/>
      <w:marBottom w:val="0"/>
      <w:divBdr>
        <w:top w:val="none" w:sz="0" w:space="0" w:color="auto"/>
        <w:left w:val="none" w:sz="0" w:space="0" w:color="auto"/>
        <w:bottom w:val="none" w:sz="0" w:space="0" w:color="auto"/>
        <w:right w:val="none" w:sz="0" w:space="0" w:color="auto"/>
      </w:divBdr>
    </w:div>
    <w:div w:id="223151116">
      <w:bodyDiv w:val="1"/>
      <w:marLeft w:val="0"/>
      <w:marRight w:val="0"/>
      <w:marTop w:val="0"/>
      <w:marBottom w:val="0"/>
      <w:divBdr>
        <w:top w:val="none" w:sz="0" w:space="0" w:color="auto"/>
        <w:left w:val="none" w:sz="0" w:space="0" w:color="auto"/>
        <w:bottom w:val="none" w:sz="0" w:space="0" w:color="auto"/>
        <w:right w:val="none" w:sz="0" w:space="0" w:color="auto"/>
      </w:divBdr>
    </w:div>
    <w:div w:id="232590083">
      <w:bodyDiv w:val="1"/>
      <w:marLeft w:val="0"/>
      <w:marRight w:val="0"/>
      <w:marTop w:val="0"/>
      <w:marBottom w:val="0"/>
      <w:divBdr>
        <w:top w:val="none" w:sz="0" w:space="0" w:color="auto"/>
        <w:left w:val="none" w:sz="0" w:space="0" w:color="auto"/>
        <w:bottom w:val="none" w:sz="0" w:space="0" w:color="auto"/>
        <w:right w:val="none" w:sz="0" w:space="0" w:color="auto"/>
      </w:divBdr>
    </w:div>
    <w:div w:id="254018197">
      <w:bodyDiv w:val="1"/>
      <w:marLeft w:val="0"/>
      <w:marRight w:val="0"/>
      <w:marTop w:val="0"/>
      <w:marBottom w:val="0"/>
      <w:divBdr>
        <w:top w:val="none" w:sz="0" w:space="0" w:color="auto"/>
        <w:left w:val="none" w:sz="0" w:space="0" w:color="auto"/>
        <w:bottom w:val="none" w:sz="0" w:space="0" w:color="auto"/>
        <w:right w:val="none" w:sz="0" w:space="0" w:color="auto"/>
      </w:divBdr>
      <w:divsChild>
        <w:div w:id="1498107326">
          <w:marLeft w:val="0"/>
          <w:marRight w:val="0"/>
          <w:marTop w:val="0"/>
          <w:marBottom w:val="0"/>
          <w:divBdr>
            <w:top w:val="none" w:sz="0" w:space="0" w:color="auto"/>
            <w:left w:val="none" w:sz="0" w:space="0" w:color="auto"/>
            <w:bottom w:val="none" w:sz="0" w:space="0" w:color="auto"/>
            <w:right w:val="none" w:sz="0" w:space="0" w:color="auto"/>
          </w:divBdr>
        </w:div>
      </w:divsChild>
    </w:div>
    <w:div w:id="260256999">
      <w:bodyDiv w:val="1"/>
      <w:marLeft w:val="0"/>
      <w:marRight w:val="0"/>
      <w:marTop w:val="0"/>
      <w:marBottom w:val="0"/>
      <w:divBdr>
        <w:top w:val="none" w:sz="0" w:space="0" w:color="auto"/>
        <w:left w:val="none" w:sz="0" w:space="0" w:color="auto"/>
        <w:bottom w:val="none" w:sz="0" w:space="0" w:color="auto"/>
        <w:right w:val="none" w:sz="0" w:space="0" w:color="auto"/>
      </w:divBdr>
    </w:div>
    <w:div w:id="287276416">
      <w:bodyDiv w:val="1"/>
      <w:marLeft w:val="0"/>
      <w:marRight w:val="0"/>
      <w:marTop w:val="0"/>
      <w:marBottom w:val="0"/>
      <w:divBdr>
        <w:top w:val="none" w:sz="0" w:space="0" w:color="auto"/>
        <w:left w:val="none" w:sz="0" w:space="0" w:color="auto"/>
        <w:bottom w:val="none" w:sz="0" w:space="0" w:color="auto"/>
        <w:right w:val="none" w:sz="0" w:space="0" w:color="auto"/>
      </w:divBdr>
    </w:div>
    <w:div w:id="388841396">
      <w:bodyDiv w:val="1"/>
      <w:marLeft w:val="0"/>
      <w:marRight w:val="0"/>
      <w:marTop w:val="0"/>
      <w:marBottom w:val="0"/>
      <w:divBdr>
        <w:top w:val="none" w:sz="0" w:space="0" w:color="auto"/>
        <w:left w:val="none" w:sz="0" w:space="0" w:color="auto"/>
        <w:bottom w:val="none" w:sz="0" w:space="0" w:color="auto"/>
        <w:right w:val="none" w:sz="0" w:space="0" w:color="auto"/>
      </w:divBdr>
      <w:divsChild>
        <w:div w:id="2126383164">
          <w:marLeft w:val="720"/>
          <w:marRight w:val="0"/>
          <w:marTop w:val="0"/>
          <w:marBottom w:val="0"/>
          <w:divBdr>
            <w:top w:val="none" w:sz="0" w:space="0" w:color="auto"/>
            <w:left w:val="none" w:sz="0" w:space="0" w:color="auto"/>
            <w:bottom w:val="none" w:sz="0" w:space="0" w:color="auto"/>
            <w:right w:val="none" w:sz="0" w:space="0" w:color="auto"/>
          </w:divBdr>
        </w:div>
        <w:div w:id="1091119478">
          <w:marLeft w:val="720"/>
          <w:marRight w:val="0"/>
          <w:marTop w:val="0"/>
          <w:marBottom w:val="0"/>
          <w:divBdr>
            <w:top w:val="none" w:sz="0" w:space="0" w:color="auto"/>
            <w:left w:val="none" w:sz="0" w:space="0" w:color="auto"/>
            <w:bottom w:val="none" w:sz="0" w:space="0" w:color="auto"/>
            <w:right w:val="none" w:sz="0" w:space="0" w:color="auto"/>
          </w:divBdr>
        </w:div>
        <w:div w:id="577059403">
          <w:marLeft w:val="720"/>
          <w:marRight w:val="0"/>
          <w:marTop w:val="0"/>
          <w:marBottom w:val="0"/>
          <w:divBdr>
            <w:top w:val="none" w:sz="0" w:space="0" w:color="auto"/>
            <w:left w:val="none" w:sz="0" w:space="0" w:color="auto"/>
            <w:bottom w:val="none" w:sz="0" w:space="0" w:color="auto"/>
            <w:right w:val="none" w:sz="0" w:space="0" w:color="auto"/>
          </w:divBdr>
        </w:div>
        <w:div w:id="2061124496">
          <w:marLeft w:val="720"/>
          <w:marRight w:val="0"/>
          <w:marTop w:val="0"/>
          <w:marBottom w:val="0"/>
          <w:divBdr>
            <w:top w:val="none" w:sz="0" w:space="0" w:color="auto"/>
            <w:left w:val="none" w:sz="0" w:space="0" w:color="auto"/>
            <w:bottom w:val="none" w:sz="0" w:space="0" w:color="auto"/>
            <w:right w:val="none" w:sz="0" w:space="0" w:color="auto"/>
          </w:divBdr>
        </w:div>
      </w:divsChild>
    </w:div>
    <w:div w:id="408237528">
      <w:bodyDiv w:val="1"/>
      <w:marLeft w:val="0"/>
      <w:marRight w:val="0"/>
      <w:marTop w:val="0"/>
      <w:marBottom w:val="0"/>
      <w:divBdr>
        <w:top w:val="none" w:sz="0" w:space="0" w:color="auto"/>
        <w:left w:val="none" w:sz="0" w:space="0" w:color="auto"/>
        <w:bottom w:val="none" w:sz="0" w:space="0" w:color="auto"/>
        <w:right w:val="none" w:sz="0" w:space="0" w:color="auto"/>
      </w:divBdr>
    </w:div>
    <w:div w:id="455180120">
      <w:bodyDiv w:val="1"/>
      <w:marLeft w:val="0"/>
      <w:marRight w:val="0"/>
      <w:marTop w:val="0"/>
      <w:marBottom w:val="0"/>
      <w:divBdr>
        <w:top w:val="none" w:sz="0" w:space="0" w:color="auto"/>
        <w:left w:val="none" w:sz="0" w:space="0" w:color="auto"/>
        <w:bottom w:val="none" w:sz="0" w:space="0" w:color="auto"/>
        <w:right w:val="none" w:sz="0" w:space="0" w:color="auto"/>
      </w:divBdr>
    </w:div>
    <w:div w:id="463885460">
      <w:bodyDiv w:val="1"/>
      <w:marLeft w:val="0"/>
      <w:marRight w:val="0"/>
      <w:marTop w:val="0"/>
      <w:marBottom w:val="0"/>
      <w:divBdr>
        <w:top w:val="none" w:sz="0" w:space="0" w:color="auto"/>
        <w:left w:val="none" w:sz="0" w:space="0" w:color="auto"/>
        <w:bottom w:val="none" w:sz="0" w:space="0" w:color="auto"/>
        <w:right w:val="none" w:sz="0" w:space="0" w:color="auto"/>
      </w:divBdr>
    </w:div>
    <w:div w:id="468713508">
      <w:bodyDiv w:val="1"/>
      <w:marLeft w:val="0"/>
      <w:marRight w:val="0"/>
      <w:marTop w:val="0"/>
      <w:marBottom w:val="0"/>
      <w:divBdr>
        <w:top w:val="none" w:sz="0" w:space="0" w:color="auto"/>
        <w:left w:val="none" w:sz="0" w:space="0" w:color="auto"/>
        <w:bottom w:val="none" w:sz="0" w:space="0" w:color="auto"/>
        <w:right w:val="none" w:sz="0" w:space="0" w:color="auto"/>
      </w:divBdr>
    </w:div>
    <w:div w:id="469594729">
      <w:bodyDiv w:val="1"/>
      <w:marLeft w:val="0"/>
      <w:marRight w:val="0"/>
      <w:marTop w:val="0"/>
      <w:marBottom w:val="0"/>
      <w:divBdr>
        <w:top w:val="none" w:sz="0" w:space="0" w:color="auto"/>
        <w:left w:val="none" w:sz="0" w:space="0" w:color="auto"/>
        <w:bottom w:val="none" w:sz="0" w:space="0" w:color="auto"/>
        <w:right w:val="none" w:sz="0" w:space="0" w:color="auto"/>
      </w:divBdr>
    </w:div>
    <w:div w:id="471097695">
      <w:bodyDiv w:val="1"/>
      <w:marLeft w:val="0"/>
      <w:marRight w:val="0"/>
      <w:marTop w:val="0"/>
      <w:marBottom w:val="0"/>
      <w:divBdr>
        <w:top w:val="none" w:sz="0" w:space="0" w:color="auto"/>
        <w:left w:val="none" w:sz="0" w:space="0" w:color="auto"/>
        <w:bottom w:val="none" w:sz="0" w:space="0" w:color="auto"/>
        <w:right w:val="none" w:sz="0" w:space="0" w:color="auto"/>
      </w:divBdr>
    </w:div>
    <w:div w:id="476650819">
      <w:bodyDiv w:val="1"/>
      <w:marLeft w:val="0"/>
      <w:marRight w:val="0"/>
      <w:marTop w:val="0"/>
      <w:marBottom w:val="0"/>
      <w:divBdr>
        <w:top w:val="none" w:sz="0" w:space="0" w:color="auto"/>
        <w:left w:val="none" w:sz="0" w:space="0" w:color="auto"/>
        <w:bottom w:val="none" w:sz="0" w:space="0" w:color="auto"/>
        <w:right w:val="none" w:sz="0" w:space="0" w:color="auto"/>
      </w:divBdr>
    </w:div>
    <w:div w:id="493683842">
      <w:bodyDiv w:val="1"/>
      <w:marLeft w:val="0"/>
      <w:marRight w:val="0"/>
      <w:marTop w:val="0"/>
      <w:marBottom w:val="0"/>
      <w:divBdr>
        <w:top w:val="none" w:sz="0" w:space="0" w:color="auto"/>
        <w:left w:val="none" w:sz="0" w:space="0" w:color="auto"/>
        <w:bottom w:val="none" w:sz="0" w:space="0" w:color="auto"/>
        <w:right w:val="none" w:sz="0" w:space="0" w:color="auto"/>
      </w:divBdr>
    </w:div>
    <w:div w:id="498152661">
      <w:bodyDiv w:val="1"/>
      <w:marLeft w:val="0"/>
      <w:marRight w:val="0"/>
      <w:marTop w:val="0"/>
      <w:marBottom w:val="0"/>
      <w:divBdr>
        <w:top w:val="none" w:sz="0" w:space="0" w:color="auto"/>
        <w:left w:val="none" w:sz="0" w:space="0" w:color="auto"/>
        <w:bottom w:val="none" w:sz="0" w:space="0" w:color="auto"/>
        <w:right w:val="none" w:sz="0" w:space="0" w:color="auto"/>
      </w:divBdr>
    </w:div>
    <w:div w:id="517698265">
      <w:bodyDiv w:val="1"/>
      <w:marLeft w:val="0"/>
      <w:marRight w:val="0"/>
      <w:marTop w:val="0"/>
      <w:marBottom w:val="0"/>
      <w:divBdr>
        <w:top w:val="none" w:sz="0" w:space="0" w:color="auto"/>
        <w:left w:val="none" w:sz="0" w:space="0" w:color="auto"/>
        <w:bottom w:val="none" w:sz="0" w:space="0" w:color="auto"/>
        <w:right w:val="none" w:sz="0" w:space="0" w:color="auto"/>
      </w:divBdr>
    </w:div>
    <w:div w:id="542133397">
      <w:bodyDiv w:val="1"/>
      <w:marLeft w:val="0"/>
      <w:marRight w:val="0"/>
      <w:marTop w:val="0"/>
      <w:marBottom w:val="0"/>
      <w:divBdr>
        <w:top w:val="none" w:sz="0" w:space="0" w:color="auto"/>
        <w:left w:val="none" w:sz="0" w:space="0" w:color="auto"/>
        <w:bottom w:val="none" w:sz="0" w:space="0" w:color="auto"/>
        <w:right w:val="none" w:sz="0" w:space="0" w:color="auto"/>
      </w:divBdr>
    </w:div>
    <w:div w:id="567419877">
      <w:bodyDiv w:val="1"/>
      <w:marLeft w:val="0"/>
      <w:marRight w:val="0"/>
      <w:marTop w:val="0"/>
      <w:marBottom w:val="0"/>
      <w:divBdr>
        <w:top w:val="none" w:sz="0" w:space="0" w:color="auto"/>
        <w:left w:val="none" w:sz="0" w:space="0" w:color="auto"/>
        <w:bottom w:val="none" w:sz="0" w:space="0" w:color="auto"/>
        <w:right w:val="none" w:sz="0" w:space="0" w:color="auto"/>
      </w:divBdr>
    </w:div>
    <w:div w:id="580528024">
      <w:bodyDiv w:val="1"/>
      <w:marLeft w:val="0"/>
      <w:marRight w:val="0"/>
      <w:marTop w:val="0"/>
      <w:marBottom w:val="0"/>
      <w:divBdr>
        <w:top w:val="none" w:sz="0" w:space="0" w:color="auto"/>
        <w:left w:val="none" w:sz="0" w:space="0" w:color="auto"/>
        <w:bottom w:val="none" w:sz="0" w:space="0" w:color="auto"/>
        <w:right w:val="none" w:sz="0" w:space="0" w:color="auto"/>
      </w:divBdr>
    </w:div>
    <w:div w:id="592711982">
      <w:bodyDiv w:val="1"/>
      <w:marLeft w:val="0"/>
      <w:marRight w:val="0"/>
      <w:marTop w:val="0"/>
      <w:marBottom w:val="0"/>
      <w:divBdr>
        <w:top w:val="none" w:sz="0" w:space="0" w:color="auto"/>
        <w:left w:val="none" w:sz="0" w:space="0" w:color="auto"/>
        <w:bottom w:val="none" w:sz="0" w:space="0" w:color="auto"/>
        <w:right w:val="none" w:sz="0" w:space="0" w:color="auto"/>
      </w:divBdr>
      <w:divsChild>
        <w:div w:id="157772957">
          <w:marLeft w:val="720"/>
          <w:marRight w:val="0"/>
          <w:marTop w:val="154"/>
          <w:marBottom w:val="0"/>
          <w:divBdr>
            <w:top w:val="none" w:sz="0" w:space="0" w:color="auto"/>
            <w:left w:val="none" w:sz="0" w:space="0" w:color="auto"/>
            <w:bottom w:val="none" w:sz="0" w:space="0" w:color="auto"/>
            <w:right w:val="none" w:sz="0" w:space="0" w:color="auto"/>
          </w:divBdr>
        </w:div>
        <w:div w:id="373580277">
          <w:marLeft w:val="720"/>
          <w:marRight w:val="0"/>
          <w:marTop w:val="154"/>
          <w:marBottom w:val="0"/>
          <w:divBdr>
            <w:top w:val="none" w:sz="0" w:space="0" w:color="auto"/>
            <w:left w:val="none" w:sz="0" w:space="0" w:color="auto"/>
            <w:bottom w:val="none" w:sz="0" w:space="0" w:color="auto"/>
            <w:right w:val="none" w:sz="0" w:space="0" w:color="auto"/>
          </w:divBdr>
        </w:div>
      </w:divsChild>
    </w:div>
    <w:div w:id="607585312">
      <w:bodyDiv w:val="1"/>
      <w:marLeft w:val="0"/>
      <w:marRight w:val="0"/>
      <w:marTop w:val="0"/>
      <w:marBottom w:val="0"/>
      <w:divBdr>
        <w:top w:val="none" w:sz="0" w:space="0" w:color="auto"/>
        <w:left w:val="none" w:sz="0" w:space="0" w:color="auto"/>
        <w:bottom w:val="none" w:sz="0" w:space="0" w:color="auto"/>
        <w:right w:val="none" w:sz="0" w:space="0" w:color="auto"/>
      </w:divBdr>
    </w:div>
    <w:div w:id="607591639">
      <w:bodyDiv w:val="1"/>
      <w:marLeft w:val="0"/>
      <w:marRight w:val="0"/>
      <w:marTop w:val="0"/>
      <w:marBottom w:val="0"/>
      <w:divBdr>
        <w:top w:val="none" w:sz="0" w:space="0" w:color="auto"/>
        <w:left w:val="none" w:sz="0" w:space="0" w:color="auto"/>
        <w:bottom w:val="none" w:sz="0" w:space="0" w:color="auto"/>
        <w:right w:val="none" w:sz="0" w:space="0" w:color="auto"/>
      </w:divBdr>
    </w:div>
    <w:div w:id="688413636">
      <w:bodyDiv w:val="1"/>
      <w:marLeft w:val="0"/>
      <w:marRight w:val="0"/>
      <w:marTop w:val="0"/>
      <w:marBottom w:val="0"/>
      <w:divBdr>
        <w:top w:val="none" w:sz="0" w:space="0" w:color="auto"/>
        <w:left w:val="none" w:sz="0" w:space="0" w:color="auto"/>
        <w:bottom w:val="none" w:sz="0" w:space="0" w:color="auto"/>
        <w:right w:val="none" w:sz="0" w:space="0" w:color="auto"/>
      </w:divBdr>
    </w:div>
    <w:div w:id="741293512">
      <w:bodyDiv w:val="1"/>
      <w:marLeft w:val="0"/>
      <w:marRight w:val="0"/>
      <w:marTop w:val="0"/>
      <w:marBottom w:val="0"/>
      <w:divBdr>
        <w:top w:val="none" w:sz="0" w:space="0" w:color="auto"/>
        <w:left w:val="none" w:sz="0" w:space="0" w:color="auto"/>
        <w:bottom w:val="none" w:sz="0" w:space="0" w:color="auto"/>
        <w:right w:val="none" w:sz="0" w:space="0" w:color="auto"/>
      </w:divBdr>
    </w:div>
    <w:div w:id="763959029">
      <w:bodyDiv w:val="1"/>
      <w:marLeft w:val="0"/>
      <w:marRight w:val="0"/>
      <w:marTop w:val="0"/>
      <w:marBottom w:val="0"/>
      <w:divBdr>
        <w:top w:val="none" w:sz="0" w:space="0" w:color="auto"/>
        <w:left w:val="none" w:sz="0" w:space="0" w:color="auto"/>
        <w:bottom w:val="none" w:sz="0" w:space="0" w:color="auto"/>
        <w:right w:val="none" w:sz="0" w:space="0" w:color="auto"/>
      </w:divBdr>
    </w:div>
    <w:div w:id="807473391">
      <w:bodyDiv w:val="1"/>
      <w:marLeft w:val="0"/>
      <w:marRight w:val="0"/>
      <w:marTop w:val="0"/>
      <w:marBottom w:val="0"/>
      <w:divBdr>
        <w:top w:val="none" w:sz="0" w:space="0" w:color="auto"/>
        <w:left w:val="none" w:sz="0" w:space="0" w:color="auto"/>
        <w:bottom w:val="none" w:sz="0" w:space="0" w:color="auto"/>
        <w:right w:val="none" w:sz="0" w:space="0" w:color="auto"/>
      </w:divBdr>
    </w:div>
    <w:div w:id="813451911">
      <w:bodyDiv w:val="1"/>
      <w:marLeft w:val="0"/>
      <w:marRight w:val="0"/>
      <w:marTop w:val="0"/>
      <w:marBottom w:val="0"/>
      <w:divBdr>
        <w:top w:val="none" w:sz="0" w:space="0" w:color="auto"/>
        <w:left w:val="none" w:sz="0" w:space="0" w:color="auto"/>
        <w:bottom w:val="none" w:sz="0" w:space="0" w:color="auto"/>
        <w:right w:val="none" w:sz="0" w:space="0" w:color="auto"/>
      </w:divBdr>
    </w:div>
    <w:div w:id="856239584">
      <w:bodyDiv w:val="1"/>
      <w:marLeft w:val="0"/>
      <w:marRight w:val="0"/>
      <w:marTop w:val="0"/>
      <w:marBottom w:val="0"/>
      <w:divBdr>
        <w:top w:val="none" w:sz="0" w:space="0" w:color="auto"/>
        <w:left w:val="none" w:sz="0" w:space="0" w:color="auto"/>
        <w:bottom w:val="none" w:sz="0" w:space="0" w:color="auto"/>
        <w:right w:val="none" w:sz="0" w:space="0" w:color="auto"/>
      </w:divBdr>
    </w:div>
    <w:div w:id="861436607">
      <w:bodyDiv w:val="1"/>
      <w:marLeft w:val="0"/>
      <w:marRight w:val="0"/>
      <w:marTop w:val="0"/>
      <w:marBottom w:val="0"/>
      <w:divBdr>
        <w:top w:val="none" w:sz="0" w:space="0" w:color="auto"/>
        <w:left w:val="none" w:sz="0" w:space="0" w:color="auto"/>
        <w:bottom w:val="none" w:sz="0" w:space="0" w:color="auto"/>
        <w:right w:val="none" w:sz="0" w:space="0" w:color="auto"/>
      </w:divBdr>
    </w:div>
    <w:div w:id="911702204">
      <w:bodyDiv w:val="1"/>
      <w:marLeft w:val="0"/>
      <w:marRight w:val="0"/>
      <w:marTop w:val="0"/>
      <w:marBottom w:val="0"/>
      <w:divBdr>
        <w:top w:val="none" w:sz="0" w:space="0" w:color="auto"/>
        <w:left w:val="none" w:sz="0" w:space="0" w:color="auto"/>
        <w:bottom w:val="none" w:sz="0" w:space="0" w:color="auto"/>
        <w:right w:val="none" w:sz="0" w:space="0" w:color="auto"/>
      </w:divBdr>
    </w:div>
    <w:div w:id="912198104">
      <w:bodyDiv w:val="1"/>
      <w:marLeft w:val="0"/>
      <w:marRight w:val="0"/>
      <w:marTop w:val="0"/>
      <w:marBottom w:val="0"/>
      <w:divBdr>
        <w:top w:val="none" w:sz="0" w:space="0" w:color="auto"/>
        <w:left w:val="none" w:sz="0" w:space="0" w:color="auto"/>
        <w:bottom w:val="none" w:sz="0" w:space="0" w:color="auto"/>
        <w:right w:val="none" w:sz="0" w:space="0" w:color="auto"/>
      </w:divBdr>
    </w:div>
    <w:div w:id="942304659">
      <w:bodyDiv w:val="1"/>
      <w:marLeft w:val="0"/>
      <w:marRight w:val="0"/>
      <w:marTop w:val="0"/>
      <w:marBottom w:val="0"/>
      <w:divBdr>
        <w:top w:val="none" w:sz="0" w:space="0" w:color="auto"/>
        <w:left w:val="none" w:sz="0" w:space="0" w:color="auto"/>
        <w:bottom w:val="none" w:sz="0" w:space="0" w:color="auto"/>
        <w:right w:val="none" w:sz="0" w:space="0" w:color="auto"/>
      </w:divBdr>
    </w:div>
    <w:div w:id="982735617">
      <w:bodyDiv w:val="1"/>
      <w:marLeft w:val="0"/>
      <w:marRight w:val="0"/>
      <w:marTop w:val="0"/>
      <w:marBottom w:val="0"/>
      <w:divBdr>
        <w:top w:val="none" w:sz="0" w:space="0" w:color="auto"/>
        <w:left w:val="none" w:sz="0" w:space="0" w:color="auto"/>
        <w:bottom w:val="none" w:sz="0" w:space="0" w:color="auto"/>
        <w:right w:val="none" w:sz="0" w:space="0" w:color="auto"/>
      </w:divBdr>
    </w:div>
    <w:div w:id="988746386">
      <w:bodyDiv w:val="1"/>
      <w:marLeft w:val="0"/>
      <w:marRight w:val="0"/>
      <w:marTop w:val="0"/>
      <w:marBottom w:val="0"/>
      <w:divBdr>
        <w:top w:val="none" w:sz="0" w:space="0" w:color="auto"/>
        <w:left w:val="none" w:sz="0" w:space="0" w:color="auto"/>
        <w:bottom w:val="none" w:sz="0" w:space="0" w:color="auto"/>
        <w:right w:val="none" w:sz="0" w:space="0" w:color="auto"/>
      </w:divBdr>
      <w:divsChild>
        <w:div w:id="140343089">
          <w:marLeft w:val="0"/>
          <w:marRight w:val="0"/>
          <w:marTop w:val="0"/>
          <w:marBottom w:val="0"/>
          <w:divBdr>
            <w:top w:val="none" w:sz="0" w:space="0" w:color="auto"/>
            <w:left w:val="none" w:sz="0" w:space="0" w:color="auto"/>
            <w:bottom w:val="none" w:sz="0" w:space="0" w:color="auto"/>
            <w:right w:val="none" w:sz="0" w:space="0" w:color="auto"/>
          </w:divBdr>
        </w:div>
      </w:divsChild>
    </w:div>
    <w:div w:id="990065804">
      <w:bodyDiv w:val="1"/>
      <w:marLeft w:val="0"/>
      <w:marRight w:val="0"/>
      <w:marTop w:val="0"/>
      <w:marBottom w:val="0"/>
      <w:divBdr>
        <w:top w:val="none" w:sz="0" w:space="0" w:color="auto"/>
        <w:left w:val="none" w:sz="0" w:space="0" w:color="auto"/>
        <w:bottom w:val="none" w:sz="0" w:space="0" w:color="auto"/>
        <w:right w:val="none" w:sz="0" w:space="0" w:color="auto"/>
      </w:divBdr>
      <w:divsChild>
        <w:div w:id="351759626">
          <w:marLeft w:val="0"/>
          <w:marRight w:val="0"/>
          <w:marTop w:val="0"/>
          <w:marBottom w:val="0"/>
          <w:divBdr>
            <w:top w:val="none" w:sz="0" w:space="0" w:color="auto"/>
            <w:left w:val="none" w:sz="0" w:space="0" w:color="auto"/>
            <w:bottom w:val="none" w:sz="0" w:space="0" w:color="auto"/>
            <w:right w:val="none" w:sz="0" w:space="0" w:color="auto"/>
          </w:divBdr>
        </w:div>
      </w:divsChild>
    </w:div>
    <w:div w:id="995110300">
      <w:bodyDiv w:val="1"/>
      <w:marLeft w:val="0"/>
      <w:marRight w:val="0"/>
      <w:marTop w:val="0"/>
      <w:marBottom w:val="0"/>
      <w:divBdr>
        <w:top w:val="none" w:sz="0" w:space="0" w:color="auto"/>
        <w:left w:val="none" w:sz="0" w:space="0" w:color="auto"/>
        <w:bottom w:val="none" w:sz="0" w:space="0" w:color="auto"/>
        <w:right w:val="none" w:sz="0" w:space="0" w:color="auto"/>
      </w:divBdr>
    </w:div>
    <w:div w:id="1053626114">
      <w:bodyDiv w:val="1"/>
      <w:marLeft w:val="0"/>
      <w:marRight w:val="0"/>
      <w:marTop w:val="0"/>
      <w:marBottom w:val="0"/>
      <w:divBdr>
        <w:top w:val="none" w:sz="0" w:space="0" w:color="auto"/>
        <w:left w:val="none" w:sz="0" w:space="0" w:color="auto"/>
        <w:bottom w:val="none" w:sz="0" w:space="0" w:color="auto"/>
        <w:right w:val="none" w:sz="0" w:space="0" w:color="auto"/>
      </w:divBdr>
    </w:div>
    <w:div w:id="1129007914">
      <w:bodyDiv w:val="1"/>
      <w:marLeft w:val="0"/>
      <w:marRight w:val="0"/>
      <w:marTop w:val="0"/>
      <w:marBottom w:val="0"/>
      <w:divBdr>
        <w:top w:val="none" w:sz="0" w:space="0" w:color="auto"/>
        <w:left w:val="none" w:sz="0" w:space="0" w:color="auto"/>
        <w:bottom w:val="none" w:sz="0" w:space="0" w:color="auto"/>
        <w:right w:val="none" w:sz="0" w:space="0" w:color="auto"/>
      </w:divBdr>
    </w:div>
    <w:div w:id="1201554413">
      <w:bodyDiv w:val="1"/>
      <w:marLeft w:val="0"/>
      <w:marRight w:val="0"/>
      <w:marTop w:val="0"/>
      <w:marBottom w:val="0"/>
      <w:divBdr>
        <w:top w:val="none" w:sz="0" w:space="0" w:color="auto"/>
        <w:left w:val="none" w:sz="0" w:space="0" w:color="auto"/>
        <w:bottom w:val="none" w:sz="0" w:space="0" w:color="auto"/>
        <w:right w:val="none" w:sz="0" w:space="0" w:color="auto"/>
      </w:divBdr>
    </w:div>
    <w:div w:id="1295599095">
      <w:bodyDiv w:val="1"/>
      <w:marLeft w:val="0"/>
      <w:marRight w:val="0"/>
      <w:marTop w:val="0"/>
      <w:marBottom w:val="0"/>
      <w:divBdr>
        <w:top w:val="none" w:sz="0" w:space="0" w:color="auto"/>
        <w:left w:val="none" w:sz="0" w:space="0" w:color="auto"/>
        <w:bottom w:val="none" w:sz="0" w:space="0" w:color="auto"/>
        <w:right w:val="none" w:sz="0" w:space="0" w:color="auto"/>
      </w:divBdr>
    </w:div>
    <w:div w:id="1301375302">
      <w:bodyDiv w:val="1"/>
      <w:marLeft w:val="0"/>
      <w:marRight w:val="0"/>
      <w:marTop w:val="0"/>
      <w:marBottom w:val="0"/>
      <w:divBdr>
        <w:top w:val="none" w:sz="0" w:space="0" w:color="auto"/>
        <w:left w:val="none" w:sz="0" w:space="0" w:color="auto"/>
        <w:bottom w:val="none" w:sz="0" w:space="0" w:color="auto"/>
        <w:right w:val="none" w:sz="0" w:space="0" w:color="auto"/>
      </w:divBdr>
    </w:div>
    <w:div w:id="1307859847">
      <w:bodyDiv w:val="1"/>
      <w:marLeft w:val="0"/>
      <w:marRight w:val="0"/>
      <w:marTop w:val="0"/>
      <w:marBottom w:val="0"/>
      <w:divBdr>
        <w:top w:val="none" w:sz="0" w:space="0" w:color="auto"/>
        <w:left w:val="none" w:sz="0" w:space="0" w:color="auto"/>
        <w:bottom w:val="none" w:sz="0" w:space="0" w:color="auto"/>
        <w:right w:val="none" w:sz="0" w:space="0" w:color="auto"/>
      </w:divBdr>
    </w:div>
    <w:div w:id="1325628197">
      <w:bodyDiv w:val="1"/>
      <w:marLeft w:val="0"/>
      <w:marRight w:val="0"/>
      <w:marTop w:val="0"/>
      <w:marBottom w:val="0"/>
      <w:divBdr>
        <w:top w:val="none" w:sz="0" w:space="0" w:color="auto"/>
        <w:left w:val="none" w:sz="0" w:space="0" w:color="auto"/>
        <w:bottom w:val="none" w:sz="0" w:space="0" w:color="auto"/>
        <w:right w:val="none" w:sz="0" w:space="0" w:color="auto"/>
      </w:divBdr>
    </w:div>
    <w:div w:id="1336765683">
      <w:bodyDiv w:val="1"/>
      <w:marLeft w:val="0"/>
      <w:marRight w:val="0"/>
      <w:marTop w:val="0"/>
      <w:marBottom w:val="0"/>
      <w:divBdr>
        <w:top w:val="none" w:sz="0" w:space="0" w:color="auto"/>
        <w:left w:val="none" w:sz="0" w:space="0" w:color="auto"/>
        <w:bottom w:val="none" w:sz="0" w:space="0" w:color="auto"/>
        <w:right w:val="none" w:sz="0" w:space="0" w:color="auto"/>
      </w:divBdr>
    </w:div>
    <w:div w:id="1343435665">
      <w:bodyDiv w:val="1"/>
      <w:marLeft w:val="0"/>
      <w:marRight w:val="0"/>
      <w:marTop w:val="0"/>
      <w:marBottom w:val="0"/>
      <w:divBdr>
        <w:top w:val="none" w:sz="0" w:space="0" w:color="auto"/>
        <w:left w:val="none" w:sz="0" w:space="0" w:color="auto"/>
        <w:bottom w:val="none" w:sz="0" w:space="0" w:color="auto"/>
        <w:right w:val="none" w:sz="0" w:space="0" w:color="auto"/>
      </w:divBdr>
    </w:div>
    <w:div w:id="1517840820">
      <w:bodyDiv w:val="1"/>
      <w:marLeft w:val="0"/>
      <w:marRight w:val="0"/>
      <w:marTop w:val="0"/>
      <w:marBottom w:val="0"/>
      <w:divBdr>
        <w:top w:val="none" w:sz="0" w:space="0" w:color="auto"/>
        <w:left w:val="none" w:sz="0" w:space="0" w:color="auto"/>
        <w:bottom w:val="none" w:sz="0" w:space="0" w:color="auto"/>
        <w:right w:val="none" w:sz="0" w:space="0" w:color="auto"/>
      </w:divBdr>
    </w:div>
    <w:div w:id="1569799862">
      <w:bodyDiv w:val="1"/>
      <w:marLeft w:val="0"/>
      <w:marRight w:val="0"/>
      <w:marTop w:val="0"/>
      <w:marBottom w:val="0"/>
      <w:divBdr>
        <w:top w:val="none" w:sz="0" w:space="0" w:color="auto"/>
        <w:left w:val="none" w:sz="0" w:space="0" w:color="auto"/>
        <w:bottom w:val="none" w:sz="0" w:space="0" w:color="auto"/>
        <w:right w:val="none" w:sz="0" w:space="0" w:color="auto"/>
      </w:divBdr>
    </w:div>
    <w:div w:id="1666586079">
      <w:bodyDiv w:val="1"/>
      <w:marLeft w:val="0"/>
      <w:marRight w:val="0"/>
      <w:marTop w:val="0"/>
      <w:marBottom w:val="0"/>
      <w:divBdr>
        <w:top w:val="none" w:sz="0" w:space="0" w:color="auto"/>
        <w:left w:val="none" w:sz="0" w:space="0" w:color="auto"/>
        <w:bottom w:val="none" w:sz="0" w:space="0" w:color="auto"/>
        <w:right w:val="none" w:sz="0" w:space="0" w:color="auto"/>
      </w:divBdr>
    </w:div>
    <w:div w:id="1678578065">
      <w:bodyDiv w:val="1"/>
      <w:marLeft w:val="0"/>
      <w:marRight w:val="0"/>
      <w:marTop w:val="0"/>
      <w:marBottom w:val="0"/>
      <w:divBdr>
        <w:top w:val="none" w:sz="0" w:space="0" w:color="auto"/>
        <w:left w:val="none" w:sz="0" w:space="0" w:color="auto"/>
        <w:bottom w:val="none" w:sz="0" w:space="0" w:color="auto"/>
        <w:right w:val="none" w:sz="0" w:space="0" w:color="auto"/>
      </w:divBdr>
    </w:div>
    <w:div w:id="1679429074">
      <w:bodyDiv w:val="1"/>
      <w:marLeft w:val="0"/>
      <w:marRight w:val="0"/>
      <w:marTop w:val="0"/>
      <w:marBottom w:val="0"/>
      <w:divBdr>
        <w:top w:val="none" w:sz="0" w:space="0" w:color="auto"/>
        <w:left w:val="none" w:sz="0" w:space="0" w:color="auto"/>
        <w:bottom w:val="none" w:sz="0" w:space="0" w:color="auto"/>
        <w:right w:val="none" w:sz="0" w:space="0" w:color="auto"/>
      </w:divBdr>
    </w:div>
    <w:div w:id="1721979758">
      <w:bodyDiv w:val="1"/>
      <w:marLeft w:val="0"/>
      <w:marRight w:val="0"/>
      <w:marTop w:val="0"/>
      <w:marBottom w:val="0"/>
      <w:divBdr>
        <w:top w:val="none" w:sz="0" w:space="0" w:color="auto"/>
        <w:left w:val="none" w:sz="0" w:space="0" w:color="auto"/>
        <w:bottom w:val="none" w:sz="0" w:space="0" w:color="auto"/>
        <w:right w:val="none" w:sz="0" w:space="0" w:color="auto"/>
      </w:divBdr>
    </w:div>
    <w:div w:id="1788697767">
      <w:bodyDiv w:val="1"/>
      <w:marLeft w:val="0"/>
      <w:marRight w:val="0"/>
      <w:marTop w:val="0"/>
      <w:marBottom w:val="0"/>
      <w:divBdr>
        <w:top w:val="none" w:sz="0" w:space="0" w:color="auto"/>
        <w:left w:val="none" w:sz="0" w:space="0" w:color="auto"/>
        <w:bottom w:val="none" w:sz="0" w:space="0" w:color="auto"/>
        <w:right w:val="none" w:sz="0" w:space="0" w:color="auto"/>
      </w:divBdr>
      <w:divsChild>
        <w:div w:id="386999046">
          <w:marLeft w:val="547"/>
          <w:marRight w:val="0"/>
          <w:marTop w:val="0"/>
          <w:marBottom w:val="0"/>
          <w:divBdr>
            <w:top w:val="none" w:sz="0" w:space="0" w:color="auto"/>
            <w:left w:val="none" w:sz="0" w:space="0" w:color="auto"/>
            <w:bottom w:val="none" w:sz="0" w:space="0" w:color="auto"/>
            <w:right w:val="none" w:sz="0" w:space="0" w:color="auto"/>
          </w:divBdr>
        </w:div>
        <w:div w:id="1847747463">
          <w:marLeft w:val="547"/>
          <w:marRight w:val="0"/>
          <w:marTop w:val="0"/>
          <w:marBottom w:val="0"/>
          <w:divBdr>
            <w:top w:val="none" w:sz="0" w:space="0" w:color="auto"/>
            <w:left w:val="none" w:sz="0" w:space="0" w:color="auto"/>
            <w:bottom w:val="none" w:sz="0" w:space="0" w:color="auto"/>
            <w:right w:val="none" w:sz="0" w:space="0" w:color="auto"/>
          </w:divBdr>
        </w:div>
      </w:divsChild>
    </w:div>
    <w:div w:id="1812139202">
      <w:bodyDiv w:val="1"/>
      <w:marLeft w:val="0"/>
      <w:marRight w:val="0"/>
      <w:marTop w:val="0"/>
      <w:marBottom w:val="0"/>
      <w:divBdr>
        <w:top w:val="none" w:sz="0" w:space="0" w:color="auto"/>
        <w:left w:val="none" w:sz="0" w:space="0" w:color="auto"/>
        <w:bottom w:val="none" w:sz="0" w:space="0" w:color="auto"/>
        <w:right w:val="none" w:sz="0" w:space="0" w:color="auto"/>
      </w:divBdr>
    </w:div>
    <w:div w:id="1841391330">
      <w:bodyDiv w:val="1"/>
      <w:marLeft w:val="0"/>
      <w:marRight w:val="0"/>
      <w:marTop w:val="0"/>
      <w:marBottom w:val="0"/>
      <w:divBdr>
        <w:top w:val="none" w:sz="0" w:space="0" w:color="auto"/>
        <w:left w:val="none" w:sz="0" w:space="0" w:color="auto"/>
        <w:bottom w:val="none" w:sz="0" w:space="0" w:color="auto"/>
        <w:right w:val="none" w:sz="0" w:space="0" w:color="auto"/>
      </w:divBdr>
    </w:div>
    <w:div w:id="1887062923">
      <w:bodyDiv w:val="1"/>
      <w:marLeft w:val="0"/>
      <w:marRight w:val="0"/>
      <w:marTop w:val="0"/>
      <w:marBottom w:val="0"/>
      <w:divBdr>
        <w:top w:val="none" w:sz="0" w:space="0" w:color="auto"/>
        <w:left w:val="none" w:sz="0" w:space="0" w:color="auto"/>
        <w:bottom w:val="none" w:sz="0" w:space="0" w:color="auto"/>
        <w:right w:val="none" w:sz="0" w:space="0" w:color="auto"/>
      </w:divBdr>
      <w:divsChild>
        <w:div w:id="12654731">
          <w:marLeft w:val="0"/>
          <w:marRight w:val="0"/>
          <w:marTop w:val="0"/>
          <w:marBottom w:val="0"/>
          <w:divBdr>
            <w:top w:val="none" w:sz="0" w:space="0" w:color="auto"/>
            <w:left w:val="none" w:sz="0" w:space="0" w:color="auto"/>
            <w:bottom w:val="none" w:sz="0" w:space="0" w:color="auto"/>
            <w:right w:val="none" w:sz="0" w:space="0" w:color="auto"/>
          </w:divBdr>
        </w:div>
      </w:divsChild>
    </w:div>
    <w:div w:id="1887330516">
      <w:bodyDiv w:val="1"/>
      <w:marLeft w:val="0"/>
      <w:marRight w:val="0"/>
      <w:marTop w:val="0"/>
      <w:marBottom w:val="0"/>
      <w:divBdr>
        <w:top w:val="none" w:sz="0" w:space="0" w:color="auto"/>
        <w:left w:val="none" w:sz="0" w:space="0" w:color="auto"/>
        <w:bottom w:val="none" w:sz="0" w:space="0" w:color="auto"/>
        <w:right w:val="none" w:sz="0" w:space="0" w:color="auto"/>
      </w:divBdr>
    </w:div>
    <w:div w:id="1954432809">
      <w:bodyDiv w:val="1"/>
      <w:marLeft w:val="0"/>
      <w:marRight w:val="0"/>
      <w:marTop w:val="0"/>
      <w:marBottom w:val="0"/>
      <w:divBdr>
        <w:top w:val="none" w:sz="0" w:space="0" w:color="auto"/>
        <w:left w:val="none" w:sz="0" w:space="0" w:color="auto"/>
        <w:bottom w:val="none" w:sz="0" w:space="0" w:color="auto"/>
        <w:right w:val="none" w:sz="0" w:space="0" w:color="auto"/>
      </w:divBdr>
    </w:div>
    <w:div w:id="2029792881">
      <w:bodyDiv w:val="1"/>
      <w:marLeft w:val="0"/>
      <w:marRight w:val="0"/>
      <w:marTop w:val="0"/>
      <w:marBottom w:val="0"/>
      <w:divBdr>
        <w:top w:val="none" w:sz="0" w:space="0" w:color="auto"/>
        <w:left w:val="none" w:sz="0" w:space="0" w:color="auto"/>
        <w:bottom w:val="none" w:sz="0" w:space="0" w:color="auto"/>
        <w:right w:val="none" w:sz="0" w:space="0" w:color="auto"/>
      </w:divBdr>
      <w:divsChild>
        <w:div w:id="1787963079">
          <w:marLeft w:val="720"/>
          <w:marRight w:val="0"/>
          <w:marTop w:val="134"/>
          <w:marBottom w:val="0"/>
          <w:divBdr>
            <w:top w:val="none" w:sz="0" w:space="0" w:color="auto"/>
            <w:left w:val="none" w:sz="0" w:space="0" w:color="auto"/>
            <w:bottom w:val="none" w:sz="0" w:space="0" w:color="auto"/>
            <w:right w:val="none" w:sz="0" w:space="0" w:color="auto"/>
          </w:divBdr>
        </w:div>
        <w:div w:id="56588386">
          <w:marLeft w:val="720"/>
          <w:marRight w:val="0"/>
          <w:marTop w:val="134"/>
          <w:marBottom w:val="0"/>
          <w:divBdr>
            <w:top w:val="none" w:sz="0" w:space="0" w:color="auto"/>
            <w:left w:val="none" w:sz="0" w:space="0" w:color="auto"/>
            <w:bottom w:val="none" w:sz="0" w:space="0" w:color="auto"/>
            <w:right w:val="none" w:sz="0" w:space="0" w:color="auto"/>
          </w:divBdr>
        </w:div>
      </w:divsChild>
    </w:div>
    <w:div w:id="2092195339">
      <w:bodyDiv w:val="1"/>
      <w:marLeft w:val="0"/>
      <w:marRight w:val="0"/>
      <w:marTop w:val="0"/>
      <w:marBottom w:val="0"/>
      <w:divBdr>
        <w:top w:val="none" w:sz="0" w:space="0" w:color="auto"/>
        <w:left w:val="none" w:sz="0" w:space="0" w:color="auto"/>
        <w:bottom w:val="none" w:sz="0" w:space="0" w:color="auto"/>
        <w:right w:val="none" w:sz="0" w:space="0" w:color="auto"/>
      </w:divBdr>
    </w:div>
    <w:div w:id="2107654017">
      <w:bodyDiv w:val="1"/>
      <w:marLeft w:val="0"/>
      <w:marRight w:val="0"/>
      <w:marTop w:val="0"/>
      <w:marBottom w:val="0"/>
      <w:divBdr>
        <w:top w:val="none" w:sz="0" w:space="0" w:color="auto"/>
        <w:left w:val="none" w:sz="0" w:space="0" w:color="auto"/>
        <w:bottom w:val="none" w:sz="0" w:space="0" w:color="auto"/>
        <w:right w:val="none" w:sz="0" w:space="0" w:color="auto"/>
      </w:divBdr>
    </w:div>
    <w:div w:id="2127851306">
      <w:bodyDiv w:val="1"/>
      <w:marLeft w:val="0"/>
      <w:marRight w:val="0"/>
      <w:marTop w:val="0"/>
      <w:marBottom w:val="0"/>
      <w:divBdr>
        <w:top w:val="none" w:sz="0" w:space="0" w:color="auto"/>
        <w:left w:val="none" w:sz="0" w:space="0" w:color="auto"/>
        <w:bottom w:val="none" w:sz="0" w:space="0" w:color="auto"/>
        <w:right w:val="none" w:sz="0" w:space="0" w:color="auto"/>
      </w:divBdr>
      <w:divsChild>
        <w:div w:id="627122411">
          <w:marLeft w:val="0"/>
          <w:marRight w:val="0"/>
          <w:marTop w:val="0"/>
          <w:marBottom w:val="0"/>
          <w:divBdr>
            <w:top w:val="none" w:sz="0" w:space="0" w:color="auto"/>
            <w:left w:val="none" w:sz="0" w:space="0" w:color="auto"/>
            <w:bottom w:val="none" w:sz="0" w:space="0" w:color="auto"/>
            <w:right w:val="none" w:sz="0" w:space="0" w:color="auto"/>
          </w:divBdr>
        </w:div>
      </w:divsChild>
    </w:div>
    <w:div w:id="2137790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Graham@soton.ac.uk"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F77468-88F7-594B-BCB9-9C905B20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8097</Words>
  <Characters>46153</Characters>
  <Application>Microsoft Macintosh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2019-07-21T12:53:00Z</cp:lastPrinted>
  <dcterms:created xsi:type="dcterms:W3CDTF">2020-04-18T12:00:00Z</dcterms:created>
  <dcterms:modified xsi:type="dcterms:W3CDTF">2020-05-12T16:52:00Z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