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017D8" w14:textId="061EC689" w:rsidR="00524462" w:rsidRPr="00A60F33" w:rsidRDefault="00524462" w:rsidP="009E3711">
      <w:pPr>
        <w:pStyle w:val="Heading1"/>
        <w:tabs>
          <w:tab w:val="left" w:pos="2030"/>
        </w:tabs>
      </w:pPr>
      <w:r w:rsidRPr="00A60F33">
        <w:t>Title</w:t>
      </w:r>
    </w:p>
    <w:p w14:paraId="1FEFA5E4" w14:textId="2C2DE5E9" w:rsidR="00A37414" w:rsidRPr="00A71C92" w:rsidRDefault="00A37414" w:rsidP="00BB307D">
      <w:pPr>
        <w:pStyle w:val="Title"/>
        <w:rPr>
          <w:sz w:val="28"/>
        </w:rPr>
      </w:pPr>
      <w:r w:rsidRPr="00A71C92">
        <w:rPr>
          <w:sz w:val="28"/>
        </w:rPr>
        <w:t xml:space="preserve">Hybrid simulation modelling </w:t>
      </w:r>
      <w:r w:rsidR="00BB307D" w:rsidRPr="00A71C92">
        <w:rPr>
          <w:sz w:val="28"/>
        </w:rPr>
        <w:t>for</w:t>
      </w:r>
      <w:r w:rsidRPr="00A71C92">
        <w:rPr>
          <w:sz w:val="28"/>
        </w:rPr>
        <w:t xml:space="preserve"> dementia</w:t>
      </w:r>
      <w:r w:rsidR="00F420D4" w:rsidRPr="00A71C92">
        <w:rPr>
          <w:sz w:val="28"/>
        </w:rPr>
        <w:t xml:space="preserve"> </w:t>
      </w:r>
      <w:r w:rsidR="00BB307D" w:rsidRPr="00A71C92">
        <w:rPr>
          <w:sz w:val="28"/>
        </w:rPr>
        <w:t>care services planning</w:t>
      </w:r>
    </w:p>
    <w:p w14:paraId="47BBEF4C" w14:textId="77777777" w:rsidR="00152885" w:rsidRPr="00A60F33" w:rsidRDefault="00152885" w:rsidP="00BC74E1">
      <w:pPr>
        <w:pStyle w:val="Heading1"/>
      </w:pPr>
      <w:r w:rsidRPr="00A60F33">
        <w:t>Authors</w:t>
      </w:r>
    </w:p>
    <w:p w14:paraId="0FD81DCA" w14:textId="1D578EF8" w:rsidR="008449A0" w:rsidRPr="00927A97" w:rsidRDefault="00470F24" w:rsidP="00BC74E1">
      <w:r w:rsidRPr="00927A97">
        <w:t>D.C.</w:t>
      </w:r>
      <w:r w:rsidR="00152885" w:rsidRPr="00927A97">
        <w:t xml:space="preserve"> Evenden</w:t>
      </w:r>
      <w:r w:rsidR="00A71C92" w:rsidRPr="00927A97">
        <w:rPr>
          <w:vertAlign w:val="superscript"/>
        </w:rPr>
        <w:t>a</w:t>
      </w:r>
      <w:r w:rsidR="00CC7C88" w:rsidRPr="00927A97">
        <w:rPr>
          <w:vertAlign w:val="superscript"/>
        </w:rPr>
        <w:t>,b</w:t>
      </w:r>
      <w:r w:rsidR="00152885" w:rsidRPr="00927A97">
        <w:t>, S</w:t>
      </w:r>
      <w:r w:rsidR="009E1FCA" w:rsidRPr="00927A97">
        <w:t>.C.</w:t>
      </w:r>
      <w:r w:rsidR="00152885" w:rsidRPr="00927A97">
        <w:t xml:space="preserve"> Brailsford</w:t>
      </w:r>
      <w:r w:rsidR="00A71C92" w:rsidRPr="00927A97">
        <w:rPr>
          <w:vertAlign w:val="superscript"/>
        </w:rPr>
        <w:t>a</w:t>
      </w:r>
      <w:r w:rsidR="00152885" w:rsidRPr="00927A97">
        <w:t xml:space="preserve">, </w:t>
      </w:r>
      <w:r w:rsidR="00E7275A" w:rsidRPr="00927A97">
        <w:t>C.M. Kipps</w:t>
      </w:r>
      <w:r w:rsidR="00CC7C88" w:rsidRPr="00927A97">
        <w:rPr>
          <w:vertAlign w:val="superscript"/>
        </w:rPr>
        <w:t>c</w:t>
      </w:r>
      <w:r w:rsidRPr="00927A97">
        <w:t>,</w:t>
      </w:r>
      <w:r w:rsidR="00E7275A" w:rsidRPr="00927A97" w:rsidDel="00E7275A">
        <w:t xml:space="preserve"> </w:t>
      </w:r>
      <w:r w:rsidR="00152885" w:rsidRPr="00927A97">
        <w:t>P</w:t>
      </w:r>
      <w:r w:rsidR="00F11431" w:rsidRPr="00927A97">
        <w:t>.J.</w:t>
      </w:r>
      <w:r w:rsidR="00152885" w:rsidRPr="00927A97">
        <w:t xml:space="preserve"> Roderick</w:t>
      </w:r>
      <w:r w:rsidR="00CC7C88" w:rsidRPr="00927A97">
        <w:rPr>
          <w:vertAlign w:val="superscript"/>
        </w:rPr>
        <w:t>d</w:t>
      </w:r>
      <w:r w:rsidR="00E7275A" w:rsidRPr="00927A97">
        <w:t>,</w:t>
      </w:r>
      <w:r w:rsidR="008449A0" w:rsidRPr="00927A97">
        <w:t xml:space="preserve"> </w:t>
      </w:r>
      <w:r w:rsidR="00E7275A" w:rsidRPr="00927A97">
        <w:t>B. Walsh</w:t>
      </w:r>
      <w:r w:rsidR="00CC7C88" w:rsidRPr="00927A97">
        <w:rPr>
          <w:vertAlign w:val="superscript"/>
        </w:rPr>
        <w:t>b</w:t>
      </w:r>
      <w:r w:rsidR="00E7275A" w:rsidRPr="00927A97">
        <w:t xml:space="preserve">, </w:t>
      </w:r>
      <w:r w:rsidR="00F11431" w:rsidRPr="00927A97">
        <w:t xml:space="preserve">and </w:t>
      </w:r>
      <w:r w:rsidR="008449A0" w:rsidRPr="00927A97">
        <w:t xml:space="preserve">for the </w:t>
      </w:r>
      <w:r w:rsidR="00A02AB9" w:rsidRPr="00927A97">
        <w:t>Alzheimer’s Disease</w:t>
      </w:r>
      <w:r w:rsidR="008449A0" w:rsidRPr="00927A97">
        <w:t xml:space="preserve"> Neuroimaging Initiative*</w:t>
      </w:r>
    </w:p>
    <w:p w14:paraId="02137A4A" w14:textId="15AF0CC6" w:rsidR="00A71C92" w:rsidRPr="00927A97" w:rsidRDefault="00A71C92" w:rsidP="004B5A4F">
      <w:pPr>
        <w:spacing w:line="240" w:lineRule="auto"/>
      </w:pPr>
      <w:r w:rsidRPr="00927A97">
        <w:rPr>
          <w:vertAlign w:val="superscript"/>
        </w:rPr>
        <w:t>a</w:t>
      </w:r>
      <w:r w:rsidR="00910F7F" w:rsidRPr="00927A97">
        <w:rPr>
          <w:vertAlign w:val="superscript"/>
        </w:rPr>
        <w:t xml:space="preserve"> </w:t>
      </w:r>
      <w:r w:rsidR="00CC7C88" w:rsidRPr="00927A97">
        <w:t>Southampton Business School, U</w:t>
      </w:r>
      <w:r w:rsidR="00910F7F" w:rsidRPr="00927A97">
        <w:t>niversity</w:t>
      </w:r>
      <w:r w:rsidRPr="00927A97">
        <w:t xml:space="preserve"> of Southampton</w:t>
      </w:r>
      <w:r w:rsidR="00910F7F" w:rsidRPr="00927A97">
        <w:t>, Southampton, UK</w:t>
      </w:r>
      <w:r w:rsidR="006B789C" w:rsidRPr="00927A97">
        <w:t>;</w:t>
      </w:r>
    </w:p>
    <w:p w14:paraId="0FCA042D" w14:textId="2545EA53" w:rsidR="00CC7C88" w:rsidRPr="00927A97" w:rsidRDefault="00CC7C88" w:rsidP="004B5A4F">
      <w:pPr>
        <w:spacing w:line="240" w:lineRule="auto"/>
      </w:pPr>
      <w:r w:rsidRPr="00927A97">
        <w:rPr>
          <w:vertAlign w:val="superscript"/>
        </w:rPr>
        <w:t xml:space="preserve">b </w:t>
      </w:r>
      <w:r w:rsidRPr="00927A97">
        <w:t>Health Sciences, University of Southampton, Southampton, UK;</w:t>
      </w:r>
    </w:p>
    <w:p w14:paraId="063B3FEF" w14:textId="31628708" w:rsidR="00CC7C88" w:rsidRPr="00927A97" w:rsidRDefault="00CC7C88" w:rsidP="004B5A4F">
      <w:pPr>
        <w:spacing w:line="240" w:lineRule="auto"/>
      </w:pPr>
      <w:r w:rsidRPr="00927A97">
        <w:rPr>
          <w:vertAlign w:val="superscript"/>
        </w:rPr>
        <w:t xml:space="preserve">c </w:t>
      </w:r>
      <w:r w:rsidRPr="00927A97">
        <w:t>University Hospital Southampton, Southampton, UK</w:t>
      </w:r>
    </w:p>
    <w:p w14:paraId="002EA7B8" w14:textId="6AB3AB9B" w:rsidR="00CC7C88" w:rsidRPr="00927A97" w:rsidRDefault="00CC7C88" w:rsidP="004B5A4F">
      <w:pPr>
        <w:spacing w:line="240" w:lineRule="auto"/>
      </w:pPr>
      <w:r w:rsidRPr="00927A97">
        <w:rPr>
          <w:vertAlign w:val="superscript"/>
        </w:rPr>
        <w:t xml:space="preserve">d </w:t>
      </w:r>
      <w:r w:rsidRPr="00927A97">
        <w:t>School of Medicine, University of Southampton, Southampton, UK;</w:t>
      </w:r>
    </w:p>
    <w:p w14:paraId="08E1F659" w14:textId="40711E56" w:rsidR="006E4300" w:rsidRPr="00927A97" w:rsidRDefault="006E4300" w:rsidP="006E4300">
      <w:r w:rsidRPr="00927A97">
        <w:t>*Data used in preparation of this article were obtained from the Alzheimer’s Disease Neuroimaging Initiative (ADNI) database (adni.loni.usc.edu). As such, the investigators within the ADNI contributed to the design and implementation of ADNI and/or provided data but did not participate in analysis or writing of this report. A complete listing of ADNI investigators can be found at:</w:t>
      </w:r>
    </w:p>
    <w:p w14:paraId="5FB470B9" w14:textId="77777777" w:rsidR="006E4300" w:rsidRPr="00927A97" w:rsidRDefault="006909F2" w:rsidP="006E4300">
      <w:hyperlink r:id="rId11" w:history="1">
        <w:r w:rsidR="006E4300" w:rsidRPr="00927A97">
          <w:rPr>
            <w:rStyle w:val="Hyperlink"/>
          </w:rPr>
          <w:t>http://adni.loni.usc.edu/wp-content/uploads/how_to_apply/ADNI_Acknowledgement_List.pdf</w:t>
        </w:r>
      </w:hyperlink>
    </w:p>
    <w:p w14:paraId="4BAEEC14" w14:textId="6CEAE0D3" w:rsidR="00A71C92" w:rsidRDefault="00A71C92" w:rsidP="00BC74E1">
      <w:pPr>
        <w:rPr>
          <w:sz w:val="28"/>
        </w:rPr>
      </w:pPr>
    </w:p>
    <w:p w14:paraId="09BFEB60" w14:textId="126A1A37" w:rsidR="00057AA7" w:rsidRPr="008B4D1A" w:rsidRDefault="00057AA7" w:rsidP="00BC74E1">
      <w:pPr>
        <w:rPr>
          <w:i/>
        </w:rPr>
      </w:pPr>
      <w:r w:rsidRPr="008B4D1A">
        <w:rPr>
          <w:i/>
        </w:rPr>
        <w:t>Corresponding author:</w:t>
      </w:r>
    </w:p>
    <w:p w14:paraId="618AE0F4" w14:textId="2D270575" w:rsidR="00125B8B" w:rsidRPr="008B4D1A" w:rsidRDefault="00125B8B" w:rsidP="00125B8B">
      <w:pPr>
        <w:spacing w:after="0" w:line="240" w:lineRule="auto"/>
      </w:pPr>
      <w:r w:rsidRPr="008B4D1A">
        <w:t>Dr Dave Evenden</w:t>
      </w:r>
    </w:p>
    <w:p w14:paraId="4D09379D" w14:textId="3512B92E" w:rsidR="00125B8B" w:rsidRPr="008B4D1A" w:rsidRDefault="00125B8B" w:rsidP="00125B8B">
      <w:pPr>
        <w:spacing w:after="0" w:line="240" w:lineRule="auto"/>
      </w:pPr>
      <w:r w:rsidRPr="008B4D1A">
        <w:t>Southampton Business School</w:t>
      </w:r>
    </w:p>
    <w:p w14:paraId="69ADEDA5" w14:textId="77777777" w:rsidR="00125B8B" w:rsidRPr="008B4D1A" w:rsidRDefault="00125B8B" w:rsidP="00125B8B">
      <w:pPr>
        <w:spacing w:after="0" w:line="240" w:lineRule="auto"/>
      </w:pPr>
      <w:r w:rsidRPr="008B4D1A">
        <w:t>University of Southampton</w:t>
      </w:r>
    </w:p>
    <w:p w14:paraId="5082BB8A" w14:textId="77777777" w:rsidR="00125B8B" w:rsidRPr="008B4D1A" w:rsidRDefault="00125B8B" w:rsidP="00125B8B">
      <w:pPr>
        <w:spacing w:after="0" w:line="240" w:lineRule="auto"/>
      </w:pPr>
      <w:r w:rsidRPr="008B4D1A">
        <w:t>University Road</w:t>
      </w:r>
    </w:p>
    <w:p w14:paraId="565BD944" w14:textId="77777777" w:rsidR="00125B8B" w:rsidRPr="008B4D1A" w:rsidRDefault="00125B8B" w:rsidP="00125B8B">
      <w:pPr>
        <w:spacing w:after="0" w:line="240" w:lineRule="auto"/>
      </w:pPr>
      <w:r w:rsidRPr="008B4D1A">
        <w:t xml:space="preserve">Southampton </w:t>
      </w:r>
    </w:p>
    <w:p w14:paraId="27968542" w14:textId="26062F93" w:rsidR="00A71C92" w:rsidRPr="00BF233B" w:rsidRDefault="00125B8B" w:rsidP="00125B8B">
      <w:pPr>
        <w:spacing w:after="0" w:line="240" w:lineRule="auto"/>
        <w:rPr>
          <w:lang w:val="de-DE"/>
        </w:rPr>
      </w:pPr>
      <w:r w:rsidRPr="00BF233B">
        <w:rPr>
          <w:lang w:val="de-DE"/>
        </w:rPr>
        <w:t>SO17 1BJ</w:t>
      </w:r>
    </w:p>
    <w:p w14:paraId="501674BE" w14:textId="25817F14" w:rsidR="004B6D42" w:rsidRPr="00BF233B" w:rsidRDefault="004B6D42" w:rsidP="00BC74E1">
      <w:pPr>
        <w:rPr>
          <w:color w:val="C00000"/>
          <w:lang w:val="de-DE"/>
        </w:rPr>
      </w:pPr>
    </w:p>
    <w:p w14:paraId="73F4F7C2" w14:textId="428D1005" w:rsidR="00125B8B" w:rsidRPr="00BF233B" w:rsidRDefault="006909F2" w:rsidP="00BC74E1">
      <w:pPr>
        <w:rPr>
          <w:lang w:val="de-DE"/>
        </w:rPr>
      </w:pPr>
      <w:hyperlink r:id="rId12" w:history="1">
        <w:r w:rsidR="00BC1032" w:rsidRPr="00BF233B">
          <w:rPr>
            <w:rStyle w:val="Hyperlink"/>
            <w:lang w:val="de-DE"/>
          </w:rPr>
          <w:t>dave.evenden@soton.ac.uk</w:t>
        </w:r>
      </w:hyperlink>
    </w:p>
    <w:p w14:paraId="46A5B791" w14:textId="332C27F6" w:rsidR="00BC1032" w:rsidRPr="008B4D1A" w:rsidRDefault="00BC1032" w:rsidP="00BC74E1">
      <w:r w:rsidRPr="008B4D1A">
        <w:t>word count:</w:t>
      </w:r>
      <w:r w:rsidR="00927A97" w:rsidRPr="008B4D1A">
        <w:t xml:space="preserve"> </w:t>
      </w:r>
      <w:r w:rsidR="00061BD6">
        <w:t>4155</w:t>
      </w:r>
      <w:r w:rsidR="00927A97" w:rsidRPr="008B4D1A">
        <w:t xml:space="preserve"> excluding </w:t>
      </w:r>
      <w:r w:rsidR="00F037A3" w:rsidRPr="008B4D1A">
        <w:t>Acknowledgements</w:t>
      </w:r>
      <w:r w:rsidR="00F037A3">
        <w:t>,</w:t>
      </w:r>
      <w:r w:rsidR="00F037A3" w:rsidRPr="008B4D1A">
        <w:t xml:space="preserve"> </w:t>
      </w:r>
      <w:r w:rsidR="00927A97" w:rsidRPr="008B4D1A">
        <w:t xml:space="preserve">References, </w:t>
      </w:r>
      <w:r w:rsidR="00F037A3" w:rsidRPr="008B4D1A">
        <w:t xml:space="preserve">and </w:t>
      </w:r>
      <w:r w:rsidR="00927A97" w:rsidRPr="008B4D1A">
        <w:t>A</w:t>
      </w:r>
      <w:r w:rsidRPr="008B4D1A">
        <w:t>ppendix</w:t>
      </w:r>
      <w:r w:rsidR="00F037A3">
        <w:t>.</w:t>
      </w:r>
    </w:p>
    <w:p w14:paraId="232C40F8" w14:textId="77777777" w:rsidR="00A71C92" w:rsidRDefault="00A71C92">
      <w:pPr>
        <w:spacing w:line="259" w:lineRule="auto"/>
        <w:jc w:val="left"/>
        <w:rPr>
          <w:rFonts w:asciiTheme="majorHAnsi" w:eastAsiaTheme="majorEastAsia" w:hAnsiTheme="majorHAnsi" w:cstheme="majorBidi"/>
          <w:color w:val="2E74B5" w:themeColor="accent1" w:themeShade="BF"/>
          <w:sz w:val="28"/>
          <w:szCs w:val="28"/>
          <w:u w:val="single"/>
        </w:rPr>
      </w:pPr>
      <w:r>
        <w:br w:type="page"/>
      </w:r>
    </w:p>
    <w:p w14:paraId="0F832934" w14:textId="77777777" w:rsidR="00A71C92" w:rsidRPr="00A60F33" w:rsidRDefault="00A71C92" w:rsidP="00A71C92">
      <w:pPr>
        <w:pStyle w:val="Heading1"/>
      </w:pPr>
      <w:bookmarkStart w:id="0" w:name="_GoBack"/>
      <w:r w:rsidRPr="00A60F33">
        <w:lastRenderedPageBreak/>
        <w:t>Title</w:t>
      </w:r>
    </w:p>
    <w:p w14:paraId="35D05821" w14:textId="77777777" w:rsidR="00A71C92" w:rsidRPr="00A71C92" w:rsidRDefault="00A71C92" w:rsidP="00A71C92">
      <w:pPr>
        <w:pStyle w:val="Title"/>
        <w:rPr>
          <w:sz w:val="28"/>
        </w:rPr>
      </w:pPr>
      <w:r w:rsidRPr="00A71C92">
        <w:rPr>
          <w:sz w:val="28"/>
        </w:rPr>
        <w:t>Hybrid simulation modelling for dementia care services planning</w:t>
      </w:r>
    </w:p>
    <w:p w14:paraId="70FB866D" w14:textId="21CA9536" w:rsidR="00CF6ECD" w:rsidRPr="00A60F33" w:rsidRDefault="00334D1A" w:rsidP="00BC74E1">
      <w:pPr>
        <w:pStyle w:val="Heading1"/>
      </w:pPr>
      <w:r w:rsidRPr="00A60F33">
        <w:t>Abstract</w:t>
      </w:r>
    </w:p>
    <w:p w14:paraId="02525147" w14:textId="3DA44CE0" w:rsidR="006B7C74" w:rsidRDefault="006B7C74" w:rsidP="003C005F">
      <w:r w:rsidRPr="006B7C74">
        <w:t xml:space="preserve">Dementia is an increasing problem in today’s ageing society, and meeting future demand for care is a major concern for policy-makers and planners. This paper presents a novel hybrid simulation model that simultaneously takes population-level and patient-level perspectives to calculate the numbers of patients at different stages of disease severity over time, and their associated care costs. System Dynamics is used at population level to capture ageing, dementia onset, and all-cause mortality, whereas disease progression is modelled at individual patient level using Agent-Based methods. This enables the model to account for variability between patients in the rate of cognitive decline, dementia-related mortality and response to treatment interventions. </w:t>
      </w:r>
      <w:r w:rsidRPr="00507DE7">
        <w:t xml:space="preserve">Using epidemiological data </w:t>
      </w:r>
      <w:r w:rsidR="006668F6">
        <w:t>from</w:t>
      </w:r>
      <w:r w:rsidR="007F7642" w:rsidRPr="00237A97">
        <w:t xml:space="preserve"> </w:t>
      </w:r>
      <w:r w:rsidRPr="00237A97">
        <w:t xml:space="preserve">the medical literature, disease progression is modelled </w:t>
      </w:r>
      <w:r w:rsidRPr="006B7C74">
        <w:t>via a longitudinal clustering method to identify progression type, followed by mixed-effects regression to reflect each individual’s rate of cognitive decline.</w:t>
      </w:r>
      <w:r w:rsidR="00433A32">
        <w:t xml:space="preserve"> </w:t>
      </w:r>
      <w:r w:rsidRPr="006B7C74">
        <w:t>Results are presented for population data from the south of England, and show that the currently available interventions have only modest effects at population level.</w:t>
      </w:r>
    </w:p>
    <w:p w14:paraId="30182A04" w14:textId="5E597FDD" w:rsidR="006541D0" w:rsidRPr="00A60F33" w:rsidRDefault="006541D0" w:rsidP="00BC74E1">
      <w:r w:rsidRPr="00A60F33">
        <w:rPr>
          <w:b/>
        </w:rPr>
        <w:t>Keywords</w:t>
      </w:r>
      <w:r w:rsidRPr="00A60F33">
        <w:t xml:space="preserve">: </w:t>
      </w:r>
      <w:r w:rsidR="00CD052D" w:rsidRPr="00A60F33">
        <w:t xml:space="preserve">hybrid </w:t>
      </w:r>
      <w:r w:rsidR="009E1FCA" w:rsidRPr="00A60F33">
        <w:t>simulation</w:t>
      </w:r>
      <w:r w:rsidR="007F3EFC" w:rsidRPr="00A60F33">
        <w:t xml:space="preserve">, </w:t>
      </w:r>
      <w:r w:rsidR="009E1FCA" w:rsidRPr="00A60F33">
        <w:t>dementia</w:t>
      </w:r>
      <w:r w:rsidR="007F3EFC" w:rsidRPr="00A60F33">
        <w:t xml:space="preserve">, </w:t>
      </w:r>
      <w:r w:rsidR="006B7C74">
        <w:t xml:space="preserve">disease progression, </w:t>
      </w:r>
      <w:r w:rsidR="007F3EFC" w:rsidRPr="00A60F33">
        <w:t>healthcare</w:t>
      </w:r>
    </w:p>
    <w:p w14:paraId="2A10A137" w14:textId="77777777" w:rsidR="00D04E9B" w:rsidRPr="00A60F33" w:rsidRDefault="006947D8" w:rsidP="00BC74E1">
      <w:pPr>
        <w:pStyle w:val="Heading1"/>
      </w:pPr>
      <w:r w:rsidRPr="00A60F33">
        <w:t xml:space="preserve">1 </w:t>
      </w:r>
      <w:r w:rsidR="00D04E9B" w:rsidRPr="00A60F33">
        <w:t>Background</w:t>
      </w:r>
    </w:p>
    <w:p w14:paraId="09582A2C" w14:textId="743C4044" w:rsidR="00B50189" w:rsidRPr="00526E3F" w:rsidRDefault="004278E5" w:rsidP="00863CC6">
      <w:r w:rsidRPr="00A60F33">
        <w:t>Dementia is a long-term neurodegenerative condition associated with progressive cognitive and functional decline</w:t>
      </w:r>
      <w:r w:rsidR="00A777B2">
        <w:t>,</w:t>
      </w:r>
      <w:r w:rsidR="00EF12F7" w:rsidRPr="00A60F33">
        <w:t xml:space="preserve"> often </w:t>
      </w:r>
      <w:r w:rsidR="001E1446" w:rsidRPr="00A60F33">
        <w:t>requiring</w:t>
      </w:r>
      <w:r w:rsidR="00EF12F7" w:rsidRPr="00A60F33">
        <w:t xml:space="preserve"> ongoing and </w:t>
      </w:r>
      <w:r w:rsidRPr="00A60F33">
        <w:t>eventual</w:t>
      </w:r>
      <w:r w:rsidR="006668F6">
        <w:t>ly</w:t>
      </w:r>
      <w:r w:rsidRPr="00A60F33">
        <w:t xml:space="preserve"> high levels of care.</w:t>
      </w:r>
      <w:r w:rsidR="008F6481" w:rsidRPr="00A60F33">
        <w:t xml:space="preserve"> </w:t>
      </w:r>
      <w:r w:rsidR="0073565D" w:rsidRPr="00A60F33">
        <w:t>It is mainly, but not exclusively, associated with old age</w:t>
      </w:r>
      <w:r w:rsidR="00D256DB" w:rsidRPr="00A60F33">
        <w:t xml:space="preserve">, and while </w:t>
      </w:r>
      <w:r w:rsidR="0073565D" w:rsidRPr="00A60F33">
        <w:t>medication can temporarily delay symptom progression in some patients</w:t>
      </w:r>
      <w:r w:rsidR="00D256DB" w:rsidRPr="00A60F33">
        <w:t>, there is currently no cure</w:t>
      </w:r>
      <w:r w:rsidR="00434AEC">
        <w:t xml:space="preserve">. </w:t>
      </w:r>
      <w:r w:rsidR="00D256DB" w:rsidRPr="007344F7">
        <w:t xml:space="preserve">The </w:t>
      </w:r>
      <w:r w:rsidR="00214783" w:rsidRPr="007344F7">
        <w:t>onset is insidious</w:t>
      </w:r>
      <w:r w:rsidR="00A516F6" w:rsidRPr="007344F7">
        <w:t>,</w:t>
      </w:r>
      <w:r w:rsidR="00214783" w:rsidRPr="007344F7">
        <w:t xml:space="preserve"> occurring many d</w:t>
      </w:r>
      <w:r w:rsidR="00FF0391" w:rsidRPr="007344F7">
        <w:t xml:space="preserve">ecades before clinical symptoms </w:t>
      </w:r>
      <w:r w:rsidR="00D256DB" w:rsidRPr="007344F7">
        <w:t>appear</w:t>
      </w:r>
      <w:r w:rsidR="005051F8" w:rsidRPr="007344F7">
        <w:t xml:space="preserve">, </w:t>
      </w:r>
      <w:r w:rsidR="00FF0391" w:rsidRPr="007344F7">
        <w:t xml:space="preserve">making </w:t>
      </w:r>
      <w:r w:rsidR="00214783" w:rsidRPr="007344F7">
        <w:t>protective medical interventions difficult to t</w:t>
      </w:r>
      <w:r w:rsidR="00E670F9" w:rsidRPr="007344F7">
        <w:t xml:space="preserve">arget. </w:t>
      </w:r>
      <w:r w:rsidR="008F6481" w:rsidRPr="007344F7">
        <w:t xml:space="preserve">Provision of </w:t>
      </w:r>
      <w:r w:rsidR="00F85EF4">
        <w:t xml:space="preserve">care </w:t>
      </w:r>
      <w:r w:rsidR="003A3411" w:rsidRPr="007344F7">
        <w:t>service</w:t>
      </w:r>
      <w:r w:rsidR="00CB003B" w:rsidRPr="007344F7">
        <w:t>s</w:t>
      </w:r>
      <w:r w:rsidR="003A3411" w:rsidRPr="007344F7">
        <w:t xml:space="preserve"> </w:t>
      </w:r>
      <w:r w:rsidR="008F6481" w:rsidRPr="007344F7">
        <w:t xml:space="preserve">is </w:t>
      </w:r>
      <w:r w:rsidR="00982B4A" w:rsidRPr="007344F7">
        <w:t xml:space="preserve">therefore </w:t>
      </w:r>
      <w:r w:rsidR="005051F8" w:rsidRPr="007344F7">
        <w:t>critically</w:t>
      </w:r>
      <w:r w:rsidR="00982B4A" w:rsidRPr="007344F7">
        <w:t xml:space="preserve"> important</w:t>
      </w:r>
      <w:r w:rsidR="000B313E" w:rsidRPr="007344F7">
        <w:t xml:space="preserve">, particularly as </w:t>
      </w:r>
      <w:r w:rsidR="00A046BE" w:rsidRPr="007344F7">
        <w:t xml:space="preserve">36.5% of </w:t>
      </w:r>
      <w:r w:rsidR="00904506" w:rsidRPr="007344F7">
        <w:t xml:space="preserve">the estimated 850,000 </w:t>
      </w:r>
      <w:r w:rsidR="00A046BE" w:rsidRPr="007344F7">
        <w:t xml:space="preserve">people with dementia </w:t>
      </w:r>
      <w:r w:rsidR="00B50189" w:rsidRPr="007344F7">
        <w:t xml:space="preserve">in the UK </w:t>
      </w:r>
      <w:r w:rsidR="000B313E" w:rsidRPr="007344F7">
        <w:t>are reported to be</w:t>
      </w:r>
      <w:r w:rsidR="00A046BE" w:rsidRPr="007344F7">
        <w:t xml:space="preserve"> living in care homes </w:t>
      </w:r>
      <w:r w:rsidR="00A046BE" w:rsidRPr="007344F7">
        <w:fldChar w:fldCharType="begin" w:fldLock="1"/>
      </w:r>
      <w:r w:rsidR="00C45643" w:rsidRPr="007344F7">
        <w:instrText>ADDIN CSL_CITATION {"citationItems":[{"id":"ITEM-1","itemData":{"ISBN":"9781906647315","abstract":"This report presents the findings of research commissioned by Alzheimer’s Society to update the Dementia UK (2007) report. It provides a synthesis of best available evidence for the current cost and prevalence of dementia. It aims to provide an accurate understanding of dementia prevalence and cost in the UK to assist in policy development, influencing, commissioning and service design.","author":[{"dropping-particle":"","family":"Alzheimer’s Society","given":"","non-dropping-particle":"","parse-names":false,"suffix":""}],"id":"ITEM-1","issued":{"date-parts":[["2014"]]},"number-of-pages":"136","publisher-place":"London","title":"Dementia UK: Update","type":"report"},"uris":["http://www.mendeley.com/documents/?uuid=4e6196fa-b828-4d7a-8351-1887c1dec5ab"]}],"mendeley":{"formattedCitation":"(Alzheimer’s Society, 2014)","plainTextFormattedCitation":"(Alzheimer’s Society, 2014)","previouslyFormattedCitation":"(Alzheimer’s Society, 2014)"},"properties":{"noteIndex":0},"schema":"https://github.com/citation-style-language/schema/raw/master/csl-citation.json"}</w:instrText>
      </w:r>
      <w:r w:rsidR="00A046BE" w:rsidRPr="007344F7">
        <w:fldChar w:fldCharType="separate"/>
      </w:r>
      <w:r w:rsidR="00A046BE" w:rsidRPr="007344F7">
        <w:rPr>
          <w:noProof/>
        </w:rPr>
        <w:t>(Alzheimer’s Society, 2014)</w:t>
      </w:r>
      <w:r w:rsidR="00A046BE" w:rsidRPr="007344F7">
        <w:fldChar w:fldCharType="end"/>
      </w:r>
      <w:r w:rsidR="007633FD" w:rsidRPr="007344F7">
        <w:t xml:space="preserve">. </w:t>
      </w:r>
    </w:p>
    <w:p w14:paraId="315AA9F4" w14:textId="68A3909E" w:rsidR="00D701C2" w:rsidRPr="00526E3F" w:rsidRDefault="004278E5" w:rsidP="00C91EB8">
      <w:r w:rsidRPr="00526E3F">
        <w:t xml:space="preserve">This modelling study was undertaken </w:t>
      </w:r>
      <w:r w:rsidR="0089125B" w:rsidRPr="00526E3F">
        <w:t xml:space="preserve">in collaboration with the </w:t>
      </w:r>
      <w:r w:rsidR="00292718" w:rsidRPr="00526E3F">
        <w:t>Wessex</w:t>
      </w:r>
      <w:r w:rsidR="00326761" w:rsidRPr="00526E3F">
        <w:t xml:space="preserve"> </w:t>
      </w:r>
      <w:r w:rsidR="001648E3" w:rsidRPr="00526E3F">
        <w:t>Academic Health Science Network</w:t>
      </w:r>
      <w:r w:rsidR="00D67C29">
        <w:t xml:space="preserve"> (wessexahsn.org.uk</w:t>
      </w:r>
      <w:r w:rsidR="008E5DC3" w:rsidRPr="00526E3F">
        <w:t>)</w:t>
      </w:r>
      <w:r w:rsidRPr="00526E3F">
        <w:t>.</w:t>
      </w:r>
      <w:r w:rsidR="0010173A">
        <w:t xml:space="preserve"> </w:t>
      </w:r>
      <w:r w:rsidR="00873F63">
        <w:t>D</w:t>
      </w:r>
      <w:r w:rsidR="00873F63" w:rsidRPr="00526E3F">
        <w:t>ata availability</w:t>
      </w:r>
      <w:r w:rsidR="00873F63">
        <w:t xml:space="preserve"> was an important factor in the</w:t>
      </w:r>
      <w:r w:rsidR="008A209E" w:rsidRPr="00526E3F">
        <w:t xml:space="preserve"> </w:t>
      </w:r>
      <w:r w:rsidR="00461F4A" w:rsidRPr="00526E3F">
        <w:t xml:space="preserve">model </w:t>
      </w:r>
      <w:r w:rsidR="000B313E" w:rsidRPr="00526E3F">
        <w:t>de</w:t>
      </w:r>
      <w:r w:rsidR="00873F63">
        <w:t xml:space="preserve">sign </w:t>
      </w:r>
      <w:r w:rsidR="00F85EF4">
        <w:t>process</w:t>
      </w:r>
      <w:r w:rsidR="00873F63">
        <w:t xml:space="preserve">; the model </w:t>
      </w:r>
      <w:r w:rsidR="003C7555">
        <w:t>us</w:t>
      </w:r>
      <w:r w:rsidR="00873F63">
        <w:t>es</w:t>
      </w:r>
      <w:r w:rsidR="003C7555">
        <w:t xml:space="preserve"> published data from clinical studies as well as </w:t>
      </w:r>
      <w:r w:rsidR="003C7555" w:rsidRPr="00526E3F">
        <w:t xml:space="preserve">local population </w:t>
      </w:r>
      <w:r w:rsidR="003C7555">
        <w:t>data.</w:t>
      </w:r>
      <w:r w:rsidR="0010173A">
        <w:t xml:space="preserve"> </w:t>
      </w:r>
      <w:r w:rsidR="003C7555">
        <w:t>The model</w:t>
      </w:r>
      <w:r w:rsidR="003C7555" w:rsidRPr="006B7C74">
        <w:t xml:space="preserve"> </w:t>
      </w:r>
      <w:r w:rsidR="00873F63">
        <w:t>estim</w:t>
      </w:r>
      <w:r w:rsidR="003C7555" w:rsidRPr="006B7C74">
        <w:t>ate</w:t>
      </w:r>
      <w:r w:rsidR="003C7555">
        <w:t>s</w:t>
      </w:r>
      <w:r w:rsidR="003C7555" w:rsidRPr="006B7C74">
        <w:t xml:space="preserve"> the number of </w:t>
      </w:r>
      <w:r w:rsidR="003C7555" w:rsidRPr="00526E3F">
        <w:t>people over 65 with dementia</w:t>
      </w:r>
      <w:r w:rsidR="003C7555" w:rsidRPr="006B7C74">
        <w:t xml:space="preserve"> </w:t>
      </w:r>
      <w:r w:rsidR="00873F63">
        <w:t xml:space="preserve">over time </w:t>
      </w:r>
      <w:r w:rsidR="009E55B3">
        <w:t>(</w:t>
      </w:r>
      <w:r w:rsidR="00873F63">
        <w:t>broken down by</w:t>
      </w:r>
      <w:r w:rsidR="003C7555" w:rsidRPr="006B7C74">
        <w:t xml:space="preserve"> disease severity</w:t>
      </w:r>
      <w:r w:rsidR="00873F63">
        <w:t xml:space="preserve"> stage</w:t>
      </w:r>
      <w:r w:rsidR="009E55B3">
        <w:t>)</w:t>
      </w:r>
      <w:r w:rsidR="003C7555" w:rsidRPr="006B7C74">
        <w:t xml:space="preserve"> </w:t>
      </w:r>
      <w:r w:rsidR="006668F6">
        <w:t>and</w:t>
      </w:r>
      <w:r w:rsidR="003C7555" w:rsidRPr="006B7C74">
        <w:t xml:space="preserve"> the associated </w:t>
      </w:r>
      <w:r w:rsidR="003414F7" w:rsidRPr="00526E3F">
        <w:t>quality-adjusted life-years (QALYs)</w:t>
      </w:r>
      <w:r w:rsidR="006668F6">
        <w:t>, the costs of</w:t>
      </w:r>
      <w:r w:rsidR="00E8150F">
        <w:t xml:space="preserve"> </w:t>
      </w:r>
      <w:r w:rsidR="003C7555" w:rsidRPr="006B7C74">
        <w:t>care</w:t>
      </w:r>
      <w:r w:rsidR="006668F6">
        <w:t>,</w:t>
      </w:r>
      <w:r w:rsidR="003C7555" w:rsidRPr="006B7C74">
        <w:t xml:space="preserve"> </w:t>
      </w:r>
      <w:r w:rsidR="006668F6">
        <w:t>and the number of deaths</w:t>
      </w:r>
      <w:r w:rsidR="003C7555">
        <w:t>.</w:t>
      </w:r>
      <w:r w:rsidR="0010173A">
        <w:t xml:space="preserve"> </w:t>
      </w:r>
      <w:r w:rsidR="003C7555">
        <w:t xml:space="preserve">The model can also be used to </w:t>
      </w:r>
      <w:r w:rsidR="003C7555" w:rsidRPr="00526E3F">
        <w:t>explor</w:t>
      </w:r>
      <w:r w:rsidR="003C7555">
        <w:t xml:space="preserve">e the effects of </w:t>
      </w:r>
      <w:r w:rsidR="003414F7">
        <w:t xml:space="preserve">any potential treatments or </w:t>
      </w:r>
      <w:r w:rsidR="003C7555" w:rsidRPr="00526E3F">
        <w:t>intervention</w:t>
      </w:r>
      <w:r w:rsidR="003C7555">
        <w:t>s</w:t>
      </w:r>
      <w:r w:rsidR="003414F7">
        <w:t xml:space="preserve">. </w:t>
      </w:r>
      <w:r w:rsidR="00873F63">
        <w:lastRenderedPageBreak/>
        <w:t xml:space="preserve">Section </w:t>
      </w:r>
      <w:r w:rsidR="009E55B3">
        <w:t>9</w:t>
      </w:r>
      <w:r w:rsidR="00873F63">
        <w:t xml:space="preserve"> of this paper </w:t>
      </w:r>
      <w:r w:rsidR="003414F7">
        <w:t xml:space="preserve">presents </w:t>
      </w:r>
      <w:r w:rsidR="001F0C18">
        <w:t xml:space="preserve">comparative </w:t>
      </w:r>
      <w:r w:rsidR="003414F7">
        <w:t xml:space="preserve">results for two </w:t>
      </w:r>
      <w:r w:rsidR="003414F7" w:rsidRPr="006B7C74">
        <w:t>currently available interventions</w:t>
      </w:r>
      <w:r w:rsidR="009E55B3">
        <w:t>,</w:t>
      </w:r>
      <w:r w:rsidR="001F0C18">
        <w:t xml:space="preserve"> medical treatment and a healthy lifestyle intervention.</w:t>
      </w:r>
      <w:r w:rsidR="0010173A">
        <w:t xml:space="preserve"> </w:t>
      </w:r>
    </w:p>
    <w:p w14:paraId="7E36C729" w14:textId="284146A7" w:rsidR="00796CF9" w:rsidRPr="00526E3F" w:rsidRDefault="006947D8" w:rsidP="00BB307D">
      <w:pPr>
        <w:pStyle w:val="Heading1"/>
      </w:pPr>
      <w:r w:rsidRPr="00526E3F">
        <w:t xml:space="preserve">2 </w:t>
      </w:r>
      <w:r w:rsidR="00BB307D">
        <w:t>Previous</w:t>
      </w:r>
      <w:r w:rsidR="00A9550E" w:rsidRPr="00526E3F">
        <w:t xml:space="preserve"> modelling </w:t>
      </w:r>
      <w:r w:rsidR="00BB307D">
        <w:t xml:space="preserve">work </w:t>
      </w:r>
      <w:r w:rsidR="00A9550E" w:rsidRPr="00526E3F">
        <w:t>in dementia</w:t>
      </w:r>
    </w:p>
    <w:p w14:paraId="168361B7" w14:textId="6D9D5494" w:rsidR="00D701C2" w:rsidRPr="00526E3F" w:rsidRDefault="00820F92" w:rsidP="009E55B3">
      <w:r>
        <w:t>As part of</w:t>
      </w:r>
      <w:r w:rsidR="0031780E" w:rsidRPr="00526E3F">
        <w:t xml:space="preserve"> the </w:t>
      </w:r>
      <w:r w:rsidR="006A1BCA" w:rsidRPr="00526E3F">
        <w:t xml:space="preserve">Assessment of Health Economics in Alzheimer’s Disease </w:t>
      </w:r>
      <w:r w:rsidR="003E46E5" w:rsidRPr="00526E3F">
        <w:t xml:space="preserve">(AHEAD) </w:t>
      </w:r>
      <w:r w:rsidR="0031780E" w:rsidRPr="00526E3F">
        <w:t>project</w:t>
      </w:r>
      <w:r>
        <w:t xml:space="preserve">, </w:t>
      </w:r>
      <w:r w:rsidRPr="00526E3F">
        <w:fldChar w:fldCharType="begin" w:fldLock="1"/>
      </w:r>
      <w:r w:rsidR="009F669E">
        <w:instrText>ADDIN CSL_CITATION {"citationItems":[{"id":"ITEM-1","itemData":{"DOI":"10.1007/s40273-014-0203-5","ISSN":"1179-2027","PMID":"25124747","abstract":"BACKGROUND: Considerable advances have been made in modeling Alzheimer's disease (AD), with a move towards individual-level rather than cohort models and simulations that consider multiple dimensions when evaluating disease severity. However, the possibility that disease-modifying agents (DMAs) may emerge requires an update of existing modeling frameworks.\n\nOBJECTIVES: The aim of this study was to develop a simulation allowing for economic evaluation of DMAs in AD.\n\nMETHODS: The model was developed based on a previously published, well-validated, discrete event simulation which measures disease severity on the basis of cognition, behaviour, and function, and captures the interrelated changes in these measures for individuals. The updated model adds one more domain, patient dependence, in addition to cognition, behaviour, and function to better characterize disease severity. Furthermore, the model was modified to have greater flexibility in assessing the impact of various important assumptions, such as the long-term effectiveness of DMAs and their impact on survival, on model outcomes. A validation analysis was performed to examine how well the model predicted change in disease severity among patients not receiving DMA treatment by comparing model results to those observed in two recent phase III clinical trials of bapineuzumab. In addition, various hypothetical scenarios were tested to demonstrate the improved features of the model.\n\nRESULTS: Validation results show that the model closely predicts the mean changes in disease severity over 18 months. Results from different hypothetical scenarios show that the model allows for credible assessment of those major uncertainties surrounding the long-term effectiveness of DMAs, including the potential impact of improved survival with DMA treatment. They also indicate that varying these assumptions could have a major impact on the value of DMAs.\n\nCONCLUSIONS: The updated economic model has good predictive power, but validation against longer-term outcomes is still needed. Our analyses also demonstrate the importance of designing a model with sufficient flexibility such that the model allows for assessment of the impact of key sources of uncertainty on the value of DMAs.","author":[{"dropping-particle":"","family":"Guo","given":"Shien","non-dropping-particle":"","parse-names":false,"suffix":""},{"dropping-particle":"","family":"Getsios","given":"Denis","non-dropping-particle":"","parse-names":false,"suffix":""},{"dropping-particle":"","family":"Revankar","given":"Nikhil","non-dropping-particle":"","parse-names":false,"suffix":""},{"dropping-particle":"","family":"Xu","given":"Peng","non-dropping-particle":"","parse-names":false,"suffix":""},{"dropping-particle":"","family":"Thompson","given":"Gwilym","non-dropping-particle":"","parse-names":false,"suffix":""},{"dropping-particle":"","family":"Bobula","given":"Joel","non-dropping-particle":"","parse-names":false,"suffix":""},{"dropping-particle":"","family":"Lacey","given":"Loretto","non-dropping-particle":"","parse-names":false,"suffix":""},{"dropping-particle":"","family":"Gaudig","given":"Maren","non-dropping-particle":"","parse-names":false,"suffix":""}],"container-title":"PharmacoEconomics","id":"ITEM-1","issue":"11","issued":{"date-parts":[["2014","11"]]},"page":"1129-39","title":"Evaluating disease-modifying agents: a simulation framework for Alzheimer's disease.","type":"article-journal","volume":"32"},"uris":["http://www.mendeley.com/documents/?uuid=23d7b471-1196-45fc-af7b-572f2abf4bf5"]}],"mendeley":{"formattedCitation":"(Guo et al., 2014)","manualFormatting":"Guo et al., (2014)","plainTextFormattedCitation":"(Guo et al., 2014)","previouslyFormattedCitation":"(Guo et al., 2014)"},"properties":{"noteIndex":0},"schema":"https://github.com/citation-style-language/schema/raw/master/csl-citation.json"}</w:instrText>
      </w:r>
      <w:r w:rsidRPr="00526E3F">
        <w:fldChar w:fldCharType="separate"/>
      </w:r>
      <w:r w:rsidRPr="00526E3F">
        <w:rPr>
          <w:noProof/>
        </w:rPr>
        <w:t xml:space="preserve">Guo et al., </w:t>
      </w:r>
      <w:r>
        <w:rPr>
          <w:noProof/>
        </w:rPr>
        <w:t>(</w:t>
      </w:r>
      <w:r w:rsidRPr="00526E3F">
        <w:rPr>
          <w:noProof/>
        </w:rPr>
        <w:t>2014)</w:t>
      </w:r>
      <w:r w:rsidRPr="00526E3F">
        <w:fldChar w:fldCharType="end"/>
      </w:r>
      <w:r w:rsidRPr="00526E3F">
        <w:t xml:space="preserve"> </w:t>
      </w:r>
      <w:r>
        <w:t>developed</w:t>
      </w:r>
      <w:r w:rsidR="00A777B2">
        <w:t xml:space="preserve"> a</w:t>
      </w:r>
      <w:r w:rsidR="0031780E" w:rsidRPr="00526E3F">
        <w:t xml:space="preserve"> </w:t>
      </w:r>
      <w:r w:rsidR="003E46E5" w:rsidRPr="00526E3F">
        <w:t>discrete-event simulation</w:t>
      </w:r>
      <w:r w:rsidR="0031780E" w:rsidRPr="00526E3F">
        <w:t xml:space="preserve"> model</w:t>
      </w:r>
      <w:r>
        <w:t xml:space="preserve"> </w:t>
      </w:r>
      <w:r w:rsidR="00A777B2">
        <w:t xml:space="preserve">of the </w:t>
      </w:r>
      <w:r w:rsidR="0031780E" w:rsidRPr="00526E3F">
        <w:t xml:space="preserve">treatment and </w:t>
      </w:r>
      <w:r w:rsidR="00B67654" w:rsidRPr="00526E3F">
        <w:t>control</w:t>
      </w:r>
      <w:r w:rsidR="0031780E" w:rsidRPr="00526E3F">
        <w:t xml:space="preserve"> arms, </w:t>
      </w:r>
      <w:r w:rsidR="00085FC5" w:rsidRPr="00526E3F">
        <w:t>representing</w:t>
      </w:r>
      <w:r w:rsidR="0031780E" w:rsidRPr="00526E3F">
        <w:t xml:space="preserve"> </w:t>
      </w:r>
      <w:r w:rsidR="002820C0" w:rsidRPr="00526E3F">
        <w:t xml:space="preserve">a </w:t>
      </w:r>
      <w:r w:rsidR="0031780E" w:rsidRPr="00526E3F">
        <w:t>drugs ‘trial’</w:t>
      </w:r>
      <w:r w:rsidR="001F7332" w:rsidRPr="00526E3F">
        <w:t xml:space="preserve"> to determine intervention benefits</w:t>
      </w:r>
      <w:r w:rsidR="0031780E" w:rsidRPr="00526E3F">
        <w:t>.</w:t>
      </w:r>
      <w:r w:rsidR="009D2475" w:rsidRPr="00526E3F">
        <w:t xml:space="preserve"> The dementia cohort was modelled using a </w:t>
      </w:r>
      <w:r w:rsidR="009A49FE" w:rsidRPr="00526E3F">
        <w:t xml:space="preserve">fixed and random effects </w:t>
      </w:r>
      <w:r w:rsidR="00EC6069" w:rsidRPr="00526E3F">
        <w:t>regression</w:t>
      </w:r>
      <w:r w:rsidR="009D2475" w:rsidRPr="00526E3F">
        <w:t xml:space="preserve"> model </w:t>
      </w:r>
      <w:r w:rsidR="00EC6069" w:rsidRPr="00526E3F">
        <w:fldChar w:fldCharType="begin" w:fldLock="1"/>
      </w:r>
      <w:r w:rsidR="005A15C6" w:rsidRPr="00526E3F">
        <w:instrText>ADDIN CSL_CITATION {"citationItems":[{"id":"ITEM-1","itemData":{"DOI":"10.2165/11531870-000000000-00000","ISBN":"1179-2027","ISSN":"1170-7690","PMID":"20402542","abstract":"Recommendations in the UK suggest restricting treatment of Alzheimer's disease with cholinesterase inhibitors, on cost-effectiveness grounds, to patients with moderate cognitive decline. As the economic analyses that informed these recommendations have been the subject of debate, we sought to address the potential limitations of existing models and produce estimates of donepezil treatment cost effectiveness in the UK using the most recent available data and simulation techniques. A discrete-event simulation was developed that predicts progression of Alzheimer's disease through correlated changes in cognition, behavioural disturbance and function. Patient-level data from seven randomized, placebo-controlled donepezil trials and a 7-year follow-up registry provided the basis for modeling longitudinal outcomes. Individuals in the simulation were assigned unique demographic and clinical characteristics and then followed for 10 years, with severity of disease tracked on continuous scales. Patient mix and costs were developed from UK-specific literature. Analyses were run for severity subgroups to evaluate outcomes for sub-populations with disease of mild versus moderate severity from both a healthcare payer and societal perspective. All costs are reported in pound, year 2007 values, and all outcomes are discounted at 3.5% per annum. Over 10 years, treatment of all patients with mild to moderate disease reduces overall direct medical costs by an average of over pound2300 per patient. When unpaid caregiver time is also taken into consideration, savings increase to over pound4700 per patient. Compared with untreated patients, patients receiving donepezil experience a discounted gain in QALYs averaging 0.11, with their caregivers gaining, on average, 0.01 QALYs. For the subset of patients starting treatment with more severe disease, savings are more modest, averaging about pound1600 and pound3750 from healthcare and societal perspectives, respectively. In probabilistic sensitivity analyses, donepezil dominated no treatment between 57% and 62% of replications when only medical costs were considered, and between 74% and 79% of replications when indirect costs were included, with results more favourable for treatment initiation in the mild versus moderate severity stages of the disease. Although the simulation results are not definitive, they suggest that donepezil leads to health benefits and cost savings when used to treat mild to moderately severe Alzheimer's di…","author":[{"dropping-particle":"","family":"Getsios","given":"Denis","non-dropping-particle":"","parse-names":false,"suffix":""},{"dropping-particle":"","family":"Blume","given":"Steve","non-dropping-particle":"","parse-names":false,"suffix":""},{"dropping-particle":"","family":"Ishak","given":"K. Jack","non-dropping-particle":"","parse-names":false,"suffix":""},{"dropping-particle":"","family":"Maclaine","given":"Grant D.H.","non-dropping-particle":"","parse-names":false,"suffix":""}],"container-title":"PharmacoEconomics","id":"ITEM-1","issue":"5","issued":{"date-parts":[["2010","5"]]},"note":"From Duplicate 1 (Cost Effectiveness of Donepezil in the Treatment of Mild to Moderate Alzheimerʼs Disease - Getsios, Denis; Blume, Steve; Ishak, K. Jack; Maclaine, Grant D.H.)\n\nFrom Duplicate 2 (Cost Effectiveness of Donepezil in the Treatment of Mild to Moderate Alzheimerʼs Disease - Getsios, Denis; Blume, Steve; Ishak, K. Jack; Maclaine, Grant D.H.)\n\n11 \nGetsios \nBlume \nIshak \nMaclaine \nPharmaco-economics  \n  \n  \nQ1 \nImpact 3.338 \n  \nCited 21 \nYes \n2010 \nDES \n(Arena as 7, 8) \n  \nLit search for parameters (details later) \nPatient trials data \n7-year follow-up \nLongitudinal outcomes \nDemographics \nClinical mix \n  \nSensitivity analysis Simulated control group \nAD \nSeverity groups \nPx trajectories (DES) \n  \nregression models: \nMMSE, NPI, I/ADLs \nCaregiver time, costs, utility \nHealth utility \n  \nUK \nDonezepil (CI inhibitor) \nHealth benefits \nCost savings \n  \nContradicts NIHCE \n  \nFunded: Eisai","page":"411-427","title":"Cost Effectiveness of Donepezil in the Treatment of Mild to Moderate Alzheimerʼs Disease","type":"article-journal","volume":"28"},"uris":["http://www.mendeley.com/documents/?uuid=54d5ccd1-088b-4ecd-9bb6-6261281e577e"]}],"mendeley":{"formattedCitation":"(Getsios et al., 2010)","plainTextFormattedCitation":"(Getsios et al., 2010)","previouslyFormattedCitation":"(Getsios et al., 2010)"},"properties":{"noteIndex":0},"schema":"https://github.com/citation-style-language/schema/raw/master/csl-citation.json"}</w:instrText>
      </w:r>
      <w:r w:rsidR="00EC6069" w:rsidRPr="00526E3F">
        <w:fldChar w:fldCharType="separate"/>
      </w:r>
      <w:r w:rsidR="00230898" w:rsidRPr="00526E3F">
        <w:rPr>
          <w:noProof/>
        </w:rPr>
        <w:t>(Getsios et al., 2010)</w:t>
      </w:r>
      <w:r w:rsidR="00EC6069" w:rsidRPr="00526E3F">
        <w:fldChar w:fldCharType="end"/>
      </w:r>
      <w:r w:rsidR="001F7332" w:rsidRPr="00526E3F">
        <w:t>. The</w:t>
      </w:r>
      <w:r w:rsidR="003E46E5" w:rsidRPr="00526E3F">
        <w:t xml:space="preserve"> </w:t>
      </w:r>
      <w:r w:rsidR="001F7332" w:rsidRPr="00526E3F">
        <w:t>model</w:t>
      </w:r>
      <w:r>
        <w:t xml:space="preserve"> depict</w:t>
      </w:r>
      <w:r w:rsidR="001F7332" w:rsidRPr="00526E3F">
        <w:t xml:space="preserve">ed incremental cognitive decline, </w:t>
      </w:r>
      <w:r w:rsidR="001C39BA" w:rsidRPr="00526E3F">
        <w:t>using</w:t>
      </w:r>
      <w:r w:rsidR="001F7332" w:rsidRPr="00526E3F">
        <w:t xml:space="preserve"> </w:t>
      </w:r>
      <w:r w:rsidR="009E55B3">
        <w:t>one</w:t>
      </w:r>
      <w:r w:rsidR="001F7332" w:rsidRPr="00526E3F">
        <w:t xml:space="preserve"> single set of coefficients to represent the </w:t>
      </w:r>
      <w:r w:rsidR="001C39BA" w:rsidRPr="00526E3F">
        <w:t xml:space="preserve">entire </w:t>
      </w:r>
      <w:r w:rsidR="001F7332" w:rsidRPr="00526E3F">
        <w:t>dementia cohort</w:t>
      </w:r>
      <w:r w:rsidR="001C39BA" w:rsidRPr="00526E3F">
        <w:t>.</w:t>
      </w:r>
      <w:r w:rsidR="009A49FE" w:rsidRPr="00526E3F">
        <w:t xml:space="preserve"> </w:t>
      </w:r>
    </w:p>
    <w:p w14:paraId="77A47A5D" w14:textId="3528C90B" w:rsidR="00EA050C" w:rsidRPr="00526E3F" w:rsidRDefault="00E07909" w:rsidP="00BB307D">
      <w:r w:rsidRPr="00526E3F">
        <w:t>System Dynamics was applied to family size trends and family living arrangements in Singapore</w:t>
      </w:r>
      <w:r w:rsidR="00AF7580" w:rsidRPr="00526E3F">
        <w:t xml:space="preserve"> </w:t>
      </w:r>
      <w:r w:rsidR="00AF7580" w:rsidRPr="00526E3F">
        <w:fldChar w:fldCharType="begin" w:fldLock="1"/>
      </w:r>
      <w:r w:rsidR="005A15C6" w:rsidRPr="00526E3F">
        <w:instrText>ADDIN CSL_CITATION {"citationItems":[{"id":"ITEM-1","itemData":{"DOI":"10.1111/1475-6773.12030","ISBN":"1475-6773 (Electronic)\\r0017-9124 (Linking)","ISSN":"00179124","PMID":"23347079","abstract":"OBJECTIVE: To understand the effect of current and future long-term care (LTC) policies on family eldercare hours for older adults (60 years of age and older) in Singapore. DATA SOURCES: The Social Isolation Health and Lifestyles Survey, the Survey on Informal Caregiving, and the Singapore Government's Ministry of Health and Department of Statistics. STUDY DESIGN: An LTC Model was created using system dynamics methodology and parameterized using available reports and data as well as informal consultation with LTC experts. PRINCIPAL FINDINGS: In the absence of policy change, among the elderly living at home with limitations in their activities of daily living (ADLs), the proportion of those with greater ADL limitations will increase. In addition, by 2030, average family eldercare hours per week are projected to increase by 41 percent from 29 to 41 hours. All policy levers considered would moderate or significantly reduce family eldercare hours. CONCLUSION: System dynamics modeling was useful in providing policy makers with an overview of the levers available to them and in demonstrating the interdependence of policies and system components.","author":[{"dropping-particle":"","family":"Ansah","given":"John P.","non-dropping-particle":"","parse-names":false,"suffix":""},{"dropping-particle":"","family":"Matchar","given":"David B.","non-dropping-particle":"","parse-names":false,"suffix":""},{"dropping-particle":"","family":"Love","given":"Sean R.","non-dropping-particle":"","parse-names":false,"suffix":""},{"dropping-particle":"","family":"Malhotra","given":"Rahul","non-dropping-particle":"","parse-names":false,"suffix":""},{"dropping-particle":"","family":"Do","given":"Young Kyung","non-dropping-particle":"","parse-names":false,"suffix":""},{"dropping-particle":"","family":"Chan","given":"Angelique","non-dropping-particle":"","parse-names":false,"suffix":""},{"dropping-particle":"","family":"Eberlein","given":"Robert","non-dropping-particle":"","parse-names":false,"suffix":""}],"container-title":"Health Services Research","id":"ITEM-1","issue":"2pt2","issued":{"date-parts":[["2013","4"]]},"note":"From Duplicate 1 (Simulating the Impact of Long-Term Care Policy on Family Eldercare Hours - Ansah, John P.; Matchar, David B.; Love, Sean R.; Malhotra, Rahul; Do, Young Kyung; Chan, Angelique; Eberlein, Robert)\n\n5 \nAnsah \nMatchar \nLove \nEberlein \n+3 \nHealth Services Research  \nQ1/Q2 \nyes \n2013 \nSD \n  \nInfluence diagrams \nParameter extraction \nConsultation \n  \nPolicy lever interdependencies \n  \nSupply gap \nADLs (1-2, 3-4, ≥5)) \nSocial isolation &amp;amp; lifestyles \nLTC policies \nOlder adults &amp;gt;60yo \nDoubling ADL demand \nLive-in assistance \nNursing home provision \nForecast to 2030","page":"773-791","title":"Simulating the Impact of Long-Term Care Policy on Family Eldercare Hours","type":"article-journal","volume":"48"},"uris":["http://www.mendeley.com/documents/?uuid=13005f71-c829-4c84-bc87-d494a6f74a2b"]},{"id":"ITEM-2","itemData":{"DOI":"10.1002/sres.2202","ISBN":"1121300790","ISSN":"10927026","PMID":"18243796","abstract":"Soft system methodology (SSM) is described as a system-based methodology for tackling real world problems. SSM may be used as a means of articulating complex social processes in a particular way. SSM allows peoples' viewpoints and assumptions about the world to be bought to light, challenged and tested. This paper reports on the use of SSM in a service-focussed study (SFS) to explore the role of a personal tutor in nurse education. [Checkland, P., 1981. Systems Thinking Systems Practice. John Wiley and Sons, Chichester] highlighted the importance of considering cultural, social and political systems in the analysis. The seven stages of SSM are discussed in relation to the SFS and some of the findings are expressed through a 'Rich Picture'. It encourages commitment, brings diverse interests together and opens up the organizational culture. It also enables feasible and desirable changes to be recommended within the context of limited resources and competing demands upon lecturers' time. The SSM was an appropriate systematic model for this study and could be potentially useful in nurse education research.","author":[{"dropping-particle":"","family":"Thompson","given":"James P.","non-dropping-particle":"","parse-names":false,"suffix":""},{"dropping-particle":"","family":"Riley","given":"Crystal M.","non-dropping-particle":"","parse-names":false,"suffix":""},{"dropping-particle":"","family":"Eberlein","given":"Robert L.","non-dropping-particle":"","parse-names":false,"suffix":""}],"container-title":"Systems Research and Behavioral Science","id":"ITEM-2","issue":"2","issued":{"date-parts":[["2014","3"]]},"note":"From Duplicate 2 (Modelling for Insight: The Case of Dementia in Singapore - Thompson, James P.; Riley, Crystal M.; Eberlein, Robert L.)\n\n3 \nThompson \nRiley \nEberlein \nSystems Research and Behavioral Science \n2* (ABS) \nyes \n2014 \nSD \n  \nCohort blending mitigation \n  \nModel-building process \n  \nAgeing chains &amp;amp; continuous cohorting \n  \nSeverity prediction \nAge-related dementia \nPopulation model \nIncidence &amp;amp; Prevalence \nSeverity \nSingapore \nPolicy \nModelling accuracy improvement \nSimplicity = better engagement","page":"227-235","title":"Modelling for Insight: The Case of Dementia in Singapore","type":"article-journal","volume":"31"},"uris":["http://www.mendeley.com/documents/?uuid=526b9e5d-ac36-420d-9b1b-fc0a097c9aa2"]},{"id":"ITEM-3","itemData":{"DOI":"10.1017/S1041610212000282","ISBN":"1041-6102\\n1741-203X","ISSN":"1041-6102","PMID":"2012506301","abstract":"Background: With rapid aging, Singapore faces an increasing proportion of the population with age-related dementia. We used system dynamics methodology to estimate the number and proportion of people with mild, moderate, and severe dementia in future years and to examine the impact of changing family composition on their likely living arrangements. Methods: A system dynamics model was constructed to estimate resident population, drawing birth and mortality rates from census data. We simulate future mild, moderate, and severe dementia prevalence matched with estimates of total dementia prevalence for the Asian region that includes Singapore. Then, integrating a submodel in which family size trends were projected based on fertility rates with tendencies for dependent elderly adults with dementia to live with family members, we estimate likely living arrangements of the future population of individuals with dementia. Results: Though lower than other previous estimates, our simulation results indicate an increase in the number and proportion of people in Singapore with severe dementia. This and the concurrent decrease in family size point to an increasing number of individuals with dementia unlikely to live at home. Conclusions: The momenta of demographic and illness trends portend a higher number of individuals with dementia less likely to be cared for at home by family members. Traditions of care for frail elderly found in the diverse cultures of Singapore will be increasingly difficult to sustain, and care options that accommodate these demographic shifts are urgently needed. 2012 Copyright International Psychogeriatric Association.","author":[{"dropping-particle":"","family":"Thompson","given":"James P.","non-dropping-particle":"","parse-names":false,"suffix":""},{"dropping-particle":"","family":"Riley","given":"Crystal M.","non-dropping-particle":"","parse-names":false,"suffix":""},{"dropping-particle":"","family":"Eberlein","given":"Robert L.","non-dropping-particle":"","parse-names":false,"suffix":""},{"dropping-particle":"","family":"Matchar","given":"David B.","non-dropping-particle":"","parse-names":false,"suffix":""}],"container-title":"International Psychogeriatrics","id":"ITEM-3","issue":"10","issued":{"date-parts":[["2012","10","1"]]},"note":"From Duplicate 1 (Future living arrangements of Singaporeans with age-related dementia - Thompson, James P.; Riley, Crystal M.; Eberlein, Robert L.; Matchar, David B.)\n\n6 \nThompson \nRiley \nEberlein \nMatchar \nInternational Psychogeriatrics \nQ2/Q3 \nImpact 1.892 \nPay \nwall \n2012 \nSD \n  \n  \nDementia \nSeverity &amp;amp; home care \nFamily size-trends \n  \nSingapore \n  \nHome care demand &amp;amp; sustainability","page":"1592-1599","title":"Future living arrangements of Singaporeans with age-related dementia","type":"article-journal","volume":"24"},"uris":["http://www.mendeley.com/documents/?uuid=f225c34a-67d7-45c5-8c00-58f2c258aaac"]}],"mendeley":{"formattedCitation":"(Ansah et al., 2013; Thompson et al., 2014; Thompson et al., 2012)","plainTextFormattedCitation":"(Ansah et al., 2013; Thompson et al., 2014; Thompson et al., 2012)","previouslyFormattedCitation":"(Ansah et al., 2013; Thompson et al., 2014; Thompson et al., 2012)"},"properties":{"noteIndex":0},"schema":"https://github.com/citation-style-language/schema/raw/master/csl-citation.json"}</w:instrText>
      </w:r>
      <w:r w:rsidR="00AF7580" w:rsidRPr="00526E3F">
        <w:fldChar w:fldCharType="separate"/>
      </w:r>
      <w:r w:rsidR="005A15C6" w:rsidRPr="00526E3F">
        <w:rPr>
          <w:noProof/>
        </w:rPr>
        <w:t>(Ansah et al., 2013; Thompson et al., 2014; Thompson et al., 2012)</w:t>
      </w:r>
      <w:r w:rsidR="00AF7580" w:rsidRPr="00526E3F">
        <w:fldChar w:fldCharType="end"/>
      </w:r>
      <w:r w:rsidRPr="00526E3F">
        <w:t>.</w:t>
      </w:r>
      <w:r w:rsidR="00B94836" w:rsidRPr="00526E3F">
        <w:t xml:space="preserve"> These studies considered projections for the potential demand for </w:t>
      </w:r>
      <w:r w:rsidR="00C63502" w:rsidRPr="00526E3F">
        <w:t>long-</w:t>
      </w:r>
      <w:r w:rsidR="00AF7580" w:rsidRPr="00526E3F">
        <w:t>term care</w:t>
      </w:r>
      <w:r w:rsidR="00BB307D">
        <w:t>,</w:t>
      </w:r>
      <w:r w:rsidR="00AF7580" w:rsidRPr="00526E3F">
        <w:t xml:space="preserve"> and the impact on acute care services if </w:t>
      </w:r>
      <w:r w:rsidR="00BB307D">
        <w:t>the provision of</w:t>
      </w:r>
      <w:r w:rsidR="00152973">
        <w:t xml:space="preserve"> </w:t>
      </w:r>
      <w:r w:rsidR="00BB307D">
        <w:t>long-term care is in</w:t>
      </w:r>
      <w:r w:rsidR="00AF7580" w:rsidRPr="00526E3F">
        <w:t>adequate.</w:t>
      </w:r>
      <w:r w:rsidR="00813417" w:rsidRPr="00526E3F">
        <w:t xml:space="preserve"> </w:t>
      </w:r>
      <w:r w:rsidR="00E6081A" w:rsidRPr="00526E3F">
        <w:t xml:space="preserve">Given the cultural differences in family life and the </w:t>
      </w:r>
      <w:r w:rsidR="00813417" w:rsidRPr="00526E3F">
        <w:t xml:space="preserve">important </w:t>
      </w:r>
      <w:r w:rsidR="00E6081A" w:rsidRPr="00526E3F">
        <w:t>role of foreign domestic workers</w:t>
      </w:r>
      <w:r w:rsidR="00813417" w:rsidRPr="00526E3F">
        <w:t xml:space="preserve"> in Singapore</w:t>
      </w:r>
      <w:r w:rsidR="00DD3D9C" w:rsidRPr="00526E3F">
        <w:t xml:space="preserve">, this work </w:t>
      </w:r>
      <w:r w:rsidR="00820F92">
        <w:t>i</w:t>
      </w:r>
      <w:r w:rsidR="00E6081A" w:rsidRPr="00526E3F">
        <w:t>s difficult to generalise</w:t>
      </w:r>
      <w:r w:rsidR="003C005F">
        <w:t xml:space="preserve"> to the UK</w:t>
      </w:r>
      <w:r w:rsidR="00E6081A" w:rsidRPr="00526E3F">
        <w:t xml:space="preserve">. </w:t>
      </w:r>
      <w:r w:rsidR="00BB307D">
        <w:t>Moreover</w:t>
      </w:r>
      <w:r w:rsidR="00E6081A" w:rsidRPr="00526E3F">
        <w:t>, mod</w:t>
      </w:r>
      <w:r w:rsidR="00813417" w:rsidRPr="00526E3F">
        <w:t>el parameters were</w:t>
      </w:r>
      <w:r w:rsidR="00E6081A" w:rsidRPr="00526E3F">
        <w:t xml:space="preserve"> based on </w:t>
      </w:r>
      <w:r w:rsidR="00BE386C" w:rsidRPr="00526E3F">
        <w:t>limited</w:t>
      </w:r>
      <w:r w:rsidR="00DD3D9C" w:rsidRPr="00526E3F">
        <w:t>,</w:t>
      </w:r>
      <w:r w:rsidR="00BE386C" w:rsidRPr="00526E3F">
        <w:t xml:space="preserve"> </w:t>
      </w:r>
      <w:r w:rsidR="00AF7580" w:rsidRPr="00526E3F">
        <w:t>historical</w:t>
      </w:r>
      <w:r w:rsidR="00E6081A" w:rsidRPr="00526E3F">
        <w:t xml:space="preserve"> data</w:t>
      </w:r>
      <w:r w:rsidR="00AF7580" w:rsidRPr="00526E3F">
        <w:t xml:space="preserve"> </w:t>
      </w:r>
      <w:r w:rsidR="00AF7580" w:rsidRPr="00526E3F">
        <w:fldChar w:fldCharType="begin" w:fldLock="1"/>
      </w:r>
      <w:r w:rsidR="005A15C6" w:rsidRPr="00526E3F">
        <w:instrText>ADDIN CSL_CITATION {"citationItems":[{"id":"ITEM-1","itemData":{"ISSN":"1041-6102","PMID":"8994898","abstract":"Alzheimer's disease (AD) is associated with an increased mortality in comparison with aged control populations. The relationship between the clinical and the temporal course of AD has not been well studied over significant intervals. Community-residing patients with probable AD (N = 103, 42 men, mean age = 70.2 +/- 8.0 years) were studied at baseline on demographic and clinical variables, including measures of global deterioration (Global Deterioration Scale; GDS), mental status and cognition (e.g., Mini-Mental State Examination; MMSE), and functional impairment (Functional Assessment Staging; FAST). Baseline characteristics included a GDS range of Stage 4, 5, or 6 (38.8%, 39.8%, and 21.4%, respectively) and a mean MMSE score of 15.4 +/- 5.6. The mean follow-up interval was 4.6 +/- 1.4 years. Follow-ups were done blind to baseline measures and when necessary were conducted in residential and nursing home settings. Of locatable subjects (n = 95, 92%), 30 (31.6%) were decreased. Survivors (n = 65) had a mean GDS stage of 6.2 +/- 0.9 and a mean MMSE score of 5.1 +/- 6.9; 51% had MMSE scores of 0. Increased age and male gender, but not baseline clinical dementia variables, increased the risk of death (ps &lt; .01). Change in clinical variables correlated significantly with time elapsed (r = .32, p &lt; .05, for MMSE change, to r = .48, p &lt; .001, for GDS change). Significant variance in temporal change (i.e., time elapsed) was accounted for by change in two of the five clinical measures studied (i.e., GDS and FAST; multiple r = .53). The results support previous estimates of mean duration of the GDS and FAST stages. For subjects with probable AD followed over approximately 5 years, clinical variables changed significantly over time in survivors. However, the majority of temporal variance in the course of AD remains unexplained.","author":[{"dropping-particle":"","family":"Reisberg","given":"B","non-dropping-particle":"","parse-names":false,"suffix":""},{"dropping-particle":"","family":"Ferris","given":"S H","non-dropping-particle":"","parse-names":false,"suffix":""},{"dropping-particle":"","family":"Franssen","given":"E H","non-dropping-particle":"","parse-names":false,"suffix":""},{"dropping-particle":"","family":"Shulman","given":"E","non-dropping-particle":"","parse-names":false,"suffix":""},{"dropping-particle":"","family":"Monteiro","given":"I","non-dropping-particle":"","parse-names":false,"suffix":""},{"dropping-particle":"","family":"Sclan","given":"S G","non-dropping-particle":"","parse-names":false,"suffix":""},{"dropping-particle":"","family":"Steinberg","given":"G","non-dropping-particle":"","parse-names":false,"suffix":""},{"dropping-particle":"","family":"Kluger","given":"A","non-dropping-particle":"","parse-names":false,"suffix":""},{"dropping-particle":"","family":"Torossian","given":"C","non-dropping-particle":"","parse-names":false,"suffix":""},{"dropping-particle":"","family":"Leon","given":"M J","non-dropping-particle":"de","parse-names":false,"suffix":""},{"dropping-particle":"","family":"Laska","given":"E","non-dropping-particle":"","parse-names":false,"suffix":""}],"container-title":"International psychogeriatrics","id":"ITEM-1","issue":"2","issued":{"date-parts":[["1996"]]},"page":"291-311","title":"Mortality and temporal course of probable Alzheimer's disease: a 5-year prospective study.","type":"article-journal","volume":"8"},"uris":["http://www.mendeley.com/documents/?uuid=25b91724-77b2-37be-968f-53169640a7f2"]}],"mendeley":{"formattedCitation":"(Reisberg et al., 1996)","plainTextFormattedCitation":"(Reisberg et al., 1996)","previouslyFormattedCitation":"(Reisberg et al., 1996)"},"properties":{"noteIndex":0},"schema":"https://github.com/citation-style-language/schema/raw/master/csl-citation.json"}</w:instrText>
      </w:r>
      <w:r w:rsidR="00AF7580" w:rsidRPr="00526E3F">
        <w:fldChar w:fldCharType="separate"/>
      </w:r>
      <w:r w:rsidR="00230898" w:rsidRPr="00526E3F">
        <w:rPr>
          <w:noProof/>
        </w:rPr>
        <w:t>(Reisberg et al., 1996)</w:t>
      </w:r>
      <w:r w:rsidR="00AF7580" w:rsidRPr="00526E3F">
        <w:fldChar w:fldCharType="end"/>
      </w:r>
      <w:r w:rsidR="00AF7580" w:rsidRPr="00526E3F">
        <w:t>.</w:t>
      </w:r>
    </w:p>
    <w:p w14:paraId="7BF7370B" w14:textId="2D47796C" w:rsidR="008823E1" w:rsidRPr="00526E3F" w:rsidRDefault="003E46E5" w:rsidP="00BB307D">
      <w:r w:rsidRPr="00526E3F">
        <w:t>A m</w:t>
      </w:r>
      <w:r w:rsidR="00EA050C" w:rsidRPr="00526E3F">
        <w:t>ore recent stud</w:t>
      </w:r>
      <w:r w:rsidRPr="00526E3F">
        <w:t>y,</w:t>
      </w:r>
      <w:r w:rsidR="008823E1" w:rsidRPr="00526E3F">
        <w:t xml:space="preserve"> IMPACT-BAM </w:t>
      </w:r>
      <w:r w:rsidR="00230898" w:rsidRPr="00526E3F">
        <w:fldChar w:fldCharType="begin" w:fldLock="1"/>
      </w:r>
      <w:r w:rsidR="005A15C6" w:rsidRPr="00526E3F">
        <w:instrText>ADDIN CSL_CITATION {"citationItems":[{"id":"ITEM-1","itemData":{"DOI":"10.1136/bmj.j2856","ISSN":"0959-8138","PMID":"28679494","abstract":"ObjeCtive To forecast dementia prevalence with a dynamic modelling approach that integrates calendar trends in dementia incidence with those for mortality and cardiovascular disease. Design Modelling study.","author":[{"dropping-particle":"","family":"Ahmadi-Abhari","given":"Sara","non-dropping-particle":"","parse-names":false,"suffix":""},{"dropping-particle":"","family":"Guzman-Castillo","given":"Maria","non-dropping-particle":"","parse-names":false,"suffix":""},{"dropping-particle":"","family":"Bandosz","given":"Piotr","non-dropping-particle":"","parse-names":false,"suffix":""},{"dropping-particle":"","family":"Shipley","given":"Martin J.","non-dropping-particle":"","parse-names":false,"suffix":""},{"dropping-particle":"","family":"Muniz-Terrera","given":"Graciela","non-dropping-particle":"","parse-names":false,"suffix":""},{"dropping-particle":"","family":"Singh-Manoux","given":"Archana","non-dropping-particle":"","parse-names":false,"suffix":""},{"dropping-particle":"","family":"Kivimäki","given":"Mika","non-dropping-particle":"","parse-names":false,"suffix":""},{"dropping-particle":"","family":"Steptoe","given":"Andrew","non-dropping-particle":"","parse-names":false,"suffix":""},{"dropping-particle":"","family":"Capewell","given":"Simon","non-dropping-particle":"","parse-names":false,"suffix":""},{"dropping-particle":"","family":"O’Flaherty","given":"Martin","non-dropping-particle":"","parse-names":false,"suffix":""},{"dropping-particle":"","family":"Brunner","given":"Eric J.","non-dropping-particle":"","parse-names":false,"suffix":""},{"dropping-particle":"","family":"O'flaherty","given":"Martin","non-dropping-particle":"","parse-names":false,"suffix":""},{"dropping-particle":"","family":"Brunner","given":"Eric J.","non-dropping-particle":"","parse-names":false,"suffix":""}],"container-title":"BMJ","id":"ITEM-1","issued":{"date-parts":[["2017","7","5"]]},"page":"1-15","title":"Temporal trend in dementia incidence since 2002 and projections for prevalence in England and Wales to 2040: modelling study","type":"article-journal","volume":"2856"},"uris":["http://www.mendeley.com/documents/?uuid=1fe62c30-fbea-4795-85f1-d327cc79a887"]},{"id":"ITEM-2","itemData":{"DOI":"10.1016/S2468-2667(17)30091-9","ISSN":"2468-2667","author":[{"dropping-particle":"","family":"Guzman-Castillo","given":"Maria","non-dropping-particle":"","parse-names":false,"suffix":""},{"dropping-particle":"","family":"Ahmadi-Abhari","given":"Sara","non-dropping-particle":"","parse-names":false,"suffix":""},{"dropping-particle":"","family":"Bandosz","given":"Piotr","non-dropping-particle":"","parse-names":false,"suffix":""},{"dropping-particle":"","family":"Capewell","given":"Simon","non-dropping-particle":"","parse-names":false,"suffix":""},{"dropping-particle":"","family":"Steptoe","given":"Andrew","non-dropping-particle":"","parse-names":false,"suffix":""},{"dropping-particle":"","family":"Singh-manoux","given":"Archana","non-dropping-particle":"","parse-names":false,"suffix":""},{"dropping-particle":"","family":"Kivimaki","given":"Mika","non-dropping-particle":"","parse-names":false,"suffix":""},{"dropping-particle":"","family":"Shipley","given":"Martin J","non-dropping-particle":"","parse-names":false,"suffix":""},{"dropping-particle":"","family":"Brunner","given":"Eric J","non-dropping-particle":"","parse-names":false,"suffix":""},{"dropping-particle":"","family":"Flaherty","given":"Martin O","non-dropping-particle":"","parse-names":false,"suffix":""}],"container-title":"The Lancet Public Health","id":"ITEM-2","issue":"17","issued":{"date-parts":[["2017"]]},"page":"1-7","publisher":"The Author(s). Published by Elsevier Ltd. This is an Open Access article under the CC BY 4.0 license","title":"Forecasted trends in disability and life expectancy in England and Wales up to 2025: a modelling study","type":"article-journal","volume":"2667"},"uris":["http://www.mendeley.com/documents/?uuid=0ef5cc40-853f-4024-8d97-3845ec996355"]}],"mendeley":{"formattedCitation":"(Ahmadi-Abhari et al., 2017; Guzman-Castillo et al., 2017)","plainTextFormattedCitation":"(Ahmadi-Abhari et al., 2017; Guzman-Castillo et al., 2017)","previouslyFormattedCitation":"(Ahmadi-Abhari et al., 2017; Guzman-Castillo et al., 2017)"},"properties":{"noteIndex":0},"schema":"https://github.com/citation-style-language/schema/raw/master/csl-citation.json"}</w:instrText>
      </w:r>
      <w:r w:rsidR="00230898" w:rsidRPr="00526E3F">
        <w:fldChar w:fldCharType="separate"/>
      </w:r>
      <w:r w:rsidR="00943074" w:rsidRPr="00526E3F">
        <w:rPr>
          <w:noProof/>
        </w:rPr>
        <w:t>(Ahmadi-Abhari et al., 2017; Guzman-Castillo et al., 2017)</w:t>
      </w:r>
      <w:r w:rsidR="00230898" w:rsidRPr="00526E3F">
        <w:fldChar w:fldCharType="end"/>
      </w:r>
      <w:r w:rsidR="004125A5" w:rsidRPr="00526E3F">
        <w:t xml:space="preserve"> </w:t>
      </w:r>
      <w:r w:rsidR="008823E1" w:rsidRPr="00526E3F">
        <w:t>uses Markov states to model ageing and progression of hea</w:t>
      </w:r>
      <w:r w:rsidR="00230898" w:rsidRPr="00526E3F">
        <w:t>lthy 35 year olds to age 100</w:t>
      </w:r>
      <w:r w:rsidR="008823E1" w:rsidRPr="00526E3F">
        <w:t xml:space="preserve"> into several impaired health states and death. Th</w:t>
      </w:r>
      <w:r w:rsidR="00820F92">
        <w:t>e</w:t>
      </w:r>
      <w:r w:rsidR="008823E1" w:rsidRPr="00526E3F">
        <w:t xml:space="preserve"> model focusses on </w:t>
      </w:r>
      <w:r w:rsidR="00FF0391" w:rsidRPr="00526E3F">
        <w:t>cardiovascular disease</w:t>
      </w:r>
      <w:r w:rsidR="008823E1" w:rsidRPr="00526E3F">
        <w:t xml:space="preserve"> and cognitive impairment as drivers of life expectancy and disability. </w:t>
      </w:r>
      <w:r w:rsidR="00230898" w:rsidRPr="00526E3F">
        <w:t>The</w:t>
      </w:r>
      <w:r w:rsidRPr="00526E3F">
        <w:t xml:space="preserve"> </w:t>
      </w:r>
      <w:r w:rsidR="008823E1" w:rsidRPr="00526E3F">
        <w:t xml:space="preserve">results </w:t>
      </w:r>
      <w:r w:rsidR="004125A5" w:rsidRPr="00526E3F">
        <w:t xml:space="preserve">on dementia </w:t>
      </w:r>
      <w:r w:rsidR="008823E1" w:rsidRPr="00526E3F">
        <w:t xml:space="preserve">support other </w:t>
      </w:r>
      <w:r w:rsidR="00A9550E" w:rsidRPr="00526E3F">
        <w:t>studies</w:t>
      </w:r>
      <w:r w:rsidR="004125A5" w:rsidRPr="00526E3F">
        <w:t xml:space="preserve"> </w:t>
      </w:r>
      <w:r w:rsidR="004125A5" w:rsidRPr="00526E3F">
        <w:fldChar w:fldCharType="begin" w:fldLock="1"/>
      </w:r>
      <w:r w:rsidR="005A15C6" w:rsidRPr="00526E3F">
        <w:instrText>ADDIN CSL_CITATION {"citationItems":[{"id":"ITEM-1","itemData":{"DOI":"10.1038/nrneurol.2017.63","ISSN":"17594766","PMID":"28497805","abstract":"Dementia is an increasing focus for policymakers, civil organizations and multidisciplinary researchers. The most recent descriptive epidemiological research into dementia is enabling investigation into how the prevalence and incidence are changing over time. To establish clear trends, such comparisons need to be founded on population-based studies that use similar diagnostic and research methods consistently over time. This narrative Review synthesizes the findings from 14 studies that investigated trends in dementia prevalence (nine studies) and incidence (five studies) from Sweden, Spain, the UK, the Netherlands, France, the USA, Japan and Nigeria. Besides the Japanese study, these studies indicate stable or declining prevalence and incidence of dementia, and some provide evidence of sex-specific changes. No single risk or protective factor has been identified that fully explains the observed trends, but major societal changes and improvements in living conditions, education and healthcare might have favourably influenced physical, mental and cognitive health throughout an individual's life course, and could be responsible for a reduced risk of dementia in later life. Analytical epidemiological approaches combined with translational neuroscientific research could provide a unique opportunity to explore the neuropathology that underlies changing occurrence of dementia in the general population.","author":[{"dropping-particle":"","family":"Wu","given":"Yu Tzu","non-dropping-particle":"","parse-names":false,"suffix":""},{"dropping-particle":"","family":"Beiser","given":"Alexa S.","non-dropping-particle":"","parse-names":false,"suffix":""},{"dropping-particle":"","family":"Breteler","given":"Monique M.B.","non-dropping-particle":"","parse-names":false,"suffix":""},{"dropping-particle":"","family":"Fratiglioni","given":"Laura","non-dropping-particle":"","parse-names":false,"suffix":""},{"dropping-particle":"","family":"Helmer","given":"Catherine","non-dropping-particle":"","parse-names":false,"suffix":""},{"dropping-particle":"","family":"Hendrie","given":"Hugh C.","non-dropping-particle":"","parse-names":false,"suffix":""},{"dropping-particle":"","family":"Honda","given":"Hiroyuki","non-dropping-particle":"","parse-names":false,"suffix":""},{"dropping-particle":"","family":"Ikram","given":"M. Arfan","non-dropping-particle":"","parse-names":false,"suffix":""},{"dropping-particle":"","family":"Langa","given":"Kenneth M.","non-dropping-particle":"","parse-names":false,"suffix":""},{"dropping-particle":"","family":"Lobo","given":"Antonio","non-dropping-particle":"","parse-names":false,"suffix":""},{"dropping-particle":"","family":"Matthews","given":"Fiona E.","non-dropping-particle":"","parse-names":false,"suffix":""},{"dropping-particle":"","family":"Ohara","given":"Tomoyuki","non-dropping-particle":"","parse-names":false,"suffix":""},{"dropping-particle":"","family":"Pérès","given":"Karine","non-dropping-particle":"","parse-names":false,"suffix":""},{"dropping-particle":"","family":"Qiu","given":"Chengxuan","non-dropping-particle":"","parse-names":false,"suffix":""},{"dropping-particle":"","family":"Seshadri","given":"Sudha","non-dropping-particle":"","parse-names":false,"suffix":""},{"dropping-particle":"","family":"Sjölund","given":"Britt Marie","non-dropping-particle":"","parse-names":false,"suffix":""},{"dropping-particle":"","family":"Skoog","given":"Ingmar","non-dropping-particle":"","parse-names":false,"suffix":""},{"dropping-particle":"","family":"Brayne","given":"Carol","non-dropping-particle":"","parse-names":false,"suffix":""}],"container-title":"Nature Reviews Neurology","id":"ITEM-1","issue":"6","issued":{"date-parts":[["2017"]]},"page":"327-339","title":"The changing prevalence and incidence of dementia over time - current evidence","type":"article-journal","volume":"13"},"uris":["http://www.mendeley.com/documents/?uuid=c2e1484b-dc4a-4b09-be9a-069dfa54fb01"]},{"id":"ITEM-2","itemData":{"DOI":"10.1016/S0140-6736(13)61570-6","ISBN":"1474-547X","ISSN":"01406736","PMID":"23871492","abstract":"Background: The prevalence of dementia is of interest worldwide. Contemporary estimates are needed to plan for future care provision, but much evidence is decades old. We aimed to investigate whether the prevalence of dementia had changed in the past two decades by repeating the same approach and diagnostic methods as used in the Medical Research Council Cognitive Function and Ageing Study (MRC CFAS) in three of the original study areas in England. Methods: Between 1989 and 1994, MRC CFAS investigators did baseline interviews in populations aged 65 years and older in six geographically defi ned areas in England and Wales. A two stage process, with screening followed by diagnostic assessment, was used to obtain data for algorithmic diagnoses (geriatric mental state-automated geriatric examination for computer assisted taxonomy), which were then used to estimate dementia prevalence. Data from three of these areas-Cambridgeshire, Newcastle, and Nottingham-were selected for CFAS I. Between 2008 and 2011, new fieldwork was done in the same three areas for the CFAS II study. For both CFAS I and II, each area needed to include 2500 individuals aged 65 years and older to provide power for geographical and generational comparison. Sampling was stratifi ed according to age group (65-74 years vs =75 years). CFAS II used identical sampling, approach, and diagnostic methods to CFAS I, except that screening and assessement were combined into one stage. Prevalence estimates were calculated using inverse probability weighting methods to adjust for sampling design and nonresponse. Full likelihood Bayesian models were used to investigate informative non-response. Findings: 7635 people aged 65 years or older were interviewed in CFAS I (9602 approached, 80% response) in Cambridgeshire, Newcastle, and Nottingham, with 1457 being diagnostically assessed. In the same geographical areas, the CFAS II investigators interviewed 7796 individuals (14 242 approached, 242 with limited frailty information, 56% response). Using CFAS I age and sex specific estimates of prevalence in individuals aged 65 years or older, standardised to the 2011 population, 8·3% (884 000) of this population would be expected to have dementia in 2011. However, CFAS II shows that the prevalence is lower (6·5%; 670 000), a decrease of 1·8% (odds ratio for CFAS II vs CFAS I 0·7, 95% CI 0·6-0·9, p=0·003). Sensitivity analyses suggest that these estimates are robust to the change in response. Interpretation: Thi…","author":[{"dropping-particle":"","family":"Matthews","given":"Fiona E.","non-dropping-particle":"","parse-names":false,"suffix":""},{"dropping-particle":"","family":"Arthur","given":"Antony","non-dropping-particle":"","parse-names":false,"suffix":""},{"dropping-particle":"","family":"Barnes","given":"Linda E.","non-dropping-particle":"","parse-names":false,"suffix":""},{"dropping-particle":"","family":"Bond","given":"John","non-dropping-particle":"","parse-names":false,"suffix":""},{"dropping-particle":"","family":"Jagger","given":"Carol","non-dropping-particle":"","parse-names":false,"suffix":""},{"dropping-particle":"","family":"Robinson","given":"Louise","non-dropping-particle":"","parse-names":false,"suffix":""},{"dropping-particle":"","family":"Brayne","given":"Carol","non-dropping-particle":"","parse-names":false,"suffix":""}],"container-title":"The Lancet","id":"ITEM-2","issue":"9902","issued":{"date-parts":[["2013"]]},"page":"1405-1412","publisher":"Matthews et al. Open Access article distributed under the terms of CC BY","title":"A two-decade comparison of prevalence of dementia in individuals aged 65 years and older from three geographical areas of England: Results of the cognitive function and ageing study i and II","type":"article-journal","volume":"382"},"uris":["http://www.mendeley.com/documents/?uuid=db3ebd29-b2de-461b-8f91-24d213be55e8"]}],"mendeley":{"formattedCitation":"(Wu et al., 2017; Matthews et al., 2013)","plainTextFormattedCitation":"(Wu et al., 2017; Matthews et al., 2013)","previouslyFormattedCitation":"(Wu et al., 2017; Matthews et al., 2013)"},"properties":{"noteIndex":0},"schema":"https://github.com/citation-style-language/schema/raw/master/csl-citation.json"}</w:instrText>
      </w:r>
      <w:r w:rsidR="004125A5" w:rsidRPr="00526E3F">
        <w:fldChar w:fldCharType="separate"/>
      </w:r>
      <w:r w:rsidR="005A15C6" w:rsidRPr="00526E3F">
        <w:rPr>
          <w:noProof/>
        </w:rPr>
        <w:t>(Wu et al., 2017; Matthews et al., 2013)</w:t>
      </w:r>
      <w:r w:rsidR="004125A5" w:rsidRPr="00526E3F">
        <w:fldChar w:fldCharType="end"/>
      </w:r>
      <w:r w:rsidR="00820F92">
        <w:t xml:space="preserve"> </w:t>
      </w:r>
      <w:r w:rsidR="00BB307D">
        <w:t>that</w:t>
      </w:r>
      <w:r w:rsidR="008823E1" w:rsidRPr="00526E3F">
        <w:t xml:space="preserve"> show </w:t>
      </w:r>
      <w:r w:rsidR="00A9550E" w:rsidRPr="00526E3F">
        <w:t>that the dominant factor driving</w:t>
      </w:r>
      <w:r w:rsidR="008823E1" w:rsidRPr="00526E3F">
        <w:t xml:space="preserve"> the overall number of </w:t>
      </w:r>
      <w:r w:rsidR="009F001C" w:rsidRPr="00526E3F">
        <w:t xml:space="preserve">prevalent </w:t>
      </w:r>
      <w:r w:rsidR="008823E1" w:rsidRPr="00526E3F">
        <w:t xml:space="preserve">cases </w:t>
      </w:r>
      <w:r w:rsidR="00A9550E" w:rsidRPr="00526E3F">
        <w:t>in future will be</w:t>
      </w:r>
      <w:r w:rsidR="008823E1" w:rsidRPr="00526E3F">
        <w:t xml:space="preserve"> the ageing population.</w:t>
      </w:r>
    </w:p>
    <w:p w14:paraId="4AA5CE30" w14:textId="5483076E" w:rsidR="00C92AE0" w:rsidRPr="00526E3F" w:rsidRDefault="002F1918" w:rsidP="001F2FD1">
      <w:r w:rsidRPr="00526E3F">
        <w:t xml:space="preserve">The PACSim model </w:t>
      </w:r>
      <w:r w:rsidR="00EA050C" w:rsidRPr="00526E3F">
        <w:fldChar w:fldCharType="begin" w:fldLock="1"/>
      </w:r>
      <w:r w:rsidR="00C0573A" w:rsidRPr="00526E3F">
        <w:instrText>ADDIN CSL_CITATION {"citationItems":[{"id":"ITEM-1","itemData":{"DOI":"10.1093/ageing/afx201","ISBN":"2076792171","ISSN":"14682834","PMID":"27899565","abstract":"The eukaryotic RNA exosome is an essential, multi-subunit complex that catalyzes RNA turnover, maturation, and quality control processes. Its non-catalytic donut-shaped core includes 9 subunits that associate with the 3' to 5' exoribonucleases Rrp6, and Rrp44/Dis3, a subunit that also catalyzes endoribonuclease activity. Although recent structures and biochemical studies of RNA bound exosomes from S. cerevisiae revealed that the Exo9 central channel guides RNA to either Rrp6 or Rrp44 using partially overlapping and mutually exclusive paths, several issues related to RNA recruitment remain. Here, we identify activities for the highly basic Rrp6 C-terminal tail that we term the 'lasso' because it binds RNA and stimulates ribonuclease activities associated with Rrp44 and Rrp6 within the 11-subunit nuclear exosome. Stimulation is dependent on the Exo9 central channel, and the lasso contributes to degradation and processing activities of exosome substrates in vitro and in vivo. Finally, we present evidence that the Rrp6 lasso may be a conserved feature of the eukaryotic RNA exosome.","author":[{"dropping-particle":"","family":"Kingston","given":"Andrew","non-dropping-particle":"","parse-names":false,"suffix":""},{"dropping-particle":"","family":"Robinson","given":"Louise","non-dropping-particle":"","parse-names":false,"suffix":""},{"dropping-particle":"","family":"Booth","given":"Heather","non-dropping-particle":"","parse-names":false,"suffix":""},{"dropping-particle":"","family":"Knapp","given":"Martin","non-dropping-particle":"","parse-names":false,"suffix":""},{"dropping-particle":"","family":"Jagger","given":"Carol","non-dropping-particle":"","parse-names":false,"suffix":""},{"dropping-particle":"","family":"Adelaja","given":"Bayo","non-dropping-particle":"","parse-names":false,"suffix":""},{"dropping-particle":"","family":"Avendano","given":"Mauricio","non-dropping-particle":"","parse-names":false,"suffix":""},{"dropping-particle":"","family":"Bamford","given":"Sally Marie","non-dropping-particle":"","parse-names":false,"suffix":""},{"dropping-particle":"","family":"Banerjee","given":"Sube","non-dropping-particle":"","parse-names":false,"suffix":""},{"dropping-particle":"","family":"Berwald","given":"Sharne","non-dropping-particle":"","parse-names":false,"suffix":""},{"dropping-particle":"","family":"Bowling","given":"Ann","non-dropping-particle":"","parse-names":false,"suffix":""},{"dropping-particle":"","family":"Burgon","given":"Clare","non-dropping-particle":"","parse-names":false,"suffix":""},{"dropping-particle":"","family":"Bustard","given":"Elizabeth","non-dropping-particle":"","parse-names":false,"suffix":""},{"dropping-particle":"","family":"Comas-Herrera","given":"Adelina","non-dropping-particle":"","parse-names":false,"suffix":""},{"dropping-particle":"","family":"Dangoor","given":"Margaret","non-dropping-particle":"","parse-names":false,"suffix":""},{"dropping-particle":"","family":"Dixon","given":"Josie","non-dropping-particle":"","parse-names":false,"suffix":""},{"dropping-particle":"","family":"Farina","given":"Nicolas","non-dropping-particle":"","parse-names":false,"suffix":""},{"dropping-particle":"","family":"Greengross","given":"Sally","non-dropping-particle":"","parse-names":false,"suffix":""},{"dropping-particle":"","family":"Grundy","given":"Emily","non-dropping-particle":"","parse-names":false,"suffix":""},{"dropping-particle":"","family":"Hu","given":"Bo","non-dropping-particle":"","parse-names":false,"suffix":""},{"dropping-particle":"","family":"King","given":"Derek","non-dropping-particle":"","parse-names":false,"suffix":""},{"dropping-particle":"","family":"Lombard","given":"Daniel","non-dropping-particle":"","parse-names":false,"suffix":""},{"dropping-particle":"","family":"Lorenz","given":"Klara","non-dropping-particle":"","parse-names":false,"suffix":""},{"dropping-particle":"","family":"McDaid","given":"David","non-dropping-particle":"","parse-names":false,"suffix":""},{"dropping-particle":"La","family":"Park","given":"A.","non-dropping-particle":"","parse-names":false,"suffix":""},{"dropping-particle":"","family":"Pikhartova","given":"Jitka","non-dropping-particle":"","parse-names":false,"suffix":""},{"dropping-particle":"","family":"Rehill","given":"Amritpal","non-dropping-particle":"","parse-names":false,"suffix":""},{"dropping-particle":"","family":"Wittenberg","given":"Raphael","non-dropping-particle":"","parse-names":false,"suffix":""}],"container-title":"Age and Ageing","id":"ITEM-1","issue":"3","issued":{"date-parts":[["2018"]]},"page":"374-380","title":"Projections of multi-morbidity in the older population in England to 2035: Estimates from the Population Ageing and Care Simulation (PACSim) model","type":"article-journal","volume":"47"},"uris":["http://www.mendeley.com/documents/?uuid=6cd0fe3d-f176-438e-909c-a7be93785e2c"]},{"id":"ITEM-2","itemData":{"DOI":"10.1016/S2468-2667(18)30118-X","ISSN":"24682667","PMID":"30174210","author":[{"dropping-particle":"","family":"Kingston","given":"Andrew","non-dropping-particle":"","parse-names":false,"suffix":""},{"dropping-particle":"","family":"Comas-Herrera","given":"Adelina","non-dropping-particle":"","parse-names":false,"suffix":""},{"dropping-particle":"","family":"Jagger","given":"Carol","non-dropping-particle":"","parse-names":false,"suffix":""}],"container-title":"The Lancet Public Health","id":"ITEM-2","issue":"9","issued":{"date-parts":[["2018"]]},"page":"e447-e455","title":"Forecasting the care needs of the older population in England over the next 20 years: estimates from the Population Ageing and Care Simulation (PACSim) modelling study","type":"article-journal","volume":"3"},"uris":["http://www.mendeley.com/documents/?uuid=f09a29aa-c290-4360-aa87-e0db9fea6563"]}],"mendeley":{"formattedCitation":"(KingstonRobinsonet al., 2018; KingstonComas-Herreraet al., 2018)","manualFormatting":"(Kingston, Robinson, et al., 2018; Kingston, Comas-Herrera, et al., 2018)","plainTextFormattedCitation":"(KingstonRobinsonet al., 2018; KingstonComas-Herreraet al., 2018)","previouslyFormattedCitation":"(KingstonRobinsonet al., 2018; KingstonComas-Herreraet al., 2018)"},"properties":{"noteIndex":0},"schema":"https://github.com/citation-style-language/schema/raw/master/csl-citation.json"}</w:instrText>
      </w:r>
      <w:r w:rsidR="00EA050C" w:rsidRPr="00526E3F">
        <w:fldChar w:fldCharType="separate"/>
      </w:r>
      <w:r w:rsidR="005A15C6" w:rsidRPr="00526E3F">
        <w:rPr>
          <w:noProof/>
        </w:rPr>
        <w:t>(Kingston</w:t>
      </w:r>
      <w:r w:rsidR="00364689" w:rsidRPr="00526E3F">
        <w:rPr>
          <w:noProof/>
        </w:rPr>
        <w:t xml:space="preserve">, </w:t>
      </w:r>
      <w:r w:rsidR="005A15C6" w:rsidRPr="00526E3F">
        <w:rPr>
          <w:noProof/>
        </w:rPr>
        <w:t>Robinson</w:t>
      </w:r>
      <w:r w:rsidR="00364689" w:rsidRPr="00526E3F">
        <w:rPr>
          <w:noProof/>
        </w:rPr>
        <w:t xml:space="preserve">, </w:t>
      </w:r>
      <w:r w:rsidR="005A15C6" w:rsidRPr="00526E3F">
        <w:rPr>
          <w:noProof/>
        </w:rPr>
        <w:t>et al., 2018; Kingston</w:t>
      </w:r>
      <w:r w:rsidR="00364689" w:rsidRPr="00526E3F">
        <w:rPr>
          <w:noProof/>
        </w:rPr>
        <w:t xml:space="preserve">, </w:t>
      </w:r>
      <w:r w:rsidR="005A15C6" w:rsidRPr="00526E3F">
        <w:rPr>
          <w:noProof/>
        </w:rPr>
        <w:t>Comas-Herrera</w:t>
      </w:r>
      <w:r w:rsidR="00364689" w:rsidRPr="00526E3F">
        <w:rPr>
          <w:noProof/>
        </w:rPr>
        <w:t xml:space="preserve">, </w:t>
      </w:r>
      <w:r w:rsidR="005A15C6" w:rsidRPr="00526E3F">
        <w:rPr>
          <w:noProof/>
        </w:rPr>
        <w:t>et al., 2018)</w:t>
      </w:r>
      <w:r w:rsidR="00EA050C" w:rsidRPr="00526E3F">
        <w:fldChar w:fldCharType="end"/>
      </w:r>
      <w:r w:rsidR="00C92AE0" w:rsidRPr="00526E3F">
        <w:t xml:space="preserve"> </w:t>
      </w:r>
      <w:r w:rsidRPr="00526E3F">
        <w:t>uses</w:t>
      </w:r>
      <w:r w:rsidR="00C92AE0" w:rsidRPr="00526E3F">
        <w:t xml:space="preserve"> microsimulation to predict </w:t>
      </w:r>
      <w:r w:rsidR="00FF0391" w:rsidRPr="00526E3F">
        <w:t>a decrease</w:t>
      </w:r>
      <w:r w:rsidR="00C92AE0" w:rsidRPr="00526E3F">
        <w:t xml:space="preserve"> in care need for those </w:t>
      </w:r>
      <w:r w:rsidR="001D7574">
        <w:t xml:space="preserve">aged </w:t>
      </w:r>
      <w:r w:rsidR="00C92AE0" w:rsidRPr="00526E3F">
        <w:t xml:space="preserve">65-74 and </w:t>
      </w:r>
      <w:r w:rsidR="00FF0391" w:rsidRPr="00526E3F">
        <w:t xml:space="preserve">an </w:t>
      </w:r>
      <w:r w:rsidR="00C92AE0" w:rsidRPr="00526E3F">
        <w:t>incr</w:t>
      </w:r>
      <w:r w:rsidR="00FF0391" w:rsidRPr="00526E3F">
        <w:t>ease</w:t>
      </w:r>
      <w:r w:rsidR="00C92AE0" w:rsidRPr="00526E3F">
        <w:t xml:space="preserve"> in the number of people with high care dependencies in the over 85s. The</w:t>
      </w:r>
      <w:r w:rsidR="003E46E5" w:rsidRPr="00526E3F">
        <w:t xml:space="preserve"> authors</w:t>
      </w:r>
      <w:r w:rsidR="0062429C" w:rsidRPr="00526E3F">
        <w:t xml:space="preserve"> found that the</w:t>
      </w:r>
      <w:r w:rsidR="00C92AE0" w:rsidRPr="00526E3F">
        <w:t xml:space="preserve"> prevalence of those with </w:t>
      </w:r>
      <w:r w:rsidR="00063FF2" w:rsidRPr="00526E3F">
        <w:t xml:space="preserve">four </w:t>
      </w:r>
      <w:r w:rsidR="00C92AE0" w:rsidRPr="00526E3F">
        <w:t xml:space="preserve">or more multiple morbidities is </w:t>
      </w:r>
      <w:r w:rsidR="0062429C" w:rsidRPr="00526E3F">
        <w:t>projected</w:t>
      </w:r>
      <w:r w:rsidR="00C92AE0" w:rsidRPr="00526E3F">
        <w:t xml:space="preserve"> to increase, with </w:t>
      </w:r>
      <w:r w:rsidR="00275FD4" w:rsidRPr="00526E3F">
        <w:t xml:space="preserve">most of the </w:t>
      </w:r>
      <w:r w:rsidR="00FF0391" w:rsidRPr="00526E3F">
        <w:t xml:space="preserve">anticipated </w:t>
      </w:r>
      <w:r w:rsidR="00C92AE0" w:rsidRPr="00526E3F">
        <w:t>life expectancy gains</w:t>
      </w:r>
      <w:r w:rsidR="00AA3BDE" w:rsidRPr="00526E3F">
        <w:t xml:space="preserve"> accompanied by disease. The</w:t>
      </w:r>
      <w:r w:rsidR="00841788" w:rsidRPr="00526E3F">
        <w:t>ir</w:t>
      </w:r>
      <w:r w:rsidR="00AA3BDE" w:rsidRPr="00526E3F">
        <w:t xml:space="preserve"> model was parameterised from</w:t>
      </w:r>
      <w:r w:rsidR="00275FD4" w:rsidRPr="00526E3F">
        <w:t xml:space="preserve"> </w:t>
      </w:r>
      <w:r w:rsidR="00841788" w:rsidRPr="00526E3F">
        <w:t>three different population</w:t>
      </w:r>
      <w:r w:rsidR="00FF0391" w:rsidRPr="00526E3F">
        <w:t xml:space="preserve"> surveys, </w:t>
      </w:r>
      <w:r w:rsidR="009F001C" w:rsidRPr="00526E3F">
        <w:t>but</w:t>
      </w:r>
      <w:r w:rsidR="00FF0391" w:rsidRPr="00526E3F">
        <w:t xml:space="preserve"> d</w:t>
      </w:r>
      <w:r w:rsidR="00C92AE0" w:rsidRPr="00526E3F">
        <w:t>ementia was not modelled explicitly</w:t>
      </w:r>
      <w:r w:rsidR="00AA3BDE" w:rsidRPr="00526E3F">
        <w:t xml:space="preserve"> and </w:t>
      </w:r>
      <w:r w:rsidR="00FF0391" w:rsidRPr="00526E3F">
        <w:t xml:space="preserve">was </w:t>
      </w:r>
      <w:r w:rsidR="00C92AE0" w:rsidRPr="00526E3F">
        <w:t xml:space="preserve">determined as a post-simulation </w:t>
      </w:r>
      <w:r w:rsidR="00275FD4" w:rsidRPr="00526E3F">
        <w:t>analysis of related factors</w:t>
      </w:r>
      <w:r w:rsidR="00C92AE0" w:rsidRPr="00526E3F">
        <w:t>.</w:t>
      </w:r>
    </w:p>
    <w:p w14:paraId="55E3EEEA" w14:textId="1E8868E7" w:rsidR="00391922" w:rsidRPr="00E20FD8" w:rsidRDefault="002820C0" w:rsidP="00391922">
      <w:r w:rsidRPr="00526E3F">
        <w:t xml:space="preserve">Other than these </w:t>
      </w:r>
      <w:r w:rsidR="003414F7">
        <w:t>studie</w:t>
      </w:r>
      <w:r w:rsidRPr="00526E3F">
        <w:t>s</w:t>
      </w:r>
      <w:r w:rsidR="00E07909" w:rsidRPr="00526E3F">
        <w:t xml:space="preserve">, </w:t>
      </w:r>
      <w:r w:rsidR="0056392E" w:rsidRPr="00526E3F">
        <w:t xml:space="preserve">to </w:t>
      </w:r>
      <w:r w:rsidR="00C91EB8">
        <w:t>date</w:t>
      </w:r>
      <w:r w:rsidR="0056392E" w:rsidRPr="00526E3F">
        <w:t xml:space="preserve"> </w:t>
      </w:r>
      <w:r w:rsidR="00E07909" w:rsidRPr="00526E3F">
        <w:t xml:space="preserve">OR techniques have not been </w:t>
      </w:r>
      <w:r w:rsidR="003C7555">
        <w:t xml:space="preserve">widely </w:t>
      </w:r>
      <w:r w:rsidR="00E07909" w:rsidRPr="00526E3F">
        <w:t>applied to care service planning for people with dementia</w:t>
      </w:r>
      <w:r w:rsidR="005F7504" w:rsidRPr="00526E3F">
        <w:t>.</w:t>
      </w:r>
      <w:r w:rsidRPr="00526E3F">
        <w:t xml:space="preserve"> This is particularly the case </w:t>
      </w:r>
      <w:r w:rsidR="00DD3D9C" w:rsidRPr="00526E3F">
        <w:t xml:space="preserve">with </w:t>
      </w:r>
      <w:r w:rsidR="00F02E0A" w:rsidRPr="00526E3F">
        <w:t>hybrid</w:t>
      </w:r>
      <w:r w:rsidR="00DD3D9C" w:rsidRPr="00526E3F">
        <w:t xml:space="preserve"> approaches.</w:t>
      </w:r>
      <w:r w:rsidR="0010173A">
        <w:t xml:space="preserve"> </w:t>
      </w:r>
      <w:r w:rsidRPr="00526E3F">
        <w:t>Th</w:t>
      </w:r>
      <w:r w:rsidR="00C91EB8">
        <w:t>e</w:t>
      </w:r>
      <w:r w:rsidRPr="00526E3F">
        <w:t xml:space="preserve"> </w:t>
      </w:r>
      <w:r w:rsidR="00C91EB8">
        <w:t>model</w:t>
      </w:r>
      <w:r w:rsidRPr="00526E3F">
        <w:t xml:space="preserve"> </w:t>
      </w:r>
      <w:r w:rsidR="00C91EB8">
        <w:t>presented here</w:t>
      </w:r>
      <w:r w:rsidR="00DD3D9C" w:rsidRPr="00526E3F">
        <w:t xml:space="preserve"> </w:t>
      </w:r>
      <w:r w:rsidR="00C91EB8">
        <w:t>adds to</w:t>
      </w:r>
      <w:r w:rsidRPr="00526E3F">
        <w:t xml:space="preserve"> </w:t>
      </w:r>
      <w:r w:rsidR="006668F6">
        <w:t xml:space="preserve">this </w:t>
      </w:r>
      <w:r w:rsidRPr="00526E3F">
        <w:t>previous work</w:t>
      </w:r>
      <w:r w:rsidR="00DD3D9C" w:rsidRPr="00526E3F">
        <w:t xml:space="preserve"> </w:t>
      </w:r>
      <w:r w:rsidRPr="00526E3F">
        <w:t xml:space="preserve">by </w:t>
      </w:r>
      <w:r w:rsidR="00F252BE" w:rsidRPr="00526E3F">
        <w:t>classifyi</w:t>
      </w:r>
      <w:r w:rsidRPr="00526E3F">
        <w:t xml:space="preserve">ng </w:t>
      </w:r>
      <w:r w:rsidR="00DD3D9C" w:rsidRPr="00526E3F">
        <w:t>dementia severity</w:t>
      </w:r>
      <w:r w:rsidR="00796A0D" w:rsidRPr="00526E3F">
        <w:t xml:space="preserve"> by progression</w:t>
      </w:r>
      <w:r w:rsidRPr="00526E3F">
        <w:t xml:space="preserve"> type </w:t>
      </w:r>
      <w:r w:rsidR="00796A0D" w:rsidRPr="00526E3F">
        <w:t xml:space="preserve">and by </w:t>
      </w:r>
      <w:r w:rsidR="006668F6">
        <w:t>using</w:t>
      </w:r>
      <w:r w:rsidR="00796A0D" w:rsidRPr="00526E3F">
        <w:t xml:space="preserve"> </w:t>
      </w:r>
      <w:r w:rsidR="00C91EB8">
        <w:t>multiple</w:t>
      </w:r>
      <w:r w:rsidR="006668F6">
        <w:t xml:space="preserve"> </w:t>
      </w:r>
      <w:r w:rsidR="00796A0D" w:rsidRPr="00526E3F">
        <w:t>outcome</w:t>
      </w:r>
      <w:r w:rsidR="00C91EB8">
        <w:t xml:space="preserve"> measure</w:t>
      </w:r>
      <w:r w:rsidR="00796A0D" w:rsidRPr="00526E3F">
        <w:t xml:space="preserve">s </w:t>
      </w:r>
      <w:r w:rsidR="00326761" w:rsidRPr="00526E3F">
        <w:t>to compare</w:t>
      </w:r>
      <w:r w:rsidR="006668F6">
        <w:t xml:space="preserve"> scenarios</w:t>
      </w:r>
      <w:r w:rsidR="00796A0D" w:rsidRPr="00526E3F">
        <w:t>.</w:t>
      </w:r>
      <w:r w:rsidR="0010173A">
        <w:t xml:space="preserve"> </w:t>
      </w:r>
      <w:r w:rsidR="006668F6">
        <w:t xml:space="preserve">Most importantly, the use of hybrid simulation </w:t>
      </w:r>
      <w:r w:rsidR="006668F6" w:rsidRPr="006668F6">
        <w:t>allows two entirely different but closely interconnected processes</w:t>
      </w:r>
      <w:r w:rsidR="006668F6">
        <w:t>,</w:t>
      </w:r>
      <w:r w:rsidR="006668F6" w:rsidRPr="006668F6">
        <w:t xml:space="preserve"> population dynamics and individual </w:t>
      </w:r>
      <w:r w:rsidR="006668F6">
        <w:lastRenderedPageBreak/>
        <w:t>disease</w:t>
      </w:r>
      <w:r w:rsidR="006668F6" w:rsidRPr="006668F6">
        <w:t xml:space="preserve"> progression dynamics</w:t>
      </w:r>
      <w:r w:rsidR="006668F6">
        <w:t>,</w:t>
      </w:r>
      <w:r w:rsidR="006668F6" w:rsidRPr="006668F6">
        <w:t xml:space="preserve"> to be modelled using methods appropriate to their specific characteristics, making it possible to explore the interactions between population-level effects and individual-level effects</w:t>
      </w:r>
      <w:r w:rsidR="006668F6">
        <w:t>.</w:t>
      </w:r>
    </w:p>
    <w:p w14:paraId="54C1544A" w14:textId="5854F384" w:rsidR="00D04E9B" w:rsidRPr="00526E3F" w:rsidRDefault="006947D8" w:rsidP="00BC74E1">
      <w:pPr>
        <w:pStyle w:val="Heading1"/>
      </w:pPr>
      <w:r w:rsidRPr="00E20FD8">
        <w:t xml:space="preserve">3 </w:t>
      </w:r>
      <w:r w:rsidR="00FC0162">
        <w:t>Computer simulation m</w:t>
      </w:r>
      <w:r w:rsidR="00D04E9B" w:rsidRPr="00E20FD8">
        <w:t>odelling approach</w:t>
      </w:r>
    </w:p>
    <w:p w14:paraId="5CB5DADE" w14:textId="1AEDB829" w:rsidR="000630DC" w:rsidRPr="00526E3F" w:rsidRDefault="00AB7E63" w:rsidP="00F07F05">
      <w:r w:rsidRPr="00526E3F">
        <w:t xml:space="preserve">The </w:t>
      </w:r>
      <w:r>
        <w:t>model was developed in the software</w:t>
      </w:r>
      <w:r w:rsidRPr="00526E3F">
        <w:t xml:space="preserve"> AnyLogic </w:t>
      </w:r>
      <w:r w:rsidRPr="00526E3F">
        <w:fldChar w:fldCharType="begin" w:fldLock="1"/>
      </w:r>
      <w:r w:rsidRPr="00526E3F">
        <w:instrText>ADDIN CSL_CITATION {"citationItems":[{"id":"ITEM-1","itemData":{"URL":"www.anylogic.com","author":[{"dropping-particle":"","family":"XJ Technologies","given":"","non-dropping-particle":"","parse-names":false,"suffix":""}],"id":"ITEM-1","issued":{"date-parts":[["2015"]]},"publisher":"The AnyLogic Company","title":"The AnyLogic Company","type":"webpage"},"uris":["http://www.mendeley.com/documents/?uuid=c140c040-d13e-4f79-81a3-b9871a56297a"]}],"mendeley":{"formattedCitation":"(XJ Technologies, 2015)","plainTextFormattedCitation":"(XJ Technologies, 2015)","previouslyFormattedCitation":"(XJ Technologies, 2015)"},"properties":{"noteIndex":0},"schema":"https://github.com/citation-style-language/schema/raw/master/csl-citation.json"}</w:instrText>
      </w:r>
      <w:r w:rsidRPr="00526E3F">
        <w:fldChar w:fldCharType="separate"/>
      </w:r>
      <w:r w:rsidRPr="00526E3F">
        <w:rPr>
          <w:noProof/>
        </w:rPr>
        <w:t>(XJ Technologies, 2015)</w:t>
      </w:r>
      <w:r w:rsidRPr="00526E3F">
        <w:fldChar w:fldCharType="end"/>
      </w:r>
      <w:r>
        <w:t>.</w:t>
      </w:r>
      <w:r w:rsidR="0010173A">
        <w:t xml:space="preserve"> </w:t>
      </w:r>
      <w:r w:rsidR="00E510C6" w:rsidRPr="00526E3F">
        <w:t xml:space="preserve">At </w:t>
      </w:r>
      <w:r w:rsidR="00C91EB8">
        <w:t xml:space="preserve">the </w:t>
      </w:r>
      <w:r w:rsidR="00E510C6" w:rsidRPr="00526E3F">
        <w:t xml:space="preserve">population level, ageing, dementia onset, and mortality </w:t>
      </w:r>
      <w:r w:rsidR="000630DC" w:rsidRPr="00526E3F">
        <w:t>are</w:t>
      </w:r>
      <w:r w:rsidR="00E510C6" w:rsidRPr="00526E3F">
        <w:t xml:space="preserve"> modelled using </w:t>
      </w:r>
      <w:r w:rsidR="005C607B" w:rsidRPr="00526E3F">
        <w:t>System Dynamics (</w:t>
      </w:r>
      <w:r w:rsidR="00E510C6" w:rsidRPr="00526E3F">
        <w:t>SD</w:t>
      </w:r>
      <w:r w:rsidR="005C607B" w:rsidRPr="00526E3F">
        <w:t>)</w:t>
      </w:r>
      <w:r w:rsidR="00E510C6" w:rsidRPr="00526E3F">
        <w:t>.</w:t>
      </w:r>
      <w:r w:rsidR="0010173A">
        <w:t xml:space="preserve"> </w:t>
      </w:r>
      <w:r w:rsidR="00E510C6" w:rsidRPr="00526E3F">
        <w:t xml:space="preserve">At </w:t>
      </w:r>
      <w:r w:rsidR="00C91EB8">
        <w:t>the individual</w:t>
      </w:r>
      <w:r w:rsidR="00E510C6" w:rsidRPr="00526E3F">
        <w:t xml:space="preserve"> patient level, </w:t>
      </w:r>
      <w:r w:rsidR="00C91EB8">
        <w:t xml:space="preserve">disease </w:t>
      </w:r>
      <w:r w:rsidR="00E510C6" w:rsidRPr="00526E3F">
        <w:t xml:space="preserve">severity progression </w:t>
      </w:r>
      <w:r w:rsidR="004D43C0" w:rsidRPr="00526E3F">
        <w:t xml:space="preserve">and </w:t>
      </w:r>
      <w:r w:rsidR="00C91EB8">
        <w:t xml:space="preserve">the effects of </w:t>
      </w:r>
      <w:r>
        <w:t xml:space="preserve">any </w:t>
      </w:r>
      <w:r w:rsidR="004D43C0" w:rsidRPr="00526E3F">
        <w:t>intervention</w:t>
      </w:r>
      <w:r w:rsidR="00C91EB8">
        <w:t>s</w:t>
      </w:r>
      <w:r w:rsidR="004D43C0" w:rsidRPr="00526E3F">
        <w:t xml:space="preserve"> </w:t>
      </w:r>
      <w:r w:rsidR="008B6450" w:rsidRPr="00526E3F">
        <w:t xml:space="preserve">are </w:t>
      </w:r>
      <w:r w:rsidR="005C607B" w:rsidRPr="00526E3F">
        <w:t>modelled using Agent-B</w:t>
      </w:r>
      <w:r w:rsidR="004D43C0" w:rsidRPr="00526E3F">
        <w:t xml:space="preserve">ased </w:t>
      </w:r>
      <w:r w:rsidR="00A77655" w:rsidRPr="00526E3F">
        <w:t xml:space="preserve">Modelling </w:t>
      </w:r>
      <w:r w:rsidR="005C607B" w:rsidRPr="00526E3F">
        <w:t>(AB</w:t>
      </w:r>
      <w:r w:rsidR="00A77655" w:rsidRPr="00526E3F">
        <w:t>M</w:t>
      </w:r>
      <w:r w:rsidR="005C607B" w:rsidRPr="00526E3F">
        <w:t xml:space="preserve">) </w:t>
      </w:r>
      <w:r>
        <w:t>to</w:t>
      </w:r>
      <w:r w:rsidR="00C70015" w:rsidRPr="00526E3F">
        <w:t xml:space="preserve"> capture </w:t>
      </w:r>
      <w:r w:rsidR="008B6450" w:rsidRPr="00526E3F">
        <w:t>variability</w:t>
      </w:r>
      <w:r w:rsidR="00C91EB8">
        <w:t xml:space="preserve"> between </w:t>
      </w:r>
      <w:r w:rsidR="00C91EB8" w:rsidRPr="00526E3F">
        <w:t>individual</w:t>
      </w:r>
      <w:r w:rsidR="00C91EB8">
        <w:t>s</w:t>
      </w:r>
      <w:r w:rsidR="00BF5460" w:rsidRPr="00526E3F">
        <w:t xml:space="preserve"> </w:t>
      </w:r>
      <w:r w:rsidR="00C0573A" w:rsidRPr="00526E3F">
        <w:fldChar w:fldCharType="begin" w:fldLock="1"/>
      </w:r>
      <w:r w:rsidR="0074505F" w:rsidRPr="00526E3F">
        <w:instrText>ADDIN CSL_CITATION {"citationItems":[{"id":"ITEM-1","itemData":{"DOI":"10.1057/jos.2010.3","ISSN":"17477778","abstract":"Agent-based modelling and simulation ({ABMS}) is a relatively new approach to modelling systems composed of autonomous, interacting agents. Agent-based modelling is a way to model the dynamics of complex systems and complex adaptive systems. Such systems often self-organize themselves and create emergent order. Agent-based models also include models of behaviour (human or otherwise) and are used to observe the collective effects of agent behaviours and interactions. The development of agent modelling tools, the availability of micro-data, and advances in computation have made possible a growing number of agent-based applications across a variety of domains and disciplines. This article provides a brief introduction to {ABMS}, illustrates the main concepts and foundations, discusses some recent applications across a variety of disciplines, and identifies methods and toolkits for developing agent models.","author":[{"dropping-particle":"","family":"Macal","given":"C. M.","non-dropping-particle":"","parse-names":false,"suffix":""},{"dropping-particle":"","family":"North","given":"M. J.","non-dropping-particle":"","parse-names":false,"suffix":""}],"container-title":"Journal of Simulation","id":"ITEM-1","issued":{"date-parts":[["2010"]]},"title":"Tutorial on agent-based modelling and simulation","type":"article-journal"},"uris":["http://www.mendeley.com/documents/?uuid=1c264087-7a04-46f8-a24e-7d400518ae86"]}],"mendeley":{"formattedCitation":"(Macal and North, 2010)","plainTextFormattedCitation":"(Macal and North, 2010)","previouslyFormattedCitation":"(Macal and North, 2010)"},"properties":{"noteIndex":0},"schema":"https://github.com/citation-style-language/schema/raw/master/csl-citation.json"}</w:instrText>
      </w:r>
      <w:r w:rsidR="00C0573A" w:rsidRPr="00526E3F">
        <w:fldChar w:fldCharType="separate"/>
      </w:r>
      <w:r w:rsidR="00A842C7" w:rsidRPr="00526E3F">
        <w:rPr>
          <w:noProof/>
        </w:rPr>
        <w:t>(Macal and North, 2010)</w:t>
      </w:r>
      <w:r w:rsidR="00C0573A" w:rsidRPr="00526E3F">
        <w:fldChar w:fldCharType="end"/>
      </w:r>
      <w:r w:rsidR="003833DC" w:rsidRPr="00526E3F">
        <w:t>.</w:t>
      </w:r>
      <w:r w:rsidR="006F7396" w:rsidRPr="00526E3F">
        <w:t xml:space="preserve"> </w:t>
      </w:r>
      <w:r w:rsidR="00F07F05" w:rsidRPr="00526E3F">
        <w:t xml:space="preserve">Figure 1 shows the conceptual model design, combining SD stocks and flows (upper part) and </w:t>
      </w:r>
      <w:r w:rsidR="00F07F05">
        <w:t xml:space="preserve">agent-based </w:t>
      </w:r>
      <w:r w:rsidR="00F07F05" w:rsidRPr="00526E3F">
        <w:t>severity progression and death (lower part)</w:t>
      </w:r>
      <w:r w:rsidR="00F07F05">
        <w:t>.</w:t>
      </w:r>
      <w:r w:rsidR="0010173A">
        <w:t xml:space="preserve"> </w:t>
      </w:r>
      <w:r w:rsidR="00F07F05">
        <w:t xml:space="preserve">The </w:t>
      </w:r>
      <w:r w:rsidR="00F07F05" w:rsidRPr="00526E3F">
        <w:t>interactions</w:t>
      </w:r>
      <w:r w:rsidR="00F07F05">
        <w:t xml:space="preserve"> between the SD and AB parts, i.e. </w:t>
      </w:r>
      <w:r w:rsidR="00F07F05" w:rsidRPr="00526E3F">
        <w:t>dementia onset (creating agents) and death (removing agents)</w:t>
      </w:r>
      <w:r w:rsidR="00F07F05">
        <w:t>,</w:t>
      </w:r>
      <w:r w:rsidR="00F07F05" w:rsidRPr="00526E3F">
        <w:t xml:space="preserve"> </w:t>
      </w:r>
      <w:r w:rsidR="00F07F05">
        <w:t xml:space="preserve">are </w:t>
      </w:r>
      <w:r w:rsidR="0010173A">
        <w:t xml:space="preserve">indicated in the side panels. </w:t>
      </w:r>
      <w:r w:rsidR="002D568E">
        <w:t>I</w:t>
      </w:r>
      <w:r w:rsidR="00F07F05">
        <w:t>nterfacing continuous SD and discrete ABM</w:t>
      </w:r>
      <w:r w:rsidR="002D568E">
        <w:t xml:space="preserve"> or DES</w:t>
      </w:r>
      <w:r w:rsidR="00F07F05">
        <w:t xml:space="preserve"> modelling methods </w:t>
      </w:r>
      <w:r w:rsidR="002D568E">
        <w:t>is</w:t>
      </w:r>
      <w:r w:rsidR="00F07F05">
        <w:t xml:space="preserve"> a </w:t>
      </w:r>
      <w:r w:rsidR="002D568E">
        <w:t>recognised</w:t>
      </w:r>
      <w:r w:rsidR="00F07F05">
        <w:t xml:space="preserve"> </w:t>
      </w:r>
      <w:r w:rsidR="002D568E">
        <w:t>challenge</w:t>
      </w:r>
      <w:r w:rsidR="00F07F05">
        <w:t xml:space="preserve"> in hybrid simulation</w:t>
      </w:r>
      <w:r w:rsidR="001C6A20">
        <w:t xml:space="preserve"> </w:t>
      </w:r>
      <w:r w:rsidR="001C6A20">
        <w:fldChar w:fldCharType="begin" w:fldLock="1"/>
      </w:r>
      <w:r w:rsidR="001C6A20">
        <w:instrText>ADDIN CSL_CITATION {"citationItems":[{"id":"ITEM-1","itemData":{"DOI":"10.1016/j.ejor.2018.10.025","ISSN":"03772217","abstract":"Hybrid simulation (defined as a modelling approach that combines two or more of the following methods: discrete-event simulation, system dynamics, and agent-based simulation) has experienced near-exponential growth in popularity in the past two decades. However, a large proportion of the academic literature on hybrid simulation is found in computer science and engineering journals. Given the importance of this emerging area and its relevance to operational research, this paper provides a review of the topic from an OR perspective. The results of a review of the hybrid simulation literature are presented, using a novel framework based on the simulation lifecycle that will be useful for future modellers and authors alike. Promising areas for future research are identified: these include the development of new methods for conceptual modelling and for model validation. Currently the main application areas are healthcare, supply chain management and manufacturing, and the majority of published models combine discrete-event simulation and system dynamics.","author":[{"dropping-particle":"","family":"Brailsford","given":"Sally C.","non-dropping-particle":"","parse-names":false,"suffix":""},{"dropping-particle":"","family":"Eldabi","given":"Tillal","non-dropping-particle":"","parse-names":false,"suffix":""},{"dropping-particle":"","family":"Kunc","given":"Martin","non-dropping-particle":"","parse-names":false,"suffix":""},{"dropping-particle":"","family":"Mustafee","given":"Navonil","non-dropping-particle":"","parse-names":false,"suffix":""},{"dropping-particle":"","family":"Osorio","given":"Andres F.","non-dropping-particle":"","parse-names":false,"suffix":""}],"container-title":"European Journal of Operational Research","id":"ITEM-1","issue":"3","issued":{"date-parts":[["2019","11"]]},"page":"721-737","publisher":"Elsevier B.V.","title":"Hybrid simulation modelling in operational research: A state-of-the-art review","type":"article-journal","volume":"278"},"uris":["http://www.mendeley.com/documents/?uuid=5c64ccff-58d9-4c6f-984c-f861e10dedae"]}],"mendeley":{"formattedCitation":"(Brailsford et al., 2019)","plainTextFormattedCitation":"(Brailsford et al., 2019)"},"properties":{"noteIndex":0},"schema":"https://github.com/citation-style-language/schema/raw/master/csl-citation.json"}</w:instrText>
      </w:r>
      <w:r w:rsidR="001C6A20">
        <w:fldChar w:fldCharType="separate"/>
      </w:r>
      <w:r w:rsidR="001C6A20" w:rsidRPr="001C6A20">
        <w:rPr>
          <w:noProof/>
        </w:rPr>
        <w:t>(Brailsford et al., 2019)</w:t>
      </w:r>
      <w:r w:rsidR="001C6A20">
        <w:fldChar w:fldCharType="end"/>
      </w:r>
      <w:r w:rsidR="001C6A20">
        <w:t xml:space="preserve">. </w:t>
      </w:r>
      <w:r w:rsidR="00F07F05">
        <w:t>In this model, agents are created and removed by monitoring and discretising the onset and mortality flows for each age group on a weekly basis, as described in section 6.</w:t>
      </w:r>
    </w:p>
    <w:p w14:paraId="0B5FA5BE" w14:textId="77777777" w:rsidR="00D20AAB" w:rsidRPr="00526E3F" w:rsidRDefault="00D20AAB" w:rsidP="009705FC">
      <w:pPr>
        <w:pStyle w:val="Picture"/>
        <w:jc w:val="both"/>
      </w:pPr>
      <w:r w:rsidRPr="00526E3F">
        <w:drawing>
          <wp:inline distT="0" distB="0" distL="0" distR="0" wp14:anchorId="7D9972A3" wp14:editId="02CFC42A">
            <wp:extent cx="5449081" cy="2842352"/>
            <wp:effectExtent l="19050" t="19050" r="18415" b="1524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79754" cy="2858352"/>
                    </a:xfrm>
                    <a:prstGeom prst="rect">
                      <a:avLst/>
                    </a:prstGeom>
                    <a:ln>
                      <a:solidFill>
                        <a:schemeClr val="bg1">
                          <a:lumMod val="75000"/>
                        </a:schemeClr>
                      </a:solidFill>
                    </a:ln>
                  </pic:spPr>
                </pic:pic>
              </a:graphicData>
            </a:graphic>
          </wp:inline>
        </w:drawing>
      </w:r>
    </w:p>
    <w:p w14:paraId="6F662D02" w14:textId="3A393757" w:rsidR="00F235A6" w:rsidRDefault="00F235A6" w:rsidP="00BC74E1">
      <w:pPr>
        <w:pStyle w:val="Caption"/>
      </w:pPr>
      <w:r w:rsidRPr="00526E3F">
        <w:t xml:space="preserve">Figure </w:t>
      </w:r>
      <w:r w:rsidR="00C42BF2" w:rsidRPr="00526E3F">
        <w:rPr>
          <w:noProof/>
        </w:rPr>
        <w:fldChar w:fldCharType="begin"/>
      </w:r>
      <w:r w:rsidR="00C42BF2" w:rsidRPr="00526E3F">
        <w:rPr>
          <w:noProof/>
        </w:rPr>
        <w:instrText xml:space="preserve"> SEQ Figure \* ARABIC </w:instrText>
      </w:r>
      <w:r w:rsidR="00C42BF2" w:rsidRPr="00526E3F">
        <w:rPr>
          <w:noProof/>
        </w:rPr>
        <w:fldChar w:fldCharType="separate"/>
      </w:r>
      <w:r w:rsidR="0020511F">
        <w:rPr>
          <w:noProof/>
        </w:rPr>
        <w:t>1</w:t>
      </w:r>
      <w:r w:rsidR="00C42BF2" w:rsidRPr="00526E3F">
        <w:rPr>
          <w:noProof/>
        </w:rPr>
        <w:fldChar w:fldCharType="end"/>
      </w:r>
      <w:r w:rsidR="002273FA">
        <w:t xml:space="preserve">   </w:t>
      </w:r>
      <w:r w:rsidRPr="00526E3F">
        <w:t>Concept</w:t>
      </w:r>
      <w:r w:rsidR="00FF040F" w:rsidRPr="00526E3F">
        <w:t>ualisation of</w:t>
      </w:r>
      <w:r w:rsidRPr="00526E3F">
        <w:t xml:space="preserve"> ageing, dementia onset, and </w:t>
      </w:r>
      <w:r w:rsidR="00806CCF" w:rsidRPr="00526E3F">
        <w:t xml:space="preserve">severity </w:t>
      </w:r>
      <w:r w:rsidRPr="00526E3F">
        <w:t>progression</w:t>
      </w:r>
    </w:p>
    <w:p w14:paraId="08110B0E" w14:textId="77777777" w:rsidR="00B94E8D" w:rsidRDefault="00B94E8D" w:rsidP="00406964"/>
    <w:p w14:paraId="5E38D5D1" w14:textId="2C143AE4" w:rsidR="00AD52E7" w:rsidRPr="00526E3F" w:rsidRDefault="00406964" w:rsidP="001F0C18">
      <w:r w:rsidRPr="00526E3F">
        <w:t>The term “dementia death”</w:t>
      </w:r>
      <w:r>
        <w:t xml:space="preserve"> in Figure 1</w:t>
      </w:r>
      <w:r w:rsidRPr="00526E3F">
        <w:t xml:space="preserve"> is shorthand for “death of a person with dementia”</w:t>
      </w:r>
      <w:r>
        <w:t>, since dementia increases the risk</w:t>
      </w:r>
      <w:r w:rsidR="00DB4D8A">
        <w:t xml:space="preserve"> of dying from other conditions</w:t>
      </w:r>
      <w:r w:rsidRPr="00CD1B25">
        <w:t>.</w:t>
      </w:r>
      <w:r w:rsidR="001F0C18">
        <w:t xml:space="preserve"> </w:t>
      </w:r>
      <w:r w:rsidR="00AD52E7" w:rsidRPr="00526E3F">
        <w:t xml:space="preserve">Severity progression </w:t>
      </w:r>
      <w:r w:rsidR="00B94E8D">
        <w:t>is</w:t>
      </w:r>
      <w:r w:rsidR="00D932E2">
        <w:t xml:space="preserve"> classified as</w:t>
      </w:r>
      <w:r w:rsidR="00941DA1">
        <w:t xml:space="preserve"> </w:t>
      </w:r>
      <w:r w:rsidR="00941DA1" w:rsidRPr="00526E3F">
        <w:t xml:space="preserve">slow, intermediate, or fast </w:t>
      </w:r>
      <w:r w:rsidR="00941DA1" w:rsidRPr="00526E3F">
        <w:fldChar w:fldCharType="begin" w:fldLock="1"/>
      </w:r>
      <w:r w:rsidR="00941DA1" w:rsidRPr="00526E3F">
        <w:instrText>ADDIN CSL_CITATION {"citationItems":[{"id":"ITEM-1","itemData":{"DOI":"10.1186/alzrt38","ISSN":"1758-9193","author":[{"dropping-particle":"","family":"Doody","given":"Rachelle S","non-dropping-particle":"","parse-names":false,"suffix":""},{"dropping-particle":"","family":"Pavlik","given":"Valory","non-dropping-particle":"","parse-names":false,"suffix":""},{"dropping-particle":"","family":"Massman","given":"Paul","non-dropping-particle":"","parse-names":false,"suffix":""},{"dropping-particle":"","family":"Rountree","given":"Susan","non-dropping-particle":"","parse-names":false,"suffix":""},{"dropping-particle":"","family":"Darby","given":"Eveleen","non-dropping-particle":"","parse-names":false,"suffix":""},{"dropping-particle":"","family":"Chan","given":"Wenyaw","non-dropping-particle":"","parse-names":false,"suffix":""}],"container-title":"Alzheimer's Research &amp; Therapy","id":"ITEM-1","issue":"4","issued":{"date-parts":[["2010"]]},"page":"14","title":"Predicting progression of Alzheimer's disease","type":"article-journal","volume":"2"},"uris":["http://www.mendeley.com/documents/?uuid=37899491-f544-4afd-98a8-6747aace3365"]}],"mendeley":{"formattedCitation":"(Doody et al., 2010)","plainTextFormattedCitation":"(Doody et al., 2010)","previouslyFormattedCitation":"(Doody et al., 2010)"},"properties":{"noteIndex":0},"schema":"https://github.com/citation-style-language/schema/raw/master/csl-citation.json"}</w:instrText>
      </w:r>
      <w:r w:rsidR="00941DA1" w:rsidRPr="00526E3F">
        <w:fldChar w:fldCharType="separate"/>
      </w:r>
      <w:r w:rsidR="00941DA1" w:rsidRPr="00526E3F">
        <w:rPr>
          <w:noProof/>
        </w:rPr>
        <w:t>(Doody et al., 2010)</w:t>
      </w:r>
      <w:r w:rsidR="00941DA1" w:rsidRPr="00526E3F">
        <w:fldChar w:fldCharType="end"/>
      </w:r>
      <w:r w:rsidR="00391922">
        <w:t>,</w:t>
      </w:r>
      <w:r w:rsidR="00941DA1">
        <w:t xml:space="preserve"> </w:t>
      </w:r>
      <w:r w:rsidR="00391922">
        <w:t>represented</w:t>
      </w:r>
      <w:r w:rsidR="00941DA1">
        <w:t xml:space="preserve"> by </w:t>
      </w:r>
      <w:r w:rsidR="00D932E2">
        <w:t xml:space="preserve">three different </w:t>
      </w:r>
      <w:r w:rsidR="00941DA1" w:rsidRPr="00526E3F">
        <w:t xml:space="preserve">mixed effects regression </w:t>
      </w:r>
      <w:r w:rsidR="00941DA1">
        <w:t>model</w:t>
      </w:r>
      <w:r w:rsidR="00D932E2">
        <w:t>s</w:t>
      </w:r>
      <w:r w:rsidR="00C303DF">
        <w:t>, as described in section 5</w:t>
      </w:r>
      <w:r w:rsidR="00941DA1">
        <w:t>.</w:t>
      </w:r>
      <w:r w:rsidR="00434AEC">
        <w:t xml:space="preserve"> </w:t>
      </w:r>
      <w:r w:rsidR="00941DA1">
        <w:t xml:space="preserve">When an agent is created, the </w:t>
      </w:r>
      <w:r w:rsidR="00D932E2">
        <w:t>progression type and the</w:t>
      </w:r>
      <w:r w:rsidR="00941DA1">
        <w:t xml:space="preserve"> </w:t>
      </w:r>
      <w:r w:rsidR="00D932E2">
        <w:t xml:space="preserve">corresponding regression parameters are </w:t>
      </w:r>
      <w:r w:rsidR="00391922">
        <w:t xml:space="preserve">randomly </w:t>
      </w:r>
      <w:r w:rsidR="00D932E2">
        <w:t>sampled</w:t>
      </w:r>
      <w:r w:rsidR="00434AEC">
        <w:t>.</w:t>
      </w:r>
      <w:r w:rsidR="00AD52E7" w:rsidRPr="00526E3F">
        <w:t xml:space="preserve"> </w:t>
      </w:r>
      <w:r w:rsidR="007956DB">
        <w:t>T</w:t>
      </w:r>
      <w:r w:rsidR="00AD52E7" w:rsidRPr="00526E3F">
        <w:t>h</w:t>
      </w:r>
      <w:r w:rsidR="00526E3F">
        <w:t>e use of</w:t>
      </w:r>
      <w:r w:rsidR="00AD52E7" w:rsidRPr="00526E3F">
        <w:t xml:space="preserve"> </w:t>
      </w:r>
      <w:r w:rsidR="00526E3F" w:rsidRPr="005E6C1D">
        <w:t xml:space="preserve">agents to capture </w:t>
      </w:r>
      <w:r w:rsidR="00526E3F" w:rsidRPr="005E6C1D">
        <w:lastRenderedPageBreak/>
        <w:t xml:space="preserve">heterogeneity </w:t>
      </w:r>
      <w:r w:rsidR="00526E3F">
        <w:t xml:space="preserve">in </w:t>
      </w:r>
      <w:r w:rsidR="00526E3F" w:rsidRPr="005E6C1D">
        <w:t>progression and the complexities of response to interventions</w:t>
      </w:r>
      <w:r w:rsidR="00526E3F">
        <w:t xml:space="preserve"> </w:t>
      </w:r>
      <w:r w:rsidR="009E55B3">
        <w:t>overcom</w:t>
      </w:r>
      <w:r w:rsidR="00C303DF">
        <w:t>e</w:t>
      </w:r>
      <w:r w:rsidR="007956DB">
        <w:t>s</w:t>
      </w:r>
      <w:r w:rsidR="00AD52E7" w:rsidRPr="00526E3F">
        <w:t xml:space="preserve"> </w:t>
      </w:r>
      <w:r w:rsidR="00C303DF">
        <w:t xml:space="preserve">the </w:t>
      </w:r>
      <w:r w:rsidR="0036105D">
        <w:t>assum</w:t>
      </w:r>
      <w:r w:rsidR="00C303DF">
        <w:t>ption of</w:t>
      </w:r>
      <w:r w:rsidR="00AD52E7" w:rsidRPr="00526E3F">
        <w:t xml:space="preserve"> </w:t>
      </w:r>
      <w:r w:rsidR="0036105D">
        <w:t>homogeneity within each</w:t>
      </w:r>
      <w:r w:rsidR="00AD52E7" w:rsidRPr="00526E3F">
        <w:t xml:space="preserve"> </w:t>
      </w:r>
      <w:r w:rsidR="0036105D">
        <w:t>stock, as in standard</w:t>
      </w:r>
      <w:r w:rsidR="00AD52E7" w:rsidRPr="00526E3F">
        <w:t xml:space="preserve"> SD modelling </w:t>
      </w:r>
      <w:r w:rsidR="00AD52E7" w:rsidRPr="00526E3F">
        <w:fldChar w:fldCharType="begin" w:fldLock="1"/>
      </w:r>
      <w:r w:rsidR="00AD52E7" w:rsidRPr="00526E3F">
        <w:instrText>ADDIN CSL_CITATION {"citationItems":[{"id":"ITEM-1","itemData":{"DOI":"10.1108/13673270210417646","ISBN":"007238915X","ISSN":"13673270","PMID":"1274192","abstract":"Accelerating economic, technological, social, and environmental change challenge managers and policy makers to learn at increasing rates, while at the same time the complexity of the systems in which we live is growing. Many of the problems we now face arise as unanticipated side effects of our own past actions. All too often the policies we implement to solve important problems fail, make the problem worse, or create new problems. Effective decision making and learning in a world of growing dynamic complexity requires us to become systems thinkersto expand the boundaries of our mental models and develop tools to understand how the structure of complex systems creates their behavior. This book introduces you to system dynamics modeling for the analysis of policy and strategy, with a focus on business and public policy applications. System dynamics is a perspective and set of conceptual tools that enable us to understand the structure and dynamics of complex systems. System dynamics is also a rigorous modeling method that enables us to build formal computer simulations of complex systems and use them to design more effective policies and organizations. Together, these tools allow us to create management flight simulatorsmicroworlds where space and time can be compressed and slowed so we can experience the long-term side effects of decisions, speed learning, develop our understanding of complex systems, and design structures and strategies for greater success.","author":[{"dropping-particle":"","family":"Sterman","given":"J D","non-dropping-particle":"","parse-names":false,"suffix":""}],"container-title":"Management","id":"ITEM-1","issued":{"date-parts":[["2000"]]},"number-of-pages":"1-982","publisher":"McGraw-Hill","publisher-place":"USA","title":"Systems Thinking and Modeling for a Complex World","type":"book"},"uris":["http://www.mendeley.com/documents/?uuid=91fc5347-fd12-46da-b30c-43fcf82ab586"]},{"id":"ITEM-2","itemData":{"DOI":"10.1002/sdr.4260100211","ISBN":"08837066","ISSN":"1099-1727","PMID":"17738430","abstract":"System dynamics, systems thinking, and soft operations research (soft OR) all aspire to understanding and improvement of systems. In all, the first step interprets the real world into a description used in following stages. In system dynamics, description leads to equations of a model, simulation to understand dynamic behavior, evaluation of alternative policies, education and choice of a better policy, and implementation. Case studies, systems thinking, and soft OR usually lack the discipline of explicit model creation and simulation and so rely on subjective use of unreliable intuition for evaluating the complex structures that emerge from the initial description of the real system. Nevertheless, systems thinking and soft OR, with emphasis on eliciting information from real-world participants, should contribute useful insights to system dynamics. Conversely, the model creation and simulation stages of system dynamics should contribute rigor and clarity to systems thinking and soft OR.","author":[{"dropping-particle":"","family":"Forrester","given":"Jay W","non-dropping-particle":"","parse-names":false,"suffix":""}],"container-title":"System Dynamics Review","id":"ITEM-2","issue":"2","issued":{"date-parts":[["1994"]]},"page":"1-14","title":"System Dynamics, Systems Thinking, and Soft OR","type":"article-journal","volume":"10"},"uris":["http://www.mendeley.com/documents/?uuid=5e44ed52-b944-4db0-9cfa-f576bd9c4061"]}],"mendeley":{"formattedCitation":"(Sterman, 2000; Forrester, 1994)","plainTextFormattedCitation":"(Sterman, 2000; Forrester, 1994)","previouslyFormattedCitation":"(Sterman, 2000; Forrester, 1994)"},"properties":{"noteIndex":0},"schema":"https://github.com/citation-style-language/schema/raw/master/csl-citation.json"}</w:instrText>
      </w:r>
      <w:r w:rsidR="00AD52E7" w:rsidRPr="00526E3F">
        <w:fldChar w:fldCharType="separate"/>
      </w:r>
      <w:r w:rsidR="00AD52E7" w:rsidRPr="00526E3F">
        <w:rPr>
          <w:noProof/>
        </w:rPr>
        <w:t>(Sterman, 2000; Forrester, 1994)</w:t>
      </w:r>
      <w:r w:rsidR="00AD52E7" w:rsidRPr="00526E3F">
        <w:fldChar w:fldCharType="end"/>
      </w:r>
      <w:r w:rsidR="00434AEC">
        <w:t>.</w:t>
      </w:r>
      <w:r w:rsidR="0010173A">
        <w:t xml:space="preserve"> </w:t>
      </w:r>
      <w:r w:rsidR="00AD52E7" w:rsidRPr="00526E3F">
        <w:t xml:space="preserve">Care costs, quality of life, and years with dementia are calculated for each </w:t>
      </w:r>
      <w:r w:rsidR="0036105D">
        <w:t xml:space="preserve">individual </w:t>
      </w:r>
      <w:r w:rsidR="00AD52E7" w:rsidRPr="00526E3F">
        <w:t xml:space="preserve">agent and </w:t>
      </w:r>
      <w:r w:rsidR="0036105D">
        <w:t xml:space="preserve">then </w:t>
      </w:r>
      <w:r w:rsidR="00AD52E7" w:rsidRPr="00526E3F">
        <w:t xml:space="preserve">aggregated at the population </w:t>
      </w:r>
      <w:r w:rsidR="00434AEC">
        <w:t>level and by progression type.</w:t>
      </w:r>
      <w:r w:rsidR="0036105D">
        <w:t xml:space="preserve"> </w:t>
      </w:r>
    </w:p>
    <w:p w14:paraId="456F88F2" w14:textId="77777777" w:rsidR="006F7396" w:rsidRPr="00526E3F" w:rsidRDefault="006F7396" w:rsidP="006F7396">
      <w:pPr>
        <w:pStyle w:val="Heading1"/>
      </w:pPr>
      <w:r w:rsidRPr="00526E3F">
        <w:t>4 System Dynamics model architecture</w:t>
      </w:r>
    </w:p>
    <w:p w14:paraId="1824CC9B" w14:textId="484717EB" w:rsidR="00031129" w:rsidRDefault="006F7396" w:rsidP="00AD52E7">
      <w:r w:rsidRPr="00526E3F">
        <w:t xml:space="preserve">The population is </w:t>
      </w:r>
      <w:r w:rsidR="00AD52E7" w:rsidRPr="00526E3F">
        <w:t xml:space="preserve">broken down </w:t>
      </w:r>
      <w:r w:rsidRPr="00526E3F">
        <w:t>into 5-year age groups from 65 to 105.</w:t>
      </w:r>
      <w:r w:rsidR="0010173A">
        <w:t xml:space="preserve"> </w:t>
      </w:r>
      <w:r w:rsidR="002669E9" w:rsidRPr="00526E3F">
        <w:t xml:space="preserve">The model </w:t>
      </w:r>
      <w:r w:rsidR="002669E9">
        <w:t>ex</w:t>
      </w:r>
      <w:r w:rsidR="002669E9" w:rsidRPr="00526E3F">
        <w:t>clude</w:t>
      </w:r>
      <w:r w:rsidR="002669E9">
        <w:t>s</w:t>
      </w:r>
      <w:r w:rsidR="002669E9" w:rsidRPr="00526E3F">
        <w:t xml:space="preserve"> early-onset dementia, so</w:t>
      </w:r>
      <w:r w:rsidR="002669E9">
        <w:t xml:space="preserve"> people in</w:t>
      </w:r>
      <w:r w:rsidR="002669E9" w:rsidRPr="00526E3F">
        <w:t xml:space="preserve"> </w:t>
      </w:r>
      <w:r w:rsidR="00C303DF">
        <w:t xml:space="preserve">the “entry” </w:t>
      </w:r>
      <w:r w:rsidR="002669E9">
        <w:t xml:space="preserve">stock </w:t>
      </w:r>
      <w:r w:rsidR="00C303DF">
        <w:t>[</w:t>
      </w:r>
      <w:r w:rsidR="002669E9" w:rsidRPr="00526E3F">
        <w:t>60</w:t>
      </w:r>
      <w:r w:rsidR="00C303DF">
        <w:t xml:space="preserve"> to </w:t>
      </w:r>
      <w:r w:rsidR="002669E9">
        <w:t>65</w:t>
      </w:r>
      <w:r w:rsidR="00C303DF">
        <w:t>]</w:t>
      </w:r>
      <w:r w:rsidR="002669E9">
        <w:t xml:space="preserve"> a</w:t>
      </w:r>
      <w:r w:rsidR="002669E9" w:rsidRPr="00526E3F">
        <w:t>re assumed to be cognitively normal</w:t>
      </w:r>
      <w:r w:rsidR="00C303DF">
        <w:t xml:space="preserve"> (CN)</w:t>
      </w:r>
      <w:r w:rsidR="002669E9" w:rsidRPr="00526E3F">
        <w:t>.</w:t>
      </w:r>
      <w:r w:rsidR="0010173A">
        <w:t xml:space="preserve"> </w:t>
      </w:r>
      <w:r w:rsidR="00AD52E7" w:rsidRPr="00526E3F">
        <w:t xml:space="preserve">As </w:t>
      </w:r>
      <w:r w:rsidR="00C303DF">
        <w:t>shown</w:t>
      </w:r>
      <w:r w:rsidR="00AD52E7" w:rsidRPr="00526E3F">
        <w:t xml:space="preserve"> in Figure 1, </w:t>
      </w:r>
      <w:r w:rsidR="00C303DF">
        <w:t>each</w:t>
      </w:r>
      <w:r w:rsidRPr="00526E3F">
        <w:t xml:space="preserve"> CN stock </w:t>
      </w:r>
      <w:r w:rsidR="00C303DF">
        <w:t>has two, age-related, outflows:</w:t>
      </w:r>
      <w:r w:rsidRPr="00526E3F">
        <w:t xml:space="preserve"> </w:t>
      </w:r>
      <w:r w:rsidR="00C303DF">
        <w:t xml:space="preserve">CN </w:t>
      </w:r>
      <w:r w:rsidRPr="00526E3F">
        <w:t>deaths and incident (</w:t>
      </w:r>
      <w:r w:rsidR="00BE6C97">
        <w:t>new) cases of dementia</w:t>
      </w:r>
      <w:r w:rsidR="00434AEC">
        <w:t xml:space="preserve">. </w:t>
      </w:r>
      <w:r w:rsidRPr="00526E3F">
        <w:t>A</w:t>
      </w:r>
      <w:r w:rsidR="003833DC" w:rsidRPr="00526E3F">
        <w:t>ge</w:t>
      </w:r>
      <w:r w:rsidR="00C77CDF" w:rsidRPr="00526E3F">
        <w:t xml:space="preserve">-related mortality is </w:t>
      </w:r>
      <w:r w:rsidRPr="00526E3F">
        <w:t xml:space="preserve">also </w:t>
      </w:r>
      <w:r w:rsidR="00C77CDF" w:rsidRPr="00526E3F">
        <w:t>applied to</w:t>
      </w:r>
      <w:r w:rsidR="003833DC" w:rsidRPr="00526E3F">
        <w:t xml:space="preserve"> each stock </w:t>
      </w:r>
      <w:r w:rsidR="00A77655" w:rsidRPr="00526E3F">
        <w:t xml:space="preserve">of people with </w:t>
      </w:r>
      <w:r w:rsidR="003833DC" w:rsidRPr="00526E3F">
        <w:t>dementia</w:t>
      </w:r>
      <w:r w:rsidR="00A77655" w:rsidRPr="00526E3F">
        <w:t xml:space="preserve"> (PWD). </w:t>
      </w:r>
      <w:r w:rsidR="00B94E8D">
        <w:t xml:space="preserve">The </w:t>
      </w:r>
      <w:r w:rsidR="00C303DF">
        <w:t>PWD</w:t>
      </w:r>
      <w:r w:rsidR="00B94E8D">
        <w:t xml:space="preserve"> </w:t>
      </w:r>
      <w:r w:rsidR="00C303DF">
        <w:t xml:space="preserve">cases </w:t>
      </w:r>
      <w:r w:rsidR="00B94E8D">
        <w:t xml:space="preserve">and </w:t>
      </w:r>
      <w:r w:rsidR="00C303DF">
        <w:t xml:space="preserve">PWD </w:t>
      </w:r>
      <w:r w:rsidR="00B94E8D">
        <w:t>death</w:t>
      </w:r>
      <w:r w:rsidR="00C303DF">
        <w:t>s</w:t>
      </w:r>
      <w:r w:rsidR="00B94E8D">
        <w:t xml:space="preserve"> </w:t>
      </w:r>
      <w:r w:rsidR="00031129">
        <w:t>stock levels</w:t>
      </w:r>
      <w:r w:rsidR="00B94E8D" w:rsidRPr="00526E3F">
        <w:t xml:space="preserve"> are monitored </w:t>
      </w:r>
      <w:r w:rsidR="002D568E">
        <w:t xml:space="preserve">at weekly intervals </w:t>
      </w:r>
      <w:r w:rsidR="00B94E8D" w:rsidRPr="00526E3F">
        <w:t xml:space="preserve">to control agent </w:t>
      </w:r>
      <w:r w:rsidR="00B94E8D">
        <w:t xml:space="preserve">creation and </w:t>
      </w:r>
      <w:r w:rsidR="00B94E8D" w:rsidRPr="00526E3F">
        <w:t>removal in the ABM component.</w:t>
      </w:r>
      <w:r w:rsidR="0010173A">
        <w:t xml:space="preserve"> </w:t>
      </w:r>
      <w:r w:rsidR="00C303DF">
        <w:t>Age-related m</w:t>
      </w:r>
      <w:r w:rsidR="00031129" w:rsidRPr="00526E3F">
        <w:t xml:space="preserve">ortality and incidence rates were estimated from published data </w:t>
      </w:r>
      <w:r w:rsidR="00031129">
        <w:t>(see Appendix</w:t>
      </w:r>
      <w:r w:rsidR="0036105D">
        <w:t xml:space="preserve"> A1</w:t>
      </w:r>
      <w:r w:rsidR="00031129">
        <w:t xml:space="preserve">). </w:t>
      </w:r>
    </w:p>
    <w:p w14:paraId="552A8876" w14:textId="35D1456B" w:rsidR="00A845D2" w:rsidRDefault="00810BCB" w:rsidP="00A845D2">
      <w:r>
        <w:t>C</w:t>
      </w:r>
      <w:r w:rsidR="00B94E8D" w:rsidRPr="0034606E">
        <w:t xml:space="preserve">onventional </w:t>
      </w:r>
      <w:r w:rsidR="00C460B0">
        <w:t xml:space="preserve">SD </w:t>
      </w:r>
      <w:r w:rsidR="00A10E04" w:rsidRPr="00526E3F">
        <w:t xml:space="preserve">ageing chains </w:t>
      </w:r>
      <w:r>
        <w:t>contain</w:t>
      </w:r>
      <w:r w:rsidR="00A10E04" w:rsidRPr="00526E3F">
        <w:t xml:space="preserve"> flows between </w:t>
      </w:r>
      <w:r w:rsidR="00774DA7" w:rsidRPr="00526E3F">
        <w:t>adjacent</w:t>
      </w:r>
      <w:r w:rsidR="00A10E04" w:rsidRPr="00526E3F">
        <w:t xml:space="preserve"> </w:t>
      </w:r>
      <w:r w:rsidR="005F5B95" w:rsidRPr="00526E3F">
        <w:t>age-</w:t>
      </w:r>
      <w:r w:rsidR="003D2697" w:rsidRPr="00526E3F">
        <w:t>group</w:t>
      </w:r>
      <w:r w:rsidR="005F5B95" w:rsidRPr="00526E3F">
        <w:t xml:space="preserve"> </w:t>
      </w:r>
      <w:r w:rsidR="00B45253" w:rsidRPr="00526E3F">
        <w:t>stocks</w:t>
      </w:r>
      <w:r>
        <w:t>,</w:t>
      </w:r>
      <w:r w:rsidR="0076712E">
        <w:t xml:space="preserve"> as</w:t>
      </w:r>
      <w:r w:rsidR="00B45253" w:rsidRPr="00526E3F">
        <w:t xml:space="preserve"> indicated in </w:t>
      </w:r>
      <w:r w:rsidR="00A10E04" w:rsidRPr="00526E3F">
        <w:t>Figure 1</w:t>
      </w:r>
      <w:r>
        <w:t>;</w:t>
      </w:r>
      <w:r w:rsidR="0010173A">
        <w:t xml:space="preserve"> </w:t>
      </w:r>
      <w:r w:rsidR="0036105D">
        <w:t xml:space="preserve">at each time step </w:t>
      </w:r>
      <m:oMath>
        <m:r>
          <w:rPr>
            <w:rFonts w:ascii="Cambria Math" w:hAnsi="Cambria Math"/>
          </w:rPr>
          <m:t>dt</m:t>
        </m:r>
      </m:oMath>
      <w:r w:rsidR="0036105D">
        <w:t>, material drains</w:t>
      </w:r>
      <w:r>
        <w:t xml:space="preserve"> from one stock </w:t>
      </w:r>
      <w:r w:rsidR="0036105D">
        <w:t xml:space="preserve">and flows into </w:t>
      </w:r>
      <w:r>
        <w:t>the next.</w:t>
      </w:r>
      <w:r w:rsidR="0010173A">
        <w:t xml:space="preserve"> </w:t>
      </w:r>
      <w:r>
        <w:t xml:space="preserve">The model presented here uses a </w:t>
      </w:r>
      <w:r w:rsidR="006126F0">
        <w:t>new</w:t>
      </w:r>
      <w:r>
        <w:t xml:space="preserve"> </w:t>
      </w:r>
      <w:r w:rsidR="00C77CDF" w:rsidRPr="00526E3F">
        <w:t>approach</w:t>
      </w:r>
      <w:r>
        <w:t>, and</w:t>
      </w:r>
      <w:r w:rsidR="00C77CDF" w:rsidRPr="00526E3F">
        <w:t xml:space="preserve"> instantaneously transfers </w:t>
      </w:r>
      <w:r>
        <w:t xml:space="preserve">the entire </w:t>
      </w:r>
      <w:r w:rsidR="001340F6" w:rsidRPr="00526E3F">
        <w:t xml:space="preserve">remaining </w:t>
      </w:r>
      <w:r>
        <w:t xml:space="preserve">contents of each </w:t>
      </w:r>
      <w:r w:rsidR="001340F6" w:rsidRPr="00526E3F">
        <w:t xml:space="preserve">stock (i.e. </w:t>
      </w:r>
      <w:r w:rsidR="00C77CDF" w:rsidRPr="00526E3F">
        <w:t>survivors</w:t>
      </w:r>
      <w:r w:rsidR="001340F6" w:rsidRPr="00526E3F">
        <w:t>)</w:t>
      </w:r>
      <w:r w:rsidR="00C77CDF" w:rsidRPr="00526E3F">
        <w:t xml:space="preserve"> at 5-year intervals</w:t>
      </w:r>
      <w:r w:rsidR="001340F6" w:rsidRPr="00526E3F">
        <w:t>.</w:t>
      </w:r>
      <w:r w:rsidR="0010173A">
        <w:t xml:space="preserve"> </w:t>
      </w:r>
      <w:r w:rsidR="00A845D2">
        <w:t>This is depicted in Figure 2; note the absence of horizontal flows between stocks.</w:t>
      </w:r>
      <w:r w:rsidR="0010173A">
        <w:t xml:space="preserve"> </w:t>
      </w:r>
      <w:r w:rsidR="006126F0">
        <w:t>A</w:t>
      </w:r>
      <w:r w:rsidR="00A845D2">
        <w:rPr>
          <w:rFonts w:eastAsiaTheme="minorEastAsia"/>
        </w:rPr>
        <w:t xml:space="preserve">geing </w:t>
      </w:r>
      <w:r w:rsidR="00A845D2" w:rsidRPr="00526E3F">
        <w:t>for both CN and PWD sub-populations is controlled by purpose-written c</w:t>
      </w:r>
      <w:r w:rsidR="00A845D2">
        <w:t xml:space="preserve">ode executed </w:t>
      </w:r>
      <w:r w:rsidR="00A845D2" w:rsidRPr="00526E3F">
        <w:t>at 5-year intervals.</w:t>
      </w:r>
      <w:r w:rsidR="0010173A">
        <w:t xml:space="preserve"> </w:t>
      </w:r>
      <w:r w:rsidR="00A845D2" w:rsidRPr="00526E3F">
        <w:t xml:space="preserve">First, the remaining </w:t>
      </w:r>
      <w:r w:rsidR="00A845D2">
        <w:t>contents of</w:t>
      </w:r>
      <w:r w:rsidR="00A845D2" w:rsidRPr="00526E3F">
        <w:t xml:space="preserve"> </w:t>
      </w:r>
      <w:r w:rsidR="00A845D2">
        <w:t xml:space="preserve">the penultimate </w:t>
      </w:r>
      <w:r w:rsidR="00A845D2" w:rsidRPr="00526E3F">
        <w:t xml:space="preserve">stock [95 to 100] </w:t>
      </w:r>
      <w:r w:rsidR="00A845D2">
        <w:t>are</w:t>
      </w:r>
      <w:r w:rsidR="00A845D2" w:rsidRPr="00526E3F">
        <w:t xml:space="preserve"> moved to stock [100 to 105]. Next, the contents of stock [90 to 95] </w:t>
      </w:r>
      <w:r w:rsidR="00A845D2">
        <w:t>are</w:t>
      </w:r>
      <w:r w:rsidR="00A845D2" w:rsidRPr="00526E3F">
        <w:t xml:space="preserve"> moved to stock [95 to 100]</w:t>
      </w:r>
      <w:r w:rsidR="00A845D2">
        <w:t>, and so on</w:t>
      </w:r>
      <w:r w:rsidR="00A845D2" w:rsidRPr="00526E3F">
        <w:t xml:space="preserve"> down the age groups until each stock has been aged and </w:t>
      </w:r>
      <w:r w:rsidR="00A845D2">
        <w:t xml:space="preserve">the population </w:t>
      </w:r>
      <w:r w:rsidR="00A845D2" w:rsidRPr="00526E3F">
        <w:t xml:space="preserve">is subject to new mortality and incidence rates for the next five years of modelled time. </w:t>
      </w:r>
    </w:p>
    <w:p w14:paraId="2A4AE3F1" w14:textId="77777777" w:rsidR="00846B44" w:rsidRPr="00526E3F" w:rsidRDefault="002B520C" w:rsidP="008D71D0">
      <w:pPr>
        <w:pStyle w:val="Picture"/>
        <w:keepNext/>
        <w:keepLines/>
      </w:pPr>
      <w:r w:rsidRPr="00526E3F">
        <w:drawing>
          <wp:inline distT="0" distB="0" distL="0" distR="0" wp14:anchorId="7AEAC73B" wp14:editId="53CFBED2">
            <wp:extent cx="2533313" cy="238835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32"/>
                    <a:stretch/>
                  </pic:blipFill>
                  <pic:spPr bwMode="auto">
                    <a:xfrm>
                      <a:off x="0" y="0"/>
                      <a:ext cx="2551493" cy="2405499"/>
                    </a:xfrm>
                    <a:prstGeom prst="rect">
                      <a:avLst/>
                    </a:prstGeom>
                    <a:ln>
                      <a:noFill/>
                    </a:ln>
                    <a:extLst>
                      <a:ext uri="{53640926-AAD7-44D8-BBD7-CCE9431645EC}">
                        <a14:shadowObscured xmlns:a14="http://schemas.microsoft.com/office/drawing/2010/main"/>
                      </a:ext>
                    </a:extLst>
                  </pic:spPr>
                </pic:pic>
              </a:graphicData>
            </a:graphic>
          </wp:inline>
        </w:drawing>
      </w:r>
    </w:p>
    <w:p w14:paraId="16175FB5" w14:textId="4E90ED04" w:rsidR="00B055DE" w:rsidRPr="00526E3F" w:rsidRDefault="00B055DE" w:rsidP="008D71D0">
      <w:pPr>
        <w:pStyle w:val="Caption"/>
        <w:ind w:left="0"/>
      </w:pPr>
      <w:bookmarkStart w:id="1" w:name="_Ref10017887"/>
      <w:r w:rsidRPr="00526E3F">
        <w:t xml:space="preserve">Figure </w:t>
      </w:r>
      <w:r w:rsidR="00575082" w:rsidRPr="00526E3F">
        <w:rPr>
          <w:noProof/>
        </w:rPr>
        <w:fldChar w:fldCharType="begin"/>
      </w:r>
      <w:r w:rsidR="00575082" w:rsidRPr="00526E3F">
        <w:rPr>
          <w:noProof/>
        </w:rPr>
        <w:instrText xml:space="preserve"> SEQ Figure \* ARABIC </w:instrText>
      </w:r>
      <w:r w:rsidR="00575082" w:rsidRPr="00526E3F">
        <w:rPr>
          <w:noProof/>
        </w:rPr>
        <w:fldChar w:fldCharType="separate"/>
      </w:r>
      <w:r w:rsidR="0020511F">
        <w:rPr>
          <w:noProof/>
        </w:rPr>
        <w:t>2</w:t>
      </w:r>
      <w:r w:rsidR="00575082" w:rsidRPr="00526E3F">
        <w:rPr>
          <w:noProof/>
        </w:rPr>
        <w:fldChar w:fldCharType="end"/>
      </w:r>
      <w:bookmarkEnd w:id="1"/>
      <w:r w:rsidR="002273FA">
        <w:t xml:space="preserve">   </w:t>
      </w:r>
      <w:r w:rsidR="00156D4A">
        <w:t xml:space="preserve">Adjacent </w:t>
      </w:r>
      <w:r w:rsidR="00156D4A" w:rsidRPr="00526E3F">
        <w:t>age group</w:t>
      </w:r>
      <w:r w:rsidR="00156D4A">
        <w:t>s</w:t>
      </w:r>
      <w:r w:rsidR="00156D4A" w:rsidRPr="00526E3F">
        <w:t xml:space="preserve"> </w:t>
      </w:r>
      <w:r w:rsidR="00BF233B">
        <w:t xml:space="preserve">[x,x+5] and [x+5,x+10] </w:t>
      </w:r>
      <w:r w:rsidRPr="009E55B3">
        <w:t>with</w:t>
      </w:r>
      <w:r w:rsidR="00BF233B" w:rsidRPr="009E55B3">
        <w:t xml:space="preserve"> no</w:t>
      </w:r>
      <w:r w:rsidRPr="009E55B3">
        <w:t xml:space="preserve"> flows</w:t>
      </w:r>
      <w:r w:rsidRPr="00526E3F">
        <w:t xml:space="preserve"> between </w:t>
      </w:r>
      <w:r w:rsidR="00BF233B">
        <w:t>age bands</w:t>
      </w:r>
    </w:p>
    <w:p w14:paraId="7BD0BCF5" w14:textId="77777777" w:rsidR="00A845D2" w:rsidRDefault="00A845D2" w:rsidP="00A845D2"/>
    <w:p w14:paraId="17048DB3" w14:textId="7B723347" w:rsidR="00A845D2" w:rsidRDefault="003D440A" w:rsidP="00A845D2">
      <w:r w:rsidRPr="00526E3F">
        <w:lastRenderedPageBreak/>
        <w:t>T</w:t>
      </w:r>
      <w:r w:rsidR="00095F91" w:rsidRPr="00526E3F">
        <w:t>his approach</w:t>
      </w:r>
      <w:r w:rsidR="00C460B0">
        <w:t xml:space="preserve"> assumes</w:t>
      </w:r>
      <w:r w:rsidR="00C460B0" w:rsidRPr="00526E3F">
        <w:t xml:space="preserve"> </w:t>
      </w:r>
      <w:r w:rsidR="00C460B0">
        <w:t xml:space="preserve">that </w:t>
      </w:r>
      <w:r w:rsidR="00C460B0" w:rsidRPr="00526E3F">
        <w:t xml:space="preserve">the average age </w:t>
      </w:r>
      <w:r w:rsidR="00C460B0">
        <w:t>in</w:t>
      </w:r>
      <w:r w:rsidR="00C460B0" w:rsidRPr="00526E3F">
        <w:t xml:space="preserve"> each age group stock</w:t>
      </w:r>
      <w:r w:rsidR="00C460B0">
        <w:t xml:space="preserve"> remains unchanged over the 5-year period, and hence the age-related </w:t>
      </w:r>
      <w:r w:rsidR="00C460B0" w:rsidRPr="00526E3F">
        <w:t>mortality and incidence rates</w:t>
      </w:r>
      <w:r w:rsidR="00C460B0">
        <w:t xml:space="preserve"> also remain unchanged. This relatively minor assumption</w:t>
      </w:r>
      <w:r w:rsidR="00A845D2">
        <w:rPr>
          <w:rFonts w:eastAsiaTheme="minorEastAsia"/>
        </w:rPr>
        <w:t xml:space="preserve"> </w:t>
      </w:r>
      <w:r w:rsidR="00C460B0" w:rsidRPr="00526E3F">
        <w:t xml:space="preserve">significantly simplifies </w:t>
      </w:r>
      <w:r w:rsidR="00C460B0">
        <w:t xml:space="preserve">the standard </w:t>
      </w:r>
      <w:r w:rsidR="00C460B0" w:rsidRPr="00526E3F">
        <w:t>approaches</w:t>
      </w:r>
      <w:r w:rsidR="00C460B0">
        <w:t xml:space="preserve"> in the literature</w:t>
      </w:r>
      <w:r w:rsidR="00C460B0" w:rsidRPr="00526E3F">
        <w:t xml:space="preserve"> </w:t>
      </w:r>
      <w:r w:rsidR="00C460B0" w:rsidRPr="00526E3F">
        <w:fldChar w:fldCharType="begin" w:fldLock="1"/>
      </w:r>
      <w:r w:rsidR="00C460B0" w:rsidRPr="00526E3F">
        <w:instrText>ADDIN CSL_CITATION {"citationItems":[{"id":"ITEM-1","itemData":{"DOI":"10.1108/13673270210417646","ISBN":"007238915X","ISSN":"13673270","PMID":"1274192","abstract":"Accelerating economic, technological, social, and environmental change challenge managers and policy makers to learn at increasing rates, while at the same time the complexity of the systems in which we live is growing. Many of the problems we now face arise as unanticipated side effects of our own past actions. All too often the policies we implement to solve important problems fail, make the problem worse, or create new problems. Effective decision making and learning in a world of growing dynamic complexity requires us to become systems thinkersto expand the boundaries of our mental models and develop tools to understand how the structure of complex systems creates their behavior. This book introduces you to system dynamics modeling for the analysis of policy and strategy, with a focus on business and public policy applications. System dynamics is a perspective and set of conceptual tools that enable us to understand the structure and dynamics of complex systems. System dynamics is also a rigorous modeling method that enables us to build formal computer simulations of complex systems and use them to design more effective policies and organizations. Together, these tools allow us to create management flight simulatorsmicroworlds where space and time can be compressed and slowed so we can experience the long-term side effects of decisions, speed learning, develop our understanding of complex systems, and design structures and strategies for greater success.","author":[{"dropping-particle":"","family":"Sterman","given":"J D","non-dropping-particle":"","parse-names":false,"suffix":""}],"container-title":"Management","id":"ITEM-1","issued":{"date-parts":[["2000"]]},"number-of-pages":"1-982","publisher":"McGraw-Hill","publisher-place":"USA","title":"Systems Thinking and Modeling for a Complex World","type":"book"},"uris":["http://www.mendeley.com/documents/?uuid=91fc5347-fd12-46da-b30c-43fcf82ab586"]},{"id":"ITEM-2","itemData":{"abstract":"Aggregate continuous time formulations used in System Dynamics models result in the implicit mixing of individual constituents of levels. Normally, this is acceptable as the heterogeneous nature of model variables implies that some individuals counted in a level’s value will pass others and exit earlier. In models with a focus on chronological aging and age-related characteristics this phenomenon, which we call cohort blending, can result in large distortions. Though these distortions can be reduced by using aging chains, they persist in a significant way even when using one-year grouping in the aging chains. As an alternative, we introduce an approach we call “continuous cohorting” in which populations are tracked with cohorts sized the same as the computational interval of the model. This approach eliminates the blending problem with minimal notational and moderate computational burden. The resulting models display quantitative, though limited qualitative, differences from their traditional counterparts and are more easily defensible with demographers and others who study population.","author":[{"dropping-particle":"","family":"Eberlein","given":"Robert","non-dropping-particle":"","parse-names":false,"suffix":""},{"dropping-particle":"","family":"Thompson","given":"James","non-dropping-particle":"","parse-names":false,"suffix":""}],"container-title":"Proceedings of the 30th International Conference of the System Dynamics Society","id":"ITEM-2","issue":"2000","issued":{"date-parts":[["2012"]]},"page":"1-22","title":"Chronological Aging in Continuous Time","type":"paper-conference"},"uris":["http://www.mendeley.com/documents/?uuid=3f16da55-7b67-48f1-9dec-6595d3da8862"]},{"id":"ITEM-3","itemData":{"DOI":"10.1002/sdr.1497","ISBN":"0","ISSN":"08837066","abstract":"Aggregate continuous time formulations used in system dynamics models result in the implicit mixing of individual constituents of levels. Normally, this is acceptable as the heterogeneous nature of model variables implies that some individuals counted in a level's value will pass others and exit earlier. In models with a focus on chronological aging and age-related characteristics, this phenomenon, which we call cohort blending, can result in large distortions. Using aging chains can reduce these distortions, but cohort blending persists even with one-year groupings. As an alternative, we introduce an approach we call \"continuous cohorting\" in which populations are tracked with cohorts sized the same as the computational interval of the model. This approach eliminates the blending problem with minimal notational and moderate computational burden. The resulting models display quantitative, though limited qualitative, differences from their traditional counterparts and are more easily defensible with demographers and others who study population dynamics. [PUBLICATION ABSTRACT]","author":[{"dropping-particle":"","family":"Eberlein","given":"Robert L.","non-dropping-particle":"","parse-names":false,"suffix":""},{"dropping-particle":"","family":"Thompson","given":"James P.","non-dropping-particle":"","parse-names":false,"suffix":""}],"container-title":"System Dynamics Review","id":"ITEM-3","issue":"2","issued":{"date-parts":[["2013"]]},"note":"folder","page":"87-101","title":"Precise modeling of aging populations","type":"article-journal","volume":"29"},"uris":["http://www.mendeley.com/documents/?uuid=f31a3495-5c9d-4a91-9e17-d4544e1085f9"]}],"mendeley":{"formattedCitation":"(Sterman, 2000; Eberlein and Thompson, 2012; Eberlein and Thompson, 2013)","plainTextFormattedCitation":"(Sterman, 2000; Eberlein and Thompson, 2012; Eberlein and Thompson, 2013)","previouslyFormattedCitation":"(Sterman, 2000; Eberlein and Thompson, 2012; Eberlein and Thompson, 2013)"},"properties":{"noteIndex":0},"schema":"https://github.com/citation-style-language/schema/raw/master/csl-citation.json"}</w:instrText>
      </w:r>
      <w:r w:rsidR="00C460B0" w:rsidRPr="00526E3F">
        <w:fldChar w:fldCharType="separate"/>
      </w:r>
      <w:r w:rsidR="00C460B0" w:rsidRPr="00526E3F">
        <w:rPr>
          <w:noProof/>
        </w:rPr>
        <w:t>(Sterman, 2000; Eberlein and Thompson, 2012; Eberlein and Thompson, 2013)</w:t>
      </w:r>
      <w:r w:rsidR="00C460B0" w:rsidRPr="00526E3F">
        <w:fldChar w:fldCharType="end"/>
      </w:r>
      <w:r w:rsidR="00C460B0">
        <w:t xml:space="preserve"> and </w:t>
      </w:r>
      <w:r w:rsidR="00A845D2">
        <w:rPr>
          <w:rFonts w:eastAsiaTheme="minorEastAsia"/>
        </w:rPr>
        <w:t>avoid</w:t>
      </w:r>
      <w:r w:rsidR="00C460B0">
        <w:rPr>
          <w:rFonts w:eastAsiaTheme="minorEastAsia"/>
        </w:rPr>
        <w:t>s</w:t>
      </w:r>
      <w:r w:rsidR="00A845D2">
        <w:rPr>
          <w:rFonts w:eastAsiaTheme="minorEastAsia"/>
        </w:rPr>
        <w:t xml:space="preserve"> </w:t>
      </w:r>
      <w:r w:rsidR="00C460B0">
        <w:rPr>
          <w:rFonts w:eastAsiaTheme="minorEastAsia"/>
        </w:rPr>
        <w:t xml:space="preserve">the considerable </w:t>
      </w:r>
      <w:r w:rsidR="00A845D2">
        <w:rPr>
          <w:rFonts w:eastAsiaTheme="minorEastAsia"/>
        </w:rPr>
        <w:t xml:space="preserve">complications </w:t>
      </w:r>
      <w:r w:rsidR="006126F0">
        <w:rPr>
          <w:rFonts w:eastAsiaTheme="minorEastAsia"/>
        </w:rPr>
        <w:t xml:space="preserve">of stock mixing </w:t>
      </w:r>
      <w:r w:rsidR="00C460B0">
        <w:rPr>
          <w:rFonts w:eastAsiaTheme="minorEastAsia"/>
        </w:rPr>
        <w:t xml:space="preserve">that would otherwise arise </w:t>
      </w:r>
      <w:r w:rsidR="00A845D2">
        <w:rPr>
          <w:rFonts w:eastAsiaTheme="minorEastAsia"/>
        </w:rPr>
        <w:t xml:space="preserve">due to differences </w:t>
      </w:r>
      <w:r w:rsidR="00C460B0">
        <w:rPr>
          <w:rFonts w:eastAsiaTheme="minorEastAsia"/>
        </w:rPr>
        <w:t>between</w:t>
      </w:r>
      <w:r w:rsidR="00A845D2">
        <w:rPr>
          <w:rFonts w:eastAsiaTheme="minorEastAsia"/>
        </w:rPr>
        <w:t xml:space="preserve"> inflows and outflows.</w:t>
      </w:r>
      <w:r w:rsidR="0010173A">
        <w:rPr>
          <w:rFonts w:eastAsiaTheme="minorEastAsia"/>
        </w:rPr>
        <w:t xml:space="preserve"> </w:t>
      </w:r>
      <w:r w:rsidR="00F00C17">
        <w:rPr>
          <w:rFonts w:eastAsiaTheme="minorEastAsia"/>
        </w:rPr>
        <w:t xml:space="preserve">This was </w:t>
      </w:r>
      <w:r w:rsidR="005C2B37">
        <w:rPr>
          <w:rFonts w:eastAsiaTheme="minorEastAsia"/>
        </w:rPr>
        <w:t>fairly straightforward</w:t>
      </w:r>
      <w:r w:rsidR="00F00C17">
        <w:rPr>
          <w:rFonts w:eastAsiaTheme="minorEastAsia"/>
        </w:rPr>
        <w:t xml:space="preserve"> </w:t>
      </w:r>
      <w:r w:rsidR="005C2B37">
        <w:rPr>
          <w:rFonts w:eastAsiaTheme="minorEastAsia"/>
        </w:rPr>
        <w:t xml:space="preserve">to </w:t>
      </w:r>
      <w:r w:rsidR="00F00C17">
        <w:rPr>
          <w:rFonts w:eastAsiaTheme="minorEastAsia"/>
        </w:rPr>
        <w:t>implement in the simulation model, but the corresponding analytical formulation would be very difficult to solve: see</w:t>
      </w:r>
      <w:r w:rsidR="00A845D2">
        <w:t xml:space="preserve"> Appendi</w:t>
      </w:r>
      <w:r w:rsidR="009E55B3">
        <w:t>ces</w:t>
      </w:r>
      <w:r w:rsidR="00A845D2">
        <w:t xml:space="preserve"> A3</w:t>
      </w:r>
      <w:r w:rsidR="009E55B3">
        <w:t xml:space="preserve"> and A4</w:t>
      </w:r>
      <w:r w:rsidR="00A845D2">
        <w:t>.</w:t>
      </w:r>
      <w:r w:rsidR="0010173A">
        <w:t xml:space="preserve"> </w:t>
      </w:r>
    </w:p>
    <w:p w14:paraId="6EBA0280" w14:textId="77777777" w:rsidR="00E64820" w:rsidRPr="00BE6C97" w:rsidRDefault="00C82266" w:rsidP="00BE6C97">
      <w:pPr>
        <w:pStyle w:val="Heading1"/>
      </w:pPr>
      <w:r w:rsidRPr="00BE6C97">
        <w:t xml:space="preserve">5 </w:t>
      </w:r>
      <w:r w:rsidR="001B54A6" w:rsidRPr="00BE6C97">
        <w:t>Agent-based</w:t>
      </w:r>
      <w:r w:rsidR="001300D9" w:rsidRPr="00BE6C97">
        <w:t xml:space="preserve"> model architecture</w:t>
      </w:r>
    </w:p>
    <w:p w14:paraId="70FEDC56" w14:textId="3B02105A" w:rsidR="00A95868" w:rsidRPr="00526E3F" w:rsidRDefault="006F3062" w:rsidP="00102D9C">
      <w:r>
        <w:t>E</w:t>
      </w:r>
      <w:r w:rsidR="00417C46" w:rsidRPr="00526E3F">
        <w:t xml:space="preserve">ach agent has its own instantiation of </w:t>
      </w:r>
      <w:r w:rsidR="000C7008" w:rsidRPr="00526E3F">
        <w:t>a</w:t>
      </w:r>
      <w:r w:rsidR="00417C46" w:rsidRPr="00526E3F">
        <w:t xml:space="preserve"> </w:t>
      </w:r>
      <w:r w:rsidR="000C7008" w:rsidRPr="00526E3F">
        <w:t xml:space="preserve">generic </w:t>
      </w:r>
      <w:r w:rsidR="00417C46" w:rsidRPr="00526E3F">
        <w:t>statechart</w:t>
      </w:r>
      <w:r w:rsidR="000C7008" w:rsidRPr="00526E3F">
        <w:t xml:space="preserve"> that describes all the possible states </w:t>
      </w:r>
      <w:r w:rsidR="001F0C18">
        <w:t xml:space="preserve">it can be in </w:t>
      </w:r>
      <w:r w:rsidR="000C7008" w:rsidRPr="00526E3F">
        <w:t>and the transitions between them</w:t>
      </w:r>
      <w:r w:rsidR="00BE1361" w:rsidRPr="00526E3F">
        <w:t>.</w:t>
      </w:r>
      <w:r w:rsidR="0010173A">
        <w:t xml:space="preserve"> </w:t>
      </w:r>
      <w:r w:rsidR="001B54A6" w:rsidRPr="00526E3F">
        <w:t>A</w:t>
      </w:r>
      <w:r w:rsidR="00102D9C">
        <w:t xml:space="preserve">gents </w:t>
      </w:r>
      <w:r w:rsidR="00A95868" w:rsidRPr="00526E3F">
        <w:t>flow through the statechart</w:t>
      </w:r>
      <w:r w:rsidR="001F0C18">
        <w:t xml:space="preserve"> </w:t>
      </w:r>
      <w:r w:rsidR="00A95868" w:rsidRPr="00526E3F">
        <w:t>under the control of transition</w:t>
      </w:r>
      <w:r w:rsidR="00A142BE" w:rsidRPr="00526E3F">
        <w:t xml:space="preserve"> routing</w:t>
      </w:r>
      <w:r w:rsidR="00A95868" w:rsidRPr="00526E3F">
        <w:t>s and conditional logic</w:t>
      </w:r>
      <w:r w:rsidR="00163A90">
        <w:t xml:space="preserve">, depicted </w:t>
      </w:r>
      <w:r w:rsidR="006126F0">
        <w:t xml:space="preserve">conceptually </w:t>
      </w:r>
      <w:r w:rsidR="00163A90">
        <w:t>in Figure 3</w:t>
      </w:r>
      <w:r w:rsidR="00557A8F" w:rsidRPr="00526E3F">
        <w:t xml:space="preserve">. </w:t>
      </w:r>
    </w:p>
    <w:p w14:paraId="5AC1D650" w14:textId="77777777" w:rsidR="001C0968" w:rsidRPr="00526E3F" w:rsidRDefault="001C0968" w:rsidP="001B54A6">
      <w:pPr>
        <w:pStyle w:val="Picture"/>
      </w:pPr>
      <w:r w:rsidRPr="00526E3F">
        <w:drawing>
          <wp:inline distT="0" distB="0" distL="0" distR="0" wp14:anchorId="3E451081" wp14:editId="49078635">
            <wp:extent cx="4724207" cy="2317315"/>
            <wp:effectExtent l="0" t="0" r="63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9429" cy="2334592"/>
                    </a:xfrm>
                    <a:prstGeom prst="rect">
                      <a:avLst/>
                    </a:prstGeom>
                    <a:noFill/>
                  </pic:spPr>
                </pic:pic>
              </a:graphicData>
            </a:graphic>
          </wp:inline>
        </w:drawing>
      </w:r>
    </w:p>
    <w:p w14:paraId="5947A7C8" w14:textId="1711B6E9" w:rsidR="00F235A6" w:rsidRPr="00526E3F" w:rsidRDefault="00F235A6" w:rsidP="00E74E88">
      <w:pPr>
        <w:pStyle w:val="Caption"/>
      </w:pPr>
      <w:bookmarkStart w:id="2" w:name="_Ref5616664"/>
      <w:r w:rsidRPr="00526E3F">
        <w:t xml:space="preserve">Figure </w:t>
      </w:r>
      <w:r w:rsidR="004F0245" w:rsidRPr="00526E3F">
        <w:rPr>
          <w:noProof/>
        </w:rPr>
        <w:fldChar w:fldCharType="begin"/>
      </w:r>
      <w:r w:rsidR="004F0245" w:rsidRPr="00526E3F">
        <w:rPr>
          <w:noProof/>
        </w:rPr>
        <w:instrText xml:space="preserve"> SEQ Figure \* ARABIC </w:instrText>
      </w:r>
      <w:r w:rsidR="004F0245" w:rsidRPr="00526E3F">
        <w:rPr>
          <w:noProof/>
        </w:rPr>
        <w:fldChar w:fldCharType="separate"/>
      </w:r>
      <w:r w:rsidR="0020511F">
        <w:rPr>
          <w:noProof/>
        </w:rPr>
        <w:t>3</w:t>
      </w:r>
      <w:r w:rsidR="004F0245" w:rsidRPr="00526E3F">
        <w:rPr>
          <w:noProof/>
        </w:rPr>
        <w:fldChar w:fldCharType="end"/>
      </w:r>
      <w:bookmarkEnd w:id="2"/>
      <w:r w:rsidR="002273FA">
        <w:t xml:space="preserve">   </w:t>
      </w:r>
      <w:r w:rsidRPr="00526E3F">
        <w:t>A</w:t>
      </w:r>
      <w:r w:rsidR="001B54A6" w:rsidRPr="00526E3F">
        <w:t>gent-based severity progression concept</w:t>
      </w:r>
    </w:p>
    <w:p w14:paraId="2CFC9300" w14:textId="1699523C" w:rsidR="00537428" w:rsidRDefault="00537428" w:rsidP="00962990"/>
    <w:p w14:paraId="4B155C7A" w14:textId="77777777" w:rsidR="00CC39F5" w:rsidRPr="00526E3F" w:rsidRDefault="00CC39F5" w:rsidP="00CC39F5">
      <w:pPr>
        <w:pStyle w:val="Heading2"/>
      </w:pPr>
      <w:r w:rsidRPr="00526E3F">
        <w:t>5.1 Agent creation and attribute allocation</w:t>
      </w:r>
    </w:p>
    <w:p w14:paraId="4E6B8F35" w14:textId="3AA95F6F" w:rsidR="00066D57" w:rsidRPr="00526E3F" w:rsidRDefault="00CC39F5" w:rsidP="00CC39F5">
      <w:r w:rsidRPr="00526E3F">
        <w:t xml:space="preserve">When an agent is created, it is allocated several attributes which determine </w:t>
      </w:r>
      <w:r>
        <w:t>its</w:t>
      </w:r>
      <w:r w:rsidRPr="00526E3F">
        <w:t xml:space="preserve"> behaviour. Each agent is allocated a</w:t>
      </w:r>
      <w:r w:rsidR="00D2743C">
        <w:t xml:space="preserve"> unique</w:t>
      </w:r>
      <w:r w:rsidRPr="00526E3F">
        <w:t xml:space="preserve"> ID number, progression type (</w:t>
      </w:r>
      <w:r w:rsidRPr="00526E3F">
        <w:rPr>
          <w:i/>
        </w:rPr>
        <w:t>slow</w:t>
      </w:r>
      <w:r w:rsidRPr="00526E3F">
        <w:t xml:space="preserve">, </w:t>
      </w:r>
      <w:r w:rsidRPr="00526E3F">
        <w:rPr>
          <w:i/>
          <w:iCs/>
        </w:rPr>
        <w:t>intermediate</w:t>
      </w:r>
      <w:r w:rsidRPr="00526E3F">
        <w:t xml:space="preserve">, and </w:t>
      </w:r>
      <w:r w:rsidRPr="00526E3F">
        <w:rPr>
          <w:i/>
        </w:rPr>
        <w:t>fast</w:t>
      </w:r>
      <w:r w:rsidRPr="00526E3F">
        <w:t>),</w:t>
      </w:r>
      <w:r w:rsidR="0010173A">
        <w:t xml:space="preserve"> </w:t>
      </w:r>
      <w:r w:rsidR="00D2743C">
        <w:t xml:space="preserve">individual </w:t>
      </w:r>
      <w:r>
        <w:t>p</w:t>
      </w:r>
      <w:r w:rsidRPr="00526E3F">
        <w:t>rogression rate parameters</w:t>
      </w:r>
      <w:r>
        <w:t>,</w:t>
      </w:r>
      <w:r w:rsidRPr="00526E3F">
        <w:t xml:space="preserve"> potential response to medication (</w:t>
      </w:r>
      <w:r w:rsidRPr="00526E3F">
        <w:rPr>
          <w:i/>
        </w:rPr>
        <w:t>positive</w:t>
      </w:r>
      <w:r w:rsidRPr="00526E3F">
        <w:t xml:space="preserve"> or not), and a lifestyle response (</w:t>
      </w:r>
      <w:r w:rsidRPr="00526E3F">
        <w:rPr>
          <w:i/>
        </w:rPr>
        <w:t xml:space="preserve">more healthy </w:t>
      </w:r>
      <w:r w:rsidRPr="00526E3F">
        <w:t>or not).</w:t>
      </w:r>
      <w:r w:rsidR="0010173A">
        <w:t xml:space="preserve"> </w:t>
      </w:r>
      <w:r>
        <w:t>The</w:t>
      </w:r>
      <w:r w:rsidR="00987793">
        <w:t xml:space="preserve"> values of</w:t>
      </w:r>
      <w:r>
        <w:t xml:space="preserve"> </w:t>
      </w:r>
      <w:r w:rsidR="00987793">
        <w:t xml:space="preserve">these </w:t>
      </w:r>
      <w:r>
        <w:t>a</w:t>
      </w:r>
      <w:r w:rsidRPr="00526E3F">
        <w:t xml:space="preserve">ttributes are </w:t>
      </w:r>
      <w:r>
        <w:t xml:space="preserve">sampled from the </w:t>
      </w:r>
      <w:r w:rsidRPr="00526E3F">
        <w:t>probability distributions</w:t>
      </w:r>
      <w:r>
        <w:t xml:space="preserve"> described in Appendix A6.</w:t>
      </w:r>
      <w:r w:rsidR="0010173A">
        <w:t xml:space="preserve"> </w:t>
      </w:r>
      <w:r w:rsidR="00987793">
        <w:t>D</w:t>
      </w:r>
      <w:r w:rsidR="00987793" w:rsidRPr="00526E3F">
        <w:t xml:space="preserve">ementia severity </w:t>
      </w:r>
      <w:r w:rsidR="00987793">
        <w:t>is represented by t</w:t>
      </w:r>
      <w:r w:rsidRPr="00526E3F">
        <w:t xml:space="preserve">he </w:t>
      </w:r>
      <w:r w:rsidR="00987793">
        <w:t xml:space="preserve">score in the </w:t>
      </w:r>
      <w:r w:rsidRPr="00526E3F">
        <w:t>mini</w:t>
      </w:r>
      <w:r w:rsidR="00987793">
        <w:t xml:space="preserve"> </w:t>
      </w:r>
      <w:r w:rsidRPr="00526E3F">
        <w:t>mental state exam (MMSE)</w:t>
      </w:r>
      <w:r w:rsidR="00987793">
        <w:t>,</w:t>
      </w:r>
      <w:r w:rsidRPr="00526E3F">
        <w:t xml:space="preserve"> a commonly used clinical instrument </w:t>
      </w:r>
      <w:r>
        <w:t>to</w:t>
      </w:r>
      <w:r w:rsidRPr="00526E3F">
        <w:t xml:space="preserve"> assess a person’s cognitive state </w:t>
      </w:r>
      <w:r w:rsidRPr="00526E3F">
        <w:fldChar w:fldCharType="begin" w:fldLock="1"/>
      </w:r>
      <w:r w:rsidRPr="00526E3F">
        <w:instrText>ADDIN CSL_CITATION {"citationItems":[{"id":"ITEM-1","itemData":{"DOI":"10.1177/1756.","author":[{"dropping-particle":"","family":"Sheehan","given":"Bartley","non-dropping-particle":"","parse-names":false,"suffix":""}],"container-title":"Therapeutic Advances in Neurological Disorders","id":"ITEM-1","issue":"6","issued":{"date-parts":[["2012"]]},"page":"349-358","title":"Assessment scales in dementia","type":"article-journal","volume":"5"},"uris":["http://www.mendeley.com/documents/?uuid=754208ba-ea1b-4cb4-a228-60cedc5d34a2"]},{"id":"ITEM-2","itemData":{"DOI":"10.1016/0022-3956(75)90026-6","ISBN":"0022-3956 (Print)\\n0022-3956 (Linking)","ISSN":"00223956","PMID":"1202204","abstract":"We devised a simplified, scored form of the cognitive mental status examination, the “Mini-Mental State” (MMS) which includes eleven questions, requires only 5-10 min to administer, and is therefore practical to use serially and routinely. It is “mini” because it concentrates only on the cognitive aspects of mental functions, and excludes questions concerning mood, abnormal mental experiences and the form of thinking.","author":[{"dropping-particle":"","family":"Folstein","given":"Marshal F.","non-dropping-particle":"","parse-names":false,"suffix":""},{"dropping-particle":"","family":"Folstein","given":"Susan E.","non-dropping-particle":"","parse-names":false,"suffix":""},{"dropping-particle":"","family":"McHugh","given":"Paul R.","non-dropping-particle":"","parse-names":false,"suffix":""}],"container-title":"Journal of Psychiatric Research","id":"ITEM-2","issue":"3","issued":{"date-parts":[["1975","11"]]},"page":"189-198","title":"“Mini-mental state”","type":"article-journal","volume":"12"},"uris":["http://www.mendeley.com/documents/?uuid=36c44c97-ed40-42f7-b2da-04aa7a313a47"]}],"mendeley":{"formattedCitation":"(Sheehan, 2012; Folstein et al., 1975)","plainTextFormattedCitation":"(Sheehan, 2012; Folstein et al., 1975)","previouslyFormattedCitation":"(Sheehan, 2012; Folstein et al., 1975)"},"properties":{"noteIndex":0},"schema":"https://github.com/citation-style-language/schema/raw/master/csl-citation.json"}</w:instrText>
      </w:r>
      <w:r w:rsidRPr="00526E3F">
        <w:fldChar w:fldCharType="separate"/>
      </w:r>
      <w:r w:rsidRPr="00526E3F">
        <w:rPr>
          <w:noProof/>
        </w:rPr>
        <w:t>(Sheehan, 2012; Folstein et al., 1975)</w:t>
      </w:r>
      <w:r w:rsidRPr="00526E3F">
        <w:fldChar w:fldCharType="end"/>
      </w:r>
      <w:r w:rsidRPr="00526E3F">
        <w:t>.</w:t>
      </w:r>
      <w:r w:rsidR="0010173A">
        <w:t xml:space="preserve"> </w:t>
      </w:r>
      <w:r w:rsidRPr="00526E3F">
        <w:t xml:space="preserve">MMSE test scores are ubiquitous in the dementia literature, </w:t>
      </w:r>
      <w:r>
        <w:t>and enable</w:t>
      </w:r>
      <w:r w:rsidRPr="00526E3F">
        <w:t xml:space="preserve"> dementia severity to be </w:t>
      </w:r>
      <w:r w:rsidR="00987793">
        <w:t>associated with</w:t>
      </w:r>
      <w:r w:rsidRPr="00526E3F">
        <w:t xml:space="preserve"> QALYs and care costs. Cognitive decline is </w:t>
      </w:r>
      <w:r>
        <w:t xml:space="preserve">calculated </w:t>
      </w:r>
      <w:r w:rsidRPr="00526E3F">
        <w:t xml:space="preserve">at monthly intervals, </w:t>
      </w:r>
      <w:r>
        <w:t>using a mixed effects</w:t>
      </w:r>
      <w:r w:rsidRPr="00526E3F">
        <w:t xml:space="preserve"> regression </w:t>
      </w:r>
      <w:r>
        <w:t>equation</w:t>
      </w:r>
      <w:r w:rsidRPr="00526E3F">
        <w:t xml:space="preserve"> to calculate an updated value of </w:t>
      </w:r>
      <w:r>
        <w:t xml:space="preserve">the </w:t>
      </w:r>
      <w:r w:rsidRPr="00526E3F">
        <w:t>MMSE</w:t>
      </w:r>
      <w:r>
        <w:t>. T</w:t>
      </w:r>
      <w:r w:rsidRPr="00526E3F">
        <w:t>he underlying fixed effect</w:t>
      </w:r>
      <w:r>
        <w:t xml:space="preserve"> parameters</w:t>
      </w:r>
      <w:r w:rsidRPr="00526E3F">
        <w:t xml:space="preserve"> are the same for all agents of that progression type</w:t>
      </w:r>
      <w:r>
        <w:t xml:space="preserve">, </w:t>
      </w:r>
      <w:r>
        <w:lastRenderedPageBreak/>
        <w:t xml:space="preserve">but the </w:t>
      </w:r>
      <w:r w:rsidRPr="00526E3F">
        <w:t>random effects</w:t>
      </w:r>
      <w:r>
        <w:t xml:space="preserve"> </w:t>
      </w:r>
      <w:r w:rsidRPr="00526E3F">
        <w:t>adjustment</w:t>
      </w:r>
      <w:r>
        <w:t>s</w:t>
      </w:r>
      <w:r w:rsidRPr="00526E3F">
        <w:t xml:space="preserve"> of intercept and slope</w:t>
      </w:r>
      <w:r>
        <w:t xml:space="preserve"> are</w:t>
      </w:r>
      <w:r w:rsidRPr="00526E3F">
        <w:t xml:space="preserve"> </w:t>
      </w:r>
      <w:r>
        <w:t xml:space="preserve">sampled </w:t>
      </w:r>
      <w:r w:rsidRPr="00526E3F">
        <w:t xml:space="preserve">for </w:t>
      </w:r>
      <w:r>
        <w:t>each individual</w:t>
      </w:r>
      <w:r w:rsidRPr="00526E3F">
        <w:t xml:space="preserve"> agent.</w:t>
      </w:r>
      <w:r w:rsidR="0010173A">
        <w:t xml:space="preserve"> </w:t>
      </w:r>
      <w:r w:rsidRPr="00526E3F">
        <w:t>Other attributes are used to track and record simulation outputs</w:t>
      </w:r>
      <w:r>
        <w:t xml:space="preserve">, such as age of </w:t>
      </w:r>
      <w:r w:rsidRPr="00526E3F">
        <w:t>onset and accumulated care costs.</w:t>
      </w:r>
      <w:r w:rsidR="0010173A">
        <w:t xml:space="preserve"> </w:t>
      </w:r>
      <w:r w:rsidR="000374CA" w:rsidRPr="00526E3F">
        <w:t xml:space="preserve">Based on the </w:t>
      </w:r>
      <w:r w:rsidR="00080FBF" w:rsidRPr="00526E3F">
        <w:t xml:space="preserve">agent’s </w:t>
      </w:r>
      <w:r w:rsidR="000374CA" w:rsidRPr="00526E3F">
        <w:t>monthly MMSE value, additional functions are called to calculate care costs</w:t>
      </w:r>
      <w:r w:rsidR="00011F03" w:rsidRPr="00526E3F">
        <w:t xml:space="preserve"> based on published sources</w:t>
      </w:r>
      <w:r w:rsidR="00F96A60">
        <w:t xml:space="preserve"> </w:t>
      </w:r>
      <w:r w:rsidR="006F3062" w:rsidRPr="00863CC6">
        <w:fldChar w:fldCharType="begin" w:fldLock="1"/>
      </w:r>
      <w:r w:rsidR="006F3062" w:rsidRPr="00863CC6">
        <w:instrText>ADDIN CSL_CITATION {"citationItems":[{"id":"ITEM-1","itemData":{"ISBN":"9781906647315","abstract":"This report presents the findings of research commissioned by Alzheimer’s Society to update the Dementia UK (2007) report. It provides a synthesis of best available evidence for the current cost and prevalence of dementia. It aims to provide an accurate understanding of dementia prevalence and cost in the UK to assist in policy development, influencing, commissioning and service design.","author":[{"dropping-particle":"","family":"Alzheimer’s Society","given":"","non-dropping-particle":"","parse-names":false,"suffix":""}],"id":"ITEM-1","issued":{"date-parts":[["2014"]]},"number-of-pages":"136","publisher-place":"London","title":"Dementia UK: Update","type":"report"},"uris":["http://www.mendeley.com/documents/?uuid=4e6196fa-b828-4d7a-8351-1887c1dec5ab"]}],"mendeley":{"formattedCitation":"(Alzheimer’s Society, 2014)","plainTextFormattedCitation":"(Alzheimer’s Society, 2014)","previouslyFormattedCitation":"(Alzheimer’s Society, 2014)"},"properties":{"noteIndex":0},"schema":"https://github.com/citation-style-language/schema/raw/master/csl-citation.json"}</w:instrText>
      </w:r>
      <w:r w:rsidR="006F3062" w:rsidRPr="00863CC6">
        <w:fldChar w:fldCharType="separate"/>
      </w:r>
      <w:r w:rsidR="006F3062" w:rsidRPr="00863CC6">
        <w:rPr>
          <w:noProof/>
        </w:rPr>
        <w:t>(Alzheimer’s Society, 2014)</w:t>
      </w:r>
      <w:r w:rsidR="006F3062" w:rsidRPr="00863CC6">
        <w:fldChar w:fldCharType="end"/>
      </w:r>
      <w:r w:rsidR="000374CA" w:rsidRPr="00526E3F">
        <w:t xml:space="preserve"> and QALYs</w:t>
      </w:r>
      <w:r w:rsidR="00163A90">
        <w:t>,</w:t>
      </w:r>
      <w:r w:rsidR="000374CA" w:rsidRPr="00526E3F">
        <w:t xml:space="preserve"> based on summing health utility</w:t>
      </w:r>
      <w:r w:rsidR="00080FBF" w:rsidRPr="00526E3F">
        <w:t xml:space="preserve"> scores</w:t>
      </w:r>
      <w:r w:rsidR="000374CA" w:rsidRPr="00526E3F">
        <w:t>.</w:t>
      </w:r>
      <w:r w:rsidR="00B91315" w:rsidRPr="00526E3F">
        <w:t xml:space="preserve"> </w:t>
      </w:r>
      <w:r w:rsidR="00487005">
        <w:t>The equation</w:t>
      </w:r>
      <w:r w:rsidR="006B7888">
        <w:t>s</w:t>
      </w:r>
      <w:r w:rsidR="00487005">
        <w:t xml:space="preserve"> relating cognitive decline to QALYs </w:t>
      </w:r>
      <w:r w:rsidR="006B7888">
        <w:t>and costs are</w:t>
      </w:r>
      <w:r w:rsidR="00487005">
        <w:t xml:space="preserve"> given in </w:t>
      </w:r>
      <w:r w:rsidR="00163A90">
        <w:t>A</w:t>
      </w:r>
      <w:r w:rsidR="00A20D91">
        <w:t>ppendix</w:t>
      </w:r>
      <w:r w:rsidR="00163A90">
        <w:t xml:space="preserve"> 7</w:t>
      </w:r>
      <w:r w:rsidR="00487005">
        <w:t>.</w:t>
      </w:r>
    </w:p>
    <w:p w14:paraId="327386C1" w14:textId="67408910" w:rsidR="00784238" w:rsidRPr="00526E3F" w:rsidRDefault="00537428" w:rsidP="003833DC">
      <w:pPr>
        <w:pStyle w:val="Heading2"/>
      </w:pPr>
      <w:r w:rsidRPr="00526E3F">
        <w:t>5.2</w:t>
      </w:r>
      <w:r w:rsidR="00EB6935" w:rsidRPr="00526E3F">
        <w:t xml:space="preserve"> </w:t>
      </w:r>
      <w:r w:rsidR="007E677F" w:rsidRPr="00526E3F">
        <w:t>Modell</w:t>
      </w:r>
      <w:r w:rsidR="001603EB" w:rsidRPr="00526E3F">
        <w:t xml:space="preserve">ing </w:t>
      </w:r>
      <w:r w:rsidR="00784238" w:rsidRPr="00526E3F">
        <w:t>intervention</w:t>
      </w:r>
      <w:r w:rsidR="00EB6935" w:rsidRPr="00526E3F">
        <w:t>s and</w:t>
      </w:r>
      <w:r w:rsidR="00784238" w:rsidRPr="00526E3F">
        <w:t xml:space="preserve"> </w:t>
      </w:r>
      <w:r w:rsidR="001603EB" w:rsidRPr="00526E3F">
        <w:t>benefits</w:t>
      </w:r>
      <w:r w:rsidR="0006337E" w:rsidRPr="00526E3F">
        <w:t xml:space="preserve"> </w:t>
      </w:r>
    </w:p>
    <w:p w14:paraId="2073797A" w14:textId="7A979530" w:rsidR="009D285F" w:rsidRDefault="00935B1E" w:rsidP="00CC39F5">
      <w:r>
        <w:t>The two interventions compared in this paper are medication and a healthy lifestyle</w:t>
      </w:r>
      <w:r w:rsidR="00512B5B">
        <w:t>, both of which are only effective for some patients</w:t>
      </w:r>
      <w:r>
        <w:t>.</w:t>
      </w:r>
      <w:r w:rsidR="0010173A">
        <w:t xml:space="preserve"> </w:t>
      </w:r>
      <w:r w:rsidR="00512B5B">
        <w:t xml:space="preserve">Medication can </w:t>
      </w:r>
      <w:r w:rsidR="008E7013">
        <w:t>temporar</w:t>
      </w:r>
      <w:r w:rsidR="00512B5B">
        <w:t>il</w:t>
      </w:r>
      <w:r w:rsidR="008E7013">
        <w:t xml:space="preserve">y </w:t>
      </w:r>
      <w:r w:rsidR="00512B5B">
        <w:t>slow down</w:t>
      </w:r>
      <w:r w:rsidR="00A60F33" w:rsidRPr="00526E3F">
        <w:t xml:space="preserve"> disease </w:t>
      </w:r>
      <w:r w:rsidR="00C82BC8" w:rsidRPr="00526E3F">
        <w:t>progression</w:t>
      </w:r>
      <w:r w:rsidR="00512B5B">
        <w:t>, and a healthy lifestyle can delay the onset of dementia</w:t>
      </w:r>
      <w:r w:rsidR="00CC39F5">
        <w:t xml:space="preserve"> (and also death)</w:t>
      </w:r>
      <w:r w:rsidR="00943074" w:rsidRPr="00526E3F">
        <w:t>.</w:t>
      </w:r>
      <w:r w:rsidR="0010173A">
        <w:t xml:space="preserve"> </w:t>
      </w:r>
      <w:r w:rsidR="00512B5B">
        <w:t xml:space="preserve">These effects </w:t>
      </w:r>
      <w:r w:rsidR="002456CD">
        <w:t xml:space="preserve">and </w:t>
      </w:r>
      <w:r w:rsidR="00512B5B">
        <w:t>the proportions of patients that benefit are shown in Table 1.</w:t>
      </w:r>
      <w:r w:rsidR="0010173A">
        <w:t xml:space="preserve"> </w:t>
      </w:r>
      <w:r w:rsidR="002456CD">
        <w:t>The s</w:t>
      </w:r>
      <w:r w:rsidR="002456CD" w:rsidRPr="002456CD">
        <w:t>ource references are given in Appendix A1</w:t>
      </w:r>
      <w:r w:rsidR="002456CD">
        <w:t>.</w:t>
      </w:r>
    </w:p>
    <w:p w14:paraId="2A8AE01A" w14:textId="05111146" w:rsidR="00BB1BB7" w:rsidRPr="00526E3F" w:rsidRDefault="00BB1BB7" w:rsidP="00BC74E1">
      <w:pPr>
        <w:pStyle w:val="Caption"/>
      </w:pPr>
      <w:bookmarkStart w:id="3" w:name="_Ref7163845"/>
      <w:r w:rsidRPr="00526E3F">
        <w:t xml:space="preserve">Table </w:t>
      </w:r>
      <w:r w:rsidRPr="00526E3F">
        <w:rPr>
          <w:noProof/>
        </w:rPr>
        <w:fldChar w:fldCharType="begin"/>
      </w:r>
      <w:r w:rsidRPr="00526E3F">
        <w:rPr>
          <w:noProof/>
        </w:rPr>
        <w:instrText xml:space="preserve"> SEQ Table \* ARABIC </w:instrText>
      </w:r>
      <w:r w:rsidRPr="00526E3F">
        <w:rPr>
          <w:noProof/>
        </w:rPr>
        <w:fldChar w:fldCharType="separate"/>
      </w:r>
      <w:r w:rsidR="0020511F">
        <w:rPr>
          <w:noProof/>
        </w:rPr>
        <w:t>1</w:t>
      </w:r>
      <w:r w:rsidRPr="00526E3F">
        <w:rPr>
          <w:noProof/>
        </w:rPr>
        <w:fldChar w:fldCharType="end"/>
      </w:r>
      <w:bookmarkEnd w:id="3"/>
      <w:r w:rsidR="002273FA">
        <w:t xml:space="preserve">   </w:t>
      </w:r>
      <w:r w:rsidRPr="00526E3F">
        <w:t>Intervention parameter values</w:t>
      </w:r>
    </w:p>
    <w:tbl>
      <w:tblPr>
        <w:tblStyle w:val="TableGrid"/>
        <w:tblW w:w="552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0"/>
        <w:gridCol w:w="1849"/>
        <w:gridCol w:w="1985"/>
      </w:tblGrid>
      <w:tr w:rsidR="0000539B" w:rsidRPr="00526E3F" w14:paraId="74571740" w14:textId="77777777" w:rsidTr="0000539B">
        <w:trPr>
          <w:cantSplit/>
          <w:jc w:val="center"/>
        </w:trPr>
        <w:tc>
          <w:tcPr>
            <w:tcW w:w="1690" w:type="dxa"/>
          </w:tcPr>
          <w:p w14:paraId="2CC40C67" w14:textId="0D4D90AD" w:rsidR="0000539B" w:rsidRPr="00526E3F" w:rsidRDefault="0000539B" w:rsidP="004A657F">
            <w:pPr>
              <w:rPr>
                <w:b/>
              </w:rPr>
            </w:pPr>
            <w:r>
              <w:rPr>
                <w:b/>
              </w:rPr>
              <w:t>I</w:t>
            </w:r>
            <w:r w:rsidRPr="00526E3F">
              <w:rPr>
                <w:b/>
              </w:rPr>
              <w:t>ntervention</w:t>
            </w:r>
          </w:p>
        </w:tc>
        <w:tc>
          <w:tcPr>
            <w:tcW w:w="1849" w:type="dxa"/>
          </w:tcPr>
          <w:p w14:paraId="781CA5C7" w14:textId="795BFBCB" w:rsidR="0000539B" w:rsidRPr="00526E3F" w:rsidRDefault="0000539B" w:rsidP="004A657F">
            <w:pPr>
              <w:rPr>
                <w:b/>
              </w:rPr>
            </w:pPr>
            <w:r>
              <w:rPr>
                <w:b/>
              </w:rPr>
              <w:t>P</w:t>
            </w:r>
            <w:r w:rsidRPr="00526E3F">
              <w:rPr>
                <w:b/>
              </w:rPr>
              <w:t>arameter</w:t>
            </w:r>
          </w:p>
        </w:tc>
        <w:tc>
          <w:tcPr>
            <w:tcW w:w="1985" w:type="dxa"/>
          </w:tcPr>
          <w:p w14:paraId="7E10C5BD" w14:textId="77777777" w:rsidR="0000539B" w:rsidRPr="00526E3F" w:rsidRDefault="0000539B" w:rsidP="004A657F">
            <w:pPr>
              <w:rPr>
                <w:b/>
              </w:rPr>
            </w:pPr>
            <w:r w:rsidRPr="00526E3F">
              <w:rPr>
                <w:b/>
              </w:rPr>
              <w:t>Value</w:t>
            </w:r>
          </w:p>
        </w:tc>
      </w:tr>
      <w:tr w:rsidR="0000539B" w:rsidRPr="00526E3F" w14:paraId="0375AE95" w14:textId="77777777" w:rsidTr="0000539B">
        <w:trPr>
          <w:cantSplit/>
          <w:jc w:val="center"/>
        </w:trPr>
        <w:tc>
          <w:tcPr>
            <w:tcW w:w="1690" w:type="dxa"/>
            <w:vMerge w:val="restart"/>
          </w:tcPr>
          <w:p w14:paraId="4C23F4ED" w14:textId="77777777" w:rsidR="0000539B" w:rsidRPr="00526E3F" w:rsidRDefault="0000539B" w:rsidP="004A657F">
            <w:pPr>
              <w:pStyle w:val="TableContent"/>
            </w:pPr>
            <w:r w:rsidRPr="00526E3F">
              <w:t xml:space="preserve">medication </w:t>
            </w:r>
          </w:p>
        </w:tc>
        <w:tc>
          <w:tcPr>
            <w:tcW w:w="1849" w:type="dxa"/>
          </w:tcPr>
          <w:p w14:paraId="1A77F98C" w14:textId="77777777" w:rsidR="0000539B" w:rsidRPr="00526E3F" w:rsidRDefault="0000539B" w:rsidP="004A657F">
            <w:pPr>
              <w:pStyle w:val="TableContent"/>
            </w:pPr>
            <w:r w:rsidRPr="00526E3F">
              <w:t>start time</w:t>
            </w:r>
          </w:p>
        </w:tc>
        <w:tc>
          <w:tcPr>
            <w:tcW w:w="1985" w:type="dxa"/>
          </w:tcPr>
          <w:p w14:paraId="07AD3459" w14:textId="77777777" w:rsidR="0000539B" w:rsidRPr="00526E3F" w:rsidRDefault="0000539B" w:rsidP="004A657F">
            <w:pPr>
              <w:pStyle w:val="TableContent"/>
            </w:pPr>
            <w:r w:rsidRPr="00526E3F">
              <w:t>Onset + 12 months</w:t>
            </w:r>
          </w:p>
        </w:tc>
      </w:tr>
      <w:tr w:rsidR="0000539B" w:rsidRPr="00526E3F" w14:paraId="68F1F301" w14:textId="77777777" w:rsidTr="0000539B">
        <w:trPr>
          <w:cantSplit/>
          <w:jc w:val="center"/>
        </w:trPr>
        <w:tc>
          <w:tcPr>
            <w:tcW w:w="1690" w:type="dxa"/>
            <w:vMerge/>
          </w:tcPr>
          <w:p w14:paraId="54B73A4F" w14:textId="77777777" w:rsidR="0000539B" w:rsidRPr="00526E3F" w:rsidRDefault="0000539B" w:rsidP="004A657F">
            <w:pPr>
              <w:pStyle w:val="TableContent"/>
            </w:pPr>
          </w:p>
        </w:tc>
        <w:tc>
          <w:tcPr>
            <w:tcW w:w="1849" w:type="dxa"/>
          </w:tcPr>
          <w:p w14:paraId="1444BAAC" w14:textId="77777777" w:rsidR="0000539B" w:rsidRPr="00526E3F" w:rsidRDefault="0000539B" w:rsidP="004A657F">
            <w:pPr>
              <w:pStyle w:val="TableContent"/>
            </w:pPr>
            <w:r w:rsidRPr="00526E3F">
              <w:t>progression delay</w:t>
            </w:r>
          </w:p>
        </w:tc>
        <w:tc>
          <w:tcPr>
            <w:tcW w:w="1985" w:type="dxa"/>
          </w:tcPr>
          <w:p w14:paraId="2BBA2763" w14:textId="77777777" w:rsidR="0000539B" w:rsidRPr="00526E3F" w:rsidRDefault="0000539B" w:rsidP="004A657F">
            <w:pPr>
              <w:pStyle w:val="TableContent"/>
            </w:pPr>
            <w:r w:rsidRPr="00526E3F">
              <w:t>12 months</w:t>
            </w:r>
          </w:p>
        </w:tc>
      </w:tr>
      <w:tr w:rsidR="0000539B" w:rsidRPr="00526E3F" w14:paraId="0B4D4C72" w14:textId="77777777" w:rsidTr="0000539B">
        <w:trPr>
          <w:cantSplit/>
          <w:jc w:val="center"/>
        </w:trPr>
        <w:tc>
          <w:tcPr>
            <w:tcW w:w="1690" w:type="dxa"/>
            <w:vMerge/>
          </w:tcPr>
          <w:p w14:paraId="2504519F" w14:textId="77777777" w:rsidR="0000539B" w:rsidRPr="00526E3F" w:rsidRDefault="0000539B" w:rsidP="004A657F">
            <w:pPr>
              <w:pStyle w:val="TableContent"/>
            </w:pPr>
          </w:p>
        </w:tc>
        <w:tc>
          <w:tcPr>
            <w:tcW w:w="1849" w:type="dxa"/>
          </w:tcPr>
          <w:p w14:paraId="31BBF596" w14:textId="2397ACC9" w:rsidR="0000539B" w:rsidRPr="00526E3F" w:rsidRDefault="00CC39F5" w:rsidP="004A657F">
            <w:pPr>
              <w:pStyle w:val="TableContent"/>
            </w:pPr>
            <w:r>
              <w:t xml:space="preserve">% </w:t>
            </w:r>
            <w:r w:rsidR="0000539B" w:rsidRPr="00526E3F">
              <w:t>benefitting</w:t>
            </w:r>
          </w:p>
        </w:tc>
        <w:tc>
          <w:tcPr>
            <w:tcW w:w="1985" w:type="dxa"/>
          </w:tcPr>
          <w:p w14:paraId="12C95782" w14:textId="77777777" w:rsidR="0000539B" w:rsidRPr="00526E3F" w:rsidRDefault="0000539B" w:rsidP="004A657F">
            <w:pPr>
              <w:pStyle w:val="TableContent"/>
            </w:pPr>
            <w:r w:rsidRPr="00526E3F">
              <w:t xml:space="preserve">30% </w:t>
            </w:r>
          </w:p>
        </w:tc>
      </w:tr>
      <w:tr w:rsidR="0000539B" w:rsidRPr="00526E3F" w14:paraId="4E0FFF26" w14:textId="77777777" w:rsidTr="0000539B">
        <w:trPr>
          <w:cantSplit/>
          <w:jc w:val="center"/>
        </w:trPr>
        <w:tc>
          <w:tcPr>
            <w:tcW w:w="1690" w:type="dxa"/>
            <w:vMerge w:val="restart"/>
          </w:tcPr>
          <w:p w14:paraId="2F7A6424" w14:textId="77777777" w:rsidR="0000539B" w:rsidRPr="00526E3F" w:rsidRDefault="0000539B" w:rsidP="004A657F">
            <w:pPr>
              <w:pStyle w:val="TableContent"/>
            </w:pPr>
            <w:r w:rsidRPr="00526E3F">
              <w:t xml:space="preserve">lifestyle </w:t>
            </w:r>
          </w:p>
        </w:tc>
        <w:tc>
          <w:tcPr>
            <w:tcW w:w="1849" w:type="dxa"/>
          </w:tcPr>
          <w:p w14:paraId="056091CC" w14:textId="77777777" w:rsidR="0000539B" w:rsidRPr="00526E3F" w:rsidRDefault="0000539B" w:rsidP="004A657F">
            <w:pPr>
              <w:pStyle w:val="TableContent"/>
            </w:pPr>
            <w:r w:rsidRPr="00526E3F">
              <w:t>onset delay</w:t>
            </w:r>
          </w:p>
        </w:tc>
        <w:tc>
          <w:tcPr>
            <w:tcW w:w="1985" w:type="dxa"/>
          </w:tcPr>
          <w:p w14:paraId="64C5F4FB" w14:textId="00F58967" w:rsidR="0000539B" w:rsidRPr="00526E3F" w:rsidRDefault="0000539B" w:rsidP="004A657F">
            <w:pPr>
              <w:pStyle w:val="TableContent"/>
            </w:pPr>
            <w:r>
              <w:t>24</w:t>
            </w:r>
            <w:r w:rsidRPr="00526E3F">
              <w:t xml:space="preserve"> months</w:t>
            </w:r>
          </w:p>
        </w:tc>
      </w:tr>
      <w:tr w:rsidR="0000539B" w:rsidRPr="00526E3F" w14:paraId="66FEFB3F" w14:textId="77777777" w:rsidTr="0000539B">
        <w:trPr>
          <w:cantSplit/>
          <w:jc w:val="center"/>
        </w:trPr>
        <w:tc>
          <w:tcPr>
            <w:tcW w:w="1690" w:type="dxa"/>
            <w:vMerge/>
          </w:tcPr>
          <w:p w14:paraId="56BC2F04" w14:textId="77777777" w:rsidR="0000539B" w:rsidRPr="00161BDA" w:rsidRDefault="0000539B" w:rsidP="004A657F">
            <w:pPr>
              <w:pStyle w:val="TableContent"/>
            </w:pPr>
          </w:p>
        </w:tc>
        <w:tc>
          <w:tcPr>
            <w:tcW w:w="1849" w:type="dxa"/>
          </w:tcPr>
          <w:p w14:paraId="0C64A0F8" w14:textId="77777777" w:rsidR="0000539B" w:rsidRPr="00526E3F" w:rsidRDefault="0000539B" w:rsidP="004A657F">
            <w:pPr>
              <w:pStyle w:val="TableContent"/>
            </w:pPr>
            <w:r w:rsidRPr="00161BDA">
              <w:t>mortal</w:t>
            </w:r>
            <w:r w:rsidRPr="00526E3F">
              <w:t>ity delay</w:t>
            </w:r>
          </w:p>
        </w:tc>
        <w:tc>
          <w:tcPr>
            <w:tcW w:w="1985" w:type="dxa"/>
          </w:tcPr>
          <w:p w14:paraId="0B800EE2" w14:textId="6290A833" w:rsidR="0000539B" w:rsidRPr="00526E3F" w:rsidRDefault="0000539B" w:rsidP="004A657F">
            <w:pPr>
              <w:pStyle w:val="TableContent"/>
            </w:pPr>
            <w:r>
              <w:t>12</w:t>
            </w:r>
            <w:r w:rsidRPr="00526E3F">
              <w:t xml:space="preserve"> months</w:t>
            </w:r>
          </w:p>
        </w:tc>
      </w:tr>
      <w:tr w:rsidR="0000539B" w:rsidRPr="00526E3F" w14:paraId="30D5119F" w14:textId="77777777" w:rsidTr="0000539B">
        <w:trPr>
          <w:cantSplit/>
          <w:jc w:val="center"/>
        </w:trPr>
        <w:tc>
          <w:tcPr>
            <w:tcW w:w="1690" w:type="dxa"/>
            <w:vMerge/>
          </w:tcPr>
          <w:p w14:paraId="5EF99E4A" w14:textId="77777777" w:rsidR="0000539B" w:rsidRPr="00526E3F" w:rsidRDefault="0000539B" w:rsidP="004A657F">
            <w:pPr>
              <w:pStyle w:val="TableContent"/>
            </w:pPr>
          </w:p>
        </w:tc>
        <w:tc>
          <w:tcPr>
            <w:tcW w:w="1849" w:type="dxa"/>
          </w:tcPr>
          <w:p w14:paraId="293A6722" w14:textId="19643C57" w:rsidR="0000539B" w:rsidRPr="00526E3F" w:rsidRDefault="00CC39F5" w:rsidP="004A657F">
            <w:pPr>
              <w:pStyle w:val="TableContent"/>
            </w:pPr>
            <w:r>
              <w:t xml:space="preserve">% </w:t>
            </w:r>
            <w:r w:rsidR="0000539B" w:rsidRPr="00526E3F">
              <w:t>benefitting</w:t>
            </w:r>
          </w:p>
        </w:tc>
        <w:tc>
          <w:tcPr>
            <w:tcW w:w="1985" w:type="dxa"/>
          </w:tcPr>
          <w:p w14:paraId="40934C8F" w14:textId="449E7078" w:rsidR="0000539B" w:rsidRPr="00526E3F" w:rsidRDefault="0000539B" w:rsidP="004A657F">
            <w:pPr>
              <w:pStyle w:val="TableContent"/>
            </w:pPr>
            <w:r w:rsidRPr="00526E3F">
              <w:t xml:space="preserve">30% </w:t>
            </w:r>
          </w:p>
        </w:tc>
      </w:tr>
    </w:tbl>
    <w:p w14:paraId="2DE99CB1" w14:textId="77777777" w:rsidR="00CC39F5" w:rsidRDefault="00CC39F5" w:rsidP="00BE6C97"/>
    <w:p w14:paraId="599049B4" w14:textId="15ACA3B3" w:rsidR="00CC39F5" w:rsidRDefault="00CC39F5" w:rsidP="00CC39F5">
      <w:r w:rsidRPr="00526E3F">
        <w:t>Th</w:t>
      </w:r>
      <w:r>
        <w:t xml:space="preserve">e </w:t>
      </w:r>
      <w:r w:rsidRPr="00526E3F">
        <w:t xml:space="preserve">effect </w:t>
      </w:r>
      <w:r>
        <w:t xml:space="preserve">of medication </w:t>
      </w:r>
      <w:r w:rsidRPr="00526E3F">
        <w:t>is modelled using conditional triggers that transition the agent to states where progression is temporarily decoupled from the simulation timer.</w:t>
      </w:r>
      <w:r w:rsidR="0010173A">
        <w:t xml:space="preserve"> </w:t>
      </w:r>
      <w:r w:rsidRPr="00526E3F">
        <w:t xml:space="preserve">After </w:t>
      </w:r>
      <w:r>
        <w:t>12 months,</w:t>
      </w:r>
      <w:r w:rsidRPr="00526E3F">
        <w:t xml:space="preserve"> the agent moves out of this state and the</w:t>
      </w:r>
      <w:r>
        <w:t>ir</w:t>
      </w:r>
      <w:r w:rsidRPr="00526E3F">
        <w:t xml:space="preserve"> severity progression is re-synchronised with simulation time. Other time-dependent calculations (age, elapsed time with dementia, etc.) are not affected.</w:t>
      </w:r>
      <w:r w:rsidR="0010173A">
        <w:t xml:space="preserve"> </w:t>
      </w:r>
      <w:r w:rsidRPr="00526E3F">
        <w:t xml:space="preserve">To model the benefits of a healthier lifestyle, agents move to a delayed onset state, remain there for </w:t>
      </w:r>
      <w:r>
        <w:t>24 months</w:t>
      </w:r>
      <w:r w:rsidRPr="00526E3F">
        <w:t>, and subsequently move into the severity progression states. These agents then later move to a delayed mortality state</w:t>
      </w:r>
      <w:r>
        <w:t xml:space="preserve"> in which their “scheduled” death is delayed by 12 months</w:t>
      </w:r>
      <w:r w:rsidRPr="00526E3F">
        <w:t>. These actions occur only if the patient has a positive response a</w:t>
      </w:r>
      <w:r>
        <w:t>ttribute to that intervention.</w:t>
      </w:r>
    </w:p>
    <w:p w14:paraId="0890DD8C" w14:textId="77777777" w:rsidR="00CC39F5" w:rsidRDefault="007E677F" w:rsidP="00CC39F5">
      <w:pPr>
        <w:pStyle w:val="Heading1"/>
      </w:pPr>
      <w:r w:rsidRPr="00526E3F">
        <w:t>6</w:t>
      </w:r>
      <w:r w:rsidR="00EB6935" w:rsidRPr="00526E3F">
        <w:t xml:space="preserve"> </w:t>
      </w:r>
      <w:r w:rsidR="00161F26">
        <w:t>Interaction between</w:t>
      </w:r>
      <w:r w:rsidRPr="00526E3F">
        <w:t xml:space="preserve"> </w:t>
      </w:r>
      <w:r w:rsidR="00873FA4" w:rsidRPr="00526E3F">
        <w:t>SD and</w:t>
      </w:r>
      <w:r w:rsidR="00A84FB9" w:rsidRPr="00526E3F">
        <w:t xml:space="preserve"> AB</w:t>
      </w:r>
      <w:r w:rsidR="009A3E34" w:rsidRPr="00526E3F">
        <w:t>M</w:t>
      </w:r>
    </w:p>
    <w:p w14:paraId="64881972" w14:textId="04A6E388" w:rsidR="00E35882" w:rsidRPr="003F4A4B" w:rsidRDefault="00951E27" w:rsidP="00B958C5">
      <w:r>
        <w:t>This</w:t>
      </w:r>
      <w:r w:rsidR="00305367">
        <w:t xml:space="preserve"> </w:t>
      </w:r>
      <w:r w:rsidR="00C55DA0">
        <w:t xml:space="preserve">interaction </w:t>
      </w:r>
      <w:r w:rsidR="00305367">
        <w:t>occurs twice, at dementia onset and at death, and</w:t>
      </w:r>
      <w:r>
        <w:t xml:space="preserve"> </w:t>
      </w:r>
      <w:r w:rsidR="00673887">
        <w:t xml:space="preserve">is </w:t>
      </w:r>
      <w:r w:rsidR="00B1350D">
        <w:t xml:space="preserve">one of </w:t>
      </w:r>
      <w:r w:rsidR="00673887">
        <w:t>the most innovative feature</w:t>
      </w:r>
      <w:r w:rsidR="00B1350D">
        <w:t>s</w:t>
      </w:r>
      <w:r w:rsidR="00673887">
        <w:t xml:space="preserve"> of the model</w:t>
      </w:r>
      <w:r w:rsidR="000374CA" w:rsidRPr="00526E3F">
        <w:t>.</w:t>
      </w:r>
      <w:r w:rsidR="00B91315" w:rsidRPr="00526E3F">
        <w:t xml:space="preserve"> </w:t>
      </w:r>
      <w:r w:rsidR="00305367">
        <w:t>Both</w:t>
      </w:r>
      <w:r w:rsidR="00D3012A">
        <w:t xml:space="preserve"> </w:t>
      </w:r>
      <w:r w:rsidR="00305367">
        <w:t xml:space="preserve">processes </w:t>
      </w:r>
      <w:r w:rsidR="00D3012A">
        <w:t>originate in the SD part</w:t>
      </w:r>
      <w:r w:rsidR="00305367">
        <w:t xml:space="preserve"> but require changes to be made in the AB part</w:t>
      </w:r>
      <w:r w:rsidR="00D3012A">
        <w:t>.</w:t>
      </w:r>
      <w:r w:rsidR="00B1350D">
        <w:t xml:space="preserve"> </w:t>
      </w:r>
      <w:r w:rsidR="00305367">
        <w:t xml:space="preserve">In each age band, dementia onset is represented by the flow from CN to PWD, but </w:t>
      </w:r>
      <w:r w:rsidR="007A5B19">
        <w:t>t</w:t>
      </w:r>
      <w:r w:rsidR="00B958C5">
        <w:rPr>
          <w:rFonts w:eastAsiaTheme="minorEastAsia"/>
        </w:rPr>
        <w:t xml:space="preserve">he PWD stocks </w:t>
      </w:r>
      <w:r w:rsidR="00B04A54">
        <w:rPr>
          <w:rFonts w:eastAsiaTheme="minorEastAsia"/>
        </w:rPr>
        <w:t xml:space="preserve">alone </w:t>
      </w:r>
      <w:r w:rsidR="00B958C5">
        <w:rPr>
          <w:rFonts w:eastAsiaTheme="minorEastAsia"/>
        </w:rPr>
        <w:t xml:space="preserve">cannot be used to </w:t>
      </w:r>
      <w:r w:rsidR="007A5B19">
        <w:rPr>
          <w:rFonts w:eastAsiaTheme="minorEastAsia"/>
        </w:rPr>
        <w:t>count</w:t>
      </w:r>
      <w:r w:rsidR="00B958C5">
        <w:rPr>
          <w:rFonts w:eastAsiaTheme="minorEastAsia"/>
        </w:rPr>
        <w:t xml:space="preserve"> new cases</w:t>
      </w:r>
      <w:r w:rsidR="007A5B19">
        <w:rPr>
          <w:rFonts w:eastAsiaTheme="minorEastAsia"/>
        </w:rPr>
        <w:t xml:space="preserve"> as</w:t>
      </w:r>
      <w:r w:rsidR="00B958C5">
        <w:rPr>
          <w:rFonts w:eastAsiaTheme="minorEastAsia"/>
        </w:rPr>
        <w:t xml:space="preserve"> </w:t>
      </w:r>
      <w:r w:rsidR="00B958C5">
        <w:t>they have outflows to PWD deaths.</w:t>
      </w:r>
      <w:r w:rsidR="00B958C5">
        <w:rPr>
          <w:rFonts w:eastAsiaTheme="minorEastAsia"/>
        </w:rPr>
        <w:t xml:space="preserve"> </w:t>
      </w:r>
      <w:r w:rsidR="00B04A54">
        <w:t>Therefore</w:t>
      </w:r>
      <w:r w:rsidR="007A751E">
        <w:t xml:space="preserve">, </w:t>
      </w:r>
      <w:r w:rsidR="00305367">
        <w:t>in order</w:t>
      </w:r>
      <w:r w:rsidR="007A5B19">
        <w:t xml:space="preserve"> to</w:t>
      </w:r>
      <w:r w:rsidR="00305367">
        <w:t xml:space="preserve"> determine when a new agent should be created</w:t>
      </w:r>
      <w:r w:rsidR="007A751E">
        <w:t>, e</w:t>
      </w:r>
      <w:r w:rsidR="00046285">
        <w:t xml:space="preserve">ach age group </w:t>
      </w:r>
      <m:oMath>
        <m:r>
          <w:rPr>
            <w:rFonts w:ascii="Cambria Math" w:hAnsi="Cambria Math"/>
          </w:rPr>
          <m:t>[x,x+5]</m:t>
        </m:r>
      </m:oMath>
      <w:r w:rsidR="00B958C5">
        <w:t xml:space="preserve"> </w:t>
      </w:r>
      <w:r w:rsidR="00046285">
        <w:t xml:space="preserve">has </w:t>
      </w:r>
      <w:r w:rsidR="007A5B19">
        <w:t>a</w:t>
      </w:r>
      <w:r w:rsidR="00987793">
        <w:t>n</w:t>
      </w:r>
      <w:r w:rsidR="007A5B19">
        <w:t xml:space="preserve"> </w:t>
      </w:r>
      <w:r w:rsidR="00305367">
        <w:t xml:space="preserve">artificial </w:t>
      </w:r>
      <w:r w:rsidR="009D72F5">
        <w:lastRenderedPageBreak/>
        <w:t>“onset stock”</w:t>
      </w:r>
      <w:r w:rsidR="00046285">
        <w:t xml:space="preserve"> </w:t>
      </w:r>
      <w:r w:rsidR="00B958C5">
        <w:t xml:space="preserve">with </w:t>
      </w:r>
      <w:r w:rsidR="007A5B19">
        <w:t>(</w:t>
      </w:r>
      <w:r w:rsidR="00B958C5">
        <w:t>continuous-valued</w:t>
      </w:r>
      <w:r w:rsidR="007A5B19">
        <w:t>)</w:t>
      </w:r>
      <w:r w:rsidR="00B958C5">
        <w:t xml:space="preserve"> </w:t>
      </w:r>
      <w:r w:rsidR="00987793">
        <w:t>stock level</w:t>
      </w:r>
      <w:r w:rsidR="00B958C5">
        <w:t xml:space="preserve"> </w:t>
      </w:r>
      <m:oMath>
        <m:sSup>
          <m:sSupPr>
            <m:ctrlPr>
              <w:rPr>
                <w:rFonts w:ascii="Cambria Math" w:hAnsi="Cambria Math"/>
                <w:i/>
              </w:rPr>
            </m:ctrlPr>
          </m:sSupPr>
          <m:e>
            <m:r>
              <w:rPr>
                <w:rFonts w:ascii="Cambria Math" w:hAnsi="Cambria Math"/>
              </w:rPr>
              <m:t>N</m:t>
            </m:r>
          </m:e>
          <m:sup>
            <m:r>
              <w:rPr>
                <w:rFonts w:ascii="Cambria Math" w:hAnsi="Cambria Math"/>
              </w:rPr>
              <m:t>x,x+5</m:t>
            </m:r>
          </m:sup>
        </m:sSup>
      </m:oMath>
      <w:r w:rsidR="00B04A54">
        <w:rPr>
          <w:rFonts w:eastAsiaTheme="minorEastAsia"/>
        </w:rPr>
        <w:t xml:space="preserve"> </w:t>
      </w:r>
      <w:r w:rsidR="00B958C5">
        <w:t xml:space="preserve">and integer-valued </w:t>
      </w:r>
      <w:r w:rsidR="00B958C5" w:rsidRPr="007C5836">
        <w:t xml:space="preserve">tracking threshold </w:t>
      </w:r>
      <m:oMath>
        <m:sSup>
          <m:sSupPr>
            <m:ctrlPr>
              <w:rPr>
                <w:rFonts w:ascii="Cambria Math" w:hAnsi="Cambria Math"/>
                <w:i/>
              </w:rPr>
            </m:ctrlPr>
          </m:sSupPr>
          <m:e>
            <m:r>
              <w:rPr>
                <w:rFonts w:ascii="Cambria Math" w:hAnsi="Cambria Math"/>
              </w:rPr>
              <m:t>P</m:t>
            </m:r>
          </m:e>
          <m:sup>
            <m:r>
              <w:rPr>
                <w:rFonts w:ascii="Cambria Math" w:hAnsi="Cambria Math"/>
              </w:rPr>
              <m:t>x,x+5</m:t>
            </m:r>
          </m:sup>
        </m:sSup>
      </m:oMath>
      <w:r w:rsidR="00046285">
        <w:t xml:space="preserve">. </w:t>
      </w:r>
      <w:r w:rsidR="007A5B19">
        <w:t xml:space="preserve">The </w:t>
      </w:r>
      <w:r w:rsidR="00046285">
        <w:t>i</w:t>
      </w:r>
      <w:r w:rsidR="00673887">
        <w:t xml:space="preserve">nflow </w:t>
      </w:r>
      <w:r w:rsidR="00B958C5">
        <w:t xml:space="preserve">to </w:t>
      </w:r>
      <w:r w:rsidR="00987793">
        <w:t xml:space="preserve">each </w:t>
      </w:r>
      <w:r w:rsidR="00B958C5">
        <w:t xml:space="preserve">onset stock </w:t>
      </w:r>
      <w:r w:rsidR="0076276E">
        <w:t>duplicate</w:t>
      </w:r>
      <w:r w:rsidR="00046285">
        <w:t>s</w:t>
      </w:r>
      <w:r w:rsidR="00673887">
        <w:t xml:space="preserve"> the flow from CN to PWD</w:t>
      </w:r>
      <w:r w:rsidR="00E14C5A">
        <w:t xml:space="preserve"> for that age group</w:t>
      </w:r>
      <w:r w:rsidR="00616D98">
        <w:t xml:space="preserve"> using shadow flows</w:t>
      </w:r>
      <w:r w:rsidR="00B958C5">
        <w:t>.</w:t>
      </w:r>
      <w:r w:rsidR="00616D98">
        <w:t xml:space="preserve"> </w:t>
      </w:r>
      <w:r w:rsidR="00F26AEA">
        <w:t xml:space="preserve">The </w:t>
      </w:r>
      <w:r w:rsidR="0010173A">
        <w:t>values of</w:t>
      </w:r>
      <w:r w:rsidR="007A751E">
        <w:t xml:space="preserve"> </w:t>
      </w:r>
      <m:oMath>
        <m:sSup>
          <m:sSupPr>
            <m:ctrlPr>
              <w:rPr>
                <w:rFonts w:ascii="Cambria Math" w:hAnsi="Cambria Math"/>
                <w:i/>
              </w:rPr>
            </m:ctrlPr>
          </m:sSupPr>
          <m:e>
            <m:r>
              <w:rPr>
                <w:rFonts w:ascii="Cambria Math" w:hAnsi="Cambria Math"/>
              </w:rPr>
              <m:t>N</m:t>
            </m:r>
          </m:e>
          <m:sup>
            <m:r>
              <w:rPr>
                <w:rFonts w:ascii="Cambria Math" w:hAnsi="Cambria Math"/>
              </w:rPr>
              <m:t>x,x+5</m:t>
            </m:r>
          </m:sup>
        </m:sSup>
      </m:oMath>
      <w:r w:rsidR="007A751E">
        <w:rPr>
          <w:rFonts w:eastAsiaTheme="minorEastAsia"/>
        </w:rPr>
        <w:t xml:space="preserve"> </w:t>
      </w:r>
      <w:r w:rsidR="00F26AEA">
        <w:t xml:space="preserve">are monitored at </w:t>
      </w:r>
      <w:r w:rsidR="00616D98">
        <w:t>one week intervals</w:t>
      </w:r>
      <w:r w:rsidR="00F26AEA">
        <w:t xml:space="preserve"> in the SD part</w:t>
      </w:r>
      <w:r w:rsidR="00B958C5">
        <w:t xml:space="preserve">, and </w:t>
      </w:r>
      <w:r w:rsidR="00987793">
        <w:t>if</w:t>
      </w:r>
      <w:r w:rsidR="00B958C5">
        <w:t xml:space="preserve"> </w:t>
      </w:r>
      <m:oMath>
        <m:sSup>
          <m:sSupPr>
            <m:ctrlPr>
              <w:rPr>
                <w:rFonts w:ascii="Cambria Math" w:hAnsi="Cambria Math"/>
                <w:i/>
              </w:rPr>
            </m:ctrlPr>
          </m:sSupPr>
          <m:e>
            <m:sSup>
              <m:sSupPr>
                <m:ctrlPr>
                  <w:rPr>
                    <w:rFonts w:ascii="Cambria Math" w:hAnsi="Cambria Math"/>
                    <w:i/>
                  </w:rPr>
                </m:ctrlPr>
              </m:sSupPr>
              <m:e>
                <m:r>
                  <w:rPr>
                    <w:rFonts w:ascii="Cambria Math" w:hAnsi="Cambria Math"/>
                  </w:rPr>
                  <m:t>N</m:t>
                </m:r>
              </m:e>
              <m:sup>
                <m:r>
                  <w:rPr>
                    <w:rFonts w:ascii="Cambria Math" w:hAnsi="Cambria Math"/>
                  </w:rPr>
                  <m:t>x,x+5</m:t>
                </m:r>
              </m:sup>
            </m:sSup>
            <m:r>
              <w:rPr>
                <w:rFonts w:ascii="Cambria Math" w:hAnsi="Cambria Math"/>
              </w:rPr>
              <m:t>&gt;P</m:t>
            </m:r>
          </m:e>
          <m:sup>
            <m:r>
              <w:rPr>
                <w:rFonts w:ascii="Cambria Math" w:hAnsi="Cambria Math"/>
              </w:rPr>
              <m:t>x,x+5</m:t>
            </m:r>
          </m:sup>
        </m:sSup>
      </m:oMath>
      <w:r w:rsidR="0010173A">
        <w:rPr>
          <w:rFonts w:eastAsiaTheme="minorEastAsia"/>
        </w:rPr>
        <w:t>, then</w:t>
      </w:r>
      <w:r w:rsidR="007D55F9">
        <w:rPr>
          <w:rFonts w:eastAsiaTheme="minorEastAsia"/>
        </w:rPr>
        <w:t xml:space="preserve"> </w:t>
      </w:r>
      <m:oMath>
        <m:d>
          <m:dPr>
            <m:begChr m:val="⌊"/>
            <m:endChr m:val="⌋"/>
            <m:ctrlPr>
              <w:rPr>
                <w:rFonts w:ascii="Cambria Math" w:eastAsiaTheme="minorEastAsia" w:hAnsi="Cambria Math"/>
                <w:i/>
              </w:rPr>
            </m:ctrlPr>
          </m:dPr>
          <m:e>
            <m:sSup>
              <m:sSupPr>
                <m:ctrlPr>
                  <w:rPr>
                    <w:rFonts w:ascii="Cambria Math" w:hAnsi="Cambria Math"/>
                    <w:i/>
                  </w:rPr>
                </m:ctrlPr>
              </m:sSupPr>
              <m:e>
                <m:r>
                  <w:rPr>
                    <w:rFonts w:ascii="Cambria Math" w:hAnsi="Cambria Math"/>
                  </w:rPr>
                  <m:t>N</m:t>
                </m:r>
              </m:e>
              <m:sup>
                <m:r>
                  <w:rPr>
                    <w:rFonts w:ascii="Cambria Math" w:hAnsi="Cambria Math"/>
                  </w:rPr>
                  <m:t>x,x+5</m:t>
                </m:r>
              </m:sup>
            </m:sSup>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x,x+5</m:t>
                </m:r>
              </m:sup>
            </m:sSup>
          </m:e>
        </m:d>
      </m:oMath>
      <w:r w:rsidR="00484251">
        <w:rPr>
          <w:rFonts w:eastAsiaTheme="minorEastAsia"/>
        </w:rPr>
        <w:t xml:space="preserve"> </w:t>
      </w:r>
      <w:r w:rsidR="007A751E">
        <w:t xml:space="preserve">new </w:t>
      </w:r>
      <w:r w:rsidR="007A751E" w:rsidRPr="007C5836">
        <w:t xml:space="preserve">agents </w:t>
      </w:r>
      <w:r w:rsidR="007A751E">
        <w:t xml:space="preserve">in that age band are </w:t>
      </w:r>
      <w:r w:rsidR="004766D0">
        <w:rPr>
          <w:rFonts w:eastAsiaTheme="minorEastAsia"/>
        </w:rPr>
        <w:t>created and</w:t>
      </w:r>
      <w:r w:rsidR="007D55F9">
        <w:rPr>
          <w:rFonts w:eastAsiaTheme="minorEastAsia"/>
        </w:rPr>
        <w:t xml:space="preserve"> </w:t>
      </w:r>
      <m:oMath>
        <m:sSup>
          <m:sSupPr>
            <m:ctrlPr>
              <w:rPr>
                <w:rFonts w:ascii="Cambria Math" w:hAnsi="Cambria Math"/>
                <w:i/>
              </w:rPr>
            </m:ctrlPr>
          </m:sSupPr>
          <m:e>
            <m:r>
              <w:rPr>
                <w:rFonts w:ascii="Cambria Math" w:hAnsi="Cambria Math"/>
              </w:rPr>
              <m:t>P</m:t>
            </m:r>
          </m:e>
          <m:sup>
            <m:r>
              <w:rPr>
                <w:rFonts w:ascii="Cambria Math" w:hAnsi="Cambria Math"/>
              </w:rPr>
              <m:t>x,x+5</m:t>
            </m:r>
          </m:sup>
        </m:sSup>
      </m:oMath>
      <w:r w:rsidR="004766D0">
        <w:rPr>
          <w:rFonts w:eastAsiaTheme="minorEastAsia"/>
        </w:rPr>
        <w:t xml:space="preserve"> </w:t>
      </w:r>
      <w:r w:rsidR="007D3B6A" w:rsidRPr="007C5836">
        <w:t>incremented</w:t>
      </w:r>
      <w:r w:rsidR="007A751E">
        <w:t xml:space="preserve"> to the next integer greater than </w:t>
      </w:r>
      <m:oMath>
        <m:sSup>
          <m:sSupPr>
            <m:ctrlPr>
              <w:rPr>
                <w:rFonts w:ascii="Cambria Math" w:hAnsi="Cambria Math"/>
                <w:i/>
              </w:rPr>
            </m:ctrlPr>
          </m:sSupPr>
          <m:e>
            <m:r>
              <w:rPr>
                <w:rFonts w:ascii="Cambria Math" w:hAnsi="Cambria Math"/>
              </w:rPr>
              <m:t>N</m:t>
            </m:r>
          </m:e>
          <m:sup>
            <m:r>
              <w:rPr>
                <w:rFonts w:ascii="Cambria Math" w:hAnsi="Cambria Math"/>
              </w:rPr>
              <m:t>x,x+5</m:t>
            </m:r>
          </m:sup>
        </m:sSup>
      </m:oMath>
      <w:r w:rsidR="004766D0" w:rsidRPr="00616D98">
        <w:t>.</w:t>
      </w:r>
      <w:r w:rsidR="00305367">
        <w:rPr>
          <w:rFonts w:eastAsiaTheme="minorEastAsia"/>
        </w:rPr>
        <w:t xml:space="preserve"> These onset stocks are simply a modelling device to count </w:t>
      </w:r>
      <w:r w:rsidR="00305367">
        <w:t>the number of new cases; they have no outflows, and hence are not shown in Figures 1 and 2.</w:t>
      </w:r>
    </w:p>
    <w:p w14:paraId="54B68FB9" w14:textId="62F82570" w:rsidR="00082277" w:rsidRDefault="00B7101B" w:rsidP="00E14C5A">
      <w:r>
        <w:t>For</w:t>
      </w:r>
      <w:r w:rsidR="003F4A4B" w:rsidRPr="007C5836">
        <w:t xml:space="preserve"> </w:t>
      </w:r>
      <w:r>
        <w:t xml:space="preserve">agent removal, i.e. death, the process is slightly simpler as </w:t>
      </w:r>
      <w:r w:rsidR="00E14C5A">
        <w:t xml:space="preserve">the PWD death stocks have no outflows and hence </w:t>
      </w:r>
      <w:r>
        <w:t>there is no need for a</w:t>
      </w:r>
      <w:r w:rsidR="00305367">
        <w:t xml:space="preserve"> logical</w:t>
      </w:r>
      <w:r>
        <w:t xml:space="preserve"> equivalent of the onset stocks. The </w:t>
      </w:r>
      <w:r w:rsidR="00E14C5A">
        <w:t xml:space="preserve">PWD death </w:t>
      </w:r>
      <w:r>
        <w:t>stock</w:t>
      </w:r>
      <w:r w:rsidR="00E14C5A">
        <w:t xml:space="preserve"> level</w:t>
      </w:r>
      <w:r>
        <w:t xml:space="preserve">s are monitored at </w:t>
      </w:r>
      <w:r w:rsidR="00616D98">
        <w:t>one week intervals</w:t>
      </w:r>
      <w:r w:rsidR="00E14C5A">
        <w:t>,</w:t>
      </w:r>
      <w:r>
        <w:t xml:space="preserve"> and </w:t>
      </w:r>
      <w:r w:rsidR="00484251">
        <w:t xml:space="preserve">each time the (rounded down) stock level increases, </w:t>
      </w:r>
      <w:r>
        <w:t xml:space="preserve">the </w:t>
      </w:r>
      <w:r w:rsidR="00E14C5A">
        <w:t xml:space="preserve">corresponding </w:t>
      </w:r>
      <w:r w:rsidR="00484251">
        <w:t xml:space="preserve">integer </w:t>
      </w:r>
      <w:r w:rsidR="00DA6D6E" w:rsidRPr="007C5836">
        <w:t>number of a</w:t>
      </w:r>
      <w:r w:rsidR="003F4A4B" w:rsidRPr="007C5836">
        <w:t xml:space="preserve">gents </w:t>
      </w:r>
      <w:r w:rsidR="00484251">
        <w:t>whose ages fall with</w:t>
      </w:r>
      <w:r w:rsidR="00E14C5A">
        <w:t xml:space="preserve">in that age band </w:t>
      </w:r>
      <w:r w:rsidR="00484251">
        <w:t xml:space="preserve">are </w:t>
      </w:r>
      <w:r w:rsidR="00E14C5A">
        <w:t>removed</w:t>
      </w:r>
      <w:r w:rsidR="003F4A4B" w:rsidRPr="007C5836">
        <w:t>.</w:t>
      </w:r>
      <w:r w:rsidR="00DA6D6E" w:rsidRPr="007C5836">
        <w:t xml:space="preserve"> </w:t>
      </w:r>
      <w:r w:rsidR="00305367">
        <w:t>Since i</w:t>
      </w:r>
      <w:r w:rsidR="00DA6D6E" w:rsidRPr="007C5836">
        <w:t xml:space="preserve">ncreased </w:t>
      </w:r>
      <w:r w:rsidR="007C5836" w:rsidRPr="007C5836">
        <w:t>dementia</w:t>
      </w:r>
      <w:r w:rsidR="00DA6D6E" w:rsidRPr="007C5836">
        <w:t xml:space="preserve"> severity is associated with increased risk of mortality </w:t>
      </w:r>
      <w:r w:rsidR="00DA6D6E" w:rsidRPr="007C5836">
        <w:fldChar w:fldCharType="begin" w:fldLock="1"/>
      </w:r>
      <w:r w:rsidR="00DA6D6E" w:rsidRPr="007C5836">
        <w:instrText>ADDIN CSL_CITATION {"citationItems":[{"id":"ITEM-1","itemData":{"DOI":"10.1371/journal.pone.0105312","ISBN":"1932-6203 (Electronic)","ISSN":"1932-6203","PMID":"25184819","abstract":"BACKGROUND: Lower levels of cognitive function have been found to be associated with higher mortality in older people, particularly in dementia, but the association in people with other mental disorders is still inconclusive.\\n\\nMETHODS AND FINDINGS: Data were analysed from a large mental health case register serving a geographic catchment of 1.23 million residents, and associations were investigated between cognitive function measured by the Mini-Mental State Examination (MMSE) and survival in patients aged 65 years old and over. Cox regressions were carried out, adjusting for age, gender, psychiatric diagnosis, ethnicity, marital status, and area-level socioeconomic index. A total of 6,704 subjects were involved, including 3,368 of them having a dementia diagnosis and 3,336 of them with depression or other diagnoses. Descriptive outcomes by Kaplan-Meier curves showed significant differences between those with normal and impaired cognitive function (MMSE score&lt;25), regardless of a dementia diagnosis. As a whole, the group with lower cognitive function had an adjusted hazard ratio (HR) of 1.42 (95% CI: 1.28, 1.58) regardless of diagnosis. An HR of 1.23 (95% CI: 1.18, 1.28) per quintile increment of MMSE was also estimated after confounding control. A linear trend of MMSE in quintiles was observed for the subgroups of dementia and other non-dementia diagnoses (both p-values&lt;0.001). However, a threshold effect of MMSE score under 20 was found for the specific diagnosis subgroups of depression.\\n\\nCONCLUSION: Current study identified an association between cognitive impairment and increased mortality in older people using secondary mental health services regardless of a dementia diagnosis. Causal pathways between this exposure and outcome (for example, suboptimal healthcare) need further investigation.","author":[{"dropping-particle":"","family":"Su","given":"Yu-Ping","non-dropping-particle":"","parse-names":false,"suffix":""},{"dropping-particle":"","family":"Chang","given":"Chin-Kuo","non-dropping-particle":"","parse-names":false,"suffix":""},{"dropping-particle":"","family":"Hayes","given":"Richard D","non-dropping-particle":"","parse-names":false,"suffix":""},{"dropping-particle":"","family":"Perera","given":"Gayan","non-dropping-particle":"","parse-names":false,"suffix":""},{"dropping-particle":"","family":"Broadbent","given":"Matthew","non-dropping-particle":"","parse-names":false,"suffix":""},{"dropping-particle":"","family":"To","given":"David","non-dropping-particle":"","parse-names":false,"suffix":""},{"dropping-particle":"","family":"Hotopf","given":"Matthew","non-dropping-particle":"","parse-names":false,"suffix":""},{"dropping-particle":"","family":"Stewart","given":"Robert","non-dropping-particle":"","parse-names":false,"suffix":""}],"container-title":"PloS one","id":"ITEM-1","issue":"9","issued":{"date-parts":[["2014"]]},"page":"1-7","title":"Mini-mental state examination as a predictor of mortality among older people referred to secondary mental healthcare.","type":"article-journal","volume":"9"},"uris":["http://www.mendeley.com/documents/?uuid=0369f25e-22b2-4cf4-a67b-1f937a05c1fd"]},{"id":"ITEM-2","itemData":{"DOI":"140/7/501 [pii]","ISBN":"1539-3704 (Electronic)\\r0003-4819 (Linking)","ISSN":"1539-3704","PMID":"15068977","abstract":"BACKGROUND: Alzheimer disease is an increasingly common condition in older people. Knowledge of life expectancy after the diagnosis of Alzheimer disease and of associations of patient characteristics with survival may help planning for future care. OBJECTIVE: To investigate the course of Alzheimer disease after initial diagnosis and examine associations hypothesized to correlate with survival among community-dwelling patients with Alzheimer disease. DESIGN: Prospective observational study. SETTING: An Alzheimer disease patient registry from a base population of 23 000 persons age 60 years and older in the Group Health Cooperative, Seattle, Washington. PATIENTS: 521 newly recognized persons with Alzheimer disease enrolled from 1987 to 1996 in an Alzheimer disease patient registry. MEASUREMENTS: Baseline measurements included patient demographic features, Mini-Mental State Examination score, Blessed Dementia Rating Scale score, duration since reported onset of symptoms, associated symptoms, comorbid conditions, and selected signs. Survival was the outcome of interest. RESULTS: The median survival from initial diagnosis was 4.2 years for men and 5.7 years for women with Alzheimer disease. Men had poorer survival across all age groups compared with females. Survival was decreased in all age groups compared with the life expectancy of the U.S. population. Predictors of mortality based on proportional hazards models included a baseline Mini-Mental State Examination score of 17 or less, baseline Blessed Dementia Rating Scale score of 5.0 or greater, presence of frontal lobe release signs, presence of extrapyramidal signs, gait disturbance, history of falls, congestive heart failure, ischemic heart disease, and diabetes at baseline. LIMITATIONS: The base population, although typical of the surrounding Seattle community, may not be representative of other, more diverse populations. CONCLUSIONS: In this sample of community-dwelling elderly persons who received a diagnosis of Alzheimer disease, survival duration was shorter than predicted on the basis of U.S. population data, especially for persons with onset at relatively younger ages. Features significantly associated with reduced survival at diagnosis were increased severity of cognitive impairment, decreased functional level, history of falls, physical examination findings of frontal release signs, and abnormal gait. The variables most strongly associated with survival were measures of disease severity at the …","author":[{"dropping-particle":"","family":"Larson","given":"E B","non-dropping-particle":"","parse-names":false,"suffix":""},{"dropping-particle":"","family":"Shadlen","given":"M F","non-dropping-particle":"","parse-names":false,"suffix":""},{"dropping-particle":"","family":"Wang","given":"L","non-dropping-particle":"","parse-names":false,"suffix":""},{"dropping-particle":"","family":"McCormick","given":"W C","non-dropping-particle":"","parse-names":false,"suffix":""},{"dropping-particle":"","family":"Bowen","given":"J D","non-dropping-particle":"","parse-names":false,"suffix":""},{"dropping-particle":"","family":"Teri","given":"L","non-dropping-particle":"","parse-names":false,"suffix":""},{"dropping-particle":"","family":"Kukull","given":"W A","non-dropping-particle":"","parse-names":false,"suffix":""}],"container-title":"Ann Intern Med","id":"ITEM-2","issue":"7","issued":{"date-parts":[["2004"]]},"page":"501-509","title":"Survival after initial diagnosis of Alzheimer disease","type":"article-journal","volume":"140"},"uris":["http://www.mendeley.com/documents/?uuid=c9d05128-b591-484c-a514-744f66cc0937"]},{"id":"ITEM-3","itemData":{"DOI":"10.1093/ageing/31.5.373","ISBN":"1468-2834","ISSN":"00020729","PMID":"12242200","abstract":"Dementia is a predictor of death and institutionalization. It is less clear if variations in cognition within the normal range predict adverse outcomes.","author":[{"dropping-particle":"","family":"John","given":"Philip D.","non-dropping-particle":"St.","parse-names":false,"suffix":""},{"dropping-particle":"","family":"Montgomery","given":"Patrick R.","non-dropping-particle":"","parse-names":false,"suffix":""},{"dropping-particle":"","family":"Kristjansson","given":"Betsy","non-dropping-particle":"","parse-names":false,"suffix":""},{"dropping-particle":"","family":"McDowell","given":"Ian","non-dropping-particle":"","parse-names":false,"suffix":""}],"container-title":"Age and Ageing","id":"ITEM-3","issue":"5","issued":{"date-parts":[["2002"]]},"page":"373-378","title":"Cognitive scores, even within the normal range, predict death and institutionalization","type":"article-journal","volume":"31"},"uris":["http://www.mendeley.com/documents/?uuid=69d4af82-aafe-4e92-9f8b-ea8649e66a0c"]}],"mendeley":{"formattedCitation":"(Su et al., 2014; Larson et al., 2004; St. John et al., 2002)","plainTextFormattedCitation":"(Su et al., 2014; Larson et al., 2004; St. John et al., 2002)","previouslyFormattedCitation":"(Su et al., 2014; Larson et al., 2004; St. John et al., 2002)"},"properties":{"noteIndex":0},"schema":"https://github.com/citation-style-language/schema/raw/master/csl-citation.json"}</w:instrText>
      </w:r>
      <w:r w:rsidR="00DA6D6E" w:rsidRPr="007C5836">
        <w:fldChar w:fldCharType="separate"/>
      </w:r>
      <w:r w:rsidR="00DA6D6E" w:rsidRPr="007C5836">
        <w:rPr>
          <w:noProof/>
        </w:rPr>
        <w:t>(Su et al., 2014; Larson et al., 2004; St. John et al., 2002)</w:t>
      </w:r>
      <w:r w:rsidR="00DA6D6E" w:rsidRPr="007C5836">
        <w:fldChar w:fldCharType="end"/>
      </w:r>
      <w:r w:rsidR="00E14C5A">
        <w:t xml:space="preserve">, </w:t>
      </w:r>
      <w:r w:rsidR="00DA6D6E" w:rsidRPr="007C5836">
        <w:t>agent removal is biased preferential</w:t>
      </w:r>
      <w:r w:rsidR="007C5836" w:rsidRPr="007C5836">
        <w:t>ly</w:t>
      </w:r>
      <w:r w:rsidR="00DA6D6E" w:rsidRPr="007C5836">
        <w:t xml:space="preserve"> to the more severe cases. This is </w:t>
      </w:r>
      <w:r w:rsidR="00E14C5A">
        <w:t>implemented in the model</w:t>
      </w:r>
      <w:r w:rsidR="00DA6D6E" w:rsidRPr="007C5836">
        <w:t xml:space="preserve"> by sampling an MMSE value from a uniform distribution, and selecting </w:t>
      </w:r>
      <w:r w:rsidR="00E14C5A">
        <w:t xml:space="preserve">(at random) </w:t>
      </w:r>
      <w:r w:rsidR="00DA6D6E" w:rsidRPr="007C5836">
        <w:t xml:space="preserve">an agent </w:t>
      </w:r>
      <w:r w:rsidR="00E14C5A">
        <w:t>whose</w:t>
      </w:r>
      <w:r w:rsidR="00DA6D6E" w:rsidRPr="007C5836">
        <w:t xml:space="preserve"> MMSE value</w:t>
      </w:r>
      <w:r w:rsidR="00E14C5A">
        <w:t xml:space="preserve"> exceeds this sampled value</w:t>
      </w:r>
      <w:r w:rsidR="00DA6D6E" w:rsidRPr="007C5836">
        <w:t>.</w:t>
      </w:r>
      <w:r w:rsidR="00D2743C">
        <w:t xml:space="preserve"> If the chosen agent is in the delayed mortality state, another agent is selected. </w:t>
      </w:r>
    </w:p>
    <w:p w14:paraId="185920D9" w14:textId="497CA502" w:rsidR="009579FD" w:rsidRPr="00526E3F" w:rsidRDefault="009579FD" w:rsidP="009579FD">
      <w:pPr>
        <w:pStyle w:val="Heading1"/>
      </w:pPr>
      <w:r>
        <w:t>7</w:t>
      </w:r>
      <w:r w:rsidRPr="00526E3F">
        <w:t xml:space="preserve"> Model outputs</w:t>
      </w:r>
    </w:p>
    <w:p w14:paraId="2E4DDD1B" w14:textId="0B42C515" w:rsidR="009579FD" w:rsidRPr="00526E3F" w:rsidRDefault="009579FD" w:rsidP="009579FD">
      <w:r w:rsidRPr="00526E3F">
        <w:t>The main model output</w:t>
      </w:r>
      <w:r>
        <w:t>s are</w:t>
      </w:r>
      <w:r w:rsidRPr="00526E3F">
        <w:t xml:space="preserve"> </w:t>
      </w:r>
      <w:r w:rsidRPr="006B7C74">
        <w:t>the numbers of patients at different stages of disease severity over time</w:t>
      </w:r>
      <w:r>
        <w:t>,</w:t>
      </w:r>
      <w:r w:rsidRPr="00526E3F">
        <w:t xml:space="preserve"> </w:t>
      </w:r>
      <w:r>
        <w:t>and t</w:t>
      </w:r>
      <w:r w:rsidRPr="00526E3F">
        <w:t>he numbers of cognitively normal and dementia deaths by age group</w:t>
      </w:r>
      <w:r>
        <w:t xml:space="preserve">, also </w:t>
      </w:r>
      <w:r w:rsidRPr="00526E3F">
        <w:t>broken down by severity level</w:t>
      </w:r>
      <w:r>
        <w:t>. These numbers can be used to</w:t>
      </w:r>
      <w:r w:rsidRPr="00526E3F">
        <w:t xml:space="preserve"> </w:t>
      </w:r>
      <w:r>
        <w:t>inform</w:t>
      </w:r>
      <w:r w:rsidRPr="00526E3F">
        <w:t xml:space="preserve"> </w:t>
      </w:r>
      <w:r>
        <w:t xml:space="preserve">care service </w:t>
      </w:r>
      <w:r w:rsidRPr="00526E3F">
        <w:t xml:space="preserve">planning </w:t>
      </w:r>
      <w:r>
        <w:t>as well as the</w:t>
      </w:r>
      <w:r w:rsidRPr="00526E3F">
        <w:t xml:space="preserve"> design of end</w:t>
      </w:r>
      <w:r>
        <w:t>-</w:t>
      </w:r>
      <w:r w:rsidRPr="00526E3F">
        <w:t>of</w:t>
      </w:r>
      <w:r>
        <w:t>-</w:t>
      </w:r>
      <w:r w:rsidRPr="00526E3F">
        <w:t xml:space="preserve">life services </w:t>
      </w:r>
      <w:r w:rsidRPr="00526E3F">
        <w:fldChar w:fldCharType="begin" w:fldLock="1"/>
      </w:r>
      <w:r w:rsidRPr="00526E3F">
        <w:instrText>ADDIN CSL_CITATION {"citationItems":[{"id":"ITEM-1","itemData":{"abstract":"Key Points In England social care is a significant part of care for people in the last 12 months of their life, with some form of local authority-funded social care being given to around 27.8% of people who died. On average, 14.9% of all people who died had some residential or nursing care service in the last year of life. There was considerable variation in the use of social care between local authorities. For example, there were twofold differences in the proportion of social care users in any given month prior to death – even when rates were standardised for age and sex differences between areas. Many more people used hospital care than social care in the last year of life (89.6% versus 27.8%), and total hospital costs in this period were approximately double those of social care services. However, for those people who did use a service, the average local authority social care costs exceeded hospital costs (£12,559 per social care user versus £7,415 per hospital user). Individuals in the last 12 months of their lives were significantly more likely to use a social care service than similar individuals in the general population (matched by age and sex). Social care needs were apparent well before the end of life. While hospital costs showed a sharp increase in the final few months, social care costs rose gradually up until death. The greatest increases in social care use were observed in care home use. Individuals with the highest social care costs had relatively low average hospital costs – this was broadly the case irrespective of age, and suggests that use of social care may prevent the need for hospital care. This is linked with a phenomenon observed elsewhere concerning people in residential care settings (Bardsley and others, 2012): that they tend to use less hospital care than people in intensive home care settings. There were significant differences in the use of social care between groups of individuals with certain long-term conditions: of the more commonly occurring conditions, usage levels were highest in people with dementia, falls and cerebrovascular disease, and were lower for people with cancer (even when adjusted for age and sex). The least socioeconomically deprived groups within the population tended to use less local authority-funded social care – which would be expected, given the role of means-testing for care. However, the relationship was not linear, and there was no discernible trend within the most deprived half of users. This…","author":[{"dropping-particle":"","family":"Georghiou","given":"Theo","non-dropping-particle":"","parse-names":false,"suffix":""},{"dropping-particle":"","family":"Davies","given":"Sian","non-dropping-particle":"","parse-names":false,"suffix":""},{"dropping-particle":"","family":"Davies","given":"Alisha","non-dropping-particle":"","parse-names":false,"suffix":""},{"dropping-particle":"","family":"Bardsley","given":"Martin","non-dropping-particle":"","parse-names":false,"suffix":""}],"id":"ITEM-1","issue":"October","issued":{"date-parts":[["2012"]]},"number-of-pages":"1-57","publisher-place":"London","title":"Understanding patterns of health and social care at the end of life","type":"report"},"uris":["http://www.mendeley.com/documents/?uuid=faa2d6c3-8072-47c3-975b-0cd24c2adee7"]}],"mendeley":{"formattedCitation":"(Georghiou et al., 2012)","plainTextFormattedCitation":"(Georghiou et al., 2012)","previouslyFormattedCitation":"(Georghiou et al., 2012)"},"properties":{"noteIndex":0},"schema":"https://github.com/citation-style-language/schema/raw/master/csl-citation.json"}</w:instrText>
      </w:r>
      <w:r w:rsidRPr="00526E3F">
        <w:fldChar w:fldCharType="separate"/>
      </w:r>
      <w:r w:rsidRPr="00526E3F">
        <w:rPr>
          <w:noProof/>
        </w:rPr>
        <w:t>(Georghiou et al., 2012)</w:t>
      </w:r>
      <w:r w:rsidRPr="00526E3F">
        <w:fldChar w:fldCharType="end"/>
      </w:r>
      <w:r w:rsidRPr="00526E3F">
        <w:t xml:space="preserve">. </w:t>
      </w:r>
    </w:p>
    <w:p w14:paraId="7C281817" w14:textId="700ADDEB" w:rsidR="009579FD" w:rsidRPr="00526E3F" w:rsidRDefault="009579FD" w:rsidP="009579FD">
      <w:pPr>
        <w:pStyle w:val="Caption"/>
      </w:pPr>
      <w:r w:rsidRPr="00526E3F">
        <w:t xml:space="preserve">Table </w:t>
      </w:r>
      <w:r w:rsidRPr="00526E3F">
        <w:rPr>
          <w:noProof/>
        </w:rPr>
        <w:fldChar w:fldCharType="begin"/>
      </w:r>
      <w:r w:rsidRPr="00526E3F">
        <w:rPr>
          <w:noProof/>
        </w:rPr>
        <w:instrText xml:space="preserve"> SEQ Table \* ARABIC </w:instrText>
      </w:r>
      <w:r w:rsidRPr="00526E3F">
        <w:rPr>
          <w:noProof/>
        </w:rPr>
        <w:fldChar w:fldCharType="separate"/>
      </w:r>
      <w:r w:rsidR="0020511F">
        <w:rPr>
          <w:noProof/>
        </w:rPr>
        <w:t>2</w:t>
      </w:r>
      <w:r w:rsidRPr="00526E3F">
        <w:rPr>
          <w:noProof/>
        </w:rPr>
        <w:fldChar w:fldCharType="end"/>
      </w:r>
      <w:bookmarkStart w:id="4" w:name="_Ref511816538"/>
      <w:bookmarkStart w:id="5" w:name="_Ref511816553"/>
      <w:bookmarkStart w:id="6" w:name="_Toc522013528"/>
      <w:r w:rsidR="00061BD6">
        <w:t xml:space="preserve">   </w:t>
      </w:r>
      <w:r w:rsidRPr="00526E3F">
        <w:t xml:space="preserve">Summary outcome </w:t>
      </w:r>
      <w:bookmarkEnd w:id="4"/>
      <w:bookmarkEnd w:id="5"/>
      <w:r w:rsidRPr="00526E3F">
        <w:t>measures</w:t>
      </w:r>
      <w:bookmarkEnd w:id="6"/>
    </w:p>
    <w:tbl>
      <w:tblPr>
        <w:tblStyle w:val="TableGrid"/>
        <w:tblW w:w="8926" w:type="dxa"/>
        <w:tblLook w:val="04A0" w:firstRow="1" w:lastRow="0" w:firstColumn="1" w:lastColumn="0" w:noHBand="0" w:noVBand="1"/>
      </w:tblPr>
      <w:tblGrid>
        <w:gridCol w:w="4106"/>
        <w:gridCol w:w="4820"/>
      </w:tblGrid>
      <w:tr w:rsidR="009579FD" w:rsidRPr="00B7782D" w14:paraId="018267AF" w14:textId="77777777" w:rsidTr="009579FD">
        <w:tc>
          <w:tcPr>
            <w:tcW w:w="4106" w:type="dxa"/>
          </w:tcPr>
          <w:p w14:paraId="29312EE8" w14:textId="77777777" w:rsidR="009579FD" w:rsidRPr="00B7782D" w:rsidRDefault="009579FD" w:rsidP="00943353">
            <w:pPr>
              <w:pStyle w:val="TableContent"/>
              <w:keepNext/>
              <w:keepLines/>
              <w:rPr>
                <w:b/>
              </w:rPr>
            </w:pPr>
            <w:r w:rsidRPr="00B7782D">
              <w:rPr>
                <w:b/>
              </w:rPr>
              <w:t xml:space="preserve">Outcome </w:t>
            </w:r>
          </w:p>
        </w:tc>
        <w:tc>
          <w:tcPr>
            <w:tcW w:w="4820" w:type="dxa"/>
          </w:tcPr>
          <w:p w14:paraId="5EE13A32" w14:textId="580E2BE5" w:rsidR="009579FD" w:rsidRPr="00B7782D" w:rsidRDefault="009579FD" w:rsidP="00943353">
            <w:pPr>
              <w:pStyle w:val="TableContent"/>
              <w:keepNext/>
              <w:keepLines/>
              <w:rPr>
                <w:b/>
              </w:rPr>
            </w:pPr>
            <w:r>
              <w:rPr>
                <w:b/>
              </w:rPr>
              <w:t>Comments</w:t>
            </w:r>
          </w:p>
        </w:tc>
      </w:tr>
      <w:tr w:rsidR="009579FD" w:rsidRPr="00B7782D" w14:paraId="451F6AD5" w14:textId="77777777" w:rsidTr="009579FD">
        <w:trPr>
          <w:trHeight w:val="371"/>
        </w:trPr>
        <w:tc>
          <w:tcPr>
            <w:tcW w:w="4106" w:type="dxa"/>
            <w:vAlign w:val="center"/>
          </w:tcPr>
          <w:p w14:paraId="02D05E0C" w14:textId="77777777" w:rsidR="009579FD" w:rsidRPr="00B7782D" w:rsidRDefault="009579FD" w:rsidP="00943353">
            <w:pPr>
              <w:pStyle w:val="TableContent"/>
              <w:keepNext/>
              <w:keepLines/>
            </w:pPr>
            <w:r w:rsidRPr="00B7782D">
              <w:t>Years with dementia (YWD)</w:t>
            </w:r>
          </w:p>
        </w:tc>
        <w:tc>
          <w:tcPr>
            <w:tcW w:w="4820" w:type="dxa"/>
            <w:vMerge w:val="restart"/>
            <w:vAlign w:val="center"/>
          </w:tcPr>
          <w:p w14:paraId="0EB4B20E" w14:textId="35DF7586" w:rsidR="009579FD" w:rsidRPr="00B7782D" w:rsidRDefault="009579FD" w:rsidP="00943353">
            <w:pPr>
              <w:pStyle w:val="TableContent"/>
              <w:keepNext/>
              <w:keepLines/>
            </w:pPr>
            <w:r>
              <w:t>C</w:t>
            </w:r>
            <w:r w:rsidRPr="00B7782D">
              <w:t xml:space="preserve">alculated for all </w:t>
            </w:r>
            <w:r>
              <w:t>patients</w:t>
            </w:r>
            <w:r w:rsidRPr="00B7782D">
              <w:t xml:space="preserve"> and also </w:t>
            </w:r>
            <w:r>
              <w:t>broken down by</w:t>
            </w:r>
            <w:r w:rsidRPr="00B7782D">
              <w:t xml:space="preserve"> progression type</w:t>
            </w:r>
          </w:p>
        </w:tc>
      </w:tr>
      <w:tr w:rsidR="009579FD" w:rsidRPr="00B7782D" w14:paraId="3A84782F" w14:textId="77777777" w:rsidTr="009579FD">
        <w:trPr>
          <w:trHeight w:val="371"/>
        </w:trPr>
        <w:tc>
          <w:tcPr>
            <w:tcW w:w="4106" w:type="dxa"/>
            <w:vAlign w:val="center"/>
          </w:tcPr>
          <w:p w14:paraId="61525138" w14:textId="77777777" w:rsidR="009579FD" w:rsidRPr="00B7782D" w:rsidRDefault="009579FD" w:rsidP="00943353">
            <w:pPr>
              <w:pStyle w:val="TableContent"/>
              <w:keepNext/>
              <w:keepLines/>
            </w:pPr>
            <w:r w:rsidRPr="00B7782D">
              <w:t>Quality adjusted life years (QALYs)</w:t>
            </w:r>
          </w:p>
        </w:tc>
        <w:tc>
          <w:tcPr>
            <w:tcW w:w="4820" w:type="dxa"/>
            <w:vMerge/>
            <w:vAlign w:val="center"/>
          </w:tcPr>
          <w:p w14:paraId="2E02BFCA" w14:textId="77777777" w:rsidR="009579FD" w:rsidRPr="00B7782D" w:rsidRDefault="009579FD" w:rsidP="00943353">
            <w:pPr>
              <w:pStyle w:val="TableContent"/>
              <w:keepNext/>
              <w:keepLines/>
            </w:pPr>
          </w:p>
        </w:tc>
      </w:tr>
      <w:tr w:rsidR="009579FD" w:rsidRPr="00B7782D" w14:paraId="4789538B" w14:textId="77777777" w:rsidTr="009579FD">
        <w:trPr>
          <w:trHeight w:val="371"/>
        </w:trPr>
        <w:tc>
          <w:tcPr>
            <w:tcW w:w="4106" w:type="dxa"/>
            <w:vAlign w:val="center"/>
          </w:tcPr>
          <w:p w14:paraId="070367B6" w14:textId="77777777" w:rsidR="009579FD" w:rsidRPr="00B7782D" w:rsidRDefault="009579FD" w:rsidP="00943353">
            <w:pPr>
              <w:pStyle w:val="TableContent"/>
              <w:keepNext/>
              <w:keepLines/>
            </w:pPr>
            <w:r>
              <w:t>Care costs</w:t>
            </w:r>
          </w:p>
        </w:tc>
        <w:tc>
          <w:tcPr>
            <w:tcW w:w="4820" w:type="dxa"/>
            <w:vAlign w:val="center"/>
          </w:tcPr>
          <w:p w14:paraId="28AE7348" w14:textId="4B19BFCA" w:rsidR="009579FD" w:rsidRPr="00B7782D" w:rsidRDefault="009579FD" w:rsidP="00943353">
            <w:pPr>
              <w:pStyle w:val="TableContent"/>
              <w:keepNext/>
              <w:keepLines/>
            </w:pPr>
            <w:r>
              <w:t>C</w:t>
            </w:r>
            <w:r w:rsidRPr="00B7782D">
              <w:t xml:space="preserve">alculated for each </w:t>
            </w:r>
            <w:r>
              <w:t>patient;</w:t>
            </w:r>
            <w:r w:rsidRPr="00B7782D">
              <w:t xml:space="preserve"> costs </w:t>
            </w:r>
            <w:r>
              <w:t xml:space="preserve">per annum </w:t>
            </w:r>
            <w:r w:rsidRPr="00B7782D">
              <w:t>were estimated by dividing this by YWD</w:t>
            </w:r>
          </w:p>
        </w:tc>
      </w:tr>
      <w:tr w:rsidR="009579FD" w:rsidRPr="00B7782D" w14:paraId="33527B1E" w14:textId="77777777" w:rsidTr="009579FD">
        <w:trPr>
          <w:trHeight w:val="371"/>
        </w:trPr>
        <w:tc>
          <w:tcPr>
            <w:tcW w:w="4106" w:type="dxa"/>
            <w:vAlign w:val="center"/>
          </w:tcPr>
          <w:p w14:paraId="7A56D2C9" w14:textId="77777777" w:rsidR="009579FD" w:rsidRPr="00B7782D" w:rsidRDefault="009579FD" w:rsidP="00943353">
            <w:pPr>
              <w:pStyle w:val="TableContent"/>
              <w:keepNext/>
              <w:keepLines/>
            </w:pPr>
            <w:r w:rsidRPr="00B7782D">
              <w:t xml:space="preserve">Number of </w:t>
            </w:r>
            <w:r>
              <w:t>PWD, by age group and severity</w:t>
            </w:r>
            <w:r w:rsidRPr="00B7782D">
              <w:t xml:space="preserve"> </w:t>
            </w:r>
          </w:p>
        </w:tc>
        <w:tc>
          <w:tcPr>
            <w:tcW w:w="4820" w:type="dxa"/>
            <w:vAlign w:val="center"/>
          </w:tcPr>
          <w:p w14:paraId="6FE15A4F" w14:textId="7BA7F6B5" w:rsidR="009579FD" w:rsidRPr="00B7782D" w:rsidRDefault="009579FD" w:rsidP="00943353">
            <w:pPr>
              <w:pStyle w:val="TableContent"/>
              <w:keepNext/>
              <w:keepLines/>
            </w:pPr>
            <w:r>
              <w:t>Case load indicator for care service planners</w:t>
            </w:r>
          </w:p>
        </w:tc>
      </w:tr>
      <w:tr w:rsidR="009579FD" w:rsidRPr="00B7782D" w14:paraId="0B9024D9" w14:textId="77777777" w:rsidTr="009579FD">
        <w:tc>
          <w:tcPr>
            <w:tcW w:w="4106" w:type="dxa"/>
            <w:vAlign w:val="center"/>
          </w:tcPr>
          <w:p w14:paraId="7E49EF75" w14:textId="77777777" w:rsidR="009579FD" w:rsidRPr="00B7782D" w:rsidRDefault="009579FD" w:rsidP="00943353">
            <w:pPr>
              <w:pStyle w:val="TableContent"/>
              <w:keepNext/>
              <w:keepLines/>
            </w:pPr>
            <w:r w:rsidRPr="00B7782D">
              <w:t xml:space="preserve">Number of deaths of </w:t>
            </w:r>
            <w:r>
              <w:t>PWD</w:t>
            </w:r>
            <w:r w:rsidRPr="00B7782D">
              <w:t xml:space="preserve"> by age</w:t>
            </w:r>
            <w:r>
              <w:t xml:space="preserve"> group</w:t>
            </w:r>
          </w:p>
        </w:tc>
        <w:tc>
          <w:tcPr>
            <w:tcW w:w="4820" w:type="dxa"/>
            <w:vAlign w:val="center"/>
          </w:tcPr>
          <w:p w14:paraId="7574593B" w14:textId="77777777" w:rsidR="009579FD" w:rsidRPr="00B7782D" w:rsidRDefault="009579FD" w:rsidP="00943353">
            <w:pPr>
              <w:pStyle w:val="TableContent"/>
              <w:keepNext/>
              <w:keepLines/>
            </w:pPr>
            <w:r w:rsidRPr="00B7782D">
              <w:t>Case load indicator for end of life care</w:t>
            </w:r>
          </w:p>
        </w:tc>
      </w:tr>
    </w:tbl>
    <w:p w14:paraId="33E2486A" w14:textId="6C6C1D56" w:rsidR="009579FD" w:rsidRDefault="009579FD" w:rsidP="009579FD"/>
    <w:p w14:paraId="5EFC34BF" w14:textId="6EBE12F4" w:rsidR="009579FD" w:rsidRPr="00526E3F" w:rsidRDefault="009579FD" w:rsidP="009579FD">
      <w:r>
        <w:t>U</w:t>
      </w:r>
      <w:r w:rsidRPr="00526E3F">
        <w:t>ser-selectable options allow</w:t>
      </w:r>
      <w:r>
        <w:t xml:space="preserve"> all-female or all-</w:t>
      </w:r>
      <w:r w:rsidRPr="00526E3F">
        <w:t>male populations</w:t>
      </w:r>
      <w:r w:rsidR="003F0FDD">
        <w:t xml:space="preserve"> to be simulated</w:t>
      </w:r>
      <w:r w:rsidRPr="00526E3F">
        <w:t xml:space="preserve">, as </w:t>
      </w:r>
      <w:r>
        <w:t>sex</w:t>
      </w:r>
      <w:r w:rsidRPr="00526E3F">
        <w:t>-specific incidence and mortality rates give different distributions of dementia onset age and longevity</w:t>
      </w:r>
      <w:r w:rsidR="003F0FDD">
        <w:t>.</w:t>
      </w:r>
      <w:r w:rsidR="0010173A">
        <w:t xml:space="preserve"> </w:t>
      </w:r>
      <w:r w:rsidR="00305367">
        <w:t>T</w:t>
      </w:r>
      <w:r w:rsidR="003F0FDD">
        <w:t xml:space="preserve">he results presented in this paper are for a mixed population (see Appendix A1). </w:t>
      </w:r>
    </w:p>
    <w:p w14:paraId="0AAE6242" w14:textId="77777777" w:rsidR="009579FD" w:rsidRPr="00526E3F" w:rsidRDefault="009579FD" w:rsidP="009579FD"/>
    <w:p w14:paraId="64D25482" w14:textId="33C0A3EE" w:rsidR="00C03EF8" w:rsidRPr="00526E3F" w:rsidRDefault="009579FD" w:rsidP="0034606E">
      <w:pPr>
        <w:pStyle w:val="Heading1"/>
      </w:pPr>
      <w:r>
        <w:lastRenderedPageBreak/>
        <w:t>8</w:t>
      </w:r>
      <w:r w:rsidR="00C03EF8" w:rsidRPr="00526E3F">
        <w:t xml:space="preserve"> Model </w:t>
      </w:r>
      <w:r w:rsidR="006568CC" w:rsidRPr="00526E3F">
        <w:t>v</w:t>
      </w:r>
      <w:r w:rsidR="00C03EF8" w:rsidRPr="00526E3F">
        <w:t>alidation</w:t>
      </w:r>
    </w:p>
    <w:p w14:paraId="2867A2DF" w14:textId="511254A7" w:rsidR="00BA6837" w:rsidRPr="00526E3F" w:rsidRDefault="00B84786" w:rsidP="00EB5702">
      <w:pPr>
        <w:keepNext/>
        <w:keepLines/>
      </w:pPr>
      <w:r w:rsidRPr="00526E3F">
        <w:t xml:space="preserve">The simulation was validated by comparing </w:t>
      </w:r>
      <w:r w:rsidR="009579FD">
        <w:t xml:space="preserve">the </w:t>
      </w:r>
      <w:r w:rsidR="004C2E0E">
        <w:t xml:space="preserve">model </w:t>
      </w:r>
      <w:r w:rsidRPr="00526E3F">
        <w:t>results with independent sources</w:t>
      </w:r>
      <w:r w:rsidR="004C2E0E">
        <w:t xml:space="preserve"> where available</w:t>
      </w:r>
      <w:r w:rsidRPr="00526E3F">
        <w:t>.</w:t>
      </w:r>
      <w:r w:rsidR="0010173A">
        <w:t xml:space="preserve"> </w:t>
      </w:r>
      <w:r w:rsidR="00EB5702">
        <w:t xml:space="preserve">For example, </w:t>
      </w:r>
      <w:r w:rsidR="00305367">
        <w:t xml:space="preserve">Figure 4 </w:t>
      </w:r>
      <w:r w:rsidR="002456CD">
        <w:t>compares</w:t>
      </w:r>
      <w:r w:rsidR="00305367">
        <w:t xml:space="preserve"> </w:t>
      </w:r>
      <w:r w:rsidR="00EB5702">
        <w:t>m</w:t>
      </w:r>
      <w:r w:rsidR="00BA6837" w:rsidRPr="00526E3F">
        <w:t>ortality</w:t>
      </w:r>
      <w:r w:rsidR="004C2E0E">
        <w:t xml:space="preserve"> in</w:t>
      </w:r>
      <w:r w:rsidR="004C2E0E" w:rsidRPr="00526E3F">
        <w:t xml:space="preserve"> a </w:t>
      </w:r>
      <w:r w:rsidR="0010173A" w:rsidRPr="0010173A">
        <w:t>cohort of 5,000 persons starting at age 60</w:t>
      </w:r>
      <w:r w:rsidR="00305367">
        <w:t>, obtained</w:t>
      </w:r>
      <w:r w:rsidR="00BA6837" w:rsidRPr="00526E3F">
        <w:t xml:space="preserve"> by </w:t>
      </w:r>
      <w:r w:rsidR="00305367">
        <w:t>aggregating</w:t>
      </w:r>
      <w:r w:rsidR="00BA6837" w:rsidRPr="00526E3F">
        <w:t xml:space="preserve"> </w:t>
      </w:r>
      <w:r w:rsidR="00266B70">
        <w:t xml:space="preserve">CN </w:t>
      </w:r>
      <w:r w:rsidR="002456CD">
        <w:t xml:space="preserve">(green) </w:t>
      </w:r>
      <w:r w:rsidR="00266B70">
        <w:t xml:space="preserve">and PWD </w:t>
      </w:r>
      <w:r w:rsidR="002456CD">
        <w:t xml:space="preserve">(blue) </w:t>
      </w:r>
      <w:r w:rsidR="00BA6837" w:rsidRPr="00526E3F">
        <w:t xml:space="preserve">deaths </w:t>
      </w:r>
      <w:r w:rsidR="00266B70">
        <w:t>in</w:t>
      </w:r>
      <w:r w:rsidR="00576AC6" w:rsidRPr="00526E3F">
        <w:t xml:space="preserve"> the model </w:t>
      </w:r>
      <w:r w:rsidR="00305367" w:rsidRPr="00526E3F">
        <w:t xml:space="preserve">(solid </w:t>
      </w:r>
      <w:r w:rsidR="00305367">
        <w:t>orange</w:t>
      </w:r>
      <w:r w:rsidR="00305367" w:rsidRPr="00526E3F">
        <w:t xml:space="preserve">) </w:t>
      </w:r>
      <w:r w:rsidR="00BA6837" w:rsidRPr="00526E3F">
        <w:t xml:space="preserve">and </w:t>
      </w:r>
      <w:r w:rsidR="002456CD">
        <w:t>using</w:t>
      </w:r>
      <w:r w:rsidR="00BA6837" w:rsidRPr="00526E3F">
        <w:t xml:space="preserve"> reference data</w:t>
      </w:r>
      <w:r w:rsidR="009579FD">
        <w:t xml:space="preserve"> from the UK Office of National Statistics</w:t>
      </w:r>
      <w:r w:rsidR="00305367">
        <w:t xml:space="preserve"> </w:t>
      </w:r>
      <w:r w:rsidR="00305367" w:rsidRPr="00526E3F">
        <w:t xml:space="preserve">(dotted </w:t>
      </w:r>
      <w:r w:rsidR="00305367">
        <w:t>orange</w:t>
      </w:r>
      <w:r w:rsidR="00305367" w:rsidRPr="00526E3F">
        <w:t>)</w:t>
      </w:r>
      <w:r w:rsidR="00BA6837" w:rsidRPr="00526E3F">
        <w:t xml:space="preserve">. </w:t>
      </w:r>
    </w:p>
    <w:p w14:paraId="2AE005AD" w14:textId="77777777" w:rsidR="00BA6837" w:rsidRPr="00526E3F" w:rsidRDefault="00BA6837" w:rsidP="00F044E2">
      <w:pPr>
        <w:pStyle w:val="Picture"/>
        <w:keepNext/>
        <w:keepLines/>
      </w:pPr>
      <w:r w:rsidRPr="00526E3F">
        <w:drawing>
          <wp:inline distT="0" distB="0" distL="0" distR="0" wp14:anchorId="7797F501" wp14:editId="1B9F0D32">
            <wp:extent cx="4772025" cy="21540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03509" cy="2168239"/>
                    </a:xfrm>
                    <a:prstGeom prst="rect">
                      <a:avLst/>
                    </a:prstGeom>
                    <a:noFill/>
                  </pic:spPr>
                </pic:pic>
              </a:graphicData>
            </a:graphic>
          </wp:inline>
        </w:drawing>
      </w:r>
    </w:p>
    <w:p w14:paraId="6F468E51" w14:textId="5742BE90" w:rsidR="00BA6837" w:rsidRPr="00526E3F" w:rsidRDefault="00BA6837" w:rsidP="00F044E2">
      <w:pPr>
        <w:pStyle w:val="Caption"/>
      </w:pPr>
      <w:bookmarkStart w:id="7" w:name="_Ref7768788"/>
      <w:bookmarkStart w:id="8" w:name="_Ref7768784"/>
      <w:r w:rsidRPr="00526E3F">
        <w:t xml:space="preserve">Figure </w:t>
      </w:r>
      <w:r w:rsidRPr="00526E3F">
        <w:rPr>
          <w:noProof/>
        </w:rPr>
        <w:fldChar w:fldCharType="begin"/>
      </w:r>
      <w:r w:rsidRPr="00526E3F">
        <w:rPr>
          <w:noProof/>
        </w:rPr>
        <w:instrText xml:space="preserve"> SEQ Figure \* ARABIC </w:instrText>
      </w:r>
      <w:r w:rsidRPr="00526E3F">
        <w:rPr>
          <w:noProof/>
        </w:rPr>
        <w:fldChar w:fldCharType="separate"/>
      </w:r>
      <w:r w:rsidR="0020511F">
        <w:rPr>
          <w:noProof/>
        </w:rPr>
        <w:t>4</w:t>
      </w:r>
      <w:r w:rsidRPr="00526E3F">
        <w:rPr>
          <w:noProof/>
        </w:rPr>
        <w:fldChar w:fldCharType="end"/>
      </w:r>
      <w:bookmarkEnd w:id="7"/>
      <w:r w:rsidR="00061BD6">
        <w:rPr>
          <w:noProof/>
        </w:rPr>
        <w:t xml:space="preserve">   </w:t>
      </w:r>
      <w:r w:rsidR="002A5F79" w:rsidRPr="00526E3F">
        <w:rPr>
          <w:noProof/>
        </w:rPr>
        <w:t xml:space="preserve">Validation of modelled </w:t>
      </w:r>
      <w:r w:rsidR="00DF632A" w:rsidRPr="00526E3F">
        <w:t>overall</w:t>
      </w:r>
      <w:r w:rsidRPr="00526E3F">
        <w:t xml:space="preserve"> mortality </w:t>
      </w:r>
      <w:bookmarkEnd w:id="8"/>
    </w:p>
    <w:p w14:paraId="00CEBCC7" w14:textId="77777777" w:rsidR="00A90FDF" w:rsidRPr="00526E3F" w:rsidRDefault="00A90FDF" w:rsidP="00BC74E1"/>
    <w:p w14:paraId="5FBB41A7" w14:textId="297C9EDC" w:rsidR="003F2FBC" w:rsidRPr="00526E3F" w:rsidRDefault="009579FD" w:rsidP="00161402">
      <w:r>
        <w:t>On</w:t>
      </w:r>
      <w:r w:rsidR="00333542">
        <w:t xml:space="preserve"> average</w:t>
      </w:r>
      <w:r>
        <w:t>,</w:t>
      </w:r>
      <w:r w:rsidR="00333542">
        <w:t xml:space="preserve"> </w:t>
      </w:r>
      <w:r>
        <w:t>m</w:t>
      </w:r>
      <w:r w:rsidR="00333542">
        <w:t>odel</w:t>
      </w:r>
      <w:r>
        <w:t>led</w:t>
      </w:r>
      <w:r w:rsidR="00333542">
        <w:t xml:space="preserve"> patients survived</w:t>
      </w:r>
      <w:r w:rsidR="00333542" w:rsidRPr="00FD6234">
        <w:t xml:space="preserve"> 7.761 years with dementia</w:t>
      </w:r>
      <w:r w:rsidR="002456CD">
        <w:t xml:space="preserve"> (see Table 5)</w:t>
      </w:r>
      <w:r w:rsidR="00333542" w:rsidRPr="00FD6234">
        <w:t xml:space="preserve">. This value </w:t>
      </w:r>
      <w:r w:rsidR="00333542">
        <w:t xml:space="preserve">is consistent </w:t>
      </w:r>
      <w:r w:rsidR="00333542" w:rsidRPr="00FD6234">
        <w:t xml:space="preserve">with published studies, </w:t>
      </w:r>
      <w:r>
        <w:t xml:space="preserve">although </w:t>
      </w:r>
      <w:r w:rsidR="00333542">
        <w:t>the</w:t>
      </w:r>
      <w:r>
        <w:t>se</w:t>
      </w:r>
      <w:r w:rsidR="00333542">
        <w:t xml:space="preserve"> </w:t>
      </w:r>
      <w:r>
        <w:t xml:space="preserve">studies are relatively old and the </w:t>
      </w:r>
      <w:r w:rsidR="00333542">
        <w:t>ranges are very wide</w:t>
      </w:r>
      <w:r>
        <w:t>,</w:t>
      </w:r>
      <w:r w:rsidR="00333542">
        <w:t xml:space="preserve"> </w:t>
      </w:r>
      <w:r w:rsidR="00333542" w:rsidRPr="00FD6234">
        <w:t xml:space="preserve">for example 3.8 to 10.7 years </w:t>
      </w:r>
      <w:r w:rsidR="00333542" w:rsidRPr="00FD6234">
        <w:fldChar w:fldCharType="begin" w:fldLock="1"/>
      </w:r>
      <w:r w:rsidR="00333542" w:rsidRPr="00FD6234">
        <w:instrText>ADDIN CSL_CITATION {"citationItems":[{"id":"ITEM-1","itemData":{"DOI":"10.1136/bmj.39433.616678.25","ISSN":"1756-1833","PMID":"18187696","abstract":"OBJECTIVES To provide estimates of survival after onset of dementia by age, sex, self reported health, disability, and severity of cognitive impairment. DESIGN Analysis of participants from prospective population based cohort study in 1991-2003, with follow-up of dementia status in all individuals after two and six years (in one centre) and 10 years and in subsamples additionally at six and eight years and mortality until 2005. SETTING Multicentre population based study in England and Wales: two rural and three urban centres. PARTICIPANTS 438 participants who developed dementia from a population based study of 13 004 individuals aged 65 years and over drawn from primary care population registers. MAIN OUTCOME MEASURES Sociodemographic factors, cognitive function, specific health conditions, and self reported health collected at each interview. Cox's proportional hazards regression models were used to identify predictors of mortality from the selected variables in people who received diagnosis of dementia according the study's criteria. RESULTS By December 2005, 356 of the 438 (81%) participants who developed dementia during the study had died. Estimated median survival time from onset of dementia to death was 4.1 years (interquartile range 2.5-7.6) for men and 4.6 years (2.9-7.0) for women. There was a difference of nearly seven years in survival between the younger old and the oldest people with dementia: 10.7 (25th centile 5.6) for ages 65-69; 5.4 (interquartile range 3.4-8.3) for ages 70-79; 4.3 (2.8-7.0) for ages 80-89, and 3.8 (2.3-5.2) years for ages &gt; or =90. Significant factors that predicted mortality in the presence of dementia during the follow-up included sex, age of onset, and disability. CONCLUSION These analyses give a population based estimated median survival for incident dementia of 4.5 years. Such estimates can be used for prognosis and planning for patients, carers, service providers, and policy makers.","author":[{"dropping-particle":"","family":"Xie","given":"Jing","non-dropping-particle":"","parse-names":false,"suffix":""},{"dropping-particle":"","family":"Brayne","given":"Carol","non-dropping-particle":"","parse-names":false,"suffix":""},{"dropping-particle":"","family":"Matthews","given":"Fiona E","non-dropping-particle":"","parse-names":false,"suffix":""},{"dropping-particle":"","family":"Medical Research Council Cognitive Function and Ageing Study collaborators","given":"","non-dropping-particle":"","parse-names":false,"suffix":""}],"container-title":"BMJ","id":"ITEM-1","issue":"7638","issued":{"date-parts":[["2008","2","2"]]},"page":"258-62","publisher":"BMJ Group","title":"Survival times in people with dementia: analysis from population based cohort study with 14 year follow-up.","type":"article-journal","volume":"336"},"uris":["http://www.mendeley.com/documents/?uuid=2d7a537b-8e47-346d-83e4-dfcdaabea8a7"]}],"mendeley":{"formattedCitation":"(Xie et al., 2008)","plainTextFormattedCitation":"(Xie et al., 2008)","previouslyFormattedCitation":"(Xie et al., 2008)"},"properties":{"noteIndex":0},"schema":"https://github.com/citation-style-language/schema/raw/master/csl-citation.json"}</w:instrText>
      </w:r>
      <w:r w:rsidR="00333542" w:rsidRPr="00FD6234">
        <w:fldChar w:fldCharType="separate"/>
      </w:r>
      <w:r w:rsidR="00333542" w:rsidRPr="00FD6234">
        <w:rPr>
          <w:noProof/>
        </w:rPr>
        <w:t>(Xie et al., 2008)</w:t>
      </w:r>
      <w:r w:rsidR="00333542" w:rsidRPr="00FD6234">
        <w:fldChar w:fldCharType="end"/>
      </w:r>
      <w:r w:rsidR="00333542">
        <w:t xml:space="preserve"> and 5.9 to 12.2</w:t>
      </w:r>
      <w:r w:rsidR="00333542" w:rsidRPr="00FD6234">
        <w:t xml:space="preserve"> years </w:t>
      </w:r>
      <w:r w:rsidR="00333542" w:rsidRPr="00FD6234">
        <w:fldChar w:fldCharType="begin" w:fldLock="1"/>
      </w:r>
      <w:r w:rsidR="00333542" w:rsidRPr="00FD6234">
        <w:instrText>ADDIN CSL_CITATION {"citationItems":[{"id":"ITEM-1","itemData":{"DOI":"10.1097/01.wad.0000189033.35579.2d","ISSN":"0893-0341","abstract":"Survival among patients with dementia is critical information needed for planning and assessing the overall impact of dementia. Attrition from longitudinal cohorts often limits the confidence in survival estimates. For this study, we examined survival among dementia patients from a large multi-ethnic population with excellent longitudinal follow-up. Subjects were all Baylor Alzheimer's Disease Center patients residing in the greater Houston area at the time of initial diagnosis. Vital status was available for all subjects. We estimated median survival time (Kaplan-Meier) from first symptom onset and from diagnosis, and examined the effects of baseline patient characteristics on survival. Median survival time for patients with any form of dementia was 10.5 years from onset and 5.7 years from diagnosis. Similarly, median survival time for probable Alzheimer disease patients was 11.3 years from onset and 5.7 years from diagnosis. Significant trends of decreasing survival with increasing age group (&lt;70; 70-79, &gt; or = 80) were evident for all dementia patients and for patients with Alzheimer disease. Our findings are consistent with previous studies and provide compelling evidence that survival from onset or diagnosis of dementia depends more on age than any other factor.","author":[{"dropping-particle":"","family":"Waring","given":"Stephen C","non-dropping-particle":"","parse-names":false,"suffix":""},{"dropping-particle":"","family":"Doody","given":"Rachelle S","non-dropping-particle":"","parse-names":false,"suffix":""},{"dropping-particle":"","family":"Pavlik","given":"Valory N","non-dropping-particle":"","parse-names":false,"suffix":""},{"dropping-particle":"","family":"Massman","given":"Paul J","non-dropping-particle":"","parse-names":false,"suffix":""},{"dropping-particle":"","family":"Chan","given":"Wenyaw","non-dropping-particle":"","parse-names":false,"suffix":""}],"container-title":"Alzheimer Disease &amp; Associated Disorders","id":"ITEM-1","issue":"4","issued":{"date-parts":[["2005","10"]]},"page":"178-183","title":"Survival among Patients With Dementia from a Large Multi-Ethnic Population","type":"article-journal","volume":"19"},"uris":["http://www.mendeley.com/documents/?uuid=cf9a0b24-c632-418c-9768-347696384b8d"]}],"mendeley":{"formattedCitation":"(Waring et al., 2005)","plainTextFormattedCitation":"(Waring et al., 2005)","previouslyFormattedCitation":"(Waring et al., 2005)"},"properties":{"noteIndex":0},"schema":"https://github.com/citation-style-language/schema/raw/master/csl-citation.json"}</w:instrText>
      </w:r>
      <w:r w:rsidR="00333542" w:rsidRPr="00FD6234">
        <w:fldChar w:fldCharType="separate"/>
      </w:r>
      <w:r w:rsidR="00333542" w:rsidRPr="00FD6234">
        <w:rPr>
          <w:noProof/>
        </w:rPr>
        <w:t>(Waring et al., 2005)</w:t>
      </w:r>
      <w:r w:rsidR="00333542" w:rsidRPr="00FD6234">
        <w:fldChar w:fldCharType="end"/>
      </w:r>
      <w:r w:rsidR="00333542">
        <w:t xml:space="preserve">. </w:t>
      </w:r>
      <w:r w:rsidR="000F1CAB">
        <w:t>T</w:t>
      </w:r>
      <w:r w:rsidR="000F1CAB" w:rsidRPr="00526E3F">
        <w:t xml:space="preserve">he </w:t>
      </w:r>
      <w:r w:rsidR="00333542">
        <w:t xml:space="preserve">model </w:t>
      </w:r>
      <w:r w:rsidR="000F1CAB" w:rsidRPr="00526E3F">
        <w:t xml:space="preserve">results </w:t>
      </w:r>
      <w:r w:rsidR="000F1CAB">
        <w:t>for a</w:t>
      </w:r>
      <w:r w:rsidR="00C03EF8" w:rsidRPr="00526E3F">
        <w:t xml:space="preserve">ge-related prevalence </w:t>
      </w:r>
      <w:r w:rsidR="000F1CAB">
        <w:t>were compared with</w:t>
      </w:r>
      <w:r w:rsidR="00C03EF8" w:rsidRPr="00526E3F">
        <w:t xml:space="preserve"> published estimates </w:t>
      </w:r>
      <w:r w:rsidR="00C03EF8" w:rsidRPr="00526E3F">
        <w:fldChar w:fldCharType="begin" w:fldLock="1"/>
      </w:r>
      <w:r w:rsidR="00C03EF8" w:rsidRPr="00526E3F">
        <w:instrText>ADDIN CSL_CITATION {"citationItems":[{"id":"ITEM-1","itemData":{"ISBN":"9781906647315","abstract":"This report presents the findings of research commissioned by Alzheimer’s Society to update the Dementia UK (2007) report. It provides a synthesis of best available evidence for the current cost and prevalence of dementia. It aims to provide an accurate understanding of dementia prevalence and cost in the UK to assist in policy development, influencing, commissioning and service design.","author":[{"dropping-particle":"","family":"Alzheimer’s Society","given":"","non-dropping-particle":"","parse-names":false,"suffix":""}],"id":"ITEM-1","issued":{"date-parts":[["2014"]]},"number-of-pages":"136","publisher-place":"London","title":"Dementia UK: Update","type":"report"},"uris":["http://www.mendeley.com/documents/?uuid=4e6196fa-b828-4d7a-8351-1887c1dec5ab"]}],"mendeley":{"formattedCitation":"(Alzheimer’s Society, 2014)","plainTextFormattedCitation":"(Alzheimer’s Society, 2014)","previouslyFormattedCitation":"(Alzheimer’s Society, 2014)"},"properties":{"noteIndex":0},"schema":"https://github.com/citation-style-language/schema/raw/master/csl-citation.json"}</w:instrText>
      </w:r>
      <w:r w:rsidR="00C03EF8" w:rsidRPr="00526E3F">
        <w:fldChar w:fldCharType="separate"/>
      </w:r>
      <w:r w:rsidR="00C03EF8" w:rsidRPr="00526E3F">
        <w:rPr>
          <w:noProof/>
        </w:rPr>
        <w:t>(Alzheimer’s Society, 2014)</w:t>
      </w:r>
      <w:r w:rsidR="00C03EF8" w:rsidRPr="00526E3F">
        <w:fldChar w:fldCharType="end"/>
      </w:r>
      <w:r w:rsidR="000F1CAB">
        <w:t>, and t</w:t>
      </w:r>
      <w:r w:rsidR="00CA64C8" w:rsidRPr="00526E3F">
        <w:t xml:space="preserve">he overall number of cases </w:t>
      </w:r>
      <w:r w:rsidR="000D523C" w:rsidRPr="00526E3F">
        <w:t>compar</w:t>
      </w:r>
      <w:r w:rsidR="000F1CAB">
        <w:t>ed</w:t>
      </w:r>
      <w:r w:rsidR="00CA64C8" w:rsidRPr="00526E3F">
        <w:t xml:space="preserve"> with </w:t>
      </w:r>
      <w:r w:rsidR="00333542">
        <w:t xml:space="preserve">the </w:t>
      </w:r>
      <w:r w:rsidR="00CA64C8" w:rsidRPr="00526E3F">
        <w:t>published lifetime risk of dementia</w:t>
      </w:r>
      <w:r w:rsidR="00A242AC" w:rsidRPr="00526E3F">
        <w:t xml:space="preserve"> </w:t>
      </w:r>
      <w:r w:rsidR="00A242AC" w:rsidRPr="00526E3F">
        <w:fldChar w:fldCharType="begin" w:fldLock="1"/>
      </w:r>
      <w:r w:rsidR="00F93D96" w:rsidRPr="00526E3F">
        <w:instrText>ADDIN CSL_CITATION {"citationItems":[{"id":"ITEM-1","itemData":{"DOI":"10.1007/s13524-017-0598-7","ISSN":"0070-3370","author":[{"dropping-particle":"","family":"Fishman","given":"Ezra","non-dropping-particle":"","parse-names":false,"suffix":""}],"container-title":"Demography","id":"ITEM-1","issue":"5","issued":{"date-parts":[["2017","10","3"]]},"page":"1897-1919","title":"Risk of Developing Dementia at Older Ages in the United States","type":"article-journal","volume":"54"},"uris":["http://www.mendeley.com/documents/?uuid=9e85b5f9-1794-48b8-890a-63b24ebdffe4"]},{"id":"ITEM-2","itemData":{"DOI":"10.1016/j.jalz.2018.03.005","ISSN":"15525279","abstract":"Introduction: Lifetime risks are the probabilities of progressing to Alzheimer's disease (AD) dementia during one's lifespan. Here, we report the first estimates of the lifetime and ten-year risks of AD dementia based on age, gender, and biomarker tests for preclinical disease. Methods: We used a multistate model for the disease process together with US death rates. Results: Lifetime risks of AD dementia vary considerably by age, gender, and the preclinical or clinical disease state of the individual. For example, the lifetime risks for a female with only amyloidosis are 8.4% for a 90-year old and 29.3% for a 65-year old. Persons younger than 85 years with mild cognitive impairment, amyloidosis, and neurodegeneration have lifetime risks of AD dementia greater than 50%. Discussion: Most persons with preclinical AD will not develop AD dementia during their lifetimes. Lifetime risks help interpret the clinical significance of biomarker screening tests for AD.","author":[{"dropping-particle":"","family":"Brookmeyer","given":"Ron","non-dropping-particle":"","parse-names":false,"suffix":""},{"dropping-particle":"","family":"Abdalla","given":"Nada","non-dropping-particle":"","parse-names":false,"suffix":""}],"container-title":"Alzheimer's and Dementia","id":"ITEM-2","issue":"8","issued":{"date-parts":[["2018"]]},"page":"981-988","publisher":"Elsevier Inc.","title":"Estimation of lifetime risks of Alzheimer's disease dementia using biomarkers for preclinical disease","type":"article-journal","volume":"14"},"uris":["http://www.mendeley.com/documents/?uuid=1f5f1e98-45a5-4a94-a679-b1f82dc8bdb9"]}],"mendeley":{"formattedCitation":"(Fishman, 2017; Brookmeyer and Abdalla, 2018)","plainTextFormattedCitation":"(Fishman, 2017; Brookmeyer and Abdalla, 2018)","previouslyFormattedCitation":"(Fishman, 2017; Brookmeyer and Abdalla, 2018)"},"properties":{"noteIndex":0},"schema":"https://github.com/citation-style-language/schema/raw/master/csl-citation.json"}</w:instrText>
      </w:r>
      <w:r w:rsidR="00A242AC" w:rsidRPr="00526E3F">
        <w:fldChar w:fldCharType="separate"/>
      </w:r>
      <w:r w:rsidR="00A63838" w:rsidRPr="00526E3F">
        <w:rPr>
          <w:noProof/>
        </w:rPr>
        <w:t>(Fishman, 2017; Brookmeyer and Abdalla, 2018)</w:t>
      </w:r>
      <w:r w:rsidR="00A242AC" w:rsidRPr="00526E3F">
        <w:fldChar w:fldCharType="end"/>
      </w:r>
      <w:r w:rsidR="000F1CAB">
        <w:t xml:space="preserve">, as </w:t>
      </w:r>
      <w:r w:rsidR="00401CF1" w:rsidRPr="00526E3F">
        <w:t xml:space="preserve">shown in </w:t>
      </w:r>
      <w:r w:rsidR="004F2231" w:rsidRPr="00526E3F">
        <w:fldChar w:fldCharType="begin"/>
      </w:r>
      <w:r w:rsidR="004F2231" w:rsidRPr="00526E3F">
        <w:instrText xml:space="preserve"> REF _Ref7772054 \h </w:instrText>
      </w:r>
      <w:r w:rsidR="004F2231" w:rsidRPr="00526E3F">
        <w:fldChar w:fldCharType="separate"/>
      </w:r>
      <w:r w:rsidR="0020511F" w:rsidRPr="00526E3F">
        <w:t xml:space="preserve">Table </w:t>
      </w:r>
      <w:r w:rsidR="0020511F">
        <w:rPr>
          <w:noProof/>
        </w:rPr>
        <w:t>3</w:t>
      </w:r>
      <w:r w:rsidR="004F2231" w:rsidRPr="00526E3F">
        <w:fldChar w:fldCharType="end"/>
      </w:r>
      <w:r w:rsidR="00934841" w:rsidRPr="00526E3F">
        <w:t>.</w:t>
      </w:r>
      <w:r w:rsidR="0010173A">
        <w:t xml:space="preserve"> </w:t>
      </w:r>
      <w:r w:rsidR="00161402">
        <w:t xml:space="preserve">Given the uncertainty in </w:t>
      </w:r>
      <w:r>
        <w:t xml:space="preserve">the </w:t>
      </w:r>
      <w:r w:rsidR="00161402">
        <w:t>published estimates, the simulation results are reasonably consistent.</w:t>
      </w:r>
    </w:p>
    <w:p w14:paraId="2DD28407" w14:textId="542C1483" w:rsidR="00B91B06" w:rsidRPr="00526E3F" w:rsidRDefault="00401CF1" w:rsidP="00C850B8">
      <w:pPr>
        <w:pStyle w:val="Caption"/>
      </w:pPr>
      <w:bookmarkStart w:id="9" w:name="_Ref7772054"/>
      <w:r w:rsidRPr="00526E3F">
        <w:t xml:space="preserve">Table </w:t>
      </w:r>
      <w:r w:rsidRPr="00526E3F">
        <w:rPr>
          <w:noProof/>
        </w:rPr>
        <w:fldChar w:fldCharType="begin"/>
      </w:r>
      <w:r w:rsidRPr="00526E3F">
        <w:rPr>
          <w:noProof/>
        </w:rPr>
        <w:instrText xml:space="preserve"> SEQ Table \* ARABIC </w:instrText>
      </w:r>
      <w:r w:rsidRPr="00526E3F">
        <w:rPr>
          <w:noProof/>
        </w:rPr>
        <w:fldChar w:fldCharType="separate"/>
      </w:r>
      <w:r w:rsidR="0020511F">
        <w:rPr>
          <w:noProof/>
        </w:rPr>
        <w:t>3</w:t>
      </w:r>
      <w:r w:rsidRPr="00526E3F">
        <w:rPr>
          <w:noProof/>
        </w:rPr>
        <w:fldChar w:fldCharType="end"/>
      </w:r>
      <w:bookmarkEnd w:id="9"/>
      <w:r w:rsidR="00061BD6">
        <w:rPr>
          <w:noProof/>
        </w:rPr>
        <w:t xml:space="preserve">   </w:t>
      </w:r>
      <w:r w:rsidRPr="00526E3F">
        <w:t>Dementia prevalence</w:t>
      </w:r>
      <w:r w:rsidR="00C850B8" w:rsidRPr="00526E3F">
        <w:t xml:space="preserve"> and </w:t>
      </w:r>
      <w:r w:rsidR="00E37D6D" w:rsidRPr="00526E3F">
        <w:t>lifetime risk (LTR)</w:t>
      </w:r>
      <w:r w:rsidRPr="00526E3F">
        <w:t xml:space="preserve"> </w:t>
      </w:r>
      <w:r w:rsidR="00826F8C" w:rsidRPr="00526E3F">
        <w:t>of dementia</w:t>
      </w:r>
      <w:r w:rsidR="00B91B06" w:rsidRPr="00526E3F">
        <w:t xml:space="preserve"> </w:t>
      </w:r>
    </w:p>
    <w:tbl>
      <w:tblPr>
        <w:tblStyle w:val="TableGrid"/>
        <w:tblW w:w="807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1"/>
        <w:gridCol w:w="851"/>
        <w:gridCol w:w="851"/>
        <w:gridCol w:w="851"/>
        <w:gridCol w:w="851"/>
        <w:gridCol w:w="851"/>
        <w:gridCol w:w="851"/>
        <w:gridCol w:w="851"/>
        <w:gridCol w:w="847"/>
      </w:tblGrid>
      <w:tr w:rsidR="00262CD0" w:rsidRPr="00526E3F" w14:paraId="0C07C49C" w14:textId="77777777" w:rsidTr="004A657F">
        <w:trPr>
          <w:jc w:val="center"/>
        </w:trPr>
        <w:tc>
          <w:tcPr>
            <w:tcW w:w="1271" w:type="dxa"/>
          </w:tcPr>
          <w:p w14:paraId="001FCAA7" w14:textId="77777777" w:rsidR="00262CD0" w:rsidRPr="00526E3F" w:rsidRDefault="00262CD0" w:rsidP="00B7782D">
            <w:pPr>
              <w:pStyle w:val="TableContent"/>
            </w:pPr>
            <w:r w:rsidRPr="00526E3F">
              <w:t>Age</w:t>
            </w:r>
          </w:p>
        </w:tc>
        <w:tc>
          <w:tcPr>
            <w:tcW w:w="851" w:type="dxa"/>
          </w:tcPr>
          <w:p w14:paraId="5EAE0E6E" w14:textId="77777777" w:rsidR="00262CD0" w:rsidRPr="00526E3F" w:rsidRDefault="00262CD0" w:rsidP="00B7782D">
            <w:pPr>
              <w:pStyle w:val="TableContent"/>
            </w:pPr>
            <w:r w:rsidRPr="00526E3F">
              <w:t>65</w:t>
            </w:r>
          </w:p>
        </w:tc>
        <w:tc>
          <w:tcPr>
            <w:tcW w:w="851" w:type="dxa"/>
          </w:tcPr>
          <w:p w14:paraId="566C80C8" w14:textId="77777777" w:rsidR="00262CD0" w:rsidRPr="00526E3F" w:rsidRDefault="00262CD0" w:rsidP="00B7782D">
            <w:pPr>
              <w:pStyle w:val="TableContent"/>
            </w:pPr>
            <w:r w:rsidRPr="00526E3F">
              <w:t>70</w:t>
            </w:r>
          </w:p>
        </w:tc>
        <w:tc>
          <w:tcPr>
            <w:tcW w:w="851" w:type="dxa"/>
          </w:tcPr>
          <w:p w14:paraId="1B955352" w14:textId="77777777" w:rsidR="00262CD0" w:rsidRPr="00526E3F" w:rsidRDefault="00262CD0" w:rsidP="00B7782D">
            <w:pPr>
              <w:pStyle w:val="TableContent"/>
            </w:pPr>
            <w:r w:rsidRPr="00526E3F">
              <w:t>75</w:t>
            </w:r>
          </w:p>
        </w:tc>
        <w:tc>
          <w:tcPr>
            <w:tcW w:w="851" w:type="dxa"/>
          </w:tcPr>
          <w:p w14:paraId="4AAA4263" w14:textId="77777777" w:rsidR="00262CD0" w:rsidRPr="00526E3F" w:rsidRDefault="00262CD0" w:rsidP="00B7782D">
            <w:pPr>
              <w:pStyle w:val="TableContent"/>
            </w:pPr>
            <w:r w:rsidRPr="00526E3F">
              <w:t>80</w:t>
            </w:r>
          </w:p>
        </w:tc>
        <w:tc>
          <w:tcPr>
            <w:tcW w:w="851" w:type="dxa"/>
          </w:tcPr>
          <w:p w14:paraId="00C1A264" w14:textId="77777777" w:rsidR="00262CD0" w:rsidRPr="00526E3F" w:rsidRDefault="00262CD0" w:rsidP="00B7782D">
            <w:pPr>
              <w:pStyle w:val="TableContent"/>
            </w:pPr>
            <w:r w:rsidRPr="00526E3F">
              <w:t>85</w:t>
            </w:r>
          </w:p>
        </w:tc>
        <w:tc>
          <w:tcPr>
            <w:tcW w:w="851" w:type="dxa"/>
          </w:tcPr>
          <w:p w14:paraId="1F7F8250" w14:textId="77777777" w:rsidR="00262CD0" w:rsidRPr="00526E3F" w:rsidRDefault="00262CD0" w:rsidP="00B7782D">
            <w:pPr>
              <w:pStyle w:val="TableContent"/>
            </w:pPr>
            <w:r w:rsidRPr="00526E3F">
              <w:t>90</w:t>
            </w:r>
          </w:p>
        </w:tc>
        <w:tc>
          <w:tcPr>
            <w:tcW w:w="851" w:type="dxa"/>
          </w:tcPr>
          <w:p w14:paraId="79B70270" w14:textId="77777777" w:rsidR="00262CD0" w:rsidRPr="00526E3F" w:rsidRDefault="00262CD0" w:rsidP="00B7782D">
            <w:pPr>
              <w:pStyle w:val="TableContent"/>
            </w:pPr>
            <w:r w:rsidRPr="00526E3F">
              <w:t>95</w:t>
            </w:r>
          </w:p>
        </w:tc>
        <w:tc>
          <w:tcPr>
            <w:tcW w:w="847" w:type="dxa"/>
          </w:tcPr>
          <w:p w14:paraId="7CE5840C" w14:textId="77777777" w:rsidR="00262CD0" w:rsidRPr="00526E3F" w:rsidRDefault="00262CD0" w:rsidP="00B7782D">
            <w:pPr>
              <w:pStyle w:val="TableContent"/>
            </w:pPr>
            <w:r w:rsidRPr="00526E3F">
              <w:t>LTR</w:t>
            </w:r>
          </w:p>
        </w:tc>
      </w:tr>
      <w:tr w:rsidR="006D3E8D" w:rsidRPr="00526E3F" w14:paraId="55CA88B5" w14:textId="77777777" w:rsidTr="004A657F">
        <w:trPr>
          <w:jc w:val="center"/>
        </w:trPr>
        <w:tc>
          <w:tcPr>
            <w:tcW w:w="1271" w:type="dxa"/>
          </w:tcPr>
          <w:p w14:paraId="210E5F14" w14:textId="77777777" w:rsidR="006D3E8D" w:rsidRPr="00526E3F" w:rsidRDefault="006D3E8D" w:rsidP="00B7782D">
            <w:pPr>
              <w:pStyle w:val="TableContent"/>
            </w:pPr>
            <w:r w:rsidRPr="00526E3F">
              <w:t xml:space="preserve">Reference </w:t>
            </w:r>
          </w:p>
        </w:tc>
        <w:tc>
          <w:tcPr>
            <w:tcW w:w="851" w:type="dxa"/>
          </w:tcPr>
          <w:p w14:paraId="3F6243E7" w14:textId="77777777" w:rsidR="006D3E8D" w:rsidRPr="00526E3F" w:rsidRDefault="006D3E8D" w:rsidP="00B7782D">
            <w:pPr>
              <w:pStyle w:val="TableContent"/>
            </w:pPr>
            <w:r w:rsidRPr="00526E3F">
              <w:t>1.7%</w:t>
            </w:r>
          </w:p>
        </w:tc>
        <w:tc>
          <w:tcPr>
            <w:tcW w:w="851" w:type="dxa"/>
          </w:tcPr>
          <w:p w14:paraId="37D3D341" w14:textId="77777777" w:rsidR="006D3E8D" w:rsidRPr="00526E3F" w:rsidRDefault="006D3E8D" w:rsidP="00B7782D">
            <w:pPr>
              <w:pStyle w:val="TableContent"/>
            </w:pPr>
            <w:r w:rsidRPr="00526E3F">
              <w:t>3.0%</w:t>
            </w:r>
          </w:p>
        </w:tc>
        <w:tc>
          <w:tcPr>
            <w:tcW w:w="851" w:type="dxa"/>
          </w:tcPr>
          <w:p w14:paraId="545C3263" w14:textId="77777777" w:rsidR="006D3E8D" w:rsidRPr="00526E3F" w:rsidRDefault="006D3E8D" w:rsidP="00B7782D">
            <w:pPr>
              <w:pStyle w:val="TableContent"/>
            </w:pPr>
            <w:r w:rsidRPr="00526E3F">
              <w:t>6.0%</w:t>
            </w:r>
          </w:p>
        </w:tc>
        <w:tc>
          <w:tcPr>
            <w:tcW w:w="851" w:type="dxa"/>
          </w:tcPr>
          <w:p w14:paraId="7005EEA2" w14:textId="77777777" w:rsidR="006D3E8D" w:rsidRPr="00526E3F" w:rsidRDefault="006D3E8D" w:rsidP="00B7782D">
            <w:pPr>
              <w:pStyle w:val="TableContent"/>
            </w:pPr>
            <w:r w:rsidRPr="00526E3F">
              <w:t>11.2%</w:t>
            </w:r>
          </w:p>
        </w:tc>
        <w:tc>
          <w:tcPr>
            <w:tcW w:w="851" w:type="dxa"/>
          </w:tcPr>
          <w:p w14:paraId="2EA0A18E" w14:textId="77777777" w:rsidR="006D3E8D" w:rsidRPr="00526E3F" w:rsidRDefault="006D3E8D" w:rsidP="00B7782D">
            <w:pPr>
              <w:pStyle w:val="TableContent"/>
            </w:pPr>
            <w:r w:rsidRPr="00526E3F">
              <w:t>18.3%</w:t>
            </w:r>
          </w:p>
        </w:tc>
        <w:tc>
          <w:tcPr>
            <w:tcW w:w="851" w:type="dxa"/>
          </w:tcPr>
          <w:p w14:paraId="6362A338" w14:textId="77777777" w:rsidR="006D3E8D" w:rsidRPr="00526E3F" w:rsidRDefault="006D3E8D" w:rsidP="00B7782D">
            <w:pPr>
              <w:pStyle w:val="TableContent"/>
            </w:pPr>
            <w:r w:rsidRPr="00526E3F">
              <w:t>29.9%</w:t>
            </w:r>
          </w:p>
        </w:tc>
        <w:tc>
          <w:tcPr>
            <w:tcW w:w="851" w:type="dxa"/>
          </w:tcPr>
          <w:p w14:paraId="5A1C84FE" w14:textId="77777777" w:rsidR="006D3E8D" w:rsidRPr="00526E3F" w:rsidRDefault="006D3E8D" w:rsidP="00B7782D">
            <w:pPr>
              <w:pStyle w:val="TableContent"/>
            </w:pPr>
            <w:r w:rsidRPr="00526E3F">
              <w:t>41.1%</w:t>
            </w:r>
          </w:p>
        </w:tc>
        <w:tc>
          <w:tcPr>
            <w:tcW w:w="847" w:type="dxa"/>
          </w:tcPr>
          <w:p w14:paraId="1326E276" w14:textId="77777777" w:rsidR="006D3E8D" w:rsidRPr="00526E3F" w:rsidRDefault="006D3E8D" w:rsidP="00B7782D">
            <w:pPr>
              <w:pStyle w:val="TableContent"/>
            </w:pPr>
            <w:r w:rsidRPr="00526E3F">
              <w:t>31.0%</w:t>
            </w:r>
          </w:p>
        </w:tc>
      </w:tr>
      <w:tr w:rsidR="006D3E8D" w:rsidRPr="00526E3F" w14:paraId="7F812D60" w14:textId="77777777" w:rsidTr="004A657F">
        <w:trPr>
          <w:trHeight w:val="251"/>
          <w:jc w:val="center"/>
        </w:trPr>
        <w:tc>
          <w:tcPr>
            <w:tcW w:w="1271" w:type="dxa"/>
          </w:tcPr>
          <w:p w14:paraId="55EB584D" w14:textId="77777777" w:rsidR="006D3E8D" w:rsidRPr="00526E3F" w:rsidRDefault="006D3E8D" w:rsidP="00B7782D">
            <w:pPr>
              <w:pStyle w:val="TableContent"/>
            </w:pPr>
            <w:r w:rsidRPr="00526E3F">
              <w:t>Simulation</w:t>
            </w:r>
          </w:p>
        </w:tc>
        <w:tc>
          <w:tcPr>
            <w:tcW w:w="851" w:type="dxa"/>
          </w:tcPr>
          <w:p w14:paraId="40A765ED" w14:textId="77777777" w:rsidR="006D3E8D" w:rsidRPr="00526E3F" w:rsidRDefault="006D3E8D" w:rsidP="00B7782D">
            <w:pPr>
              <w:pStyle w:val="TableContent"/>
            </w:pPr>
            <w:r w:rsidRPr="00526E3F">
              <w:t>0.5%</w:t>
            </w:r>
          </w:p>
        </w:tc>
        <w:tc>
          <w:tcPr>
            <w:tcW w:w="851" w:type="dxa"/>
          </w:tcPr>
          <w:p w14:paraId="70FE1AC6" w14:textId="77777777" w:rsidR="006D3E8D" w:rsidRPr="00526E3F" w:rsidRDefault="006D3E8D" w:rsidP="00B7782D">
            <w:pPr>
              <w:pStyle w:val="TableContent"/>
            </w:pPr>
            <w:r w:rsidRPr="00526E3F">
              <w:t>3.2%</w:t>
            </w:r>
          </w:p>
        </w:tc>
        <w:tc>
          <w:tcPr>
            <w:tcW w:w="851" w:type="dxa"/>
          </w:tcPr>
          <w:p w14:paraId="5F560A6D" w14:textId="77777777" w:rsidR="006D3E8D" w:rsidRPr="00526E3F" w:rsidRDefault="006D3E8D" w:rsidP="00B7782D">
            <w:pPr>
              <w:pStyle w:val="TableContent"/>
            </w:pPr>
            <w:r w:rsidRPr="00526E3F">
              <w:t>7.4%</w:t>
            </w:r>
          </w:p>
        </w:tc>
        <w:tc>
          <w:tcPr>
            <w:tcW w:w="851" w:type="dxa"/>
          </w:tcPr>
          <w:p w14:paraId="02DAD20A" w14:textId="77777777" w:rsidR="006D3E8D" w:rsidRPr="00526E3F" w:rsidRDefault="006D3E8D" w:rsidP="00B7782D">
            <w:pPr>
              <w:pStyle w:val="TableContent"/>
            </w:pPr>
            <w:r w:rsidRPr="00526E3F">
              <w:t>14.4%</w:t>
            </w:r>
          </w:p>
        </w:tc>
        <w:tc>
          <w:tcPr>
            <w:tcW w:w="851" w:type="dxa"/>
          </w:tcPr>
          <w:p w14:paraId="1FB88654" w14:textId="77777777" w:rsidR="006D3E8D" w:rsidRPr="00526E3F" w:rsidRDefault="006D3E8D" w:rsidP="00B7782D">
            <w:pPr>
              <w:pStyle w:val="TableContent"/>
            </w:pPr>
            <w:r w:rsidRPr="00526E3F">
              <w:t>22.9%</w:t>
            </w:r>
          </w:p>
        </w:tc>
        <w:tc>
          <w:tcPr>
            <w:tcW w:w="851" w:type="dxa"/>
          </w:tcPr>
          <w:p w14:paraId="0505FCF1" w14:textId="77777777" w:rsidR="006D3E8D" w:rsidRPr="00526E3F" w:rsidRDefault="006D3E8D" w:rsidP="00B7782D">
            <w:pPr>
              <w:pStyle w:val="TableContent"/>
            </w:pPr>
            <w:r w:rsidRPr="00526E3F">
              <w:t>32.3%</w:t>
            </w:r>
          </w:p>
        </w:tc>
        <w:tc>
          <w:tcPr>
            <w:tcW w:w="851" w:type="dxa"/>
          </w:tcPr>
          <w:p w14:paraId="51C56B69" w14:textId="77777777" w:rsidR="006D3E8D" w:rsidRPr="00526E3F" w:rsidRDefault="006D3E8D" w:rsidP="00B7782D">
            <w:pPr>
              <w:pStyle w:val="TableContent"/>
            </w:pPr>
            <w:r w:rsidRPr="00526E3F">
              <w:t>42.3%</w:t>
            </w:r>
          </w:p>
        </w:tc>
        <w:tc>
          <w:tcPr>
            <w:tcW w:w="847" w:type="dxa"/>
          </w:tcPr>
          <w:p w14:paraId="1DB68E63" w14:textId="77777777" w:rsidR="006D3E8D" w:rsidRPr="00526E3F" w:rsidRDefault="006D3E8D" w:rsidP="00B7782D">
            <w:pPr>
              <w:pStyle w:val="TableContent"/>
            </w:pPr>
            <w:r w:rsidRPr="00526E3F">
              <w:t>26.9%</w:t>
            </w:r>
          </w:p>
        </w:tc>
      </w:tr>
    </w:tbl>
    <w:p w14:paraId="19B6ABAC" w14:textId="77777777" w:rsidR="00023D36" w:rsidRPr="00526E3F" w:rsidRDefault="00023D36" w:rsidP="00BC74E1"/>
    <w:p w14:paraId="47D6B686" w14:textId="00147EBC" w:rsidR="00E62371" w:rsidRPr="00526E3F" w:rsidRDefault="00354B34" w:rsidP="00BA7BDC">
      <w:r w:rsidRPr="00526E3F">
        <w:t>Simulat</w:t>
      </w:r>
      <w:r w:rsidR="00BA7BDC">
        <w:t>ed</w:t>
      </w:r>
      <w:r w:rsidRPr="00526E3F">
        <w:t xml:space="preserve"> care cost outcomes were compared with </w:t>
      </w:r>
      <w:r w:rsidR="004C2E0E">
        <w:t xml:space="preserve">other </w:t>
      </w:r>
      <w:r w:rsidRPr="00526E3F">
        <w:t xml:space="preserve">published care cost data for England </w:t>
      </w:r>
      <w:r w:rsidRPr="00526E3F">
        <w:fldChar w:fldCharType="begin" w:fldLock="1"/>
      </w:r>
      <w:r w:rsidR="00234CBA">
        <w:instrText>ADDIN CSL_CITATION {"citationItems":[{"id":"ITEM-1","itemData":{"DOI":"10.1007/s10198-014-0620-6","ISSN":"1618-7598","abstract":"BACKGROUND: Dementia is the most common cause of functional decline among elderly people and is associated with high costs of national healthcare in European countries. With increasing functional and cognitive decline, it is likely that many people suffering from dementia will receive institutional care in their lifetime. To delay entry to institutional care, many European countries invest in home and community based care services.\\n\\nOBJECTIVES: This study aimed to compare costs for people with dementia (PwD) at risk for institutionalization receiving professional home care (HC) with cost for PwD recently admitted to institutional long-term nursing care (ILTC) in eight European countries. Special emphasis was placed on differences in cost patterns across settings and countries, on the main predictors of costs and on a comprehensive assessment of costs from a societal perspective.\\n\\nMETHODS: Interviews using structured questionnaires were conducted with 2,014 people with dementia and their primary informal caregivers living at home or in an ILTC facility. Costs of care were assessed with the resource utilization in dementia instrument. Dementia severity was measured with the standardized mini mental state examination. ADL dependence was assessed using the Katz index, neuropsychiatric symptoms using the neuropsychiatric inventory (NPI) and comorbidities using the Charlson. Descriptive analysis and multivariate regression models were used to estimate mean costs in both settings. A log link generalized linear model assuming gamma distributed costs was applied to identify the most important cost drivers of dementia care.\\n\\nRESULTS: In all countries costs for PwD in the HC setting were significantly lower in comparison to ILTC costs. On average ILTC costs amounted to 4,491 Euro per month and were 1.8 fold higher than HC costs (2,491 Euro). The relation of costs between settings ranged from 2.4 (Sweden) to 1.4 (UK). Costs in the ILTC setting were dominated by nursing home costs (on average 94 %). In the HC setting, informal care giving was the most important cost contributor (on average 52 %). In all countries costs in the HC setting increased strongly with disease severity. The most important predictor of cost was ADL independence in all countries, except Spain and France where NPI severity was the most important cost driver. A standard deviation increase in ADL independence translated on average into a cost decrease of about 22 %.\\n\\nCONCLUSION: Transitio…","author":[{"dropping-particle":"","family":"Wübker","given":"Ansgar","non-dropping-particle":"","parse-names":false,"suffix":""},{"dropping-particle":"","family":"Zwakhalen","given":"Sandra M. G.","non-dropping-particle":"","parse-names":false,"suffix":""},{"dropping-particle":"","family":"Challis","given":"David","non-dropping-particle":"","parse-names":false,"suffix":""},{"dropping-particle":"","family":"Suhonen","given":"Riitta","non-dropping-particle":"","parse-names":false,"suffix":""},{"dropping-particle":"","family":"Karlsson","given":"Staffan","non-dropping-particle":"","parse-names":false,"suffix":""},{"dropping-particle":"","family":"Zabalegui","given":"Adelaida","non-dropping-particle":"","parse-names":false,"suffix":""},{"dropping-particle":"","family":"Soto","given":"Maria","non-dropping-particle":"","parse-names":false,"suffix":""},{"dropping-particle":"","family":"Saks","given":"Kai","non-dropping-particle":"","parse-names":false,"suffix":""},{"dropping-particle":"","family":"Sauerland","given":"Dirk","non-dropping-particle":"","parse-names":false,"suffix":""}],"container-title":"The European Journal of Health Economics","id":"ITEM-1","issue":"7","issued":{"date-parts":[["2015","9","29"]]},"page":"689-707","title":"Costs of care for people with dementia just before and after nursing home placement: primary data from eight European countries","type":"article-journal","volume":"16"},"uris":["http://www.mendeley.com/documents/?uuid=46b26ef4-2a46-4247-8d58-57655e167580"]}],"mendeley":{"formattedCitation":"(Wübker et al., 2015)","plainTextFormattedCitation":"(Wübker et al., 2015)","previouslyFormattedCitation":"(Wübker et al., 2015)"},"properties":{"noteIndex":0},"schema":"https://github.com/citation-style-language/schema/raw/master/csl-citation.json"}</w:instrText>
      </w:r>
      <w:r w:rsidRPr="00526E3F">
        <w:fldChar w:fldCharType="separate"/>
      </w:r>
      <w:r w:rsidR="000C0AA3" w:rsidRPr="000C0AA3">
        <w:rPr>
          <w:noProof/>
        </w:rPr>
        <w:t>(Wübker et al., 2015)</w:t>
      </w:r>
      <w:r w:rsidRPr="00526E3F">
        <w:fldChar w:fldCharType="end"/>
      </w:r>
      <w:r w:rsidR="004C2E0E">
        <w:t>, not used in the model,</w:t>
      </w:r>
      <w:r w:rsidR="0010173A">
        <w:t xml:space="preserve"> </w:t>
      </w:r>
      <w:r w:rsidR="00134C80">
        <w:t xml:space="preserve">which </w:t>
      </w:r>
      <w:r w:rsidR="005A605D">
        <w:t xml:space="preserve">reported </w:t>
      </w:r>
      <w:r w:rsidR="00134C80">
        <w:t>that the average annual cost per person was £27,000,</w:t>
      </w:r>
      <w:r w:rsidR="00134C80" w:rsidRPr="00526E3F">
        <w:t xml:space="preserve"> </w:t>
      </w:r>
      <w:r w:rsidR="00134C80">
        <w:t xml:space="preserve">rising to £44,600 per annum for people in nursing homes. </w:t>
      </w:r>
      <w:r w:rsidR="009A3327">
        <w:t>Th</w:t>
      </w:r>
      <w:r w:rsidR="005A605D">
        <w:t>e</w:t>
      </w:r>
      <w:r w:rsidR="00105A1D">
        <w:t xml:space="preserve"> model g</w:t>
      </w:r>
      <w:r w:rsidR="005A605D">
        <w:t>ives</w:t>
      </w:r>
      <w:r w:rsidR="00105A1D">
        <w:t xml:space="preserve"> a</w:t>
      </w:r>
      <w:r w:rsidR="00134C80">
        <w:t>n average</w:t>
      </w:r>
      <w:r w:rsidR="00934841" w:rsidRPr="00526E3F">
        <w:t xml:space="preserve"> </w:t>
      </w:r>
      <w:r w:rsidR="00105A1D">
        <w:t xml:space="preserve">annual </w:t>
      </w:r>
      <w:r w:rsidR="00934841" w:rsidRPr="00526E3F">
        <w:t xml:space="preserve">cost </w:t>
      </w:r>
      <w:r w:rsidR="00105A1D">
        <w:t>of £28</w:t>
      </w:r>
      <w:r w:rsidR="00134C80">
        <w:t>,</w:t>
      </w:r>
      <w:r w:rsidR="00105A1D">
        <w:t>8</w:t>
      </w:r>
      <w:r w:rsidR="00134C80">
        <w:t>00</w:t>
      </w:r>
      <w:r w:rsidR="00105A1D">
        <w:t xml:space="preserve"> per person</w:t>
      </w:r>
      <w:r w:rsidR="005A605D">
        <w:t>.</w:t>
      </w:r>
      <w:r w:rsidR="00105A1D">
        <w:t xml:space="preserve"> </w:t>
      </w:r>
      <w:r w:rsidR="00134C80">
        <w:t>C</w:t>
      </w:r>
      <w:r w:rsidR="00105A1D">
        <w:t>osts are not broken down</w:t>
      </w:r>
      <w:r w:rsidR="00105A1D" w:rsidRPr="00526E3F">
        <w:t xml:space="preserve"> by progression type </w:t>
      </w:r>
      <w:r w:rsidR="00105A1D">
        <w:t>in the literature</w:t>
      </w:r>
      <w:r w:rsidR="00105A1D" w:rsidRPr="00526E3F">
        <w:t xml:space="preserve"> </w:t>
      </w:r>
      <w:r w:rsidR="00134C80">
        <w:t xml:space="preserve">so </w:t>
      </w:r>
      <w:r w:rsidR="00105A1D">
        <w:t>further comparison is not possible, but</w:t>
      </w:r>
      <w:r w:rsidRPr="00526E3F">
        <w:t xml:space="preserve"> assum</w:t>
      </w:r>
      <w:r w:rsidR="00BA7BDC">
        <w:t>ing</w:t>
      </w:r>
      <w:r w:rsidRPr="00526E3F">
        <w:t xml:space="preserve"> that fast progress</w:t>
      </w:r>
      <w:r w:rsidR="000F1CAB">
        <w:t xml:space="preserve">ors are </w:t>
      </w:r>
      <w:r w:rsidR="004C2E0E">
        <w:t xml:space="preserve">more </w:t>
      </w:r>
      <w:r w:rsidR="000F1CAB">
        <w:t xml:space="preserve">likely to require </w:t>
      </w:r>
      <w:r w:rsidR="00F15B69" w:rsidRPr="00526E3F">
        <w:t xml:space="preserve">nursing home care, </w:t>
      </w:r>
      <w:r w:rsidR="00105A1D">
        <w:t>the</w:t>
      </w:r>
      <w:r w:rsidR="00BA7BDC">
        <w:t>se</w:t>
      </w:r>
      <w:r w:rsidR="00105A1D">
        <w:t xml:space="preserve"> </w:t>
      </w:r>
      <w:r w:rsidR="000E26D9" w:rsidRPr="00526E3F">
        <w:t>costs also compare well</w:t>
      </w:r>
      <w:r w:rsidR="00134C80">
        <w:t xml:space="preserve">: </w:t>
      </w:r>
      <w:r w:rsidR="000E26D9" w:rsidRPr="00526E3F">
        <w:t>the simulation g</w:t>
      </w:r>
      <w:r w:rsidR="00134C80">
        <w:t>ave</w:t>
      </w:r>
      <w:r w:rsidRPr="00526E3F">
        <w:t xml:space="preserve"> </w:t>
      </w:r>
      <w:r w:rsidR="00F15B69" w:rsidRPr="00526E3F">
        <w:t>£45</w:t>
      </w:r>
      <w:r w:rsidR="00134C80">
        <w:t>,</w:t>
      </w:r>
      <w:r w:rsidR="00F15B69" w:rsidRPr="00526E3F">
        <w:t>1</w:t>
      </w:r>
      <w:r w:rsidR="00134C80">
        <w:t>00</w:t>
      </w:r>
      <w:r w:rsidR="00F15B69" w:rsidRPr="00526E3F">
        <w:t xml:space="preserve"> per </w:t>
      </w:r>
      <w:r w:rsidR="00134C80">
        <w:t xml:space="preserve">person per </w:t>
      </w:r>
      <w:r w:rsidR="00F15B69" w:rsidRPr="00526E3F">
        <w:t>year</w:t>
      </w:r>
      <w:r w:rsidR="0012044A">
        <w:t>.</w:t>
      </w:r>
    </w:p>
    <w:p w14:paraId="0D6D24F0" w14:textId="77777777" w:rsidR="00972DD8" w:rsidRPr="00526E3F" w:rsidRDefault="00AE1970" w:rsidP="00BC74E1">
      <w:pPr>
        <w:pStyle w:val="Heading1"/>
      </w:pPr>
      <w:r w:rsidRPr="00526E3F">
        <w:rPr>
          <w:rStyle w:val="Heading1Char"/>
        </w:rPr>
        <w:lastRenderedPageBreak/>
        <w:t>9 Experimentation and results</w:t>
      </w:r>
    </w:p>
    <w:p w14:paraId="52EE5AA2" w14:textId="569424BC" w:rsidR="00F54B80" w:rsidRDefault="00EB2BE6" w:rsidP="00F54B80">
      <w:r w:rsidRPr="00526E3F">
        <w:fldChar w:fldCharType="begin"/>
      </w:r>
      <w:r w:rsidRPr="00526E3F">
        <w:instrText xml:space="preserve"> REF _Ref6479718 \h </w:instrText>
      </w:r>
      <w:r w:rsidRPr="00526E3F">
        <w:fldChar w:fldCharType="separate"/>
      </w:r>
      <w:r w:rsidR="0020511F" w:rsidRPr="00526E3F">
        <w:t xml:space="preserve">Table </w:t>
      </w:r>
      <w:r w:rsidR="0020511F">
        <w:rPr>
          <w:noProof/>
        </w:rPr>
        <w:t>4</w:t>
      </w:r>
      <w:r w:rsidRPr="00526E3F">
        <w:fldChar w:fldCharType="end"/>
      </w:r>
      <w:r w:rsidRPr="00526E3F">
        <w:t xml:space="preserve"> </w:t>
      </w:r>
      <w:r w:rsidR="003F0FDD">
        <w:t xml:space="preserve">presents </w:t>
      </w:r>
      <w:r w:rsidR="004E5A1E">
        <w:t xml:space="preserve">the </w:t>
      </w:r>
      <w:r w:rsidR="003F0FDD">
        <w:t xml:space="preserve">results for a </w:t>
      </w:r>
      <w:r w:rsidR="004E5A1E">
        <w:t>no-intervention scenario</w:t>
      </w:r>
      <w:r w:rsidR="003F0FDD">
        <w:t>, using</w:t>
      </w:r>
      <w:r w:rsidR="00F625E0" w:rsidRPr="00526E3F">
        <w:t xml:space="preserve"> the mortality rate and incidence parameters </w:t>
      </w:r>
      <w:r w:rsidR="004E5A1E">
        <w:t xml:space="preserve">given </w:t>
      </w:r>
      <w:r w:rsidR="00F625E0" w:rsidRPr="00526E3F">
        <w:t>in</w:t>
      </w:r>
      <w:r w:rsidR="00117936">
        <w:t xml:space="preserve"> Table A3 </w:t>
      </w:r>
      <w:r w:rsidRPr="00526E3F">
        <w:t xml:space="preserve">in the </w:t>
      </w:r>
      <w:r w:rsidR="00BA7BDC">
        <w:t>A</w:t>
      </w:r>
      <w:r w:rsidRPr="00526E3F">
        <w:t>ppendix</w:t>
      </w:r>
      <w:r w:rsidR="00A82548">
        <w:t xml:space="preserve">, for </w:t>
      </w:r>
      <w:r w:rsidR="003F0FDD">
        <w:t xml:space="preserve">a cohort of </w:t>
      </w:r>
      <w:r w:rsidR="00A82548">
        <w:t>10</w:t>
      </w:r>
      <w:r w:rsidR="003F0FDD">
        <w:t>,</w:t>
      </w:r>
      <w:r w:rsidR="00F625E0" w:rsidRPr="00526E3F">
        <w:t xml:space="preserve">000 persons entering the model </w:t>
      </w:r>
      <w:r w:rsidR="00BA7BDC">
        <w:t>in 20</w:t>
      </w:r>
      <w:r w:rsidR="00AD3F6F">
        <w:t>15</w:t>
      </w:r>
      <w:r w:rsidR="00BA7BDC">
        <w:t xml:space="preserve"> </w:t>
      </w:r>
      <w:r w:rsidR="00F625E0" w:rsidRPr="00526E3F">
        <w:t>at age 60.</w:t>
      </w:r>
      <w:r w:rsidR="0010173A">
        <w:t xml:space="preserve"> </w:t>
      </w:r>
      <w:r w:rsidR="00F54B80">
        <w:t>To</w:t>
      </w:r>
      <w:r w:rsidR="004E5A1E">
        <w:t xml:space="preserve"> account for </w:t>
      </w:r>
      <w:r w:rsidR="002456CD">
        <w:t>uncertaint</w:t>
      </w:r>
      <w:r w:rsidR="004E5A1E">
        <w:t>y</w:t>
      </w:r>
      <w:r w:rsidR="00F54B80">
        <w:t xml:space="preserve">, three parameters (two mortality; one incidence) </w:t>
      </w:r>
      <w:r w:rsidR="004E5A1E">
        <w:t>we</w:t>
      </w:r>
      <w:r w:rsidR="00F54B80">
        <w:t xml:space="preserve">re varied over a </w:t>
      </w:r>
      <w:r w:rsidR="00F54B80" w:rsidRPr="00526E3F">
        <w:rPr>
          <w:rFonts w:cstheme="minorHAnsi"/>
        </w:rPr>
        <w:t>±</w:t>
      </w:r>
      <w:r w:rsidR="00F54B80" w:rsidRPr="00526E3F">
        <w:t>20% range</w:t>
      </w:r>
      <w:r w:rsidR="00F54B80">
        <w:t>, with 10 intervals (so 11 measurement points), giving 11</w:t>
      </w:r>
      <w:r w:rsidR="00F54B80" w:rsidRPr="004B0E97">
        <w:rPr>
          <w:vertAlign w:val="superscript"/>
        </w:rPr>
        <w:t>3</w:t>
      </w:r>
      <w:r w:rsidR="00F54B80">
        <w:t xml:space="preserve"> = </w:t>
      </w:r>
      <w:r w:rsidR="00F54B80" w:rsidRPr="00526E3F">
        <w:t>1331 iterations</w:t>
      </w:r>
      <w:r w:rsidR="004E5A1E">
        <w:t xml:space="preserve"> and </w:t>
      </w:r>
      <w:r w:rsidR="00F54B80">
        <w:t>a</w:t>
      </w:r>
      <w:r w:rsidR="004E5A1E">
        <w:t>n overall</w:t>
      </w:r>
      <w:r w:rsidR="00F54B80">
        <w:t xml:space="preserve"> total of 2,791,382 agents.</w:t>
      </w:r>
      <w:r w:rsidR="0010173A">
        <w:t xml:space="preserve"> </w:t>
      </w:r>
      <w:r w:rsidR="004E5A1E">
        <w:t>This experiment</w:t>
      </w:r>
      <w:r w:rsidR="00F54B80">
        <w:t xml:space="preserve"> </w:t>
      </w:r>
      <w:r w:rsidR="004E5A1E">
        <w:t>took</w:t>
      </w:r>
      <w:r w:rsidR="00F54B80" w:rsidRPr="00526E3F">
        <w:t xml:space="preserve"> about 40 minutes on an i5-6600 CPU running at 3.3GHz with 8GB RAM under Windows 10.</w:t>
      </w:r>
      <w:r w:rsidR="00F54B80">
        <w:t xml:space="preserve"> </w:t>
      </w:r>
    </w:p>
    <w:p w14:paraId="6EE37CDD" w14:textId="70449803" w:rsidR="00BA7BDC" w:rsidRPr="00526E3F" w:rsidRDefault="004E5A1E" w:rsidP="00BA7BDC">
      <w:r>
        <w:t xml:space="preserve">Table 4 </w:t>
      </w:r>
      <w:r w:rsidR="002456CD">
        <w:t xml:space="preserve">shows that unsurprisingly, </w:t>
      </w:r>
      <w:r w:rsidR="009A3E34" w:rsidRPr="00526E3F">
        <w:t>in the younger age groups there are more new cases than deaths from dementia, whereas the reverse is true in the older age group</w:t>
      </w:r>
      <w:r w:rsidR="003F0FDD">
        <w:t>s. This is</w:t>
      </w:r>
      <w:r w:rsidR="009A3E34" w:rsidRPr="00526E3F">
        <w:t xml:space="preserve"> indicated </w:t>
      </w:r>
      <w:r w:rsidR="003F0FDD">
        <w:t>by</w:t>
      </w:r>
      <w:r w:rsidR="009A3E34" w:rsidRPr="00526E3F">
        <w:t xml:space="preserve"> </w:t>
      </w:r>
      <w:r>
        <w:t xml:space="preserve">the </w:t>
      </w:r>
      <w:r w:rsidR="003F0FDD">
        <w:t>inequality</w:t>
      </w:r>
      <w:r w:rsidR="003F0FDD" w:rsidRPr="00526E3F">
        <w:t xml:space="preserve"> symbols </w:t>
      </w:r>
      <w:r w:rsidR="003F0FDD">
        <w:t xml:space="preserve">and </w:t>
      </w:r>
      <w:r>
        <w:t xml:space="preserve">the grey </w:t>
      </w:r>
      <w:r w:rsidR="009A3E34" w:rsidRPr="00526E3F">
        <w:t>shading.</w:t>
      </w:r>
    </w:p>
    <w:p w14:paraId="283A192E" w14:textId="01A7B53D" w:rsidR="00566BB5" w:rsidRPr="00526E3F" w:rsidRDefault="00566BB5" w:rsidP="00041DE2">
      <w:pPr>
        <w:pStyle w:val="Caption"/>
      </w:pPr>
      <w:bookmarkStart w:id="10" w:name="_Ref6479718"/>
      <w:r w:rsidRPr="00526E3F">
        <w:t xml:space="preserve">Table </w:t>
      </w:r>
      <w:r w:rsidRPr="00526E3F">
        <w:rPr>
          <w:noProof/>
        </w:rPr>
        <w:fldChar w:fldCharType="begin"/>
      </w:r>
      <w:r w:rsidRPr="00526E3F">
        <w:rPr>
          <w:noProof/>
        </w:rPr>
        <w:instrText xml:space="preserve"> SEQ Table \* ARABIC </w:instrText>
      </w:r>
      <w:r w:rsidRPr="00526E3F">
        <w:rPr>
          <w:noProof/>
        </w:rPr>
        <w:fldChar w:fldCharType="separate"/>
      </w:r>
      <w:r w:rsidR="0020511F">
        <w:rPr>
          <w:noProof/>
        </w:rPr>
        <w:t>4</w:t>
      </w:r>
      <w:r w:rsidRPr="00526E3F">
        <w:rPr>
          <w:noProof/>
        </w:rPr>
        <w:fldChar w:fldCharType="end"/>
      </w:r>
      <w:bookmarkEnd w:id="10"/>
      <w:r w:rsidR="00061BD6">
        <w:t xml:space="preserve">   </w:t>
      </w:r>
      <w:r w:rsidRPr="00526E3F">
        <w:t>Number</w:t>
      </w:r>
      <w:r w:rsidR="00FB364D" w:rsidRPr="00526E3F">
        <w:t>s</w:t>
      </w:r>
      <w:r w:rsidRPr="00526E3F">
        <w:t xml:space="preserve"> of</w:t>
      </w:r>
      <w:r w:rsidR="00EB2BE6" w:rsidRPr="00526E3F">
        <w:t xml:space="preserve"> </w:t>
      </w:r>
      <w:r w:rsidR="00FB364D" w:rsidRPr="00526E3F">
        <w:t xml:space="preserve">new </w:t>
      </w:r>
      <w:r w:rsidRPr="00526E3F">
        <w:t>cases</w:t>
      </w:r>
      <w:r w:rsidR="002405C1" w:rsidRPr="00526E3F">
        <w:t xml:space="preserve"> </w:t>
      </w:r>
      <w:r w:rsidR="00EB2BE6" w:rsidRPr="00526E3F">
        <w:t xml:space="preserve">and </w:t>
      </w:r>
      <w:r w:rsidR="004E5A1E">
        <w:t xml:space="preserve">PWD </w:t>
      </w:r>
      <w:r w:rsidR="00FB364D" w:rsidRPr="00526E3F">
        <w:t xml:space="preserve">deaths </w:t>
      </w:r>
      <w:r w:rsidR="003F0FDD">
        <w:t>for</w:t>
      </w:r>
      <w:r w:rsidR="002405C1" w:rsidRPr="00526E3F">
        <w:t xml:space="preserve"> a single age cohort</w:t>
      </w:r>
    </w:p>
    <w:tbl>
      <w:tblPr>
        <w:tblStyle w:val="TableGrid"/>
        <w:tblW w:w="7691" w:type="dxa"/>
        <w:jc w:val="center"/>
        <w:tblLook w:val="04A0" w:firstRow="1" w:lastRow="0" w:firstColumn="1" w:lastColumn="0" w:noHBand="0" w:noVBand="1"/>
      </w:tblPr>
      <w:tblGrid>
        <w:gridCol w:w="1148"/>
        <w:gridCol w:w="1143"/>
        <w:gridCol w:w="828"/>
        <w:gridCol w:w="1234"/>
        <w:gridCol w:w="828"/>
        <w:gridCol w:w="329"/>
        <w:gridCol w:w="1319"/>
        <w:gridCol w:w="828"/>
        <w:gridCol w:w="34"/>
      </w:tblGrid>
      <w:tr w:rsidR="005932AB" w:rsidRPr="00526E3F" w14:paraId="558FE42A" w14:textId="77777777" w:rsidTr="003F0FDD">
        <w:trPr>
          <w:gridAfter w:val="1"/>
          <w:wAfter w:w="34" w:type="dxa"/>
          <w:jc w:val="center"/>
        </w:trPr>
        <w:tc>
          <w:tcPr>
            <w:tcW w:w="1136" w:type="dxa"/>
          </w:tcPr>
          <w:p w14:paraId="57E4CCF5" w14:textId="77777777" w:rsidR="005932AB" w:rsidRPr="00526E3F" w:rsidRDefault="005932AB" w:rsidP="00041DE2">
            <w:pPr>
              <w:keepNext/>
              <w:keepLines/>
              <w:spacing w:line="240" w:lineRule="auto"/>
            </w:pPr>
            <w:r w:rsidRPr="00526E3F">
              <w:t>Age group</w:t>
            </w:r>
          </w:p>
        </w:tc>
        <w:tc>
          <w:tcPr>
            <w:tcW w:w="0" w:type="auto"/>
          </w:tcPr>
          <w:p w14:paraId="7F97A546" w14:textId="77777777" w:rsidR="005932AB" w:rsidRPr="00526E3F" w:rsidRDefault="005932AB" w:rsidP="00041DE2">
            <w:pPr>
              <w:keepNext/>
              <w:keepLines/>
              <w:spacing w:line="240" w:lineRule="auto"/>
              <w:ind w:right="-245"/>
            </w:pPr>
            <w:r w:rsidRPr="00526E3F">
              <w:t>CN deaths</w:t>
            </w:r>
          </w:p>
        </w:tc>
        <w:tc>
          <w:tcPr>
            <w:tcW w:w="0" w:type="auto"/>
          </w:tcPr>
          <w:p w14:paraId="77AC5933" w14:textId="77777777" w:rsidR="005932AB" w:rsidRPr="00526E3F" w:rsidRDefault="005932AB" w:rsidP="00041DE2">
            <w:pPr>
              <w:keepNext/>
              <w:keepLines/>
              <w:spacing w:line="240" w:lineRule="auto"/>
              <w:jc w:val="center"/>
            </w:pPr>
            <w:r w:rsidRPr="00526E3F">
              <w:t>95% CI</w:t>
            </w:r>
          </w:p>
        </w:tc>
        <w:tc>
          <w:tcPr>
            <w:tcW w:w="1221" w:type="dxa"/>
          </w:tcPr>
          <w:p w14:paraId="29E6F396" w14:textId="4E2F2B12" w:rsidR="005932AB" w:rsidRPr="00526E3F" w:rsidRDefault="004E5A1E" w:rsidP="00041DE2">
            <w:pPr>
              <w:keepNext/>
              <w:keepLines/>
              <w:spacing w:line="240" w:lineRule="auto"/>
              <w:ind w:right="-224"/>
            </w:pPr>
            <w:r>
              <w:t>New</w:t>
            </w:r>
            <w:r w:rsidR="005932AB" w:rsidRPr="00526E3F">
              <w:t xml:space="preserve"> cases</w:t>
            </w:r>
          </w:p>
        </w:tc>
        <w:tc>
          <w:tcPr>
            <w:tcW w:w="0" w:type="auto"/>
          </w:tcPr>
          <w:p w14:paraId="1C1B974A" w14:textId="77777777" w:rsidR="005932AB" w:rsidRPr="00526E3F" w:rsidRDefault="005932AB" w:rsidP="00041DE2">
            <w:pPr>
              <w:keepNext/>
              <w:keepLines/>
              <w:spacing w:line="240" w:lineRule="auto"/>
              <w:jc w:val="center"/>
            </w:pPr>
            <w:r w:rsidRPr="00526E3F">
              <w:t>95% CI</w:t>
            </w:r>
          </w:p>
        </w:tc>
        <w:tc>
          <w:tcPr>
            <w:tcW w:w="0" w:type="auto"/>
          </w:tcPr>
          <w:p w14:paraId="6987A488" w14:textId="77777777" w:rsidR="005932AB" w:rsidRPr="00526E3F" w:rsidRDefault="005932AB" w:rsidP="00041DE2">
            <w:pPr>
              <w:keepNext/>
              <w:keepLines/>
              <w:spacing w:line="240" w:lineRule="auto"/>
              <w:ind w:right="-257"/>
              <w:jc w:val="center"/>
            </w:pPr>
          </w:p>
        </w:tc>
        <w:tc>
          <w:tcPr>
            <w:tcW w:w="1305" w:type="dxa"/>
          </w:tcPr>
          <w:p w14:paraId="13BFED85" w14:textId="77777777" w:rsidR="005932AB" w:rsidRPr="00526E3F" w:rsidRDefault="005932AB" w:rsidP="00041DE2">
            <w:pPr>
              <w:keepNext/>
              <w:keepLines/>
              <w:spacing w:line="240" w:lineRule="auto"/>
              <w:ind w:right="-257"/>
            </w:pPr>
            <w:r w:rsidRPr="00526E3F">
              <w:t>PWD deaths</w:t>
            </w:r>
          </w:p>
        </w:tc>
        <w:tc>
          <w:tcPr>
            <w:tcW w:w="0" w:type="auto"/>
          </w:tcPr>
          <w:p w14:paraId="4507C150" w14:textId="77777777" w:rsidR="005932AB" w:rsidRPr="00526E3F" w:rsidRDefault="005932AB" w:rsidP="00041DE2">
            <w:pPr>
              <w:keepNext/>
              <w:keepLines/>
              <w:spacing w:line="240" w:lineRule="auto"/>
              <w:jc w:val="center"/>
            </w:pPr>
            <w:r w:rsidRPr="00526E3F">
              <w:t>95% CI</w:t>
            </w:r>
          </w:p>
        </w:tc>
      </w:tr>
      <w:tr w:rsidR="005932AB" w:rsidRPr="00526E3F" w14:paraId="5B18D8A2" w14:textId="77777777" w:rsidTr="004E5A1E">
        <w:trPr>
          <w:gridAfter w:val="1"/>
          <w:wAfter w:w="34" w:type="dxa"/>
          <w:jc w:val="center"/>
        </w:trPr>
        <w:tc>
          <w:tcPr>
            <w:tcW w:w="1136" w:type="dxa"/>
          </w:tcPr>
          <w:p w14:paraId="0C3111C0" w14:textId="77777777" w:rsidR="005932AB" w:rsidRPr="00526E3F" w:rsidRDefault="005932AB" w:rsidP="00041DE2">
            <w:pPr>
              <w:keepNext/>
              <w:keepLines/>
              <w:spacing w:line="240" w:lineRule="auto"/>
            </w:pPr>
            <w:r w:rsidRPr="00526E3F">
              <w:t>60-65</w:t>
            </w:r>
          </w:p>
        </w:tc>
        <w:tc>
          <w:tcPr>
            <w:tcW w:w="0" w:type="auto"/>
          </w:tcPr>
          <w:p w14:paraId="5182BB34" w14:textId="77777777" w:rsidR="005932AB" w:rsidRPr="00526E3F" w:rsidRDefault="005932AB" w:rsidP="00041DE2">
            <w:pPr>
              <w:keepNext/>
              <w:keepLines/>
              <w:spacing w:line="240" w:lineRule="auto"/>
              <w:jc w:val="right"/>
            </w:pPr>
            <w:r w:rsidRPr="00526E3F">
              <w:t>380.5</w:t>
            </w:r>
          </w:p>
        </w:tc>
        <w:tc>
          <w:tcPr>
            <w:tcW w:w="0" w:type="auto"/>
          </w:tcPr>
          <w:p w14:paraId="1F54AC89" w14:textId="77777777" w:rsidR="005932AB" w:rsidRPr="00526E3F" w:rsidRDefault="005932AB" w:rsidP="00041DE2">
            <w:pPr>
              <w:keepNext/>
              <w:keepLines/>
              <w:spacing w:line="240" w:lineRule="auto"/>
              <w:jc w:val="center"/>
            </w:pPr>
            <w:r w:rsidRPr="00526E3F">
              <w:rPr>
                <w:rFonts w:cstheme="minorHAnsi"/>
              </w:rPr>
              <w:t xml:space="preserve">± </w:t>
            </w:r>
            <w:r w:rsidRPr="00526E3F">
              <w:t>2.0</w:t>
            </w:r>
          </w:p>
        </w:tc>
        <w:tc>
          <w:tcPr>
            <w:tcW w:w="1221" w:type="dxa"/>
            <w:tcBorders>
              <w:bottom w:val="single" w:sz="4" w:space="0" w:color="auto"/>
            </w:tcBorders>
          </w:tcPr>
          <w:p w14:paraId="0E6BB3CD" w14:textId="77777777" w:rsidR="005932AB" w:rsidRPr="00526E3F" w:rsidRDefault="005932AB" w:rsidP="00041DE2">
            <w:pPr>
              <w:keepNext/>
              <w:keepLines/>
              <w:spacing w:line="240" w:lineRule="auto"/>
              <w:jc w:val="right"/>
            </w:pPr>
            <w:r w:rsidRPr="00526E3F">
              <w:t>-</w:t>
            </w:r>
          </w:p>
        </w:tc>
        <w:tc>
          <w:tcPr>
            <w:tcW w:w="0" w:type="auto"/>
          </w:tcPr>
          <w:p w14:paraId="54DD8382" w14:textId="77777777" w:rsidR="005932AB" w:rsidRPr="00526E3F" w:rsidRDefault="005932AB" w:rsidP="00041DE2">
            <w:pPr>
              <w:keepNext/>
              <w:keepLines/>
              <w:spacing w:line="240" w:lineRule="auto"/>
              <w:jc w:val="center"/>
            </w:pPr>
            <w:r w:rsidRPr="00526E3F">
              <w:t>-</w:t>
            </w:r>
          </w:p>
        </w:tc>
        <w:tc>
          <w:tcPr>
            <w:tcW w:w="0" w:type="auto"/>
          </w:tcPr>
          <w:p w14:paraId="510AE95E" w14:textId="77777777" w:rsidR="005932AB" w:rsidRPr="00526E3F" w:rsidRDefault="006D4129" w:rsidP="00041DE2">
            <w:pPr>
              <w:keepNext/>
              <w:keepLines/>
              <w:spacing w:line="240" w:lineRule="auto"/>
              <w:jc w:val="center"/>
            </w:pPr>
            <w:r w:rsidRPr="00526E3F">
              <w:t>-</w:t>
            </w:r>
          </w:p>
        </w:tc>
        <w:tc>
          <w:tcPr>
            <w:tcW w:w="1305" w:type="dxa"/>
          </w:tcPr>
          <w:p w14:paraId="2AA79E81" w14:textId="77777777" w:rsidR="005932AB" w:rsidRPr="00526E3F" w:rsidRDefault="005932AB" w:rsidP="00041DE2">
            <w:pPr>
              <w:keepNext/>
              <w:keepLines/>
              <w:spacing w:line="240" w:lineRule="auto"/>
              <w:jc w:val="right"/>
            </w:pPr>
            <w:r w:rsidRPr="00526E3F">
              <w:t>-</w:t>
            </w:r>
          </w:p>
        </w:tc>
        <w:tc>
          <w:tcPr>
            <w:tcW w:w="0" w:type="auto"/>
          </w:tcPr>
          <w:p w14:paraId="7B788F28" w14:textId="77777777" w:rsidR="005932AB" w:rsidRPr="00526E3F" w:rsidRDefault="005932AB" w:rsidP="00041DE2">
            <w:pPr>
              <w:keepNext/>
              <w:keepLines/>
              <w:spacing w:line="240" w:lineRule="auto"/>
              <w:jc w:val="center"/>
            </w:pPr>
            <w:r w:rsidRPr="00526E3F">
              <w:t>-</w:t>
            </w:r>
          </w:p>
        </w:tc>
      </w:tr>
      <w:tr w:rsidR="005932AB" w:rsidRPr="00526E3F" w14:paraId="62830D8C" w14:textId="77777777" w:rsidTr="004E5A1E">
        <w:trPr>
          <w:gridAfter w:val="1"/>
          <w:wAfter w:w="34" w:type="dxa"/>
          <w:jc w:val="center"/>
        </w:trPr>
        <w:tc>
          <w:tcPr>
            <w:tcW w:w="1136" w:type="dxa"/>
          </w:tcPr>
          <w:p w14:paraId="633B964B" w14:textId="77777777" w:rsidR="005932AB" w:rsidRPr="00526E3F" w:rsidRDefault="005932AB" w:rsidP="00041DE2">
            <w:pPr>
              <w:keepNext/>
              <w:keepLines/>
              <w:spacing w:line="240" w:lineRule="auto"/>
            </w:pPr>
            <w:r w:rsidRPr="00526E3F">
              <w:t>65-70</w:t>
            </w:r>
          </w:p>
        </w:tc>
        <w:tc>
          <w:tcPr>
            <w:tcW w:w="0" w:type="auto"/>
          </w:tcPr>
          <w:p w14:paraId="0001941E" w14:textId="77777777" w:rsidR="005932AB" w:rsidRPr="00526E3F" w:rsidRDefault="005932AB" w:rsidP="00041DE2">
            <w:pPr>
              <w:keepNext/>
              <w:keepLines/>
              <w:spacing w:line="240" w:lineRule="auto"/>
              <w:jc w:val="right"/>
            </w:pPr>
            <w:r w:rsidRPr="00526E3F">
              <w:t>557.7</w:t>
            </w:r>
          </w:p>
        </w:tc>
        <w:tc>
          <w:tcPr>
            <w:tcW w:w="0" w:type="auto"/>
          </w:tcPr>
          <w:p w14:paraId="579BE058" w14:textId="77777777" w:rsidR="005932AB" w:rsidRPr="00526E3F" w:rsidRDefault="005932AB" w:rsidP="00041DE2">
            <w:pPr>
              <w:keepNext/>
              <w:keepLines/>
              <w:spacing w:line="240" w:lineRule="auto"/>
              <w:jc w:val="center"/>
            </w:pPr>
            <w:r w:rsidRPr="00526E3F">
              <w:rPr>
                <w:rFonts w:cstheme="minorHAnsi"/>
              </w:rPr>
              <w:t xml:space="preserve">± </w:t>
            </w:r>
            <w:r w:rsidRPr="00526E3F">
              <w:t>2.7</w:t>
            </w:r>
          </w:p>
        </w:tc>
        <w:tc>
          <w:tcPr>
            <w:tcW w:w="1221" w:type="dxa"/>
            <w:shd w:val="clear" w:color="auto" w:fill="BFBFBF" w:themeFill="background1" w:themeFillShade="BF"/>
          </w:tcPr>
          <w:p w14:paraId="11FA7893" w14:textId="77777777" w:rsidR="005932AB" w:rsidRPr="00526E3F" w:rsidRDefault="005932AB" w:rsidP="00041DE2">
            <w:pPr>
              <w:keepNext/>
              <w:keepLines/>
              <w:spacing w:line="240" w:lineRule="auto"/>
              <w:jc w:val="right"/>
            </w:pPr>
            <w:r w:rsidRPr="00526E3F">
              <w:t>230.4</w:t>
            </w:r>
          </w:p>
        </w:tc>
        <w:tc>
          <w:tcPr>
            <w:tcW w:w="0" w:type="auto"/>
          </w:tcPr>
          <w:p w14:paraId="50F05041" w14:textId="77777777" w:rsidR="005932AB" w:rsidRPr="00526E3F" w:rsidRDefault="005932AB" w:rsidP="00041DE2">
            <w:pPr>
              <w:keepNext/>
              <w:keepLines/>
              <w:spacing w:line="240" w:lineRule="auto"/>
              <w:jc w:val="center"/>
            </w:pPr>
            <w:r w:rsidRPr="00526E3F">
              <w:rPr>
                <w:rFonts w:cstheme="minorHAnsi"/>
              </w:rPr>
              <w:t xml:space="preserve">± </w:t>
            </w:r>
            <w:r w:rsidRPr="00526E3F">
              <w:t>2.2</w:t>
            </w:r>
          </w:p>
        </w:tc>
        <w:tc>
          <w:tcPr>
            <w:tcW w:w="0" w:type="auto"/>
          </w:tcPr>
          <w:p w14:paraId="2E43B7F0" w14:textId="77777777" w:rsidR="005932AB" w:rsidRPr="00526E3F" w:rsidRDefault="00DE1A41" w:rsidP="00041DE2">
            <w:pPr>
              <w:keepNext/>
              <w:keepLines/>
              <w:spacing w:line="240" w:lineRule="auto"/>
              <w:jc w:val="center"/>
            </w:pPr>
            <w:r w:rsidRPr="00526E3F">
              <w:t>&gt;</w:t>
            </w:r>
          </w:p>
        </w:tc>
        <w:tc>
          <w:tcPr>
            <w:tcW w:w="1305" w:type="dxa"/>
          </w:tcPr>
          <w:p w14:paraId="76F4425C" w14:textId="77777777" w:rsidR="005932AB" w:rsidRPr="00526E3F" w:rsidRDefault="005932AB" w:rsidP="00041DE2">
            <w:pPr>
              <w:keepNext/>
              <w:keepLines/>
              <w:spacing w:line="240" w:lineRule="auto"/>
              <w:jc w:val="right"/>
            </w:pPr>
            <w:r w:rsidRPr="00526E3F">
              <w:t>13.6</w:t>
            </w:r>
          </w:p>
        </w:tc>
        <w:tc>
          <w:tcPr>
            <w:tcW w:w="0" w:type="auto"/>
          </w:tcPr>
          <w:p w14:paraId="13A2AAE7" w14:textId="77777777" w:rsidR="005932AB" w:rsidRPr="00526E3F" w:rsidRDefault="005932AB" w:rsidP="00041DE2">
            <w:pPr>
              <w:keepNext/>
              <w:keepLines/>
              <w:spacing w:line="240" w:lineRule="auto"/>
              <w:jc w:val="center"/>
            </w:pPr>
            <w:r w:rsidRPr="00526E3F">
              <w:rPr>
                <w:rFonts w:cstheme="minorHAnsi"/>
              </w:rPr>
              <w:t xml:space="preserve">± </w:t>
            </w:r>
            <w:r w:rsidRPr="00526E3F">
              <w:t>0.1</w:t>
            </w:r>
          </w:p>
        </w:tc>
      </w:tr>
      <w:tr w:rsidR="005932AB" w:rsidRPr="00526E3F" w14:paraId="0CC177EA" w14:textId="77777777" w:rsidTr="004E5A1E">
        <w:trPr>
          <w:gridAfter w:val="1"/>
          <w:wAfter w:w="34" w:type="dxa"/>
          <w:jc w:val="center"/>
        </w:trPr>
        <w:tc>
          <w:tcPr>
            <w:tcW w:w="1136" w:type="dxa"/>
          </w:tcPr>
          <w:p w14:paraId="58ABA573" w14:textId="77777777" w:rsidR="005932AB" w:rsidRPr="00526E3F" w:rsidRDefault="005932AB" w:rsidP="00041DE2">
            <w:pPr>
              <w:keepNext/>
              <w:keepLines/>
              <w:spacing w:line="240" w:lineRule="auto"/>
            </w:pPr>
            <w:r w:rsidRPr="00526E3F">
              <w:t>70-75</w:t>
            </w:r>
          </w:p>
        </w:tc>
        <w:tc>
          <w:tcPr>
            <w:tcW w:w="0" w:type="auto"/>
          </w:tcPr>
          <w:p w14:paraId="4BF714B4" w14:textId="77777777" w:rsidR="005932AB" w:rsidRPr="00526E3F" w:rsidRDefault="005932AB" w:rsidP="00041DE2">
            <w:pPr>
              <w:keepNext/>
              <w:keepLines/>
              <w:spacing w:line="240" w:lineRule="auto"/>
              <w:jc w:val="right"/>
            </w:pPr>
            <w:r w:rsidRPr="00526E3F">
              <w:t>836.7</w:t>
            </w:r>
          </w:p>
        </w:tc>
        <w:tc>
          <w:tcPr>
            <w:tcW w:w="0" w:type="auto"/>
          </w:tcPr>
          <w:p w14:paraId="60E214C1" w14:textId="77777777" w:rsidR="005932AB" w:rsidRPr="00526E3F" w:rsidRDefault="005932AB" w:rsidP="00041DE2">
            <w:pPr>
              <w:keepNext/>
              <w:keepLines/>
              <w:spacing w:line="240" w:lineRule="auto"/>
              <w:jc w:val="center"/>
            </w:pPr>
            <w:r w:rsidRPr="00526E3F">
              <w:rPr>
                <w:rFonts w:cstheme="minorHAnsi"/>
              </w:rPr>
              <w:t xml:space="preserve">± </w:t>
            </w:r>
            <w:r w:rsidRPr="00526E3F">
              <w:t>3.9</w:t>
            </w:r>
          </w:p>
        </w:tc>
        <w:tc>
          <w:tcPr>
            <w:tcW w:w="1221" w:type="dxa"/>
            <w:shd w:val="clear" w:color="auto" w:fill="BFBFBF" w:themeFill="background1" w:themeFillShade="BF"/>
          </w:tcPr>
          <w:p w14:paraId="5C43285F" w14:textId="77777777" w:rsidR="005932AB" w:rsidRPr="00526E3F" w:rsidRDefault="005932AB" w:rsidP="00041DE2">
            <w:pPr>
              <w:keepNext/>
              <w:keepLines/>
              <w:spacing w:line="240" w:lineRule="auto"/>
              <w:jc w:val="right"/>
            </w:pPr>
            <w:r w:rsidRPr="00526E3F">
              <w:t>328.8</w:t>
            </w:r>
          </w:p>
        </w:tc>
        <w:tc>
          <w:tcPr>
            <w:tcW w:w="0" w:type="auto"/>
          </w:tcPr>
          <w:p w14:paraId="1770B2CF" w14:textId="77777777" w:rsidR="005932AB" w:rsidRPr="00526E3F" w:rsidRDefault="005932AB" w:rsidP="00041DE2">
            <w:pPr>
              <w:keepNext/>
              <w:keepLines/>
              <w:spacing w:line="240" w:lineRule="auto"/>
              <w:jc w:val="center"/>
            </w:pPr>
            <w:r w:rsidRPr="00526E3F">
              <w:rPr>
                <w:rFonts w:cstheme="minorHAnsi"/>
              </w:rPr>
              <w:t xml:space="preserve">± </w:t>
            </w:r>
            <w:r w:rsidRPr="00526E3F">
              <w:t>3.0</w:t>
            </w:r>
          </w:p>
        </w:tc>
        <w:tc>
          <w:tcPr>
            <w:tcW w:w="0" w:type="auto"/>
          </w:tcPr>
          <w:p w14:paraId="5988710F" w14:textId="77777777" w:rsidR="005932AB" w:rsidRPr="00526E3F" w:rsidRDefault="00DE1A41" w:rsidP="00041DE2">
            <w:pPr>
              <w:keepNext/>
              <w:keepLines/>
              <w:spacing w:line="240" w:lineRule="auto"/>
              <w:jc w:val="center"/>
            </w:pPr>
            <w:r w:rsidRPr="00526E3F">
              <w:t>&gt;</w:t>
            </w:r>
          </w:p>
        </w:tc>
        <w:tc>
          <w:tcPr>
            <w:tcW w:w="1305" w:type="dxa"/>
          </w:tcPr>
          <w:p w14:paraId="62663FB0" w14:textId="77777777" w:rsidR="005932AB" w:rsidRPr="00526E3F" w:rsidRDefault="005932AB" w:rsidP="00041DE2">
            <w:pPr>
              <w:keepNext/>
              <w:keepLines/>
              <w:spacing w:line="240" w:lineRule="auto"/>
              <w:jc w:val="right"/>
            </w:pPr>
            <w:r w:rsidRPr="00526E3F">
              <w:t>71.9</w:t>
            </w:r>
          </w:p>
        </w:tc>
        <w:tc>
          <w:tcPr>
            <w:tcW w:w="0" w:type="auto"/>
          </w:tcPr>
          <w:p w14:paraId="07A62AB8" w14:textId="77777777" w:rsidR="005932AB" w:rsidRPr="00526E3F" w:rsidRDefault="005932AB" w:rsidP="00041DE2">
            <w:pPr>
              <w:keepNext/>
              <w:keepLines/>
              <w:spacing w:line="240" w:lineRule="auto"/>
              <w:jc w:val="center"/>
            </w:pPr>
            <w:r w:rsidRPr="00526E3F">
              <w:rPr>
                <w:rFonts w:cstheme="minorHAnsi"/>
              </w:rPr>
              <w:t xml:space="preserve">± </w:t>
            </w:r>
            <w:r w:rsidRPr="00526E3F">
              <w:t>0.7</w:t>
            </w:r>
          </w:p>
        </w:tc>
      </w:tr>
      <w:tr w:rsidR="005932AB" w:rsidRPr="00526E3F" w14:paraId="75B628E8" w14:textId="77777777" w:rsidTr="004E5A1E">
        <w:trPr>
          <w:gridAfter w:val="1"/>
          <w:wAfter w:w="34" w:type="dxa"/>
          <w:jc w:val="center"/>
        </w:trPr>
        <w:tc>
          <w:tcPr>
            <w:tcW w:w="1136" w:type="dxa"/>
          </w:tcPr>
          <w:p w14:paraId="7521FFC8" w14:textId="77777777" w:rsidR="005932AB" w:rsidRPr="00526E3F" w:rsidRDefault="005932AB" w:rsidP="00041DE2">
            <w:pPr>
              <w:keepNext/>
              <w:keepLines/>
              <w:spacing w:line="240" w:lineRule="auto"/>
            </w:pPr>
            <w:r w:rsidRPr="00526E3F">
              <w:t>75-80</w:t>
            </w:r>
          </w:p>
        </w:tc>
        <w:tc>
          <w:tcPr>
            <w:tcW w:w="0" w:type="auto"/>
          </w:tcPr>
          <w:p w14:paraId="345E8934" w14:textId="77777777" w:rsidR="005932AB" w:rsidRPr="00526E3F" w:rsidRDefault="005932AB" w:rsidP="00041DE2">
            <w:pPr>
              <w:keepNext/>
              <w:keepLines/>
              <w:spacing w:line="240" w:lineRule="auto"/>
              <w:jc w:val="right"/>
            </w:pPr>
            <w:r w:rsidRPr="00526E3F">
              <w:t>1159.9</w:t>
            </w:r>
          </w:p>
        </w:tc>
        <w:tc>
          <w:tcPr>
            <w:tcW w:w="0" w:type="auto"/>
          </w:tcPr>
          <w:p w14:paraId="29C258F3" w14:textId="77777777" w:rsidR="005932AB" w:rsidRPr="00526E3F" w:rsidRDefault="005932AB" w:rsidP="00041DE2">
            <w:pPr>
              <w:keepNext/>
              <w:keepLines/>
              <w:spacing w:line="240" w:lineRule="auto"/>
              <w:jc w:val="center"/>
            </w:pPr>
            <w:r w:rsidRPr="00526E3F">
              <w:rPr>
                <w:rFonts w:cstheme="minorHAnsi"/>
              </w:rPr>
              <w:t xml:space="preserve">± </w:t>
            </w:r>
            <w:r w:rsidRPr="00526E3F">
              <w:t>4.9</w:t>
            </w:r>
          </w:p>
        </w:tc>
        <w:tc>
          <w:tcPr>
            <w:tcW w:w="1221" w:type="dxa"/>
            <w:shd w:val="clear" w:color="auto" w:fill="BFBFBF" w:themeFill="background1" w:themeFillShade="BF"/>
          </w:tcPr>
          <w:p w14:paraId="1FDB1994" w14:textId="77777777" w:rsidR="005932AB" w:rsidRPr="00526E3F" w:rsidRDefault="005932AB" w:rsidP="00041DE2">
            <w:pPr>
              <w:keepNext/>
              <w:keepLines/>
              <w:spacing w:line="240" w:lineRule="auto"/>
              <w:jc w:val="right"/>
            </w:pPr>
            <w:r w:rsidRPr="00526E3F">
              <w:t>540.4</w:t>
            </w:r>
          </w:p>
        </w:tc>
        <w:tc>
          <w:tcPr>
            <w:tcW w:w="0" w:type="auto"/>
          </w:tcPr>
          <w:p w14:paraId="3370F831" w14:textId="77777777" w:rsidR="005932AB" w:rsidRPr="00526E3F" w:rsidRDefault="005932AB" w:rsidP="00041DE2">
            <w:pPr>
              <w:keepNext/>
              <w:keepLines/>
              <w:spacing w:line="240" w:lineRule="auto"/>
              <w:jc w:val="center"/>
            </w:pPr>
            <w:r w:rsidRPr="00526E3F">
              <w:rPr>
                <w:rFonts w:cstheme="minorHAnsi"/>
              </w:rPr>
              <w:t xml:space="preserve">± </w:t>
            </w:r>
            <w:r w:rsidRPr="00526E3F">
              <w:t>4.7</w:t>
            </w:r>
          </w:p>
        </w:tc>
        <w:tc>
          <w:tcPr>
            <w:tcW w:w="0" w:type="auto"/>
          </w:tcPr>
          <w:p w14:paraId="0FEE36D6" w14:textId="77777777" w:rsidR="005932AB" w:rsidRPr="00526E3F" w:rsidRDefault="00DE1A41" w:rsidP="00041DE2">
            <w:pPr>
              <w:keepNext/>
              <w:keepLines/>
              <w:spacing w:line="240" w:lineRule="auto"/>
              <w:jc w:val="center"/>
            </w:pPr>
            <w:r w:rsidRPr="00526E3F">
              <w:t>&gt;</w:t>
            </w:r>
          </w:p>
        </w:tc>
        <w:tc>
          <w:tcPr>
            <w:tcW w:w="1305" w:type="dxa"/>
          </w:tcPr>
          <w:p w14:paraId="40BA6AB6" w14:textId="77777777" w:rsidR="005932AB" w:rsidRPr="00526E3F" w:rsidRDefault="005932AB" w:rsidP="00041DE2">
            <w:pPr>
              <w:keepNext/>
              <w:keepLines/>
              <w:spacing w:line="240" w:lineRule="auto"/>
              <w:jc w:val="right"/>
            </w:pPr>
            <w:r w:rsidRPr="00526E3F">
              <w:t>223.6</w:t>
            </w:r>
          </w:p>
        </w:tc>
        <w:tc>
          <w:tcPr>
            <w:tcW w:w="0" w:type="auto"/>
          </w:tcPr>
          <w:p w14:paraId="4A9CA015" w14:textId="77777777" w:rsidR="005932AB" w:rsidRPr="00526E3F" w:rsidRDefault="005932AB" w:rsidP="00041DE2">
            <w:pPr>
              <w:keepNext/>
              <w:keepLines/>
              <w:spacing w:line="240" w:lineRule="auto"/>
              <w:jc w:val="center"/>
            </w:pPr>
            <w:r w:rsidRPr="00526E3F">
              <w:rPr>
                <w:rFonts w:cstheme="minorHAnsi"/>
              </w:rPr>
              <w:t xml:space="preserve">± </w:t>
            </w:r>
            <w:r w:rsidRPr="00526E3F">
              <w:t>2.0</w:t>
            </w:r>
          </w:p>
        </w:tc>
      </w:tr>
      <w:tr w:rsidR="005932AB" w:rsidRPr="00526E3F" w14:paraId="1D11962C" w14:textId="77777777" w:rsidTr="004E5A1E">
        <w:trPr>
          <w:gridAfter w:val="1"/>
          <w:wAfter w:w="34" w:type="dxa"/>
          <w:jc w:val="center"/>
        </w:trPr>
        <w:tc>
          <w:tcPr>
            <w:tcW w:w="1136" w:type="dxa"/>
          </w:tcPr>
          <w:p w14:paraId="684C3FF8" w14:textId="77777777" w:rsidR="005932AB" w:rsidRPr="00526E3F" w:rsidRDefault="005932AB" w:rsidP="00041DE2">
            <w:pPr>
              <w:keepNext/>
              <w:keepLines/>
              <w:spacing w:line="240" w:lineRule="auto"/>
            </w:pPr>
            <w:r w:rsidRPr="00526E3F">
              <w:t>80-85</w:t>
            </w:r>
          </w:p>
        </w:tc>
        <w:tc>
          <w:tcPr>
            <w:tcW w:w="0" w:type="auto"/>
          </w:tcPr>
          <w:p w14:paraId="503EF851" w14:textId="77777777" w:rsidR="005932AB" w:rsidRPr="00526E3F" w:rsidRDefault="005932AB" w:rsidP="00041DE2">
            <w:pPr>
              <w:keepNext/>
              <w:keepLines/>
              <w:spacing w:line="240" w:lineRule="auto"/>
              <w:jc w:val="right"/>
            </w:pPr>
            <w:r w:rsidRPr="00526E3F">
              <w:t>1496.8</w:t>
            </w:r>
          </w:p>
        </w:tc>
        <w:tc>
          <w:tcPr>
            <w:tcW w:w="0" w:type="auto"/>
          </w:tcPr>
          <w:p w14:paraId="1AC9127F" w14:textId="77777777" w:rsidR="005932AB" w:rsidRPr="00526E3F" w:rsidRDefault="005932AB" w:rsidP="00041DE2">
            <w:pPr>
              <w:keepNext/>
              <w:keepLines/>
              <w:spacing w:line="240" w:lineRule="auto"/>
              <w:jc w:val="center"/>
            </w:pPr>
            <w:r w:rsidRPr="00526E3F">
              <w:rPr>
                <w:rFonts w:cstheme="minorHAnsi"/>
              </w:rPr>
              <w:t xml:space="preserve">± </w:t>
            </w:r>
            <w:r w:rsidRPr="00526E3F">
              <w:t>5.9</w:t>
            </w:r>
          </w:p>
        </w:tc>
        <w:tc>
          <w:tcPr>
            <w:tcW w:w="1221" w:type="dxa"/>
            <w:shd w:val="clear" w:color="auto" w:fill="BFBFBF" w:themeFill="background1" w:themeFillShade="BF"/>
          </w:tcPr>
          <w:p w14:paraId="2ED74829" w14:textId="77777777" w:rsidR="005932AB" w:rsidRPr="00526E3F" w:rsidRDefault="005932AB" w:rsidP="00041DE2">
            <w:pPr>
              <w:keepNext/>
              <w:keepLines/>
              <w:spacing w:line="240" w:lineRule="auto"/>
              <w:jc w:val="right"/>
            </w:pPr>
            <w:r w:rsidRPr="00526E3F">
              <w:t>601.2</w:t>
            </w:r>
          </w:p>
        </w:tc>
        <w:tc>
          <w:tcPr>
            <w:tcW w:w="0" w:type="auto"/>
          </w:tcPr>
          <w:p w14:paraId="13F82550" w14:textId="77777777" w:rsidR="005932AB" w:rsidRPr="00526E3F" w:rsidRDefault="005932AB" w:rsidP="00041DE2">
            <w:pPr>
              <w:keepNext/>
              <w:keepLines/>
              <w:spacing w:line="240" w:lineRule="auto"/>
              <w:jc w:val="center"/>
            </w:pPr>
            <w:r w:rsidRPr="00526E3F">
              <w:rPr>
                <w:rFonts w:cstheme="minorHAnsi"/>
              </w:rPr>
              <w:t xml:space="preserve">± </w:t>
            </w:r>
            <w:r w:rsidRPr="00526E3F">
              <w:t>4.8</w:t>
            </w:r>
          </w:p>
        </w:tc>
        <w:tc>
          <w:tcPr>
            <w:tcW w:w="0" w:type="auto"/>
          </w:tcPr>
          <w:p w14:paraId="31BC2E6D" w14:textId="77777777" w:rsidR="005932AB" w:rsidRPr="00526E3F" w:rsidRDefault="00DE1A41" w:rsidP="00041DE2">
            <w:pPr>
              <w:keepNext/>
              <w:keepLines/>
              <w:spacing w:line="240" w:lineRule="auto"/>
              <w:jc w:val="center"/>
            </w:pPr>
            <w:r w:rsidRPr="00526E3F">
              <w:t>&gt;</w:t>
            </w:r>
          </w:p>
        </w:tc>
        <w:tc>
          <w:tcPr>
            <w:tcW w:w="1305" w:type="dxa"/>
            <w:tcBorders>
              <w:bottom w:val="single" w:sz="4" w:space="0" w:color="auto"/>
            </w:tcBorders>
          </w:tcPr>
          <w:p w14:paraId="1B4DE690" w14:textId="77777777" w:rsidR="005932AB" w:rsidRPr="00526E3F" w:rsidRDefault="005932AB" w:rsidP="00041DE2">
            <w:pPr>
              <w:keepNext/>
              <w:keepLines/>
              <w:spacing w:line="240" w:lineRule="auto"/>
              <w:jc w:val="right"/>
            </w:pPr>
            <w:r w:rsidRPr="00526E3F">
              <w:t>529.6</w:t>
            </w:r>
          </w:p>
        </w:tc>
        <w:tc>
          <w:tcPr>
            <w:tcW w:w="0" w:type="auto"/>
          </w:tcPr>
          <w:p w14:paraId="1692E96C" w14:textId="77777777" w:rsidR="005932AB" w:rsidRPr="00526E3F" w:rsidRDefault="005932AB" w:rsidP="00041DE2">
            <w:pPr>
              <w:keepNext/>
              <w:keepLines/>
              <w:spacing w:line="240" w:lineRule="auto"/>
              <w:jc w:val="center"/>
            </w:pPr>
            <w:r w:rsidRPr="00526E3F">
              <w:rPr>
                <w:rFonts w:cstheme="minorHAnsi"/>
              </w:rPr>
              <w:t xml:space="preserve">± </w:t>
            </w:r>
            <w:r w:rsidRPr="00526E3F">
              <w:t>4.6</w:t>
            </w:r>
          </w:p>
        </w:tc>
      </w:tr>
      <w:tr w:rsidR="005932AB" w:rsidRPr="00526E3F" w14:paraId="7448D04B" w14:textId="77777777" w:rsidTr="004E5A1E">
        <w:trPr>
          <w:gridAfter w:val="1"/>
          <w:wAfter w:w="34" w:type="dxa"/>
          <w:jc w:val="center"/>
        </w:trPr>
        <w:tc>
          <w:tcPr>
            <w:tcW w:w="1136" w:type="dxa"/>
          </w:tcPr>
          <w:p w14:paraId="46BAE9D4" w14:textId="77777777" w:rsidR="005932AB" w:rsidRPr="00526E3F" w:rsidRDefault="005932AB" w:rsidP="00041DE2">
            <w:pPr>
              <w:keepNext/>
              <w:keepLines/>
              <w:spacing w:line="240" w:lineRule="auto"/>
            </w:pPr>
            <w:r w:rsidRPr="00526E3F">
              <w:t>85-90</w:t>
            </w:r>
          </w:p>
        </w:tc>
        <w:tc>
          <w:tcPr>
            <w:tcW w:w="0" w:type="auto"/>
          </w:tcPr>
          <w:p w14:paraId="0BA94DAC" w14:textId="77777777" w:rsidR="005932AB" w:rsidRPr="00526E3F" w:rsidRDefault="005932AB" w:rsidP="00041DE2">
            <w:pPr>
              <w:keepNext/>
              <w:keepLines/>
              <w:spacing w:line="240" w:lineRule="auto"/>
              <w:jc w:val="right"/>
            </w:pPr>
            <w:r w:rsidRPr="00526E3F">
              <w:t>1510.0</w:t>
            </w:r>
          </w:p>
        </w:tc>
        <w:tc>
          <w:tcPr>
            <w:tcW w:w="0" w:type="auto"/>
          </w:tcPr>
          <w:p w14:paraId="79158949" w14:textId="77777777" w:rsidR="005932AB" w:rsidRPr="00526E3F" w:rsidRDefault="005932AB" w:rsidP="00041DE2">
            <w:pPr>
              <w:keepNext/>
              <w:keepLines/>
              <w:spacing w:line="240" w:lineRule="auto"/>
              <w:jc w:val="center"/>
            </w:pPr>
            <w:r w:rsidRPr="00526E3F">
              <w:rPr>
                <w:rFonts w:cstheme="minorHAnsi"/>
              </w:rPr>
              <w:t xml:space="preserve">± </w:t>
            </w:r>
            <w:r w:rsidRPr="00526E3F">
              <w:t>6.3</w:t>
            </w:r>
          </w:p>
        </w:tc>
        <w:tc>
          <w:tcPr>
            <w:tcW w:w="1221" w:type="dxa"/>
          </w:tcPr>
          <w:p w14:paraId="4A40B280" w14:textId="77777777" w:rsidR="005932AB" w:rsidRPr="00526E3F" w:rsidRDefault="005932AB" w:rsidP="00041DE2">
            <w:pPr>
              <w:keepNext/>
              <w:keepLines/>
              <w:spacing w:line="240" w:lineRule="auto"/>
              <w:jc w:val="right"/>
            </w:pPr>
            <w:r w:rsidRPr="00526E3F">
              <w:t>525.6</w:t>
            </w:r>
          </w:p>
        </w:tc>
        <w:tc>
          <w:tcPr>
            <w:tcW w:w="0" w:type="auto"/>
          </w:tcPr>
          <w:p w14:paraId="2F0CB171" w14:textId="77777777" w:rsidR="005932AB" w:rsidRPr="00526E3F" w:rsidRDefault="005932AB" w:rsidP="00041DE2">
            <w:pPr>
              <w:keepNext/>
              <w:keepLines/>
              <w:spacing w:line="240" w:lineRule="auto"/>
              <w:jc w:val="center"/>
            </w:pPr>
            <w:r w:rsidRPr="00526E3F">
              <w:rPr>
                <w:rFonts w:cstheme="minorHAnsi"/>
              </w:rPr>
              <w:t xml:space="preserve">± </w:t>
            </w:r>
            <w:r w:rsidRPr="00526E3F">
              <w:t>4.0</w:t>
            </w:r>
          </w:p>
        </w:tc>
        <w:tc>
          <w:tcPr>
            <w:tcW w:w="0" w:type="auto"/>
          </w:tcPr>
          <w:p w14:paraId="150006D5" w14:textId="77777777" w:rsidR="005932AB" w:rsidRPr="00526E3F" w:rsidRDefault="00DE1A41" w:rsidP="00041DE2">
            <w:pPr>
              <w:keepNext/>
              <w:keepLines/>
              <w:spacing w:line="240" w:lineRule="auto"/>
              <w:jc w:val="center"/>
            </w:pPr>
            <w:r w:rsidRPr="00526E3F">
              <w:t>&lt;</w:t>
            </w:r>
          </w:p>
        </w:tc>
        <w:tc>
          <w:tcPr>
            <w:tcW w:w="1305" w:type="dxa"/>
            <w:shd w:val="clear" w:color="auto" w:fill="BFBFBF" w:themeFill="background1" w:themeFillShade="BF"/>
          </w:tcPr>
          <w:p w14:paraId="3D12D77F" w14:textId="77777777" w:rsidR="005932AB" w:rsidRPr="00526E3F" w:rsidRDefault="005932AB" w:rsidP="00041DE2">
            <w:pPr>
              <w:keepNext/>
              <w:keepLines/>
              <w:spacing w:line="240" w:lineRule="auto"/>
              <w:jc w:val="right"/>
            </w:pPr>
            <w:r w:rsidRPr="00526E3F">
              <w:t>810.4</w:t>
            </w:r>
          </w:p>
        </w:tc>
        <w:tc>
          <w:tcPr>
            <w:tcW w:w="0" w:type="auto"/>
          </w:tcPr>
          <w:p w14:paraId="16E1ECDE" w14:textId="77777777" w:rsidR="005932AB" w:rsidRPr="00526E3F" w:rsidRDefault="005932AB" w:rsidP="00041DE2">
            <w:pPr>
              <w:keepNext/>
              <w:keepLines/>
              <w:spacing w:line="240" w:lineRule="auto"/>
              <w:jc w:val="center"/>
            </w:pPr>
            <w:r w:rsidRPr="00526E3F">
              <w:rPr>
                <w:rFonts w:cstheme="minorHAnsi"/>
              </w:rPr>
              <w:t xml:space="preserve">± </w:t>
            </w:r>
            <w:r w:rsidRPr="00526E3F">
              <w:t>6.5</w:t>
            </w:r>
          </w:p>
        </w:tc>
      </w:tr>
      <w:tr w:rsidR="005932AB" w:rsidRPr="00526E3F" w14:paraId="56E5005D" w14:textId="77777777" w:rsidTr="004E5A1E">
        <w:trPr>
          <w:gridAfter w:val="1"/>
          <w:wAfter w:w="34" w:type="dxa"/>
          <w:jc w:val="center"/>
        </w:trPr>
        <w:tc>
          <w:tcPr>
            <w:tcW w:w="1136" w:type="dxa"/>
          </w:tcPr>
          <w:p w14:paraId="286BD0AC" w14:textId="77777777" w:rsidR="005932AB" w:rsidRPr="00526E3F" w:rsidRDefault="005932AB" w:rsidP="00041DE2">
            <w:pPr>
              <w:keepNext/>
              <w:keepLines/>
              <w:spacing w:line="240" w:lineRule="auto"/>
            </w:pPr>
            <w:r w:rsidRPr="00526E3F">
              <w:t>90-95</w:t>
            </w:r>
          </w:p>
        </w:tc>
        <w:tc>
          <w:tcPr>
            <w:tcW w:w="0" w:type="auto"/>
          </w:tcPr>
          <w:p w14:paraId="4B31210A" w14:textId="77777777" w:rsidR="005932AB" w:rsidRPr="00526E3F" w:rsidRDefault="005932AB" w:rsidP="00041DE2">
            <w:pPr>
              <w:keepNext/>
              <w:keepLines/>
              <w:spacing w:line="240" w:lineRule="auto"/>
              <w:jc w:val="right"/>
            </w:pPr>
            <w:r w:rsidRPr="00526E3F">
              <w:t>986.0</w:t>
            </w:r>
          </w:p>
        </w:tc>
        <w:tc>
          <w:tcPr>
            <w:tcW w:w="0" w:type="auto"/>
          </w:tcPr>
          <w:p w14:paraId="36CD4C35" w14:textId="77777777" w:rsidR="005932AB" w:rsidRPr="00526E3F" w:rsidRDefault="005932AB" w:rsidP="00041DE2">
            <w:pPr>
              <w:keepNext/>
              <w:keepLines/>
              <w:spacing w:line="240" w:lineRule="auto"/>
              <w:jc w:val="center"/>
            </w:pPr>
            <w:r w:rsidRPr="00526E3F">
              <w:rPr>
                <w:rFonts w:cstheme="minorHAnsi"/>
              </w:rPr>
              <w:t xml:space="preserve">± </w:t>
            </w:r>
            <w:r w:rsidRPr="00526E3F">
              <w:t>6.7</w:t>
            </w:r>
          </w:p>
        </w:tc>
        <w:tc>
          <w:tcPr>
            <w:tcW w:w="1221" w:type="dxa"/>
          </w:tcPr>
          <w:p w14:paraId="7CF16358" w14:textId="77777777" w:rsidR="005932AB" w:rsidRPr="00526E3F" w:rsidRDefault="005932AB" w:rsidP="00041DE2">
            <w:pPr>
              <w:keepNext/>
              <w:keepLines/>
              <w:spacing w:line="240" w:lineRule="auto"/>
              <w:jc w:val="right"/>
            </w:pPr>
            <w:r w:rsidRPr="00526E3F">
              <w:t>322.7</w:t>
            </w:r>
          </w:p>
        </w:tc>
        <w:tc>
          <w:tcPr>
            <w:tcW w:w="0" w:type="auto"/>
          </w:tcPr>
          <w:p w14:paraId="537D1BDB" w14:textId="77777777" w:rsidR="005932AB" w:rsidRPr="00526E3F" w:rsidRDefault="005932AB" w:rsidP="00041DE2">
            <w:pPr>
              <w:keepNext/>
              <w:keepLines/>
              <w:spacing w:line="240" w:lineRule="auto"/>
              <w:jc w:val="center"/>
            </w:pPr>
            <w:r w:rsidRPr="00526E3F">
              <w:rPr>
                <w:rFonts w:cstheme="minorHAnsi"/>
              </w:rPr>
              <w:t xml:space="preserve">± </w:t>
            </w:r>
            <w:r w:rsidRPr="00526E3F">
              <w:t>2.8</w:t>
            </w:r>
          </w:p>
        </w:tc>
        <w:tc>
          <w:tcPr>
            <w:tcW w:w="0" w:type="auto"/>
          </w:tcPr>
          <w:p w14:paraId="01A28830" w14:textId="77777777" w:rsidR="005932AB" w:rsidRPr="00526E3F" w:rsidRDefault="00DE1A41" w:rsidP="00041DE2">
            <w:pPr>
              <w:keepNext/>
              <w:keepLines/>
              <w:spacing w:line="240" w:lineRule="auto"/>
              <w:jc w:val="center"/>
            </w:pPr>
            <w:r w:rsidRPr="00526E3F">
              <w:t>&lt;</w:t>
            </w:r>
          </w:p>
        </w:tc>
        <w:tc>
          <w:tcPr>
            <w:tcW w:w="1305" w:type="dxa"/>
            <w:shd w:val="clear" w:color="auto" w:fill="BFBFBF" w:themeFill="background1" w:themeFillShade="BF"/>
          </w:tcPr>
          <w:p w14:paraId="534F54EE" w14:textId="77777777" w:rsidR="005932AB" w:rsidRPr="00526E3F" w:rsidRDefault="005932AB" w:rsidP="00041DE2">
            <w:pPr>
              <w:keepNext/>
              <w:keepLines/>
              <w:spacing w:line="240" w:lineRule="auto"/>
              <w:jc w:val="right"/>
            </w:pPr>
            <w:r w:rsidRPr="00526E3F">
              <w:t>696.8</w:t>
            </w:r>
          </w:p>
        </w:tc>
        <w:tc>
          <w:tcPr>
            <w:tcW w:w="0" w:type="auto"/>
          </w:tcPr>
          <w:p w14:paraId="257A10D8" w14:textId="77777777" w:rsidR="005932AB" w:rsidRPr="00526E3F" w:rsidRDefault="005932AB" w:rsidP="00041DE2">
            <w:pPr>
              <w:keepNext/>
              <w:keepLines/>
              <w:spacing w:line="240" w:lineRule="auto"/>
              <w:jc w:val="center"/>
            </w:pPr>
            <w:r w:rsidRPr="00526E3F">
              <w:rPr>
                <w:rFonts w:cstheme="minorHAnsi"/>
              </w:rPr>
              <w:t xml:space="preserve">± </w:t>
            </w:r>
            <w:r w:rsidRPr="00526E3F">
              <w:t>5.3</w:t>
            </w:r>
          </w:p>
        </w:tc>
      </w:tr>
      <w:tr w:rsidR="005932AB" w:rsidRPr="00526E3F" w14:paraId="6D84A0DB" w14:textId="77777777" w:rsidTr="004E5A1E">
        <w:trPr>
          <w:gridAfter w:val="1"/>
          <w:wAfter w:w="34" w:type="dxa"/>
          <w:jc w:val="center"/>
        </w:trPr>
        <w:tc>
          <w:tcPr>
            <w:tcW w:w="1136" w:type="dxa"/>
          </w:tcPr>
          <w:p w14:paraId="2A4BDE15" w14:textId="77777777" w:rsidR="005932AB" w:rsidRPr="00526E3F" w:rsidRDefault="005932AB" w:rsidP="00041DE2">
            <w:pPr>
              <w:keepNext/>
              <w:keepLines/>
              <w:spacing w:line="240" w:lineRule="auto"/>
            </w:pPr>
            <w:r w:rsidRPr="00526E3F">
              <w:t>95-100</w:t>
            </w:r>
          </w:p>
        </w:tc>
        <w:tc>
          <w:tcPr>
            <w:tcW w:w="0" w:type="auto"/>
          </w:tcPr>
          <w:p w14:paraId="3B938D7E" w14:textId="77777777" w:rsidR="005932AB" w:rsidRPr="00526E3F" w:rsidRDefault="005932AB" w:rsidP="00041DE2">
            <w:pPr>
              <w:keepNext/>
              <w:keepLines/>
              <w:spacing w:line="240" w:lineRule="auto"/>
              <w:jc w:val="right"/>
            </w:pPr>
            <w:r w:rsidRPr="00526E3F">
              <w:t>337.7</w:t>
            </w:r>
          </w:p>
        </w:tc>
        <w:tc>
          <w:tcPr>
            <w:tcW w:w="0" w:type="auto"/>
          </w:tcPr>
          <w:p w14:paraId="26A7E7A7" w14:textId="77777777" w:rsidR="005932AB" w:rsidRPr="00526E3F" w:rsidRDefault="005932AB" w:rsidP="00041DE2">
            <w:pPr>
              <w:keepNext/>
              <w:keepLines/>
              <w:spacing w:line="240" w:lineRule="auto"/>
              <w:jc w:val="center"/>
            </w:pPr>
            <w:r w:rsidRPr="00526E3F">
              <w:rPr>
                <w:rFonts w:cstheme="minorHAnsi"/>
              </w:rPr>
              <w:t xml:space="preserve">± </w:t>
            </w:r>
            <w:r w:rsidRPr="00526E3F">
              <w:t>4.3</w:t>
            </w:r>
          </w:p>
        </w:tc>
        <w:tc>
          <w:tcPr>
            <w:tcW w:w="1221" w:type="dxa"/>
          </w:tcPr>
          <w:p w14:paraId="126EB315" w14:textId="77777777" w:rsidR="005932AB" w:rsidRPr="00526E3F" w:rsidRDefault="005932AB" w:rsidP="00041DE2">
            <w:pPr>
              <w:keepNext/>
              <w:keepLines/>
              <w:spacing w:line="240" w:lineRule="auto"/>
              <w:jc w:val="right"/>
            </w:pPr>
            <w:r w:rsidRPr="00526E3F">
              <w:t>120.6</w:t>
            </w:r>
          </w:p>
        </w:tc>
        <w:tc>
          <w:tcPr>
            <w:tcW w:w="0" w:type="auto"/>
          </w:tcPr>
          <w:p w14:paraId="3BD8F60F" w14:textId="77777777" w:rsidR="005932AB" w:rsidRPr="00526E3F" w:rsidRDefault="005932AB" w:rsidP="00041DE2">
            <w:pPr>
              <w:keepNext/>
              <w:keepLines/>
              <w:spacing w:line="240" w:lineRule="auto"/>
              <w:jc w:val="center"/>
            </w:pPr>
            <w:r w:rsidRPr="00526E3F">
              <w:rPr>
                <w:rFonts w:cstheme="minorHAnsi"/>
              </w:rPr>
              <w:t xml:space="preserve">± </w:t>
            </w:r>
            <w:r w:rsidRPr="00526E3F">
              <w:t>1.5</w:t>
            </w:r>
          </w:p>
        </w:tc>
        <w:tc>
          <w:tcPr>
            <w:tcW w:w="0" w:type="auto"/>
          </w:tcPr>
          <w:p w14:paraId="0D647797" w14:textId="77777777" w:rsidR="005932AB" w:rsidRPr="00526E3F" w:rsidRDefault="006D4129" w:rsidP="00041DE2">
            <w:pPr>
              <w:keepNext/>
              <w:keepLines/>
              <w:spacing w:line="240" w:lineRule="auto"/>
              <w:jc w:val="center"/>
            </w:pPr>
            <w:r w:rsidRPr="00526E3F">
              <w:t>&lt;</w:t>
            </w:r>
          </w:p>
        </w:tc>
        <w:tc>
          <w:tcPr>
            <w:tcW w:w="1305" w:type="dxa"/>
            <w:shd w:val="clear" w:color="auto" w:fill="BFBFBF" w:themeFill="background1" w:themeFillShade="BF"/>
          </w:tcPr>
          <w:p w14:paraId="624CA309" w14:textId="77777777" w:rsidR="005932AB" w:rsidRPr="00526E3F" w:rsidRDefault="005932AB" w:rsidP="00041DE2">
            <w:pPr>
              <w:keepNext/>
              <w:keepLines/>
              <w:spacing w:line="240" w:lineRule="auto"/>
              <w:jc w:val="right"/>
            </w:pPr>
            <w:r w:rsidRPr="00526E3F">
              <w:t>292.0</w:t>
            </w:r>
          </w:p>
        </w:tc>
        <w:tc>
          <w:tcPr>
            <w:tcW w:w="0" w:type="auto"/>
          </w:tcPr>
          <w:p w14:paraId="31177F8A" w14:textId="77777777" w:rsidR="005932AB" w:rsidRPr="00526E3F" w:rsidRDefault="005932AB" w:rsidP="00041DE2">
            <w:pPr>
              <w:keepNext/>
              <w:keepLines/>
              <w:spacing w:line="240" w:lineRule="auto"/>
              <w:jc w:val="center"/>
            </w:pPr>
            <w:r w:rsidRPr="00526E3F">
              <w:rPr>
                <w:rFonts w:cstheme="minorHAnsi"/>
              </w:rPr>
              <w:t xml:space="preserve">± </w:t>
            </w:r>
            <w:r w:rsidRPr="00526E3F">
              <w:t>2.2</w:t>
            </w:r>
          </w:p>
        </w:tc>
      </w:tr>
      <w:tr w:rsidR="005932AB" w:rsidRPr="00526E3F" w14:paraId="5AA4585E" w14:textId="77777777" w:rsidTr="004E5A1E">
        <w:trPr>
          <w:gridAfter w:val="1"/>
          <w:wAfter w:w="34" w:type="dxa"/>
          <w:jc w:val="center"/>
        </w:trPr>
        <w:tc>
          <w:tcPr>
            <w:tcW w:w="1136" w:type="dxa"/>
          </w:tcPr>
          <w:p w14:paraId="141BD597" w14:textId="77777777" w:rsidR="005932AB" w:rsidRPr="00526E3F" w:rsidRDefault="005932AB" w:rsidP="00041DE2">
            <w:pPr>
              <w:keepNext/>
              <w:keepLines/>
              <w:spacing w:line="240" w:lineRule="auto"/>
            </w:pPr>
            <w:r w:rsidRPr="00526E3F">
              <w:t>100-105</w:t>
            </w:r>
          </w:p>
        </w:tc>
        <w:tc>
          <w:tcPr>
            <w:tcW w:w="0" w:type="auto"/>
          </w:tcPr>
          <w:p w14:paraId="0ADDC837" w14:textId="77777777" w:rsidR="005932AB" w:rsidRPr="00526E3F" w:rsidRDefault="005932AB" w:rsidP="00041DE2">
            <w:pPr>
              <w:keepNext/>
              <w:keepLines/>
              <w:spacing w:line="240" w:lineRule="auto"/>
              <w:jc w:val="right"/>
            </w:pPr>
            <w:r w:rsidRPr="00526E3F">
              <w:t>39.1</w:t>
            </w:r>
          </w:p>
        </w:tc>
        <w:tc>
          <w:tcPr>
            <w:tcW w:w="0" w:type="auto"/>
          </w:tcPr>
          <w:p w14:paraId="7956AEF5" w14:textId="77777777" w:rsidR="005932AB" w:rsidRPr="00526E3F" w:rsidRDefault="005932AB" w:rsidP="00041DE2">
            <w:pPr>
              <w:keepNext/>
              <w:keepLines/>
              <w:spacing w:line="240" w:lineRule="auto"/>
              <w:jc w:val="center"/>
            </w:pPr>
            <w:r w:rsidRPr="00526E3F">
              <w:rPr>
                <w:rFonts w:cstheme="minorHAnsi"/>
              </w:rPr>
              <w:t xml:space="preserve">± </w:t>
            </w:r>
            <w:r w:rsidRPr="00526E3F">
              <w:t>0.5</w:t>
            </w:r>
          </w:p>
        </w:tc>
        <w:tc>
          <w:tcPr>
            <w:tcW w:w="1221" w:type="dxa"/>
          </w:tcPr>
          <w:p w14:paraId="0D82EA10" w14:textId="77777777" w:rsidR="005932AB" w:rsidRPr="00526E3F" w:rsidRDefault="005932AB" w:rsidP="00041DE2">
            <w:pPr>
              <w:keepNext/>
              <w:keepLines/>
              <w:spacing w:line="240" w:lineRule="auto"/>
              <w:jc w:val="right"/>
            </w:pPr>
            <w:r w:rsidRPr="00526E3F">
              <w:t>19.0</w:t>
            </w:r>
          </w:p>
        </w:tc>
        <w:tc>
          <w:tcPr>
            <w:tcW w:w="0" w:type="auto"/>
          </w:tcPr>
          <w:p w14:paraId="725A216E" w14:textId="77777777" w:rsidR="005932AB" w:rsidRPr="00526E3F" w:rsidRDefault="005932AB" w:rsidP="00041DE2">
            <w:pPr>
              <w:keepNext/>
              <w:keepLines/>
              <w:spacing w:line="240" w:lineRule="auto"/>
              <w:jc w:val="center"/>
            </w:pPr>
            <w:r w:rsidRPr="00526E3F">
              <w:rPr>
                <w:rFonts w:cstheme="minorHAnsi"/>
              </w:rPr>
              <w:t xml:space="preserve">± </w:t>
            </w:r>
            <w:r w:rsidRPr="00526E3F">
              <w:t>0.2</w:t>
            </w:r>
          </w:p>
        </w:tc>
        <w:tc>
          <w:tcPr>
            <w:tcW w:w="0" w:type="auto"/>
          </w:tcPr>
          <w:p w14:paraId="06C16CF4" w14:textId="77777777" w:rsidR="005932AB" w:rsidRPr="00526E3F" w:rsidRDefault="006D4129" w:rsidP="00041DE2">
            <w:pPr>
              <w:keepNext/>
              <w:keepLines/>
              <w:spacing w:line="240" w:lineRule="auto"/>
              <w:jc w:val="center"/>
            </w:pPr>
            <w:r w:rsidRPr="00526E3F">
              <w:t>&lt;</w:t>
            </w:r>
          </w:p>
        </w:tc>
        <w:tc>
          <w:tcPr>
            <w:tcW w:w="1305" w:type="dxa"/>
            <w:shd w:val="clear" w:color="auto" w:fill="BFBFBF" w:themeFill="background1" w:themeFillShade="BF"/>
          </w:tcPr>
          <w:p w14:paraId="457D8702" w14:textId="77777777" w:rsidR="005932AB" w:rsidRPr="00526E3F" w:rsidRDefault="005932AB" w:rsidP="00041DE2">
            <w:pPr>
              <w:keepNext/>
              <w:keepLines/>
              <w:spacing w:line="240" w:lineRule="auto"/>
              <w:jc w:val="right"/>
            </w:pPr>
            <w:r w:rsidRPr="00526E3F">
              <w:t>46.1</w:t>
            </w:r>
          </w:p>
        </w:tc>
        <w:tc>
          <w:tcPr>
            <w:tcW w:w="0" w:type="auto"/>
          </w:tcPr>
          <w:p w14:paraId="7BB144AB" w14:textId="77777777" w:rsidR="005932AB" w:rsidRPr="00526E3F" w:rsidRDefault="005932AB" w:rsidP="00041DE2">
            <w:pPr>
              <w:keepNext/>
              <w:keepLines/>
              <w:spacing w:line="240" w:lineRule="auto"/>
              <w:jc w:val="center"/>
            </w:pPr>
            <w:r w:rsidRPr="00526E3F">
              <w:rPr>
                <w:rFonts w:cstheme="minorHAnsi"/>
              </w:rPr>
              <w:t xml:space="preserve">± </w:t>
            </w:r>
            <w:r w:rsidRPr="00526E3F">
              <w:t>0.5</w:t>
            </w:r>
          </w:p>
        </w:tc>
      </w:tr>
      <w:tr w:rsidR="005932AB" w:rsidRPr="00526E3F" w14:paraId="787BFEEB" w14:textId="77777777" w:rsidTr="003F0FDD">
        <w:trPr>
          <w:gridAfter w:val="1"/>
          <w:wAfter w:w="34" w:type="dxa"/>
          <w:jc w:val="center"/>
        </w:trPr>
        <w:tc>
          <w:tcPr>
            <w:tcW w:w="1136" w:type="dxa"/>
          </w:tcPr>
          <w:p w14:paraId="6DDEFEEA" w14:textId="454BA5D6" w:rsidR="005932AB" w:rsidRPr="00526E3F" w:rsidRDefault="004E5A1E" w:rsidP="00041DE2">
            <w:pPr>
              <w:keepNext/>
              <w:keepLines/>
              <w:spacing w:line="240" w:lineRule="auto"/>
            </w:pPr>
            <w:r>
              <w:t>T</w:t>
            </w:r>
            <w:r w:rsidR="005932AB" w:rsidRPr="00526E3F">
              <w:t>otal</w:t>
            </w:r>
          </w:p>
        </w:tc>
        <w:tc>
          <w:tcPr>
            <w:tcW w:w="0" w:type="auto"/>
          </w:tcPr>
          <w:p w14:paraId="1EE63F03" w14:textId="77777777" w:rsidR="005932AB" w:rsidRPr="00526E3F" w:rsidRDefault="005932AB" w:rsidP="00041DE2">
            <w:pPr>
              <w:keepNext/>
              <w:keepLines/>
              <w:spacing w:line="240" w:lineRule="auto"/>
              <w:jc w:val="right"/>
            </w:pPr>
            <w:r w:rsidRPr="00526E3F">
              <w:t>7304.4</w:t>
            </w:r>
          </w:p>
        </w:tc>
        <w:tc>
          <w:tcPr>
            <w:tcW w:w="0" w:type="auto"/>
          </w:tcPr>
          <w:p w14:paraId="020C0E11" w14:textId="77777777" w:rsidR="005932AB" w:rsidRPr="00526E3F" w:rsidRDefault="005932AB" w:rsidP="00041DE2">
            <w:pPr>
              <w:keepNext/>
              <w:keepLines/>
              <w:spacing w:line="240" w:lineRule="auto"/>
              <w:jc w:val="center"/>
            </w:pPr>
            <w:r w:rsidRPr="00526E3F">
              <w:rPr>
                <w:rFonts w:cstheme="minorHAnsi"/>
              </w:rPr>
              <w:t xml:space="preserve">± </w:t>
            </w:r>
            <w:r w:rsidRPr="00526E3F">
              <w:t>19.8</w:t>
            </w:r>
          </w:p>
        </w:tc>
        <w:tc>
          <w:tcPr>
            <w:tcW w:w="1221" w:type="dxa"/>
          </w:tcPr>
          <w:p w14:paraId="23844997" w14:textId="77777777" w:rsidR="005932AB" w:rsidRPr="00526E3F" w:rsidRDefault="005932AB" w:rsidP="00041DE2">
            <w:pPr>
              <w:keepNext/>
              <w:keepLines/>
              <w:spacing w:line="240" w:lineRule="auto"/>
              <w:jc w:val="right"/>
            </w:pPr>
            <w:r w:rsidRPr="00526E3F">
              <w:t>2688.7</w:t>
            </w:r>
          </w:p>
        </w:tc>
        <w:tc>
          <w:tcPr>
            <w:tcW w:w="0" w:type="auto"/>
          </w:tcPr>
          <w:p w14:paraId="2507EE2A" w14:textId="77777777" w:rsidR="005932AB" w:rsidRPr="00526E3F" w:rsidRDefault="005932AB" w:rsidP="00041DE2">
            <w:pPr>
              <w:keepNext/>
              <w:keepLines/>
              <w:spacing w:line="240" w:lineRule="auto"/>
              <w:jc w:val="center"/>
            </w:pPr>
            <w:r w:rsidRPr="00526E3F">
              <w:rPr>
                <w:rFonts w:cstheme="minorHAnsi"/>
              </w:rPr>
              <w:t xml:space="preserve">± </w:t>
            </w:r>
            <w:r w:rsidRPr="00526E3F">
              <w:t>19.8</w:t>
            </w:r>
          </w:p>
        </w:tc>
        <w:tc>
          <w:tcPr>
            <w:tcW w:w="0" w:type="auto"/>
          </w:tcPr>
          <w:p w14:paraId="3C48969A" w14:textId="3AFB2CFD" w:rsidR="005932AB" w:rsidRPr="00526E3F" w:rsidRDefault="005932AB" w:rsidP="00041DE2">
            <w:pPr>
              <w:keepNext/>
              <w:keepLines/>
              <w:spacing w:line="240" w:lineRule="auto"/>
              <w:jc w:val="center"/>
            </w:pPr>
          </w:p>
        </w:tc>
        <w:tc>
          <w:tcPr>
            <w:tcW w:w="1305" w:type="dxa"/>
          </w:tcPr>
          <w:p w14:paraId="47C66783" w14:textId="77777777" w:rsidR="005932AB" w:rsidRPr="00526E3F" w:rsidRDefault="005932AB" w:rsidP="00041DE2">
            <w:pPr>
              <w:keepNext/>
              <w:keepLines/>
              <w:spacing w:line="240" w:lineRule="auto"/>
              <w:jc w:val="right"/>
            </w:pPr>
            <w:r w:rsidRPr="00526E3F">
              <w:t>2684.0</w:t>
            </w:r>
          </w:p>
        </w:tc>
        <w:tc>
          <w:tcPr>
            <w:tcW w:w="0" w:type="auto"/>
          </w:tcPr>
          <w:p w14:paraId="217DF711" w14:textId="77777777" w:rsidR="005932AB" w:rsidRPr="00526E3F" w:rsidRDefault="005932AB" w:rsidP="00041DE2">
            <w:pPr>
              <w:keepNext/>
              <w:keepLines/>
              <w:spacing w:line="240" w:lineRule="auto"/>
            </w:pPr>
            <w:r w:rsidRPr="00526E3F">
              <w:rPr>
                <w:rFonts w:cstheme="minorHAnsi"/>
              </w:rPr>
              <w:t>± 19.8</w:t>
            </w:r>
          </w:p>
        </w:tc>
      </w:tr>
      <w:tr w:rsidR="00DB0176" w:rsidRPr="00526E3F" w14:paraId="17DB7FF7" w14:textId="77777777" w:rsidTr="003F0FDD">
        <w:trPr>
          <w:jc w:val="center"/>
        </w:trPr>
        <w:tc>
          <w:tcPr>
            <w:tcW w:w="7691" w:type="dxa"/>
            <w:gridSpan w:val="9"/>
          </w:tcPr>
          <w:p w14:paraId="73C69F55" w14:textId="4E359F10" w:rsidR="009A3327" w:rsidRDefault="00DB0176" w:rsidP="00041DE2">
            <w:pPr>
              <w:keepNext/>
              <w:keepLines/>
              <w:spacing w:line="240" w:lineRule="auto"/>
              <w:rPr>
                <w:rFonts w:cs="Arial"/>
                <w:i/>
              </w:rPr>
            </w:pPr>
            <w:r w:rsidRPr="00526E3F">
              <w:rPr>
                <w:i/>
              </w:rPr>
              <w:t>Notes</w:t>
            </w:r>
            <w:r w:rsidRPr="00526E3F">
              <w:t xml:space="preserve">: </w:t>
            </w:r>
            <w:r w:rsidRPr="00523BFA">
              <w:rPr>
                <w:i/>
              </w:rPr>
              <w:t xml:space="preserve">95% CI values are calculated </w:t>
            </w:r>
            <w:r w:rsidR="00F54B80">
              <w:rPr>
                <w:i/>
              </w:rPr>
              <w:t xml:space="preserve">in AnyLogic </w:t>
            </w:r>
            <w:r w:rsidRPr="00523BFA">
              <w:rPr>
                <w:i/>
              </w:rPr>
              <w:t xml:space="preserve">as </w:t>
            </w:r>
            <w:r w:rsidRPr="00423485">
              <w:rPr>
                <w:rFonts w:cs="Arial"/>
                <w:i/>
              </w:rPr>
              <w:t>half-width values about the mean</w:t>
            </w:r>
            <w:r w:rsidR="009A3327">
              <w:rPr>
                <w:rFonts w:cs="Arial"/>
                <w:i/>
              </w:rPr>
              <w:t xml:space="preserve">. </w:t>
            </w:r>
          </w:p>
          <w:p w14:paraId="3411544B" w14:textId="6A8B0EE0" w:rsidR="00DB0176" w:rsidRPr="00526E3F" w:rsidRDefault="00BA7BDC" w:rsidP="00041DE2">
            <w:pPr>
              <w:keepNext/>
              <w:keepLines/>
              <w:spacing w:line="240" w:lineRule="auto"/>
              <w:rPr>
                <w:rFonts w:ascii="Arial" w:hAnsi="Arial" w:cs="Arial"/>
                <w:i/>
                <w:sz w:val="20"/>
                <w:szCs w:val="20"/>
              </w:rPr>
            </w:pPr>
            <w:r w:rsidRPr="00423485">
              <w:rPr>
                <w:rFonts w:cs="Arial"/>
                <w:i/>
              </w:rPr>
              <w:t>S</w:t>
            </w:r>
            <w:r w:rsidR="00DB0176" w:rsidRPr="00423485">
              <w:rPr>
                <w:rFonts w:cs="Arial"/>
                <w:i/>
              </w:rPr>
              <w:t>tock level rounding errors are &lt;0.5%</w:t>
            </w:r>
            <w:r w:rsidR="00DB0176" w:rsidRPr="00526E3F">
              <w:rPr>
                <w:rFonts w:ascii="Arial" w:hAnsi="Arial" w:cs="Arial"/>
                <w:i/>
                <w:sz w:val="20"/>
                <w:szCs w:val="20"/>
              </w:rPr>
              <w:t xml:space="preserve"> </w:t>
            </w:r>
          </w:p>
        </w:tc>
      </w:tr>
    </w:tbl>
    <w:p w14:paraId="5AC8DB7B" w14:textId="77777777" w:rsidR="00C8490D" w:rsidRPr="00526E3F" w:rsidRDefault="00C8490D" w:rsidP="00BC74E1"/>
    <w:p w14:paraId="6E6448FA" w14:textId="348B9933" w:rsidR="00D137E7" w:rsidRDefault="009A3E34" w:rsidP="009A3E34">
      <w:r w:rsidRPr="00526E3F">
        <w:fldChar w:fldCharType="begin"/>
      </w:r>
      <w:r w:rsidRPr="00526E3F">
        <w:instrText xml:space="preserve"> REF _Ref6476610 \h </w:instrText>
      </w:r>
      <w:r w:rsidRPr="00526E3F">
        <w:fldChar w:fldCharType="separate"/>
      </w:r>
      <w:r w:rsidR="0020511F" w:rsidRPr="00526E3F">
        <w:t xml:space="preserve">Table </w:t>
      </w:r>
      <w:r w:rsidR="0020511F">
        <w:rPr>
          <w:noProof/>
        </w:rPr>
        <w:t>5</w:t>
      </w:r>
      <w:r w:rsidRPr="00526E3F">
        <w:fldChar w:fldCharType="end"/>
      </w:r>
      <w:r w:rsidRPr="00526E3F">
        <w:t xml:space="preserve"> summarises </w:t>
      </w:r>
      <w:r w:rsidR="003F0FDD">
        <w:t xml:space="preserve">the </w:t>
      </w:r>
      <w:r w:rsidRPr="00526E3F">
        <w:t>baseline results</w:t>
      </w:r>
      <w:r w:rsidR="00F54B80">
        <w:t>,</w:t>
      </w:r>
      <w:r w:rsidR="0010173A">
        <w:t xml:space="preserve"> </w:t>
      </w:r>
      <w:r w:rsidRPr="00526E3F">
        <w:t>show</w:t>
      </w:r>
      <w:r w:rsidR="00F54B80">
        <w:t>ing</w:t>
      </w:r>
      <w:r w:rsidRPr="00526E3F">
        <w:t xml:space="preserve"> distinct differences </w:t>
      </w:r>
      <w:r w:rsidR="00F54B80">
        <w:t xml:space="preserve">by </w:t>
      </w:r>
      <w:r w:rsidR="00F54B80" w:rsidRPr="00526E3F">
        <w:t xml:space="preserve">progression type </w:t>
      </w:r>
      <w:r w:rsidRPr="00526E3F">
        <w:t xml:space="preserve">in </w:t>
      </w:r>
      <w:r w:rsidR="004E5A1E">
        <w:t xml:space="preserve">YWD </w:t>
      </w:r>
      <w:r w:rsidRPr="00526E3F">
        <w:t xml:space="preserve">and care costs. </w:t>
      </w:r>
    </w:p>
    <w:p w14:paraId="0FD909A2" w14:textId="4C46BDF1" w:rsidR="008D08D0" w:rsidRPr="00526E3F" w:rsidRDefault="008D08D0" w:rsidP="006B2C77">
      <w:pPr>
        <w:pStyle w:val="Caption"/>
      </w:pPr>
      <w:bookmarkStart w:id="11" w:name="_Ref6476610"/>
      <w:r w:rsidRPr="00526E3F">
        <w:t xml:space="preserve">Table </w:t>
      </w:r>
      <w:r w:rsidR="00330C6C" w:rsidRPr="00526E3F">
        <w:rPr>
          <w:noProof/>
        </w:rPr>
        <w:fldChar w:fldCharType="begin"/>
      </w:r>
      <w:r w:rsidR="00330C6C" w:rsidRPr="00526E3F">
        <w:rPr>
          <w:noProof/>
        </w:rPr>
        <w:instrText xml:space="preserve"> SEQ Table \* ARABIC </w:instrText>
      </w:r>
      <w:r w:rsidR="00330C6C" w:rsidRPr="00526E3F">
        <w:rPr>
          <w:noProof/>
        </w:rPr>
        <w:fldChar w:fldCharType="separate"/>
      </w:r>
      <w:r w:rsidR="0020511F">
        <w:rPr>
          <w:noProof/>
        </w:rPr>
        <w:t>5</w:t>
      </w:r>
      <w:r w:rsidR="00330C6C" w:rsidRPr="00526E3F">
        <w:rPr>
          <w:noProof/>
        </w:rPr>
        <w:fldChar w:fldCharType="end"/>
      </w:r>
      <w:bookmarkEnd w:id="11"/>
      <w:r w:rsidR="00061BD6">
        <w:t xml:space="preserve">   </w:t>
      </w:r>
      <w:r w:rsidRPr="00526E3F">
        <w:t xml:space="preserve">Summary </w:t>
      </w:r>
      <w:r w:rsidR="00CD3643" w:rsidRPr="00526E3F">
        <w:t>baseline</w:t>
      </w:r>
      <w:r w:rsidRPr="00526E3F">
        <w:t xml:space="preserve"> </w:t>
      </w:r>
      <w:r w:rsidR="007B55F7" w:rsidRPr="00526E3F">
        <w:t>outcomes</w:t>
      </w:r>
      <w:r w:rsidR="00B7782D">
        <w:t xml:space="preserve">, aggregated </w:t>
      </w:r>
      <w:r w:rsidR="00F54B80">
        <w:t xml:space="preserve">and </w:t>
      </w:r>
      <w:r w:rsidR="008E2ECF" w:rsidRPr="00526E3F">
        <w:t>by progression type</w:t>
      </w:r>
    </w:p>
    <w:tbl>
      <w:tblPr>
        <w:tblStyle w:val="TableGrid"/>
        <w:tblW w:w="8548" w:type="dxa"/>
        <w:jc w:val="center"/>
        <w:tblLook w:val="04A0" w:firstRow="1" w:lastRow="0" w:firstColumn="1" w:lastColumn="0" w:noHBand="0" w:noVBand="1"/>
      </w:tblPr>
      <w:tblGrid>
        <w:gridCol w:w="3408"/>
        <w:gridCol w:w="1241"/>
        <w:gridCol w:w="1416"/>
        <w:gridCol w:w="1241"/>
        <w:gridCol w:w="1242"/>
      </w:tblGrid>
      <w:tr w:rsidR="009D32A7" w:rsidRPr="00526E3F" w14:paraId="00A52A0D" w14:textId="77777777" w:rsidTr="003F0FDD">
        <w:trPr>
          <w:jc w:val="center"/>
        </w:trPr>
        <w:tc>
          <w:tcPr>
            <w:tcW w:w="3483" w:type="dxa"/>
            <w:vMerge w:val="restart"/>
          </w:tcPr>
          <w:p w14:paraId="14533A16" w14:textId="77777777" w:rsidR="008C52D2" w:rsidRPr="00526E3F" w:rsidRDefault="008C52D2" w:rsidP="00F934E5">
            <w:pPr>
              <w:pStyle w:val="TableContent"/>
              <w:keepNext/>
              <w:keepLines/>
            </w:pPr>
          </w:p>
          <w:p w14:paraId="57E8143D" w14:textId="293C0153" w:rsidR="009D32A7" w:rsidRPr="00526E3F" w:rsidRDefault="00BA7BDC" w:rsidP="00F934E5">
            <w:pPr>
              <w:pStyle w:val="TableContent"/>
              <w:keepNext/>
              <w:keepLines/>
              <w:rPr>
                <w:b/>
              </w:rPr>
            </w:pPr>
            <w:r>
              <w:rPr>
                <w:b/>
              </w:rPr>
              <w:t>O</w:t>
            </w:r>
            <w:r w:rsidR="008C52D2" w:rsidRPr="00526E3F">
              <w:rPr>
                <w:b/>
              </w:rPr>
              <w:t xml:space="preserve">utcome </w:t>
            </w:r>
            <w:r w:rsidR="009D32A7" w:rsidRPr="00526E3F">
              <w:rPr>
                <w:b/>
              </w:rPr>
              <w:t>measure</w:t>
            </w:r>
          </w:p>
        </w:tc>
        <w:tc>
          <w:tcPr>
            <w:tcW w:w="5065" w:type="dxa"/>
            <w:gridSpan w:val="4"/>
          </w:tcPr>
          <w:p w14:paraId="7D5D557A" w14:textId="4D5A55EE" w:rsidR="009D32A7" w:rsidRPr="00526E3F" w:rsidRDefault="00BA7BDC" w:rsidP="000A4FC8">
            <w:pPr>
              <w:pStyle w:val="TableContent"/>
              <w:keepNext/>
              <w:keepLines/>
              <w:jc w:val="center"/>
            </w:pPr>
            <w:r>
              <w:t>M</w:t>
            </w:r>
            <w:r w:rsidR="009D32A7" w:rsidRPr="00526E3F">
              <w:t>ean values</w:t>
            </w:r>
            <w:r w:rsidR="000A4FC8" w:rsidRPr="00526E3F">
              <w:t xml:space="preserve"> </w:t>
            </w:r>
            <w:r w:rsidR="005D054E" w:rsidRPr="00526E3F">
              <w:rPr>
                <w:rFonts w:cstheme="minorHAnsi"/>
              </w:rPr>
              <w:t>and</w:t>
            </w:r>
            <w:r w:rsidR="000A4FC8" w:rsidRPr="00526E3F">
              <w:rPr>
                <w:rFonts w:cstheme="minorHAnsi"/>
              </w:rPr>
              <w:t xml:space="preserve"> 95% CI</w:t>
            </w:r>
          </w:p>
        </w:tc>
      </w:tr>
      <w:tr w:rsidR="009D32A7" w:rsidRPr="00526E3F" w14:paraId="2F48AC40" w14:textId="77777777" w:rsidTr="003F0FDD">
        <w:trPr>
          <w:jc w:val="center"/>
        </w:trPr>
        <w:tc>
          <w:tcPr>
            <w:tcW w:w="3483" w:type="dxa"/>
            <w:vMerge/>
          </w:tcPr>
          <w:p w14:paraId="5B4AEA98" w14:textId="77777777" w:rsidR="009D32A7" w:rsidRPr="00526E3F" w:rsidRDefault="009D32A7" w:rsidP="00F934E5">
            <w:pPr>
              <w:pStyle w:val="TableContent"/>
              <w:keepNext/>
              <w:keepLines/>
            </w:pPr>
          </w:p>
        </w:tc>
        <w:tc>
          <w:tcPr>
            <w:tcW w:w="1251" w:type="dxa"/>
          </w:tcPr>
          <w:p w14:paraId="6416BA0F" w14:textId="22055440" w:rsidR="009D32A7" w:rsidRPr="00526E3F" w:rsidRDefault="00BA7BDC" w:rsidP="00F934E5">
            <w:pPr>
              <w:pStyle w:val="TableContent"/>
              <w:keepNext/>
              <w:keepLines/>
              <w:rPr>
                <w:b/>
              </w:rPr>
            </w:pPr>
            <w:r>
              <w:rPr>
                <w:b/>
              </w:rPr>
              <w:t>S</w:t>
            </w:r>
            <w:r w:rsidR="009D32A7" w:rsidRPr="00526E3F">
              <w:rPr>
                <w:b/>
              </w:rPr>
              <w:t>low</w:t>
            </w:r>
          </w:p>
        </w:tc>
        <w:tc>
          <w:tcPr>
            <w:tcW w:w="1311" w:type="dxa"/>
          </w:tcPr>
          <w:p w14:paraId="56ECCBE2" w14:textId="3CCA841F" w:rsidR="009D32A7" w:rsidRPr="00526E3F" w:rsidRDefault="00BA7BDC" w:rsidP="00F934E5">
            <w:pPr>
              <w:pStyle w:val="TableContent"/>
              <w:keepNext/>
              <w:keepLines/>
              <w:rPr>
                <w:b/>
              </w:rPr>
            </w:pPr>
            <w:r>
              <w:rPr>
                <w:b/>
              </w:rPr>
              <w:t>I</w:t>
            </w:r>
            <w:r w:rsidR="009D32A7" w:rsidRPr="00526E3F">
              <w:rPr>
                <w:b/>
              </w:rPr>
              <w:t>ntermediate</w:t>
            </w:r>
          </w:p>
        </w:tc>
        <w:tc>
          <w:tcPr>
            <w:tcW w:w="1251" w:type="dxa"/>
          </w:tcPr>
          <w:p w14:paraId="55566F4C" w14:textId="6811EC5F" w:rsidR="009D32A7" w:rsidRPr="00526E3F" w:rsidRDefault="00BA7BDC" w:rsidP="00F934E5">
            <w:pPr>
              <w:pStyle w:val="TableContent"/>
              <w:keepNext/>
              <w:keepLines/>
              <w:rPr>
                <w:b/>
              </w:rPr>
            </w:pPr>
            <w:r>
              <w:rPr>
                <w:b/>
              </w:rPr>
              <w:t>F</w:t>
            </w:r>
            <w:r w:rsidR="009D32A7" w:rsidRPr="00526E3F">
              <w:rPr>
                <w:b/>
              </w:rPr>
              <w:t>ast</w:t>
            </w:r>
          </w:p>
        </w:tc>
        <w:tc>
          <w:tcPr>
            <w:tcW w:w="1252" w:type="dxa"/>
          </w:tcPr>
          <w:p w14:paraId="6FF89A69" w14:textId="4E85A486" w:rsidR="009D32A7" w:rsidRPr="00526E3F" w:rsidRDefault="00BA7BDC" w:rsidP="00BA7BDC">
            <w:pPr>
              <w:pStyle w:val="TableContent"/>
              <w:keepNext/>
              <w:keepLines/>
              <w:rPr>
                <w:b/>
              </w:rPr>
            </w:pPr>
            <w:r>
              <w:rPr>
                <w:b/>
              </w:rPr>
              <w:t>Total</w:t>
            </w:r>
          </w:p>
        </w:tc>
      </w:tr>
      <w:tr w:rsidR="009D32A7" w:rsidRPr="00526E3F" w14:paraId="5DE09C57" w14:textId="77777777" w:rsidTr="003F0FDD">
        <w:trPr>
          <w:jc w:val="center"/>
        </w:trPr>
        <w:tc>
          <w:tcPr>
            <w:tcW w:w="3483" w:type="dxa"/>
          </w:tcPr>
          <w:p w14:paraId="1204E1B4" w14:textId="77777777" w:rsidR="009D32A7" w:rsidRPr="00526E3F" w:rsidRDefault="009D32A7" w:rsidP="00F934E5">
            <w:pPr>
              <w:pStyle w:val="TableContent"/>
              <w:keepNext/>
              <w:keepLines/>
            </w:pPr>
            <w:r w:rsidRPr="00526E3F">
              <w:t xml:space="preserve">Years with dementia (YWD) </w:t>
            </w:r>
          </w:p>
          <w:p w14:paraId="605370AF" w14:textId="77777777" w:rsidR="002640D0" w:rsidRPr="00526E3F" w:rsidRDefault="005D054E" w:rsidP="005D054E">
            <w:pPr>
              <w:pStyle w:val="TableContent"/>
              <w:keepNext/>
              <w:keepLines/>
              <w:rPr>
                <w:b/>
              </w:rPr>
            </w:pPr>
            <w:r w:rsidRPr="00526E3F">
              <w:rPr>
                <w:rFonts w:cstheme="minorHAnsi"/>
              </w:rPr>
              <w:t>95% confidence interval</w:t>
            </w:r>
          </w:p>
        </w:tc>
        <w:tc>
          <w:tcPr>
            <w:tcW w:w="1251" w:type="dxa"/>
          </w:tcPr>
          <w:p w14:paraId="7C16CF8C" w14:textId="77777777" w:rsidR="00A44DD9" w:rsidRPr="00526E3F" w:rsidRDefault="00A44DD9" w:rsidP="00A44DD9">
            <w:pPr>
              <w:pStyle w:val="TableContent"/>
              <w:keepNext/>
              <w:keepLines/>
            </w:pPr>
            <w:r w:rsidRPr="00526E3F">
              <w:t>9.181</w:t>
            </w:r>
          </w:p>
          <w:p w14:paraId="1225363B" w14:textId="77777777" w:rsidR="00A44DD9" w:rsidRPr="00526E3F" w:rsidRDefault="00823CC3" w:rsidP="00C8490D">
            <w:pPr>
              <w:pStyle w:val="TableContent"/>
              <w:keepNext/>
              <w:keepLines/>
            </w:pPr>
            <w:r w:rsidRPr="00526E3F">
              <w:rPr>
                <w:rFonts w:cstheme="minorHAnsi"/>
              </w:rPr>
              <w:t>± 0.03</w:t>
            </w:r>
          </w:p>
        </w:tc>
        <w:tc>
          <w:tcPr>
            <w:tcW w:w="1311" w:type="dxa"/>
          </w:tcPr>
          <w:p w14:paraId="389E3F63" w14:textId="77777777" w:rsidR="00A44DD9" w:rsidRPr="00526E3F" w:rsidRDefault="00A44DD9" w:rsidP="00A44DD9">
            <w:pPr>
              <w:pStyle w:val="TableContent"/>
              <w:keepNext/>
              <w:keepLines/>
            </w:pPr>
            <w:r w:rsidRPr="00526E3F">
              <w:t>6.049</w:t>
            </w:r>
          </w:p>
          <w:p w14:paraId="29F29D85" w14:textId="77777777" w:rsidR="009D32A7" w:rsidRPr="00526E3F" w:rsidRDefault="00A44DD9" w:rsidP="00C8490D">
            <w:pPr>
              <w:pStyle w:val="TableContent"/>
              <w:keepNext/>
              <w:keepLines/>
            </w:pPr>
            <w:r w:rsidRPr="00526E3F">
              <w:rPr>
                <w:rFonts w:cstheme="minorHAnsi"/>
              </w:rPr>
              <w:t>±</w:t>
            </w:r>
            <w:r w:rsidR="00823CC3" w:rsidRPr="00526E3F">
              <w:rPr>
                <w:rFonts w:cstheme="minorHAnsi"/>
              </w:rPr>
              <w:t xml:space="preserve"> 0.026</w:t>
            </w:r>
          </w:p>
        </w:tc>
        <w:tc>
          <w:tcPr>
            <w:tcW w:w="1251" w:type="dxa"/>
          </w:tcPr>
          <w:p w14:paraId="5B91C803" w14:textId="77777777" w:rsidR="00A44DD9" w:rsidRPr="00526E3F" w:rsidRDefault="00A44DD9" w:rsidP="00A44DD9">
            <w:pPr>
              <w:pStyle w:val="TableContent"/>
              <w:keepNext/>
              <w:keepLines/>
            </w:pPr>
            <w:r w:rsidRPr="00526E3F">
              <w:t>3.439</w:t>
            </w:r>
          </w:p>
          <w:p w14:paraId="02B30CFC" w14:textId="77777777" w:rsidR="009D32A7" w:rsidRPr="00526E3F" w:rsidRDefault="00A44DD9" w:rsidP="00C8490D">
            <w:pPr>
              <w:pStyle w:val="TableContent"/>
              <w:keepNext/>
              <w:keepLines/>
            </w:pPr>
            <w:r w:rsidRPr="00526E3F">
              <w:rPr>
                <w:rFonts w:cstheme="minorHAnsi"/>
              </w:rPr>
              <w:t>±</w:t>
            </w:r>
            <w:r w:rsidR="00823CC3" w:rsidRPr="00526E3F">
              <w:rPr>
                <w:rFonts w:cstheme="minorHAnsi"/>
              </w:rPr>
              <w:t xml:space="preserve"> 0.023</w:t>
            </w:r>
          </w:p>
        </w:tc>
        <w:tc>
          <w:tcPr>
            <w:tcW w:w="1252" w:type="dxa"/>
          </w:tcPr>
          <w:p w14:paraId="2A05D69F" w14:textId="77777777" w:rsidR="00A44DD9" w:rsidRPr="00526E3F" w:rsidRDefault="00A44DD9" w:rsidP="00A44DD9">
            <w:pPr>
              <w:pStyle w:val="TableContent"/>
              <w:keepNext/>
              <w:keepLines/>
            </w:pPr>
            <w:r w:rsidRPr="00526E3F">
              <w:t>7.671</w:t>
            </w:r>
          </w:p>
          <w:p w14:paraId="3D0758A6" w14:textId="77777777" w:rsidR="009D32A7" w:rsidRPr="00526E3F" w:rsidRDefault="00A44DD9" w:rsidP="00C8490D">
            <w:pPr>
              <w:pStyle w:val="TableContent"/>
              <w:keepNext/>
              <w:keepLines/>
            </w:pPr>
            <w:r w:rsidRPr="00526E3F">
              <w:rPr>
                <w:rFonts w:cstheme="minorHAnsi"/>
              </w:rPr>
              <w:t>±</w:t>
            </w:r>
            <w:r w:rsidR="00823CC3" w:rsidRPr="00526E3F">
              <w:rPr>
                <w:rFonts w:cstheme="minorHAnsi"/>
              </w:rPr>
              <w:t xml:space="preserve"> 0.027</w:t>
            </w:r>
          </w:p>
        </w:tc>
      </w:tr>
      <w:tr w:rsidR="009D32A7" w:rsidRPr="00526E3F" w14:paraId="0DEFECA7" w14:textId="77777777" w:rsidTr="003F0FDD">
        <w:trPr>
          <w:jc w:val="center"/>
        </w:trPr>
        <w:tc>
          <w:tcPr>
            <w:tcW w:w="3483" w:type="dxa"/>
          </w:tcPr>
          <w:p w14:paraId="0CDA8CC0" w14:textId="77777777" w:rsidR="009D32A7" w:rsidRPr="00526E3F" w:rsidRDefault="009D32A7" w:rsidP="00F934E5">
            <w:pPr>
              <w:pStyle w:val="TableContent"/>
              <w:keepNext/>
              <w:keepLines/>
            </w:pPr>
            <w:r w:rsidRPr="00526E3F">
              <w:t>Quality adjusted life years (QALYs)</w:t>
            </w:r>
          </w:p>
          <w:p w14:paraId="37565EBE" w14:textId="77777777" w:rsidR="002640D0" w:rsidRPr="00526E3F" w:rsidRDefault="005D054E" w:rsidP="00F934E5">
            <w:pPr>
              <w:pStyle w:val="TableContent"/>
              <w:keepNext/>
              <w:keepLines/>
            </w:pPr>
            <w:r w:rsidRPr="00526E3F">
              <w:rPr>
                <w:rFonts w:cstheme="minorHAnsi"/>
              </w:rPr>
              <w:t>95% confidence interval</w:t>
            </w:r>
          </w:p>
        </w:tc>
        <w:tc>
          <w:tcPr>
            <w:tcW w:w="1251" w:type="dxa"/>
          </w:tcPr>
          <w:p w14:paraId="077D7352" w14:textId="77777777" w:rsidR="00823CC3" w:rsidRPr="00526E3F" w:rsidRDefault="00823CC3" w:rsidP="00C8490D">
            <w:pPr>
              <w:pStyle w:val="TableContent"/>
              <w:keepNext/>
              <w:keepLines/>
              <w:rPr>
                <w:rFonts w:cstheme="minorHAnsi"/>
              </w:rPr>
            </w:pPr>
            <w:r w:rsidRPr="00526E3F">
              <w:rPr>
                <w:rFonts w:cstheme="minorHAnsi"/>
              </w:rPr>
              <w:t>5.661</w:t>
            </w:r>
          </w:p>
          <w:p w14:paraId="72BDD186" w14:textId="77777777" w:rsidR="00823CC3" w:rsidRPr="00526E3F" w:rsidRDefault="00823CC3" w:rsidP="00C8490D">
            <w:pPr>
              <w:pStyle w:val="TableContent"/>
              <w:keepNext/>
              <w:keepLines/>
            </w:pPr>
            <w:r w:rsidRPr="00526E3F">
              <w:rPr>
                <w:rFonts w:cstheme="minorHAnsi"/>
              </w:rPr>
              <w:t>± 0.018</w:t>
            </w:r>
          </w:p>
        </w:tc>
        <w:tc>
          <w:tcPr>
            <w:tcW w:w="1311" w:type="dxa"/>
          </w:tcPr>
          <w:p w14:paraId="771BFF7B" w14:textId="77777777" w:rsidR="00823CC3" w:rsidRPr="00526E3F" w:rsidRDefault="00823CC3" w:rsidP="00C8490D">
            <w:pPr>
              <w:pStyle w:val="TableContent"/>
              <w:keepNext/>
              <w:keepLines/>
              <w:rPr>
                <w:rFonts w:cstheme="minorHAnsi"/>
              </w:rPr>
            </w:pPr>
            <w:r w:rsidRPr="00526E3F">
              <w:rPr>
                <w:rFonts w:cstheme="minorHAnsi"/>
              </w:rPr>
              <w:t>3.527</w:t>
            </w:r>
          </w:p>
          <w:p w14:paraId="082510FE" w14:textId="77777777" w:rsidR="00823CC3" w:rsidRPr="00526E3F" w:rsidRDefault="00823CC3" w:rsidP="00C8490D">
            <w:pPr>
              <w:pStyle w:val="TableContent"/>
              <w:keepNext/>
              <w:keepLines/>
            </w:pPr>
            <w:r w:rsidRPr="00526E3F">
              <w:rPr>
                <w:rFonts w:cstheme="minorHAnsi"/>
              </w:rPr>
              <w:t>± 0.014</w:t>
            </w:r>
          </w:p>
        </w:tc>
        <w:tc>
          <w:tcPr>
            <w:tcW w:w="1251" w:type="dxa"/>
          </w:tcPr>
          <w:p w14:paraId="110984C4" w14:textId="77777777" w:rsidR="00823CC3" w:rsidRPr="00526E3F" w:rsidRDefault="00823CC3" w:rsidP="00C8490D">
            <w:pPr>
              <w:pStyle w:val="TableContent"/>
              <w:keepNext/>
              <w:keepLines/>
              <w:rPr>
                <w:rFonts w:cstheme="minorHAnsi"/>
              </w:rPr>
            </w:pPr>
            <w:r w:rsidRPr="00526E3F">
              <w:rPr>
                <w:rFonts w:cstheme="minorHAnsi"/>
              </w:rPr>
              <w:t>1.802</w:t>
            </w:r>
          </w:p>
          <w:p w14:paraId="3537184A" w14:textId="77777777" w:rsidR="00823CC3" w:rsidRPr="00526E3F" w:rsidRDefault="00823CC3" w:rsidP="00C8490D">
            <w:pPr>
              <w:pStyle w:val="TableContent"/>
              <w:keepNext/>
              <w:keepLines/>
            </w:pPr>
            <w:r w:rsidRPr="00526E3F">
              <w:rPr>
                <w:rFonts w:cstheme="minorHAnsi"/>
              </w:rPr>
              <w:t>± 0.011</w:t>
            </w:r>
          </w:p>
        </w:tc>
        <w:tc>
          <w:tcPr>
            <w:tcW w:w="1252" w:type="dxa"/>
          </w:tcPr>
          <w:p w14:paraId="1DAB947E" w14:textId="77777777" w:rsidR="00823CC3" w:rsidRPr="00526E3F" w:rsidRDefault="00823CC3" w:rsidP="00C8490D">
            <w:pPr>
              <w:pStyle w:val="TableContent"/>
              <w:keepNext/>
              <w:keepLines/>
              <w:rPr>
                <w:rFonts w:cstheme="minorHAnsi"/>
              </w:rPr>
            </w:pPr>
            <w:r w:rsidRPr="00526E3F">
              <w:rPr>
                <w:rFonts w:cstheme="minorHAnsi"/>
              </w:rPr>
              <w:t>4.637</w:t>
            </w:r>
          </w:p>
          <w:p w14:paraId="5A6C75CC" w14:textId="77777777" w:rsidR="00823CC3" w:rsidRPr="00526E3F" w:rsidRDefault="00823CC3" w:rsidP="00C8490D">
            <w:pPr>
              <w:pStyle w:val="TableContent"/>
              <w:keepNext/>
              <w:keepLines/>
            </w:pPr>
            <w:r w:rsidRPr="00526E3F">
              <w:rPr>
                <w:rFonts w:cstheme="minorHAnsi"/>
              </w:rPr>
              <w:t>± 0.016</w:t>
            </w:r>
          </w:p>
        </w:tc>
      </w:tr>
      <w:tr w:rsidR="009D32A7" w:rsidRPr="00526E3F" w14:paraId="726EA633" w14:textId="77777777" w:rsidTr="003F0FDD">
        <w:trPr>
          <w:jc w:val="center"/>
        </w:trPr>
        <w:tc>
          <w:tcPr>
            <w:tcW w:w="3483" w:type="dxa"/>
          </w:tcPr>
          <w:p w14:paraId="48567877" w14:textId="7A7E21BD" w:rsidR="005D054E" w:rsidRPr="00526E3F" w:rsidRDefault="000C21D0" w:rsidP="00F934E5">
            <w:pPr>
              <w:pStyle w:val="TableContent"/>
              <w:keepNext/>
              <w:keepLines/>
              <w:rPr>
                <w:rFonts w:cstheme="minorHAnsi"/>
              </w:rPr>
            </w:pPr>
            <w:r>
              <w:t>Total</w:t>
            </w:r>
            <w:r w:rsidR="009D32A7" w:rsidRPr="00526E3F">
              <w:t xml:space="preserve"> care costs </w:t>
            </w:r>
          </w:p>
          <w:p w14:paraId="3858571B" w14:textId="77777777" w:rsidR="002640D0" w:rsidRPr="00526E3F" w:rsidRDefault="005D054E" w:rsidP="00F934E5">
            <w:pPr>
              <w:pStyle w:val="TableContent"/>
              <w:keepNext/>
              <w:keepLines/>
            </w:pPr>
            <w:r w:rsidRPr="00526E3F">
              <w:rPr>
                <w:rFonts w:cstheme="minorHAnsi"/>
              </w:rPr>
              <w:t>95% confidence interval</w:t>
            </w:r>
          </w:p>
        </w:tc>
        <w:tc>
          <w:tcPr>
            <w:tcW w:w="1251" w:type="dxa"/>
          </w:tcPr>
          <w:p w14:paraId="30127389" w14:textId="77777777" w:rsidR="00A44DD9" w:rsidRPr="00526E3F" w:rsidRDefault="00A44DD9" w:rsidP="00A44DD9">
            <w:pPr>
              <w:pStyle w:val="TableContent"/>
              <w:keepNext/>
              <w:keepLines/>
            </w:pPr>
            <w:r w:rsidRPr="00526E3F">
              <w:t>£233.1k</w:t>
            </w:r>
          </w:p>
          <w:p w14:paraId="4EE7289C" w14:textId="77777777" w:rsidR="00575082" w:rsidRPr="00526E3F" w:rsidRDefault="00A44DD9">
            <w:pPr>
              <w:pStyle w:val="TableContent"/>
              <w:keepNext/>
              <w:keepLines/>
            </w:pPr>
            <w:r w:rsidRPr="00526E3F">
              <w:rPr>
                <w:rFonts w:cstheme="minorHAnsi"/>
              </w:rPr>
              <w:t xml:space="preserve">± </w:t>
            </w:r>
            <w:r w:rsidR="00575082" w:rsidRPr="00526E3F">
              <w:t>£994</w:t>
            </w:r>
          </w:p>
        </w:tc>
        <w:tc>
          <w:tcPr>
            <w:tcW w:w="1311" w:type="dxa"/>
          </w:tcPr>
          <w:p w14:paraId="150DBA59" w14:textId="77777777" w:rsidR="00A44DD9" w:rsidRPr="00526E3F" w:rsidRDefault="00A44DD9">
            <w:pPr>
              <w:pStyle w:val="TableContent"/>
              <w:keepNext/>
              <w:keepLines/>
            </w:pPr>
            <w:r w:rsidRPr="00526E3F">
              <w:t>£217.9k</w:t>
            </w:r>
          </w:p>
          <w:p w14:paraId="4AB29B5C" w14:textId="77777777" w:rsidR="009D32A7" w:rsidRPr="00526E3F" w:rsidRDefault="00A44DD9">
            <w:pPr>
              <w:pStyle w:val="TableContent"/>
              <w:keepNext/>
              <w:keepLines/>
            </w:pPr>
            <w:r w:rsidRPr="00526E3F">
              <w:rPr>
                <w:rFonts w:cstheme="minorHAnsi"/>
              </w:rPr>
              <w:t xml:space="preserve">± </w:t>
            </w:r>
            <w:r w:rsidR="00575082" w:rsidRPr="00526E3F">
              <w:rPr>
                <w:rFonts w:cstheme="minorHAnsi"/>
              </w:rPr>
              <w:t>£1145</w:t>
            </w:r>
          </w:p>
        </w:tc>
        <w:tc>
          <w:tcPr>
            <w:tcW w:w="1251" w:type="dxa"/>
          </w:tcPr>
          <w:p w14:paraId="40FEE6A6" w14:textId="77777777" w:rsidR="00A44DD9" w:rsidRPr="00526E3F" w:rsidRDefault="00A44DD9">
            <w:pPr>
              <w:pStyle w:val="TableContent"/>
              <w:keepNext/>
              <w:keepLines/>
            </w:pPr>
            <w:r w:rsidRPr="00526E3F">
              <w:t>£155.2k</w:t>
            </w:r>
          </w:p>
          <w:p w14:paraId="0DE33A10" w14:textId="77777777" w:rsidR="009D32A7" w:rsidRPr="00526E3F" w:rsidRDefault="00A44DD9">
            <w:pPr>
              <w:pStyle w:val="TableContent"/>
              <w:keepNext/>
              <w:keepLines/>
            </w:pPr>
            <w:r w:rsidRPr="00526E3F">
              <w:rPr>
                <w:rFonts w:cstheme="minorHAnsi"/>
              </w:rPr>
              <w:t xml:space="preserve">± </w:t>
            </w:r>
            <w:r w:rsidR="00575082" w:rsidRPr="00526E3F">
              <w:rPr>
                <w:rFonts w:cstheme="minorHAnsi"/>
              </w:rPr>
              <w:t>£1196</w:t>
            </w:r>
          </w:p>
        </w:tc>
        <w:tc>
          <w:tcPr>
            <w:tcW w:w="1252" w:type="dxa"/>
          </w:tcPr>
          <w:p w14:paraId="61371D6D" w14:textId="77777777" w:rsidR="00A44DD9" w:rsidRPr="00526E3F" w:rsidRDefault="00A44DD9" w:rsidP="00A44DD9">
            <w:pPr>
              <w:pStyle w:val="TableContent"/>
              <w:keepNext/>
              <w:keepLines/>
            </w:pPr>
            <w:r w:rsidRPr="00526E3F">
              <w:t>£220.8k</w:t>
            </w:r>
          </w:p>
          <w:p w14:paraId="1A70BF7C" w14:textId="77777777" w:rsidR="009D32A7" w:rsidRPr="00526E3F" w:rsidRDefault="00A44DD9">
            <w:pPr>
              <w:pStyle w:val="TableContent"/>
              <w:keepNext/>
              <w:keepLines/>
            </w:pPr>
            <w:r w:rsidRPr="00526E3F">
              <w:rPr>
                <w:rFonts w:cstheme="minorHAnsi"/>
              </w:rPr>
              <w:t xml:space="preserve">± </w:t>
            </w:r>
            <w:r w:rsidR="00C1424D" w:rsidRPr="00526E3F">
              <w:rPr>
                <w:rFonts w:cstheme="minorHAnsi"/>
              </w:rPr>
              <w:t>£1011</w:t>
            </w:r>
          </w:p>
        </w:tc>
      </w:tr>
      <w:tr w:rsidR="00C8490D" w:rsidRPr="00526E3F" w14:paraId="0C7C34BD" w14:textId="77777777" w:rsidTr="003F0FDD">
        <w:trPr>
          <w:jc w:val="center"/>
        </w:trPr>
        <w:tc>
          <w:tcPr>
            <w:tcW w:w="3483" w:type="dxa"/>
          </w:tcPr>
          <w:p w14:paraId="19EAEE89" w14:textId="5C13B60E" w:rsidR="002640D0" w:rsidRPr="00526E3F" w:rsidRDefault="00C8490D" w:rsidP="00C8490D">
            <w:pPr>
              <w:pStyle w:val="TableContent"/>
              <w:keepNext/>
              <w:keepLines/>
            </w:pPr>
            <w:r w:rsidRPr="00526E3F">
              <w:t xml:space="preserve">Annual care costs </w:t>
            </w:r>
          </w:p>
        </w:tc>
        <w:tc>
          <w:tcPr>
            <w:tcW w:w="1251" w:type="dxa"/>
          </w:tcPr>
          <w:p w14:paraId="64CDC8EC" w14:textId="77777777" w:rsidR="00C8490D" w:rsidRPr="00526E3F" w:rsidRDefault="00C1424D" w:rsidP="009B0637">
            <w:pPr>
              <w:pStyle w:val="TableContent"/>
              <w:keepNext/>
              <w:keepLines/>
            </w:pPr>
            <w:r w:rsidRPr="00526E3F">
              <w:t>£</w:t>
            </w:r>
            <w:r w:rsidR="00823CC3" w:rsidRPr="00526E3F">
              <w:t>25.4k</w:t>
            </w:r>
          </w:p>
        </w:tc>
        <w:tc>
          <w:tcPr>
            <w:tcW w:w="1311" w:type="dxa"/>
          </w:tcPr>
          <w:p w14:paraId="45A1E6B1" w14:textId="77777777" w:rsidR="00823CC3" w:rsidRPr="00526E3F" w:rsidRDefault="00823CC3" w:rsidP="00C8490D">
            <w:pPr>
              <w:pStyle w:val="TableContent"/>
              <w:keepNext/>
              <w:keepLines/>
            </w:pPr>
            <w:r w:rsidRPr="00526E3F">
              <w:t>£36.0k</w:t>
            </w:r>
          </w:p>
        </w:tc>
        <w:tc>
          <w:tcPr>
            <w:tcW w:w="1251" w:type="dxa"/>
          </w:tcPr>
          <w:p w14:paraId="6F1BEFC9" w14:textId="77777777" w:rsidR="00823CC3" w:rsidRPr="00526E3F" w:rsidRDefault="00823CC3" w:rsidP="00C8490D">
            <w:pPr>
              <w:pStyle w:val="TableContent"/>
              <w:keepNext/>
              <w:keepLines/>
            </w:pPr>
            <w:r w:rsidRPr="00526E3F">
              <w:t>£45.1k</w:t>
            </w:r>
          </w:p>
        </w:tc>
        <w:tc>
          <w:tcPr>
            <w:tcW w:w="1252" w:type="dxa"/>
          </w:tcPr>
          <w:p w14:paraId="1DCAE9E8" w14:textId="77777777" w:rsidR="00823CC3" w:rsidRPr="00526E3F" w:rsidRDefault="00823CC3" w:rsidP="000A4FC8">
            <w:pPr>
              <w:pStyle w:val="TableContent"/>
              <w:keepNext/>
              <w:keepLines/>
            </w:pPr>
            <w:r w:rsidRPr="00526E3F">
              <w:t>£28.8k</w:t>
            </w:r>
          </w:p>
        </w:tc>
      </w:tr>
      <w:tr w:rsidR="00C8490D" w:rsidRPr="00526E3F" w14:paraId="765B9C45" w14:textId="77777777" w:rsidTr="003F0FDD">
        <w:trPr>
          <w:jc w:val="center"/>
        </w:trPr>
        <w:tc>
          <w:tcPr>
            <w:tcW w:w="8548" w:type="dxa"/>
            <w:gridSpan w:val="5"/>
          </w:tcPr>
          <w:p w14:paraId="13FFE6C4" w14:textId="77777777" w:rsidR="002640D0" w:rsidRPr="00423485" w:rsidRDefault="00C8490D" w:rsidP="00C8490D">
            <w:pPr>
              <w:pStyle w:val="TableContent"/>
              <w:keepNext/>
              <w:keepLines/>
              <w:rPr>
                <w:rFonts w:asciiTheme="minorHAnsi" w:hAnsiTheme="minorHAnsi" w:cs="Arial"/>
                <w:i/>
              </w:rPr>
            </w:pPr>
            <w:r w:rsidRPr="00423485">
              <w:rPr>
                <w:rFonts w:asciiTheme="minorHAnsi" w:hAnsiTheme="minorHAnsi"/>
                <w:i/>
              </w:rPr>
              <w:t>Notes</w:t>
            </w:r>
            <w:r w:rsidRPr="00423485">
              <w:rPr>
                <w:rFonts w:asciiTheme="minorHAnsi" w:hAnsiTheme="minorHAnsi"/>
              </w:rPr>
              <w:t>:</w:t>
            </w:r>
            <w:r w:rsidR="002640D0" w:rsidRPr="00423485">
              <w:rPr>
                <w:rFonts w:asciiTheme="minorHAnsi" w:hAnsiTheme="minorHAnsi"/>
              </w:rPr>
              <w:t xml:space="preserve"> </w:t>
            </w:r>
            <w:r w:rsidR="002640D0" w:rsidRPr="00423485">
              <w:rPr>
                <w:rFonts w:asciiTheme="minorHAnsi" w:hAnsiTheme="minorHAnsi"/>
                <w:i/>
              </w:rPr>
              <w:t xml:space="preserve">95% CI values are calculated </w:t>
            </w:r>
            <w:r w:rsidR="009B0637" w:rsidRPr="00423485">
              <w:rPr>
                <w:rFonts w:asciiTheme="minorHAnsi" w:hAnsiTheme="minorHAnsi"/>
                <w:i/>
              </w:rPr>
              <w:t xml:space="preserve">in AnyLogic </w:t>
            </w:r>
            <w:r w:rsidR="002640D0" w:rsidRPr="00423485">
              <w:rPr>
                <w:rFonts w:asciiTheme="minorHAnsi" w:hAnsiTheme="minorHAnsi"/>
                <w:i/>
              </w:rPr>
              <w:t xml:space="preserve">as </w:t>
            </w:r>
            <w:r w:rsidR="002640D0" w:rsidRPr="00423485">
              <w:rPr>
                <w:rFonts w:asciiTheme="minorHAnsi" w:hAnsiTheme="minorHAnsi" w:cs="Arial"/>
                <w:i/>
              </w:rPr>
              <w:t>half-width values about the mean</w:t>
            </w:r>
          </w:p>
          <w:p w14:paraId="5B44B834" w14:textId="77777777" w:rsidR="00C8490D" w:rsidRPr="00526E3F" w:rsidRDefault="002640D0" w:rsidP="000A4FC8">
            <w:pPr>
              <w:pStyle w:val="TableContent"/>
              <w:keepNext/>
              <w:keepLines/>
            </w:pPr>
            <w:r w:rsidRPr="00423485">
              <w:rPr>
                <w:rFonts w:asciiTheme="minorHAnsi" w:hAnsiTheme="minorHAnsi" w:cs="Arial"/>
                <w:i/>
              </w:rPr>
              <w:t>Annual costs are calculated from the state</w:t>
            </w:r>
            <w:r w:rsidR="00B16234" w:rsidRPr="00423485">
              <w:rPr>
                <w:rFonts w:asciiTheme="minorHAnsi" w:hAnsiTheme="minorHAnsi" w:cs="Arial"/>
                <w:i/>
              </w:rPr>
              <w:t>d</w:t>
            </w:r>
            <w:r w:rsidR="000A4FC8" w:rsidRPr="00423485">
              <w:rPr>
                <w:rFonts w:asciiTheme="minorHAnsi" w:hAnsiTheme="minorHAnsi" w:cs="Arial"/>
                <w:i/>
              </w:rPr>
              <w:t xml:space="preserve"> </w:t>
            </w:r>
            <w:r w:rsidRPr="00423485">
              <w:rPr>
                <w:rFonts w:asciiTheme="minorHAnsi" w:hAnsiTheme="minorHAnsi" w:cs="Arial"/>
                <w:i/>
              </w:rPr>
              <w:t>point estimates</w:t>
            </w:r>
          </w:p>
        </w:tc>
      </w:tr>
    </w:tbl>
    <w:p w14:paraId="33870D29" w14:textId="77777777" w:rsidR="000A4FC8" w:rsidRPr="00526E3F" w:rsidRDefault="000A4FC8" w:rsidP="000A4FC8"/>
    <w:p w14:paraId="1CB286F1" w14:textId="2FA772A1" w:rsidR="004313F3" w:rsidRDefault="00523BFA" w:rsidP="00897CC9">
      <w:r>
        <w:lastRenderedPageBreak/>
        <w:t xml:space="preserve">Table </w:t>
      </w:r>
      <w:r w:rsidR="002456CD">
        <w:t>6</w:t>
      </w:r>
      <w:r w:rsidR="004313F3">
        <w:t xml:space="preserve"> </w:t>
      </w:r>
      <w:r w:rsidR="002456CD">
        <w:t>present</w:t>
      </w:r>
      <w:r w:rsidR="004313F3">
        <w:t xml:space="preserve">s </w:t>
      </w:r>
      <w:r w:rsidR="00BB01BE">
        <w:t xml:space="preserve">the results from two further experiments for the same cohort </w:t>
      </w:r>
      <w:r w:rsidR="002456CD">
        <w:t>and</w:t>
      </w:r>
      <w:r w:rsidR="00BB01BE">
        <w:t xml:space="preserve"> the two interventions described in section 5.2. </w:t>
      </w:r>
    </w:p>
    <w:p w14:paraId="07EF9EF3" w14:textId="7804A17B" w:rsidR="004313F3" w:rsidRPr="004313F3" w:rsidRDefault="00A04930" w:rsidP="00A04930">
      <w:pPr>
        <w:pStyle w:val="Caption"/>
      </w:pPr>
      <w:r w:rsidRPr="00526E3F">
        <w:t xml:space="preserve">Table </w:t>
      </w:r>
      <w:r w:rsidRPr="00526E3F">
        <w:rPr>
          <w:noProof/>
        </w:rPr>
        <w:fldChar w:fldCharType="begin"/>
      </w:r>
      <w:r w:rsidRPr="00526E3F">
        <w:rPr>
          <w:noProof/>
        </w:rPr>
        <w:instrText xml:space="preserve"> SEQ Table \* ARABIC </w:instrText>
      </w:r>
      <w:r w:rsidRPr="00526E3F">
        <w:rPr>
          <w:noProof/>
        </w:rPr>
        <w:fldChar w:fldCharType="separate"/>
      </w:r>
      <w:r w:rsidR="0020511F">
        <w:rPr>
          <w:noProof/>
        </w:rPr>
        <w:t>6</w:t>
      </w:r>
      <w:r w:rsidRPr="00526E3F">
        <w:rPr>
          <w:noProof/>
        </w:rPr>
        <w:fldChar w:fldCharType="end"/>
      </w:r>
      <w:r w:rsidR="00061BD6">
        <w:t xml:space="preserve">   </w:t>
      </w:r>
      <w:r>
        <w:t>I</w:t>
      </w:r>
      <w:r w:rsidRPr="00526E3F">
        <w:t>ntervention effects</w:t>
      </w:r>
      <w:r>
        <w:t xml:space="preserve">, </w:t>
      </w:r>
      <w:r w:rsidR="00B7782D">
        <w:t>calculated for</w:t>
      </w:r>
      <w:r w:rsidR="00B7782D" w:rsidRPr="00526E3F">
        <w:t xml:space="preserve"> individual PWD, </w:t>
      </w:r>
      <w:r w:rsidR="00B7782D">
        <w:t xml:space="preserve">and </w:t>
      </w:r>
      <w:r>
        <w:t>averaged over all progression types</w:t>
      </w:r>
      <w:r w:rsidR="004313F3" w:rsidRPr="00526E3F">
        <w:t xml:space="preserve"> </w:t>
      </w:r>
    </w:p>
    <w:tbl>
      <w:tblPr>
        <w:tblW w:w="736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9" w:type="dxa"/>
          <w:left w:w="58" w:type="dxa"/>
          <w:bottom w:w="29" w:type="dxa"/>
          <w:right w:w="58" w:type="dxa"/>
        </w:tblCellMar>
        <w:tblLook w:val="04A0" w:firstRow="1" w:lastRow="0" w:firstColumn="1" w:lastColumn="0" w:noHBand="0" w:noVBand="1"/>
      </w:tblPr>
      <w:tblGrid>
        <w:gridCol w:w="3256"/>
        <w:gridCol w:w="1275"/>
        <w:gridCol w:w="1418"/>
        <w:gridCol w:w="1417"/>
      </w:tblGrid>
      <w:tr w:rsidR="00946E4C" w:rsidRPr="00526E3F" w14:paraId="2F4B08A1" w14:textId="77777777" w:rsidTr="00423485">
        <w:trPr>
          <w:jc w:val="center"/>
        </w:trPr>
        <w:tc>
          <w:tcPr>
            <w:tcW w:w="3256" w:type="dxa"/>
            <w:shd w:val="clear" w:color="auto" w:fill="auto"/>
          </w:tcPr>
          <w:p w14:paraId="0EB18A20" w14:textId="77777777" w:rsidR="00946E4C" w:rsidRPr="00526E3F" w:rsidRDefault="00946E4C" w:rsidP="00946E4C">
            <w:pPr>
              <w:pStyle w:val="TableContent"/>
              <w:keepNext/>
              <w:keepLines/>
            </w:pPr>
            <w:r>
              <w:rPr>
                <w:b/>
              </w:rPr>
              <w:t>O</w:t>
            </w:r>
            <w:r w:rsidRPr="00526E3F">
              <w:rPr>
                <w:b/>
              </w:rPr>
              <w:t>utcome measure</w:t>
            </w:r>
          </w:p>
        </w:tc>
        <w:tc>
          <w:tcPr>
            <w:tcW w:w="1275" w:type="dxa"/>
          </w:tcPr>
          <w:p w14:paraId="4C0CA9CB" w14:textId="77777777" w:rsidR="00946E4C" w:rsidRPr="00526E3F" w:rsidRDefault="00946E4C" w:rsidP="00946E4C">
            <w:pPr>
              <w:pStyle w:val="TableContent"/>
              <w:keepNext/>
              <w:keepLines/>
            </w:pPr>
            <w:r>
              <w:rPr>
                <w:b/>
              </w:rPr>
              <w:t>Baseline</w:t>
            </w:r>
          </w:p>
        </w:tc>
        <w:tc>
          <w:tcPr>
            <w:tcW w:w="1418" w:type="dxa"/>
          </w:tcPr>
          <w:p w14:paraId="1CDAA51E" w14:textId="77777777" w:rsidR="00946E4C" w:rsidRPr="00526E3F" w:rsidRDefault="00946E4C" w:rsidP="00946E4C">
            <w:pPr>
              <w:pStyle w:val="TableContent"/>
              <w:keepNext/>
              <w:keepLines/>
            </w:pPr>
            <w:r>
              <w:rPr>
                <w:b/>
              </w:rPr>
              <w:t>Medication</w:t>
            </w:r>
          </w:p>
        </w:tc>
        <w:tc>
          <w:tcPr>
            <w:tcW w:w="1417" w:type="dxa"/>
          </w:tcPr>
          <w:p w14:paraId="0AFD379C" w14:textId="77777777" w:rsidR="00946E4C" w:rsidRPr="00526E3F" w:rsidRDefault="00946E4C" w:rsidP="00946E4C">
            <w:pPr>
              <w:pStyle w:val="TableContent"/>
              <w:keepNext/>
              <w:keepLines/>
            </w:pPr>
            <w:r>
              <w:rPr>
                <w:b/>
              </w:rPr>
              <w:t>Lifestyle</w:t>
            </w:r>
          </w:p>
        </w:tc>
      </w:tr>
      <w:tr w:rsidR="00946E4C" w:rsidRPr="00526E3F" w14:paraId="1BFF603B" w14:textId="77777777" w:rsidTr="00423485">
        <w:trPr>
          <w:jc w:val="center"/>
        </w:trPr>
        <w:tc>
          <w:tcPr>
            <w:tcW w:w="3256" w:type="dxa"/>
            <w:shd w:val="clear" w:color="auto" w:fill="auto"/>
          </w:tcPr>
          <w:p w14:paraId="6C96E1BA" w14:textId="77777777" w:rsidR="00946E4C" w:rsidRPr="00526E3F" w:rsidRDefault="00946E4C" w:rsidP="00946E4C">
            <w:pPr>
              <w:pStyle w:val="TableContent"/>
              <w:keepNext/>
              <w:keepLines/>
            </w:pPr>
            <w:r w:rsidRPr="00526E3F">
              <w:t xml:space="preserve">Years with dementia (YWD) </w:t>
            </w:r>
          </w:p>
          <w:p w14:paraId="735E8338" w14:textId="77777777" w:rsidR="00946E4C" w:rsidRPr="00526E3F" w:rsidRDefault="00946E4C" w:rsidP="00946E4C">
            <w:pPr>
              <w:pStyle w:val="TableContent"/>
              <w:keepNext/>
              <w:keepLines/>
              <w:rPr>
                <w:b/>
              </w:rPr>
            </w:pPr>
            <w:r w:rsidRPr="00526E3F">
              <w:rPr>
                <w:rFonts w:cstheme="minorHAnsi"/>
              </w:rPr>
              <w:t>95% confidence interval</w:t>
            </w:r>
          </w:p>
        </w:tc>
        <w:tc>
          <w:tcPr>
            <w:tcW w:w="1275" w:type="dxa"/>
          </w:tcPr>
          <w:p w14:paraId="0BDCF5DB" w14:textId="77777777" w:rsidR="00946E4C" w:rsidRPr="00526E3F" w:rsidRDefault="00946E4C" w:rsidP="00946E4C">
            <w:pPr>
              <w:pStyle w:val="TableContent"/>
              <w:keepNext/>
              <w:keepLines/>
            </w:pPr>
            <w:r w:rsidRPr="00526E3F">
              <w:t>7.671</w:t>
            </w:r>
          </w:p>
          <w:p w14:paraId="36D08570" w14:textId="77777777" w:rsidR="00946E4C" w:rsidRPr="00526E3F" w:rsidRDefault="00946E4C" w:rsidP="00946E4C">
            <w:pPr>
              <w:pStyle w:val="TableContent"/>
              <w:keepNext/>
              <w:keepLines/>
            </w:pPr>
            <w:r w:rsidRPr="00526E3F">
              <w:rPr>
                <w:rFonts w:cstheme="minorHAnsi"/>
              </w:rPr>
              <w:t>± 0.027</w:t>
            </w:r>
          </w:p>
        </w:tc>
        <w:tc>
          <w:tcPr>
            <w:tcW w:w="1418" w:type="dxa"/>
          </w:tcPr>
          <w:p w14:paraId="49A294CB" w14:textId="77777777" w:rsidR="00946E4C" w:rsidRDefault="00F90408" w:rsidP="00946E4C">
            <w:pPr>
              <w:pStyle w:val="TableContent"/>
              <w:keepNext/>
              <w:keepLines/>
            </w:pPr>
            <w:r>
              <w:t>7.753</w:t>
            </w:r>
          </w:p>
          <w:p w14:paraId="789BD9F9" w14:textId="077119CE" w:rsidR="003A5839" w:rsidRPr="00526E3F" w:rsidRDefault="003A5839" w:rsidP="00946E4C">
            <w:pPr>
              <w:pStyle w:val="TableContent"/>
              <w:keepNext/>
              <w:keepLines/>
            </w:pPr>
            <w:r w:rsidRPr="00526E3F">
              <w:rPr>
                <w:rFonts w:cstheme="minorHAnsi"/>
              </w:rPr>
              <w:t>± 0.027</w:t>
            </w:r>
          </w:p>
        </w:tc>
        <w:tc>
          <w:tcPr>
            <w:tcW w:w="1417" w:type="dxa"/>
          </w:tcPr>
          <w:p w14:paraId="2AD3EA53" w14:textId="77777777" w:rsidR="00946E4C" w:rsidRDefault="00F90408" w:rsidP="00946E4C">
            <w:pPr>
              <w:pStyle w:val="TableContent"/>
              <w:keepNext/>
              <w:keepLines/>
            </w:pPr>
            <w:r>
              <w:t>7.376</w:t>
            </w:r>
          </w:p>
          <w:p w14:paraId="0E061FD1" w14:textId="716DEEB4" w:rsidR="003A5839" w:rsidRPr="00526E3F" w:rsidRDefault="00FF3F9B" w:rsidP="00946E4C">
            <w:pPr>
              <w:pStyle w:val="TableContent"/>
              <w:keepNext/>
              <w:keepLines/>
            </w:pPr>
            <w:r w:rsidRPr="00526E3F">
              <w:rPr>
                <w:rFonts w:cstheme="minorHAnsi"/>
              </w:rPr>
              <w:t>± 0.027</w:t>
            </w:r>
          </w:p>
        </w:tc>
      </w:tr>
      <w:tr w:rsidR="00946E4C" w:rsidRPr="00526E3F" w14:paraId="4B781E4B" w14:textId="77777777" w:rsidTr="00423485">
        <w:trPr>
          <w:jc w:val="center"/>
        </w:trPr>
        <w:tc>
          <w:tcPr>
            <w:tcW w:w="3256" w:type="dxa"/>
            <w:shd w:val="clear" w:color="auto" w:fill="auto"/>
          </w:tcPr>
          <w:p w14:paraId="2F1B7FF7" w14:textId="77777777" w:rsidR="00946E4C" w:rsidRPr="00526E3F" w:rsidRDefault="00946E4C" w:rsidP="00946E4C">
            <w:pPr>
              <w:pStyle w:val="TableContent"/>
              <w:keepNext/>
              <w:keepLines/>
            </w:pPr>
            <w:r w:rsidRPr="00526E3F">
              <w:t>Quality adjusted life years (QALYs)</w:t>
            </w:r>
          </w:p>
          <w:p w14:paraId="4D08F9FA" w14:textId="77777777" w:rsidR="00946E4C" w:rsidRPr="00526E3F" w:rsidRDefault="00946E4C" w:rsidP="00946E4C">
            <w:pPr>
              <w:pStyle w:val="TableContent"/>
              <w:keepNext/>
              <w:keepLines/>
            </w:pPr>
            <w:r w:rsidRPr="00526E3F">
              <w:rPr>
                <w:rFonts w:cstheme="minorHAnsi"/>
              </w:rPr>
              <w:t>95% confidence interval</w:t>
            </w:r>
          </w:p>
        </w:tc>
        <w:tc>
          <w:tcPr>
            <w:tcW w:w="1275" w:type="dxa"/>
          </w:tcPr>
          <w:p w14:paraId="6C6ABE17" w14:textId="77777777" w:rsidR="00946E4C" w:rsidRPr="00526E3F" w:rsidRDefault="00946E4C" w:rsidP="00946E4C">
            <w:pPr>
              <w:pStyle w:val="TableContent"/>
              <w:keepNext/>
              <w:keepLines/>
              <w:rPr>
                <w:rFonts w:cstheme="minorHAnsi"/>
              </w:rPr>
            </w:pPr>
            <w:r w:rsidRPr="00526E3F">
              <w:rPr>
                <w:rFonts w:cstheme="minorHAnsi"/>
              </w:rPr>
              <w:t>4.637</w:t>
            </w:r>
          </w:p>
          <w:p w14:paraId="560B6321" w14:textId="77777777" w:rsidR="00946E4C" w:rsidRPr="00526E3F" w:rsidRDefault="00946E4C" w:rsidP="00946E4C">
            <w:pPr>
              <w:pStyle w:val="TableContent"/>
              <w:keepNext/>
              <w:keepLines/>
            </w:pPr>
            <w:r w:rsidRPr="00526E3F">
              <w:rPr>
                <w:rFonts w:cstheme="minorHAnsi"/>
              </w:rPr>
              <w:t>± 0.016</w:t>
            </w:r>
          </w:p>
        </w:tc>
        <w:tc>
          <w:tcPr>
            <w:tcW w:w="1418" w:type="dxa"/>
          </w:tcPr>
          <w:p w14:paraId="1C963F72" w14:textId="77777777" w:rsidR="00946E4C" w:rsidRDefault="00F90408" w:rsidP="00946E4C">
            <w:pPr>
              <w:pStyle w:val="TableContent"/>
              <w:keepNext/>
              <w:keepLines/>
            </w:pPr>
            <w:r>
              <w:t>4.707</w:t>
            </w:r>
          </w:p>
          <w:p w14:paraId="0DE6BCB0" w14:textId="271689EB" w:rsidR="003A5839" w:rsidRPr="00526E3F" w:rsidRDefault="003A5839" w:rsidP="00946E4C">
            <w:pPr>
              <w:pStyle w:val="TableContent"/>
              <w:keepNext/>
              <w:keepLines/>
            </w:pPr>
            <w:r w:rsidRPr="00526E3F">
              <w:rPr>
                <w:rFonts w:cstheme="minorHAnsi"/>
              </w:rPr>
              <w:t>± 0.0</w:t>
            </w:r>
            <w:r>
              <w:rPr>
                <w:rFonts w:cstheme="minorHAnsi"/>
              </w:rPr>
              <w:t>16</w:t>
            </w:r>
          </w:p>
        </w:tc>
        <w:tc>
          <w:tcPr>
            <w:tcW w:w="1417" w:type="dxa"/>
          </w:tcPr>
          <w:p w14:paraId="79089F92" w14:textId="77777777" w:rsidR="00946E4C" w:rsidRDefault="00F90408" w:rsidP="00946E4C">
            <w:pPr>
              <w:pStyle w:val="TableContent"/>
              <w:keepNext/>
              <w:keepLines/>
            </w:pPr>
            <w:r>
              <w:t>4.914</w:t>
            </w:r>
          </w:p>
          <w:p w14:paraId="67E15B4A" w14:textId="06644CDD" w:rsidR="003A5839" w:rsidRPr="00526E3F" w:rsidRDefault="00FF3F9B" w:rsidP="00946E4C">
            <w:pPr>
              <w:pStyle w:val="TableContent"/>
              <w:keepNext/>
              <w:keepLines/>
            </w:pPr>
            <w:r w:rsidRPr="00526E3F">
              <w:rPr>
                <w:rFonts w:cstheme="minorHAnsi"/>
              </w:rPr>
              <w:t>± 0.0</w:t>
            </w:r>
            <w:r>
              <w:rPr>
                <w:rFonts w:cstheme="minorHAnsi"/>
              </w:rPr>
              <w:t>15</w:t>
            </w:r>
          </w:p>
        </w:tc>
      </w:tr>
      <w:tr w:rsidR="00946E4C" w:rsidRPr="00526E3F" w14:paraId="312DD736" w14:textId="77777777" w:rsidTr="00423485">
        <w:trPr>
          <w:jc w:val="center"/>
        </w:trPr>
        <w:tc>
          <w:tcPr>
            <w:tcW w:w="3256" w:type="dxa"/>
            <w:shd w:val="clear" w:color="auto" w:fill="auto"/>
          </w:tcPr>
          <w:p w14:paraId="5A2EF91D" w14:textId="0BF46547" w:rsidR="00946E4C" w:rsidRPr="00526E3F" w:rsidRDefault="000C21D0" w:rsidP="00946E4C">
            <w:pPr>
              <w:pStyle w:val="TableContent"/>
              <w:keepNext/>
              <w:keepLines/>
              <w:rPr>
                <w:rFonts w:cstheme="minorHAnsi"/>
              </w:rPr>
            </w:pPr>
            <w:r>
              <w:t>Total</w:t>
            </w:r>
            <w:r w:rsidR="00946E4C" w:rsidRPr="00526E3F">
              <w:t xml:space="preserve"> care costs </w:t>
            </w:r>
          </w:p>
          <w:p w14:paraId="5717AD84" w14:textId="77777777" w:rsidR="00946E4C" w:rsidRPr="00526E3F" w:rsidRDefault="00946E4C" w:rsidP="00946E4C">
            <w:pPr>
              <w:pStyle w:val="TableContent"/>
              <w:keepNext/>
              <w:keepLines/>
            </w:pPr>
            <w:r w:rsidRPr="00526E3F">
              <w:rPr>
                <w:rFonts w:cstheme="minorHAnsi"/>
              </w:rPr>
              <w:t>95% confidence interval</w:t>
            </w:r>
          </w:p>
        </w:tc>
        <w:tc>
          <w:tcPr>
            <w:tcW w:w="1275" w:type="dxa"/>
          </w:tcPr>
          <w:p w14:paraId="426894F1" w14:textId="77777777" w:rsidR="00946E4C" w:rsidRPr="00526E3F" w:rsidRDefault="00946E4C" w:rsidP="00946E4C">
            <w:pPr>
              <w:pStyle w:val="TableContent"/>
              <w:keepNext/>
              <w:keepLines/>
            </w:pPr>
            <w:r w:rsidRPr="00526E3F">
              <w:t>£220.8k</w:t>
            </w:r>
          </w:p>
          <w:p w14:paraId="4126C249" w14:textId="673C6777" w:rsidR="00946E4C" w:rsidRPr="00526E3F" w:rsidRDefault="00946E4C" w:rsidP="00946E4C">
            <w:pPr>
              <w:pStyle w:val="TableContent"/>
              <w:keepNext/>
              <w:keepLines/>
            </w:pPr>
            <w:r w:rsidRPr="00526E3F">
              <w:rPr>
                <w:rFonts w:cstheme="minorHAnsi"/>
              </w:rPr>
              <w:t>± £101</w:t>
            </w:r>
            <w:r w:rsidR="003A5839">
              <w:rPr>
                <w:rFonts w:cstheme="minorHAnsi"/>
              </w:rPr>
              <w:t>2</w:t>
            </w:r>
          </w:p>
        </w:tc>
        <w:tc>
          <w:tcPr>
            <w:tcW w:w="1418" w:type="dxa"/>
          </w:tcPr>
          <w:p w14:paraId="2358C74F" w14:textId="77777777" w:rsidR="00946E4C" w:rsidRDefault="00F90408" w:rsidP="00946E4C">
            <w:pPr>
              <w:pStyle w:val="TableContent"/>
              <w:keepNext/>
              <w:keepLines/>
            </w:pPr>
            <w:r>
              <w:t>£217.7k</w:t>
            </w:r>
          </w:p>
          <w:p w14:paraId="06F8311B" w14:textId="42AF5A01" w:rsidR="003A5839" w:rsidRPr="00526E3F" w:rsidRDefault="003A5839" w:rsidP="00946E4C">
            <w:pPr>
              <w:pStyle w:val="TableContent"/>
              <w:keepNext/>
              <w:keepLines/>
            </w:pPr>
            <w:r w:rsidRPr="00526E3F">
              <w:rPr>
                <w:rFonts w:cstheme="minorHAnsi"/>
              </w:rPr>
              <w:t xml:space="preserve">± </w:t>
            </w:r>
            <w:r>
              <w:rPr>
                <w:rFonts w:cstheme="minorHAnsi"/>
              </w:rPr>
              <w:t>£986</w:t>
            </w:r>
          </w:p>
        </w:tc>
        <w:tc>
          <w:tcPr>
            <w:tcW w:w="1417" w:type="dxa"/>
          </w:tcPr>
          <w:p w14:paraId="5631EC70" w14:textId="77777777" w:rsidR="00946E4C" w:rsidRDefault="00F90408" w:rsidP="00946E4C">
            <w:pPr>
              <w:pStyle w:val="TableContent"/>
              <w:keepNext/>
              <w:keepLines/>
            </w:pPr>
            <w:r>
              <w:t>£205.6k</w:t>
            </w:r>
          </w:p>
          <w:p w14:paraId="7A809054" w14:textId="533AAF03" w:rsidR="003A5839" w:rsidRPr="00526E3F" w:rsidRDefault="00FF3F9B" w:rsidP="00946E4C">
            <w:pPr>
              <w:pStyle w:val="TableContent"/>
              <w:keepNext/>
              <w:keepLines/>
            </w:pPr>
            <w:r w:rsidRPr="00526E3F">
              <w:rPr>
                <w:rFonts w:cstheme="minorHAnsi"/>
              </w:rPr>
              <w:t xml:space="preserve">± </w:t>
            </w:r>
            <w:r>
              <w:rPr>
                <w:rFonts w:cstheme="minorHAnsi"/>
              </w:rPr>
              <w:t>£976</w:t>
            </w:r>
          </w:p>
        </w:tc>
      </w:tr>
      <w:tr w:rsidR="00946E4C" w:rsidRPr="00526E3F" w14:paraId="18A993B8" w14:textId="77777777" w:rsidTr="00423485">
        <w:trPr>
          <w:jc w:val="center"/>
        </w:trPr>
        <w:tc>
          <w:tcPr>
            <w:tcW w:w="3256" w:type="dxa"/>
            <w:shd w:val="clear" w:color="auto" w:fill="auto"/>
          </w:tcPr>
          <w:p w14:paraId="46A5ED49" w14:textId="39DDFC22" w:rsidR="00946E4C" w:rsidRPr="00526E3F" w:rsidRDefault="00946E4C" w:rsidP="00946E4C">
            <w:pPr>
              <w:pStyle w:val="TableContent"/>
              <w:keepNext/>
              <w:keepLines/>
            </w:pPr>
            <w:r w:rsidRPr="00526E3F">
              <w:t xml:space="preserve">Annual care costs </w:t>
            </w:r>
          </w:p>
        </w:tc>
        <w:tc>
          <w:tcPr>
            <w:tcW w:w="1275" w:type="dxa"/>
          </w:tcPr>
          <w:p w14:paraId="668CEBF9" w14:textId="77777777" w:rsidR="00946E4C" w:rsidRPr="00526E3F" w:rsidRDefault="00946E4C" w:rsidP="00946E4C">
            <w:pPr>
              <w:pStyle w:val="TableContent"/>
              <w:keepNext/>
              <w:keepLines/>
            </w:pPr>
            <w:r w:rsidRPr="00526E3F">
              <w:t>£28.8k</w:t>
            </w:r>
          </w:p>
        </w:tc>
        <w:tc>
          <w:tcPr>
            <w:tcW w:w="1418" w:type="dxa"/>
          </w:tcPr>
          <w:p w14:paraId="4745A339" w14:textId="4CD248FF" w:rsidR="00946E4C" w:rsidRPr="00526E3F" w:rsidRDefault="00CB6A68" w:rsidP="00946E4C">
            <w:pPr>
              <w:pStyle w:val="TableContent"/>
              <w:keepNext/>
              <w:keepLines/>
            </w:pPr>
            <w:r>
              <w:t>£28.1</w:t>
            </w:r>
            <w:r w:rsidRPr="00526E3F">
              <w:t>k</w:t>
            </w:r>
          </w:p>
        </w:tc>
        <w:tc>
          <w:tcPr>
            <w:tcW w:w="1417" w:type="dxa"/>
          </w:tcPr>
          <w:p w14:paraId="55938D89" w14:textId="43695D03" w:rsidR="00946E4C" w:rsidRPr="00526E3F" w:rsidRDefault="00CB6A68">
            <w:pPr>
              <w:pStyle w:val="TableContent"/>
              <w:keepNext/>
              <w:keepLines/>
            </w:pPr>
            <w:r w:rsidRPr="00526E3F">
              <w:t>£2</w:t>
            </w:r>
            <w:r>
              <w:t>7.9</w:t>
            </w:r>
            <w:r w:rsidRPr="00526E3F">
              <w:t>k</w:t>
            </w:r>
          </w:p>
        </w:tc>
      </w:tr>
      <w:tr w:rsidR="00946E4C" w:rsidRPr="00526E3F" w14:paraId="2F3A0F6B" w14:textId="77777777" w:rsidTr="00423485">
        <w:trPr>
          <w:jc w:val="center"/>
        </w:trPr>
        <w:tc>
          <w:tcPr>
            <w:tcW w:w="7366" w:type="dxa"/>
            <w:gridSpan w:val="4"/>
            <w:shd w:val="clear" w:color="auto" w:fill="auto"/>
          </w:tcPr>
          <w:p w14:paraId="3C94B03E" w14:textId="5B34F7D3" w:rsidR="00946E4C" w:rsidRPr="00423485" w:rsidRDefault="00F90408">
            <w:pPr>
              <w:pStyle w:val="TableContent"/>
              <w:keepNext/>
              <w:keepLines/>
              <w:rPr>
                <w:b/>
              </w:rPr>
            </w:pPr>
            <w:r w:rsidRPr="00423485">
              <w:rPr>
                <w:b/>
              </w:rPr>
              <w:t xml:space="preserve">Summary of </w:t>
            </w:r>
            <w:r w:rsidR="00FF3F9B">
              <w:rPr>
                <w:b/>
              </w:rPr>
              <w:t>benefits</w:t>
            </w:r>
          </w:p>
        </w:tc>
      </w:tr>
      <w:tr w:rsidR="00946E4C" w:rsidRPr="00526E3F" w14:paraId="4998D345" w14:textId="77777777" w:rsidTr="00423485">
        <w:trPr>
          <w:jc w:val="center"/>
        </w:trPr>
        <w:tc>
          <w:tcPr>
            <w:tcW w:w="4531" w:type="dxa"/>
            <w:gridSpan w:val="2"/>
            <w:shd w:val="clear" w:color="auto" w:fill="auto"/>
          </w:tcPr>
          <w:p w14:paraId="616E4DFE" w14:textId="77777777" w:rsidR="00946E4C" w:rsidRPr="00526E3F" w:rsidRDefault="00946E4C" w:rsidP="00946E4C">
            <w:pPr>
              <w:pStyle w:val="TableContent"/>
              <w:keepNext/>
              <w:keepLines/>
            </w:pPr>
            <w:r w:rsidRPr="00526E3F">
              <w:rPr>
                <w:bCs/>
              </w:rPr>
              <w:t>YWD reduction (increase)</w:t>
            </w:r>
            <w:r>
              <w:rPr>
                <w:bCs/>
              </w:rPr>
              <w:t xml:space="preserve"> over baseline</w:t>
            </w:r>
          </w:p>
        </w:tc>
        <w:tc>
          <w:tcPr>
            <w:tcW w:w="1418" w:type="dxa"/>
          </w:tcPr>
          <w:p w14:paraId="5FB2E61C" w14:textId="77777777" w:rsidR="00946E4C" w:rsidRPr="00526E3F" w:rsidRDefault="00946E4C" w:rsidP="00946E4C">
            <w:pPr>
              <w:pStyle w:val="TableContent"/>
              <w:keepNext/>
              <w:keepLines/>
            </w:pPr>
            <w:r w:rsidRPr="00526E3F">
              <w:t>(1 month)</w:t>
            </w:r>
          </w:p>
        </w:tc>
        <w:tc>
          <w:tcPr>
            <w:tcW w:w="1417" w:type="dxa"/>
          </w:tcPr>
          <w:p w14:paraId="6D329C08" w14:textId="77777777" w:rsidR="00946E4C" w:rsidRPr="00526E3F" w:rsidRDefault="00946E4C" w:rsidP="00946E4C">
            <w:pPr>
              <w:pStyle w:val="TableContent"/>
              <w:keepNext/>
              <w:keepLines/>
            </w:pPr>
            <w:r w:rsidRPr="00526E3F">
              <w:t xml:space="preserve">3.5 months </w:t>
            </w:r>
          </w:p>
        </w:tc>
      </w:tr>
      <w:tr w:rsidR="00946E4C" w:rsidRPr="00526E3F" w14:paraId="356E1C89" w14:textId="77777777" w:rsidTr="00423485">
        <w:trPr>
          <w:jc w:val="center"/>
        </w:trPr>
        <w:tc>
          <w:tcPr>
            <w:tcW w:w="4531" w:type="dxa"/>
            <w:gridSpan w:val="2"/>
            <w:shd w:val="clear" w:color="auto" w:fill="auto"/>
          </w:tcPr>
          <w:p w14:paraId="06EDDB5B" w14:textId="77777777" w:rsidR="00946E4C" w:rsidRPr="00526E3F" w:rsidRDefault="00946E4C" w:rsidP="00946E4C">
            <w:pPr>
              <w:pStyle w:val="TableContent"/>
              <w:keepNext/>
              <w:keepLines/>
            </w:pPr>
            <w:r w:rsidRPr="00526E3F">
              <w:rPr>
                <w:bCs/>
              </w:rPr>
              <w:t xml:space="preserve">QALY </w:t>
            </w:r>
            <w:r w:rsidRPr="00526E3F">
              <w:t>improvement</w:t>
            </w:r>
            <w:r>
              <w:t xml:space="preserve"> </w:t>
            </w:r>
            <w:r>
              <w:rPr>
                <w:bCs/>
              </w:rPr>
              <w:t>over baseline</w:t>
            </w:r>
          </w:p>
        </w:tc>
        <w:tc>
          <w:tcPr>
            <w:tcW w:w="1418" w:type="dxa"/>
          </w:tcPr>
          <w:p w14:paraId="6E04EB00" w14:textId="77777777" w:rsidR="00946E4C" w:rsidRPr="00526E3F" w:rsidRDefault="00946E4C" w:rsidP="00946E4C">
            <w:pPr>
              <w:pStyle w:val="TableContent"/>
              <w:keepNext/>
              <w:keepLines/>
            </w:pPr>
            <w:r w:rsidRPr="00526E3F">
              <w:t xml:space="preserve">0.070 QALY </w:t>
            </w:r>
          </w:p>
        </w:tc>
        <w:tc>
          <w:tcPr>
            <w:tcW w:w="1417" w:type="dxa"/>
          </w:tcPr>
          <w:p w14:paraId="4DB86100" w14:textId="77777777" w:rsidR="00946E4C" w:rsidRPr="00526E3F" w:rsidRDefault="00946E4C" w:rsidP="00946E4C">
            <w:pPr>
              <w:pStyle w:val="TableContent"/>
              <w:keepNext/>
              <w:keepLines/>
            </w:pPr>
            <w:r w:rsidRPr="00526E3F">
              <w:t xml:space="preserve">0.277 QALY </w:t>
            </w:r>
          </w:p>
        </w:tc>
      </w:tr>
      <w:tr w:rsidR="00946E4C" w:rsidRPr="00526E3F" w14:paraId="70856544" w14:textId="77777777" w:rsidTr="00423485">
        <w:trPr>
          <w:jc w:val="center"/>
        </w:trPr>
        <w:tc>
          <w:tcPr>
            <w:tcW w:w="4531" w:type="dxa"/>
            <w:gridSpan w:val="2"/>
            <w:shd w:val="clear" w:color="auto" w:fill="auto"/>
          </w:tcPr>
          <w:p w14:paraId="5C497DF2" w14:textId="77777777" w:rsidR="00946E4C" w:rsidRPr="00526E3F" w:rsidRDefault="00946E4C" w:rsidP="00946E4C">
            <w:pPr>
              <w:pStyle w:val="TableContent"/>
              <w:keepNext/>
              <w:keepLines/>
            </w:pPr>
            <w:r w:rsidRPr="00526E3F">
              <w:rPr>
                <w:bCs/>
              </w:rPr>
              <w:t>Overall care costs</w:t>
            </w:r>
          </w:p>
        </w:tc>
        <w:tc>
          <w:tcPr>
            <w:tcW w:w="1418" w:type="dxa"/>
          </w:tcPr>
          <w:p w14:paraId="0A71A660" w14:textId="433D1C1A" w:rsidR="00946E4C" w:rsidRPr="00526E3F" w:rsidRDefault="00946E4C" w:rsidP="00946E4C">
            <w:pPr>
              <w:pStyle w:val="TableContent"/>
              <w:keepNext/>
              <w:keepLines/>
            </w:pPr>
            <w:r w:rsidRPr="00526E3F">
              <w:t>Saving £3</w:t>
            </w:r>
            <w:r w:rsidR="00141F2D">
              <w:t>.1</w:t>
            </w:r>
            <w:r w:rsidRPr="00526E3F">
              <w:t>k</w:t>
            </w:r>
          </w:p>
        </w:tc>
        <w:tc>
          <w:tcPr>
            <w:tcW w:w="1417" w:type="dxa"/>
          </w:tcPr>
          <w:p w14:paraId="45087536" w14:textId="207EAE9C" w:rsidR="00946E4C" w:rsidRPr="00526E3F" w:rsidRDefault="00946E4C" w:rsidP="00946E4C">
            <w:pPr>
              <w:pStyle w:val="TableContent"/>
              <w:keepNext/>
              <w:keepLines/>
            </w:pPr>
            <w:r w:rsidRPr="00526E3F">
              <w:t>Saving £15</w:t>
            </w:r>
            <w:r w:rsidR="00141F2D">
              <w:t>.2</w:t>
            </w:r>
            <w:r w:rsidRPr="00526E3F">
              <w:t>k</w:t>
            </w:r>
          </w:p>
        </w:tc>
      </w:tr>
    </w:tbl>
    <w:p w14:paraId="488ADAF0" w14:textId="310A305A" w:rsidR="00F93F07" w:rsidRDefault="00F93F07" w:rsidP="009A3E34"/>
    <w:p w14:paraId="209DC892" w14:textId="77777777" w:rsidR="000A4FC8" w:rsidRPr="00526E3F" w:rsidRDefault="000A4FC8" w:rsidP="000A4FC8">
      <w:pPr>
        <w:pStyle w:val="Heading1"/>
      </w:pPr>
      <w:r w:rsidRPr="004944F7">
        <w:t>10 Discussion</w:t>
      </w:r>
    </w:p>
    <w:p w14:paraId="51D96A82" w14:textId="3F2D6C57" w:rsidR="00DA267E" w:rsidRPr="00526E3F" w:rsidRDefault="00A83CF8" w:rsidP="00DA267E">
      <w:pPr>
        <w:pStyle w:val="Heading2"/>
      </w:pPr>
      <w:r w:rsidRPr="00526E3F">
        <w:t xml:space="preserve">10.1 </w:t>
      </w:r>
      <w:r w:rsidR="00897CC9">
        <w:t>Simulation results</w:t>
      </w:r>
    </w:p>
    <w:p w14:paraId="0356E472" w14:textId="67DEB8A4" w:rsidR="004925FE" w:rsidRDefault="004925FE" w:rsidP="004925FE">
      <w:r>
        <w:t xml:space="preserve">It can be seen from </w:t>
      </w:r>
      <w:r w:rsidR="00897CC9">
        <w:t xml:space="preserve">Table 6 that </w:t>
      </w:r>
      <w:r w:rsidR="00897CC9" w:rsidRPr="00526E3F">
        <w:t xml:space="preserve">both interventions </w:t>
      </w:r>
      <w:r w:rsidR="00897CC9">
        <w:t>show a benefit in terms of increased</w:t>
      </w:r>
      <w:r w:rsidR="00897CC9" w:rsidRPr="00526E3F">
        <w:t xml:space="preserve"> QALYs and </w:t>
      </w:r>
      <w:r w:rsidR="00897CC9">
        <w:t xml:space="preserve">reduced </w:t>
      </w:r>
      <w:r w:rsidR="00897CC9" w:rsidRPr="00526E3F">
        <w:t>costs</w:t>
      </w:r>
      <w:r>
        <w:t>.</w:t>
      </w:r>
      <w:r w:rsidR="0010173A">
        <w:t xml:space="preserve"> </w:t>
      </w:r>
      <w:r>
        <w:t xml:space="preserve">However, </w:t>
      </w:r>
      <w:r w:rsidR="00897CC9">
        <w:t>m</w:t>
      </w:r>
      <w:r w:rsidR="00897CC9" w:rsidRPr="00526E3F">
        <w:t xml:space="preserve">edication </w:t>
      </w:r>
      <w:r w:rsidR="00897CC9">
        <w:t>increases YWD</w:t>
      </w:r>
      <w:r w:rsidR="00897CC9" w:rsidRPr="00526E3F">
        <w:t xml:space="preserve"> by reducing progression rates and mortality</w:t>
      </w:r>
      <w:r w:rsidR="00897CC9">
        <w:t xml:space="preserve">, </w:t>
      </w:r>
      <w:r>
        <w:t xml:space="preserve">whereas </w:t>
      </w:r>
      <w:r w:rsidR="00897CC9">
        <w:t xml:space="preserve">lifestyle interventions </w:t>
      </w:r>
      <w:r w:rsidR="00897CC9" w:rsidRPr="00451D2F">
        <w:rPr>
          <w:i/>
          <w:iCs/>
        </w:rPr>
        <w:t xml:space="preserve">reduce </w:t>
      </w:r>
      <w:r w:rsidR="00897CC9">
        <w:t xml:space="preserve">YWD and thus result in greater </w:t>
      </w:r>
      <w:r w:rsidR="00897CC9" w:rsidRPr="00526E3F">
        <w:t>cost savings</w:t>
      </w:r>
      <w:r w:rsidR="00897CC9">
        <w:t xml:space="preserve"> as well as a greater QALY gain compared with medication</w:t>
      </w:r>
      <w:r w:rsidR="00897CC9" w:rsidRPr="00526E3F">
        <w:t>.</w:t>
      </w:r>
      <w:r w:rsidR="0010173A">
        <w:t xml:space="preserve"> </w:t>
      </w:r>
      <w:r w:rsidR="00DA267E" w:rsidRPr="00423485">
        <w:t xml:space="preserve">Although </w:t>
      </w:r>
      <w:r w:rsidR="00DA267E">
        <w:t>medical</w:t>
      </w:r>
      <w:r w:rsidR="00DA267E" w:rsidRPr="00423485">
        <w:t xml:space="preserve"> interventions can be worthwhile </w:t>
      </w:r>
      <w:r w:rsidR="00DA267E">
        <w:t xml:space="preserve">at an </w:t>
      </w:r>
      <w:r w:rsidR="00DA267E" w:rsidRPr="00423485">
        <w:t>individual</w:t>
      </w:r>
      <w:r w:rsidR="00DA267E">
        <w:t xml:space="preserve"> level,</w:t>
      </w:r>
      <w:r w:rsidR="00DA267E" w:rsidRPr="00423485">
        <w:t xml:space="preserve"> </w:t>
      </w:r>
      <w:r w:rsidR="000C21D0">
        <w:t>only a minority of patients</w:t>
      </w:r>
      <w:r w:rsidR="00DA267E" w:rsidRPr="00423485">
        <w:t xml:space="preserve"> benefit</w:t>
      </w:r>
      <w:r w:rsidR="00897CC9">
        <w:t xml:space="preserve"> </w:t>
      </w:r>
      <w:r>
        <w:t>and th</w:t>
      </w:r>
      <w:r w:rsidR="000C21D0">
        <w:t xml:space="preserve">e </w:t>
      </w:r>
      <w:r>
        <w:t xml:space="preserve">average </w:t>
      </w:r>
      <w:r w:rsidR="000C21D0">
        <w:t xml:space="preserve">cost saving </w:t>
      </w:r>
      <w:r w:rsidR="00897CC9">
        <w:t xml:space="preserve">per patient </w:t>
      </w:r>
      <w:r w:rsidR="000C21D0">
        <w:t>(£3.1k) is small.</w:t>
      </w:r>
      <w:r w:rsidR="0010173A">
        <w:t xml:space="preserve"> </w:t>
      </w:r>
      <w:r w:rsidR="006A3F4C">
        <w:t xml:space="preserve">On the other hand, the lifestyle intervention results in an average cost saving per patient of £15.2k, and is likely to benefit the CN population as well. </w:t>
      </w:r>
    </w:p>
    <w:p w14:paraId="528B7B24" w14:textId="4F202BEA" w:rsidR="00720868" w:rsidRPr="008E5064" w:rsidRDefault="000C21D0" w:rsidP="004925FE">
      <w:r>
        <w:t>Table 6 shows</w:t>
      </w:r>
      <w:r w:rsidR="00DA267E">
        <w:t xml:space="preserve"> that </w:t>
      </w:r>
      <w:r w:rsidR="00FD741C" w:rsidRPr="008E5064">
        <w:t>slow progress</w:t>
      </w:r>
      <w:r w:rsidR="00DA267E">
        <w:t>ors survive</w:t>
      </w:r>
      <w:r w:rsidR="00D137E7" w:rsidRPr="008E5064">
        <w:t xml:space="preserve"> about 9 years</w:t>
      </w:r>
      <w:r w:rsidR="00DA267E">
        <w:t>, whereas</w:t>
      </w:r>
      <w:r w:rsidR="00FD741C" w:rsidRPr="008E5064">
        <w:t xml:space="preserve"> fast </w:t>
      </w:r>
      <w:r w:rsidR="00DA267E">
        <w:t>progressors</w:t>
      </w:r>
      <w:r w:rsidR="00D137E7" w:rsidRPr="008E5064">
        <w:t xml:space="preserve"> </w:t>
      </w:r>
      <w:r w:rsidR="00DA267E">
        <w:t xml:space="preserve">only survive </w:t>
      </w:r>
      <w:r w:rsidR="00D137E7" w:rsidRPr="008E5064">
        <w:t xml:space="preserve">3.4 </w:t>
      </w:r>
      <w:r w:rsidR="00DA267E">
        <w:t>y</w:t>
      </w:r>
      <w:r w:rsidR="00D137E7" w:rsidRPr="008E5064">
        <w:t>ears</w:t>
      </w:r>
      <w:r w:rsidR="00DA267E">
        <w:t xml:space="preserve"> on average</w:t>
      </w:r>
      <w:r>
        <w:t>.</w:t>
      </w:r>
      <w:r w:rsidR="0010173A">
        <w:t xml:space="preserve"> </w:t>
      </w:r>
      <w:r>
        <w:t>This</w:t>
      </w:r>
      <w:r w:rsidR="00FD741C" w:rsidRPr="008E5064">
        <w:t xml:space="preserve"> more rapid decline is a</w:t>
      </w:r>
      <w:r w:rsidR="004C4079" w:rsidRPr="008E5064">
        <w:t>ssociated with reduced quality of life and higher mortality.</w:t>
      </w:r>
      <w:r w:rsidR="0010173A">
        <w:t xml:space="preserve"> </w:t>
      </w:r>
      <w:r w:rsidR="001117F7">
        <w:t>T</w:t>
      </w:r>
      <w:r w:rsidR="004C4079" w:rsidRPr="008E5064">
        <w:t>he annual care costs for fast progress</w:t>
      </w:r>
      <w:r w:rsidR="00DA267E">
        <w:t>or</w:t>
      </w:r>
      <w:r w:rsidR="004C4079" w:rsidRPr="008E5064">
        <w:t xml:space="preserve">s </w:t>
      </w:r>
      <w:r>
        <w:t xml:space="preserve">are higher, </w:t>
      </w:r>
      <w:r w:rsidR="001117F7">
        <w:t xml:space="preserve">but </w:t>
      </w:r>
      <w:r>
        <w:t>they are</w:t>
      </w:r>
      <w:r w:rsidR="004C4079" w:rsidRPr="008E5064">
        <w:t xml:space="preserve"> incurred over a shorter period, resulting in lower </w:t>
      </w:r>
      <w:r w:rsidR="004925FE">
        <w:t xml:space="preserve">average </w:t>
      </w:r>
      <w:r>
        <w:t>total</w:t>
      </w:r>
      <w:r w:rsidR="004C4079" w:rsidRPr="008E5064">
        <w:t xml:space="preserve"> care costs</w:t>
      </w:r>
      <w:r>
        <w:t xml:space="preserve"> (£155k)</w:t>
      </w:r>
      <w:r w:rsidR="001117F7">
        <w:t>.</w:t>
      </w:r>
      <w:r w:rsidR="0010173A">
        <w:t xml:space="preserve"> </w:t>
      </w:r>
      <w:r w:rsidR="001117F7">
        <w:t>S</w:t>
      </w:r>
      <w:r w:rsidR="00D137E7" w:rsidRPr="008E5064">
        <w:t>low progress</w:t>
      </w:r>
      <w:r w:rsidR="00DA267E">
        <w:t>or</w:t>
      </w:r>
      <w:r w:rsidR="00D137E7" w:rsidRPr="008E5064">
        <w:t xml:space="preserve">s </w:t>
      </w:r>
      <w:r w:rsidR="0089046B" w:rsidRPr="008E5064">
        <w:t xml:space="preserve">incur higher </w:t>
      </w:r>
      <w:r w:rsidR="004925FE">
        <w:t xml:space="preserve">average </w:t>
      </w:r>
      <w:r>
        <w:t>total</w:t>
      </w:r>
      <w:r w:rsidR="0089046B" w:rsidRPr="008E5064">
        <w:t xml:space="preserve"> costs </w:t>
      </w:r>
      <w:r w:rsidR="00897CC9">
        <w:t>(</w:t>
      </w:r>
      <w:r w:rsidR="0089046B" w:rsidRPr="008E5064">
        <w:t>£233k)</w:t>
      </w:r>
      <w:r w:rsidR="004925FE">
        <w:t>, but</w:t>
      </w:r>
      <w:r w:rsidR="0089046B" w:rsidRPr="008E5064">
        <w:t xml:space="preserve"> over a longer period</w:t>
      </w:r>
      <w:r w:rsidR="004925FE">
        <w:t xml:space="preserve">. </w:t>
      </w:r>
    </w:p>
    <w:p w14:paraId="3926D5B0" w14:textId="0124BB3D" w:rsidR="00897CC9" w:rsidRPr="00526E3F" w:rsidRDefault="00897CC9" w:rsidP="00897CC9">
      <w:pPr>
        <w:pStyle w:val="Heading2"/>
      </w:pPr>
      <w:r w:rsidRPr="00526E3F">
        <w:t>10.</w:t>
      </w:r>
      <w:r w:rsidR="004925FE">
        <w:t>2</w:t>
      </w:r>
      <w:r w:rsidRPr="00526E3F">
        <w:t xml:space="preserve"> Clinical and policy implications</w:t>
      </w:r>
    </w:p>
    <w:p w14:paraId="4402BCB7" w14:textId="0E1B5274" w:rsidR="004925FE" w:rsidRPr="008E5064" w:rsidRDefault="006A3F4C" w:rsidP="004925FE">
      <w:r>
        <w:t>P</w:t>
      </w:r>
      <w:r w:rsidRPr="00852B9E">
        <w:t>rompt assessment for fast progress</w:t>
      </w:r>
      <w:r>
        <w:t xml:space="preserve">ors is clearly important, </w:t>
      </w:r>
      <w:r w:rsidRPr="00852B9E">
        <w:t>as there is less time to get individual care plans in place and</w:t>
      </w:r>
      <w:r>
        <w:t xml:space="preserve"> to </w:t>
      </w:r>
      <w:r w:rsidRPr="00852B9E">
        <w:t>identify the budgetary means.</w:t>
      </w:r>
      <w:r w:rsidR="0010173A">
        <w:t xml:space="preserve"> </w:t>
      </w:r>
      <w:r w:rsidR="004925FE">
        <w:t>F</w:t>
      </w:r>
      <w:r w:rsidR="004925FE" w:rsidRPr="008E5064">
        <w:t>or a typically-sized care service planning area</w:t>
      </w:r>
      <w:r w:rsidR="004925FE">
        <w:t>,</w:t>
      </w:r>
      <w:r w:rsidR="004925FE" w:rsidRPr="008E5064">
        <w:t xml:space="preserve"> with 10</w:t>
      </w:r>
      <w:r w:rsidR="004925FE">
        <w:t>,</w:t>
      </w:r>
      <w:r w:rsidR="004925FE" w:rsidRPr="008E5064">
        <w:t xml:space="preserve">000 persons </w:t>
      </w:r>
      <w:r w:rsidR="004925FE">
        <w:t>aged</w:t>
      </w:r>
      <w:r w:rsidR="004925FE" w:rsidRPr="008E5064">
        <w:t xml:space="preserve"> 60-65, there will be several hundred new dementia cases within that cohort </w:t>
      </w:r>
      <w:r w:rsidR="004925FE" w:rsidRPr="008E5064">
        <w:lastRenderedPageBreak/>
        <w:t xml:space="preserve">over each 5-year interval. The number of new cases within that age cohort peaks at age 80 to 85, </w:t>
      </w:r>
      <w:r w:rsidR="004925FE">
        <w:t>after which</w:t>
      </w:r>
      <w:r w:rsidR="004925FE" w:rsidRPr="008E5064">
        <w:t xml:space="preserve"> the number of people dying with dementia </w:t>
      </w:r>
      <w:r>
        <w:t>exceeds</w:t>
      </w:r>
      <w:r w:rsidR="004925FE" w:rsidRPr="008E5064">
        <w:t xml:space="preserve"> the number of new cases. </w:t>
      </w:r>
      <w:r w:rsidR="004925FE">
        <w:t>At this point, t</w:t>
      </w:r>
      <w:r w:rsidR="004925FE" w:rsidRPr="008E5064">
        <w:t xml:space="preserve">he emphasis </w:t>
      </w:r>
      <w:r>
        <w:t xml:space="preserve">for care </w:t>
      </w:r>
      <w:r w:rsidR="00A054F3">
        <w:t>services</w:t>
      </w:r>
      <w:r>
        <w:t xml:space="preserve"> </w:t>
      </w:r>
      <w:r w:rsidR="004925FE">
        <w:t>shift</w:t>
      </w:r>
      <w:r w:rsidR="004925FE" w:rsidRPr="008E5064">
        <w:t xml:space="preserve">s from </w:t>
      </w:r>
      <w:r w:rsidR="004925FE">
        <w:t>managing</w:t>
      </w:r>
      <w:r w:rsidR="004925FE" w:rsidRPr="008E5064">
        <w:t xml:space="preserve"> new cases to </w:t>
      </w:r>
      <w:r>
        <w:t xml:space="preserve">providing </w:t>
      </w:r>
      <w:r w:rsidR="004925FE" w:rsidRPr="008E5064">
        <w:t>end of life care.</w:t>
      </w:r>
    </w:p>
    <w:p w14:paraId="60960981" w14:textId="5BDF6308" w:rsidR="006A3F4C" w:rsidRDefault="006A3F4C" w:rsidP="006A3F4C">
      <w:r w:rsidRPr="00897CC9">
        <w:t xml:space="preserve">The scenarios </w:t>
      </w:r>
      <w:r>
        <w:t xml:space="preserve">in section 9 </w:t>
      </w:r>
      <w:r w:rsidRPr="00897CC9">
        <w:t xml:space="preserve">were chosen to illustrate the simplest way that the model </w:t>
      </w:r>
      <w:r>
        <w:t>can</w:t>
      </w:r>
      <w:r w:rsidRPr="00897CC9">
        <w:t xml:space="preserve"> be used, </w:t>
      </w:r>
      <w:r>
        <w:t>i.e.</w:t>
      </w:r>
      <w:r w:rsidRPr="00897CC9">
        <w:t xml:space="preserve"> for one single age cohort</w:t>
      </w:r>
      <w:r>
        <w:t xml:space="preserve"> starting at age 60, and are thus </w:t>
      </w:r>
      <w:r w:rsidRPr="00897CC9">
        <w:t xml:space="preserve">closer to the world of clinical trials than the world of </w:t>
      </w:r>
      <w:r>
        <w:t xml:space="preserve">care </w:t>
      </w:r>
      <w:r w:rsidRPr="00897CC9">
        <w:t>service planning</w:t>
      </w:r>
      <w:r>
        <w:t>. However, the</w:t>
      </w:r>
      <w:r w:rsidRPr="00897CC9">
        <w:t xml:space="preserve"> model can </w:t>
      </w:r>
      <w:r>
        <w:t xml:space="preserve">also </w:t>
      </w:r>
      <w:r w:rsidRPr="00897CC9">
        <w:t>handle more realistic population-based scenarios</w:t>
      </w:r>
      <w:r>
        <w:t xml:space="preserve">, </w:t>
      </w:r>
      <w:r w:rsidRPr="00897CC9">
        <w:t>described in Appendix A.2</w:t>
      </w:r>
      <w:r>
        <w:t>.</w:t>
      </w:r>
      <w:r w:rsidR="0010173A">
        <w:t xml:space="preserve"> </w:t>
      </w:r>
      <w:r>
        <w:t>These in</w:t>
      </w:r>
      <w:r w:rsidRPr="00897CC9">
        <w:t>clud</w:t>
      </w:r>
      <w:r>
        <w:t>e</w:t>
      </w:r>
      <w:r w:rsidRPr="00897CC9">
        <w:t xml:space="preserve"> multiple age cohorts</w:t>
      </w:r>
      <w:r>
        <w:t>,</w:t>
      </w:r>
      <w:r w:rsidRPr="00897CC9">
        <w:t xml:space="preserve"> i.e. new arrivals aged 60-65 every five years</w:t>
      </w:r>
      <w:r>
        <w:t>;</w:t>
      </w:r>
      <w:r w:rsidRPr="00897CC9">
        <w:t xml:space="preserve"> a ‘cross-sectional’ initial population in each age group at time zero</w:t>
      </w:r>
      <w:r>
        <w:t>; and, most realistic</w:t>
      </w:r>
      <w:r w:rsidR="00A054F3">
        <w:t xml:space="preserve"> of all</w:t>
      </w:r>
      <w:r>
        <w:t>, a combination of</w:t>
      </w:r>
      <w:r w:rsidRPr="00897CC9">
        <w:t xml:space="preserve"> </w:t>
      </w:r>
      <w:r>
        <w:t xml:space="preserve">both these. </w:t>
      </w:r>
    </w:p>
    <w:p w14:paraId="195F9A87" w14:textId="346ACEF4" w:rsidR="009426E7" w:rsidRDefault="00897CC9" w:rsidP="00897CC9">
      <w:r>
        <w:t xml:space="preserve">Until more effective treatments become available, medication alone is </w:t>
      </w:r>
      <w:r w:rsidRPr="00423485">
        <w:t xml:space="preserve">unlikely to make </w:t>
      </w:r>
      <w:r>
        <w:t xml:space="preserve">significant </w:t>
      </w:r>
      <w:r w:rsidRPr="00423485">
        <w:t>reductions in population-level demand for dementia care services.</w:t>
      </w:r>
      <w:r w:rsidR="0010173A">
        <w:t xml:space="preserve"> </w:t>
      </w:r>
      <w:r w:rsidRPr="00852B9E">
        <w:t xml:space="preserve">Lifestyle interventions have greater potential, </w:t>
      </w:r>
      <w:r>
        <w:t xml:space="preserve">and may also lead to other health benefits in addition to dementia, </w:t>
      </w:r>
      <w:r w:rsidRPr="00852B9E">
        <w:t>but require considerable planning and long-term commitment from all stakeholders to ensure that the</w:t>
      </w:r>
      <w:r>
        <w:t>se</w:t>
      </w:r>
      <w:r w:rsidRPr="00852B9E">
        <w:t xml:space="preserve"> benefits are realised.</w:t>
      </w:r>
      <w:r w:rsidR="0010173A">
        <w:t xml:space="preserve"> </w:t>
      </w:r>
      <w:r w:rsidRPr="00852B9E">
        <w:t xml:space="preserve">An appropriate precautionary approach would be to prepare for increased demand based on the key driver of older population growth, supporting previous recommendations </w:t>
      </w:r>
      <w:r w:rsidRPr="00852B9E">
        <w:fldChar w:fldCharType="begin" w:fldLock="1"/>
      </w:r>
      <w:r w:rsidRPr="00852B9E">
        <w:instrText>ADDIN CSL_CITATION {"citationItems":[{"id":"ITEM-1","itemData":{"DOI":"10.1186/s13195-016-0188-8","ISSN":"1758-9193","PMID":"27473681","abstract":"BACKGROUND Current projections of the scale of the coming dementia epidemic assume that the age- and sex-specific prevalence of dementia will not vary over time, and that population ageing alone (increasing the number of older people at risk) drives the projected increases. The basis for this assumption is doubtful, and secular trends (that is, gradual decreases or increases in prevalence over long-term periods) are perfectly plausible. METHODS We carried out a systematic review of studies of trends in prevalence, incidence and mortality for people with dementia, conducted since 1980. RESULTS We identified nine studies that had tracked dementia prevalence, eight that had tracked dementia incidence, and four that had tracked mortality among people with dementia. There was some moderately consistent evidence to suggest that the incidence of dementia may be declining in high-income countries. Evidence on trends in the prevalence of dementia were inconsistent across studies and did not suggest any clear overall effect. Declining incidence may be balanced by longer survival with dementia, although mortality trends have been little studied. There is some evidence to suggest increasing prevalence in East Asia, consistent with worsening cardiovascular risk factor profiles, although secular changes in diagnostic criteria may also have contributed. CONCLUSIONS We found no evidence to suggest that the current assumption of constant age-specific prevalence of dementia over time is ill-founded. However, there remains some uncertainty as to the future scale of the dementia epidemic. Population ageing seems destined to play the greatest role, and prudent policymakers should plan future service provision based upon current prevalence projections. Additional priorities should include investing in brain health promotion and dementia prevention programs, and monitoring the future course of the epidemic to chart the effectiveness of these measures.","author":[{"dropping-particle":"","family":"Prince","given":"Martin","non-dropping-particle":"","parse-names":false,"suffix":""}],"container-title":"Alzheimer's Research &amp; Therapy","id":"ITEM-1","issue":"1","issued":{"date-parts":[["2016","12","30"]]},"page":"23","publisher":"BioMed Central","title":"Recent global trends in the prevalence and incidence of dementia, and survival with dementia","type":"article-journal","volume":"8"},"uris":["http://www.mendeley.com/documents/?uuid=5bb6a5f0-de2b-3e94-9080-c6b645fe8fd3"]}],"mendeley":{"formattedCitation":"(Prince, 2016)","plainTextFormattedCitation":"(Prince, 2016)","previouslyFormattedCitation":"(Prince, 2016)"},"properties":{"noteIndex":0},"schema":"https://github.com/citation-style-language/schema/raw/master/csl-citation.json"}</w:instrText>
      </w:r>
      <w:r w:rsidRPr="00852B9E">
        <w:fldChar w:fldCharType="separate"/>
      </w:r>
      <w:r w:rsidRPr="00852B9E">
        <w:rPr>
          <w:noProof/>
        </w:rPr>
        <w:t>(Prince, 2016)</w:t>
      </w:r>
      <w:r w:rsidRPr="00852B9E">
        <w:fldChar w:fldCharType="end"/>
      </w:r>
      <w:r w:rsidRPr="00852B9E">
        <w:t>.</w:t>
      </w:r>
      <w:r w:rsidR="0010173A">
        <w:t xml:space="preserve"> </w:t>
      </w:r>
      <w:r w:rsidR="00E90595" w:rsidRPr="00423485">
        <w:t>In addition, a deeper appreciation of differing progression rates, and their effect on service need affords better capability in matching service provision with local demand and future service growth.</w:t>
      </w:r>
    </w:p>
    <w:p w14:paraId="70C40001" w14:textId="370CC219" w:rsidR="00B141DD" w:rsidRPr="00526E3F" w:rsidRDefault="00B141DD" w:rsidP="00134F6B">
      <w:pPr>
        <w:pStyle w:val="Heading2"/>
      </w:pPr>
      <w:r w:rsidRPr="00526E3F">
        <w:t>10.</w:t>
      </w:r>
      <w:r w:rsidR="004925FE">
        <w:t>3</w:t>
      </w:r>
      <w:r w:rsidRPr="00526E3F">
        <w:t xml:space="preserve"> </w:t>
      </w:r>
      <w:r w:rsidR="00427E2F">
        <w:t>Modelling and simulation r</w:t>
      </w:r>
      <w:r w:rsidR="00134F6B" w:rsidRPr="00526E3F">
        <w:t>eflections</w:t>
      </w:r>
      <w:r w:rsidR="00A84723" w:rsidRPr="00526E3F">
        <w:t xml:space="preserve"> </w:t>
      </w:r>
    </w:p>
    <w:p w14:paraId="33BBA15D" w14:textId="4F3DF63F" w:rsidR="00451D2F" w:rsidRDefault="00B52E0C" w:rsidP="00E21B28">
      <w:r w:rsidRPr="00B52E0C">
        <w:t xml:space="preserve">The scientifically novel </w:t>
      </w:r>
      <w:r>
        <w:t>aspects of this model</w:t>
      </w:r>
      <w:r w:rsidRPr="00B52E0C">
        <w:t xml:space="preserve"> are the ageing mechanism in the SD submodel, the interfaces between SD and AB (i.e. the agent creation and removal processes), </w:t>
      </w:r>
      <w:r w:rsidR="00CE343C">
        <w:t xml:space="preserve">and </w:t>
      </w:r>
      <w:r w:rsidRPr="00B52E0C">
        <w:t>the disease progression analysi</w:t>
      </w:r>
      <w:r w:rsidR="00CE343C">
        <w:t>s in the AB submodel</w:t>
      </w:r>
      <w:r w:rsidRPr="00B52E0C">
        <w:t xml:space="preserve">. </w:t>
      </w:r>
      <w:r>
        <w:t>The</w:t>
      </w:r>
      <w:r w:rsidR="008846AF" w:rsidRPr="00526E3F">
        <w:t xml:space="preserve"> hybrid approach </w:t>
      </w:r>
      <w:r w:rsidR="00134F6B" w:rsidRPr="00526E3F">
        <w:t>exploits</w:t>
      </w:r>
      <w:r w:rsidR="008846AF" w:rsidRPr="00526E3F">
        <w:t xml:space="preserve"> the complementary </w:t>
      </w:r>
      <w:r w:rsidR="00134F6B" w:rsidRPr="00526E3F">
        <w:t>strengths</w:t>
      </w:r>
      <w:r w:rsidR="008846AF" w:rsidRPr="00526E3F">
        <w:t xml:space="preserve"> of SD and AB</w:t>
      </w:r>
      <w:r w:rsidR="00F252BE" w:rsidRPr="00526E3F">
        <w:t>M</w:t>
      </w:r>
      <w:r w:rsidR="008846AF" w:rsidRPr="00526E3F">
        <w:t>.</w:t>
      </w:r>
      <w:r w:rsidR="0010173A">
        <w:t xml:space="preserve"> </w:t>
      </w:r>
      <w:r w:rsidR="00134F6B" w:rsidRPr="00526E3F">
        <w:t>In a healthcare context, many problems can benefit from combi</w:t>
      </w:r>
      <w:r w:rsidR="0002725F" w:rsidRPr="00526E3F">
        <w:t>ning</w:t>
      </w:r>
      <w:r w:rsidR="00134F6B" w:rsidRPr="00526E3F">
        <w:t xml:space="preserve"> a </w:t>
      </w:r>
      <w:r w:rsidR="006F6E9A" w:rsidRPr="00526E3F">
        <w:t xml:space="preserve">deterministic, </w:t>
      </w:r>
      <w:r w:rsidR="00134F6B" w:rsidRPr="00526E3F">
        <w:t xml:space="preserve">population-level </w:t>
      </w:r>
      <w:r w:rsidR="006F6E9A" w:rsidRPr="00526E3F">
        <w:t xml:space="preserve">system-wide </w:t>
      </w:r>
      <w:r w:rsidR="00134F6B" w:rsidRPr="00526E3F">
        <w:t xml:space="preserve">view with a detailed, stochastic, </w:t>
      </w:r>
      <w:r w:rsidR="006F6E9A" w:rsidRPr="00526E3F">
        <w:t>patient</w:t>
      </w:r>
      <w:r w:rsidR="00134F6B" w:rsidRPr="00526E3F">
        <w:t>-level perspective</w:t>
      </w:r>
      <w:r w:rsidR="007D6C81">
        <w:t xml:space="preserve"> </w:t>
      </w:r>
      <w:r w:rsidR="007D6C81">
        <w:fldChar w:fldCharType="begin" w:fldLock="1"/>
      </w:r>
      <w:r w:rsidR="007D6C81">
        <w:instrText>ADDIN CSL_CITATION {"citationItems":[{"id":"ITEM-1","itemData":{"DOI":"10.1016/j.ejor.2018.10.025","ISSN":"03772217","abstract":"Hybrid simulation (defined as a modelling approach that combines two or more of the following methods: discrete-event simulation, system dynamics, and agent-based simulation) has experienced near-exponential growth in popularity in the past two decades. However, a large proportion of the academic literature on hybrid simulation is found in computer science and engineering journals. Given the importance of this emerging area and its relevance to operational research, this paper provides a review of the topic from an OR perspective. The results of a review of the hybrid simulation literature are presented, using a novel framework based on the simulation lifecycle that will be useful for future modellers and authors alike. Promising areas for future research are identified: these include the development of new methods for conceptual modelling and for model validation. Currently the main application areas are healthcare, supply chain management and manufacturing, and the majority of published models combine discrete-event simulation and system dynamics.","author":[{"dropping-particle":"","family":"Brailsford","given":"Sally C.","non-dropping-particle":"","parse-names":false,"suffix":""},{"dropping-particle":"","family":"Eldabi","given":"Tillal","non-dropping-particle":"","parse-names":false,"suffix":""},{"dropping-particle":"","family":"Kunc","given":"Martin","non-dropping-particle":"","parse-names":false,"suffix":""},{"dropping-particle":"","family":"Mustafee","given":"Navonil","non-dropping-particle":"","parse-names":false,"suffix":""},{"dropping-particle":"","family":"Osorio","given":"Andres F.","non-dropping-particle":"","parse-names":false,"suffix":""}],"container-title":"European Journal of Operational Research","id":"ITEM-1","issue":"3","issued":{"date-parts":[["2019","11"]]},"page":"721-737","publisher":"Elsevier B.V.","title":"Hybrid simulation modelling in operational research: A state-of-the-art review","type":"article-journal","volume":"278"},"uris":["http://www.mendeley.com/documents/?uuid=5c64ccff-58d9-4c6f-984c-f861e10dedae"]}],"mendeley":{"formattedCitation":"(Brailsford et al., 2019)","plainTextFormattedCitation":"(Brailsford et al., 2019)","previouslyFormattedCitation":"(Brailsford et al., 2019)"},"properties":{"noteIndex":0},"schema":"https://github.com/citation-style-language/schema/raw/master/csl-citation.json"}</w:instrText>
      </w:r>
      <w:r w:rsidR="007D6C81">
        <w:fldChar w:fldCharType="separate"/>
      </w:r>
      <w:r w:rsidR="007D6C81" w:rsidRPr="00E90595">
        <w:rPr>
          <w:noProof/>
        </w:rPr>
        <w:t>(Brailsford et al., 2019)</w:t>
      </w:r>
      <w:r w:rsidR="007D6C81">
        <w:fldChar w:fldCharType="end"/>
      </w:r>
      <w:r w:rsidR="00134F6B" w:rsidRPr="00526E3F">
        <w:t xml:space="preserve">. </w:t>
      </w:r>
      <w:r w:rsidR="006F6E9A" w:rsidRPr="00526E3F">
        <w:t xml:space="preserve">Public health campaigns in particular are </w:t>
      </w:r>
      <w:r w:rsidR="00A70C0C" w:rsidRPr="00526E3F">
        <w:t xml:space="preserve">typically </w:t>
      </w:r>
      <w:r w:rsidR="001117F7">
        <w:t>“</w:t>
      </w:r>
      <w:r w:rsidR="006F6E9A" w:rsidRPr="00526E3F">
        <w:t>targeted” at very large populations</w:t>
      </w:r>
      <w:r w:rsidR="00E21B28">
        <w:t>, more efficiently modelled using SD</w:t>
      </w:r>
      <w:r w:rsidR="006F6E9A" w:rsidRPr="00526E3F">
        <w:t xml:space="preserve">, but their impact is </w:t>
      </w:r>
      <w:r w:rsidR="004935A8" w:rsidRPr="00526E3F">
        <w:t xml:space="preserve">felt </w:t>
      </w:r>
      <w:r w:rsidR="006F6E9A" w:rsidRPr="00526E3F">
        <w:t>by individual patients</w:t>
      </w:r>
      <w:r w:rsidR="00E21B28">
        <w:t xml:space="preserve">, </w:t>
      </w:r>
      <w:r w:rsidR="006A3F4C">
        <w:t>with</w:t>
      </w:r>
      <w:r w:rsidR="00E21B28">
        <w:t xml:space="preserve"> </w:t>
      </w:r>
      <w:r w:rsidR="006A3F4C">
        <w:t>variable effect</w:t>
      </w:r>
      <w:r w:rsidR="006F6E9A" w:rsidRPr="00526E3F">
        <w:t xml:space="preserve">. The healthy lifestyle intervention in this </w:t>
      </w:r>
      <w:r w:rsidR="00A70C0C" w:rsidRPr="00526E3F">
        <w:t>paper exemplifies this</w:t>
      </w:r>
      <w:r w:rsidR="00290A56" w:rsidRPr="00526E3F">
        <w:t>. A</w:t>
      </w:r>
      <w:r w:rsidR="00A70C0C" w:rsidRPr="00526E3F">
        <w:t>ny such intervention would have to be aimed at (say) all people over 50</w:t>
      </w:r>
      <w:r w:rsidR="00290A56" w:rsidRPr="00526E3F">
        <w:t>, the majority of whom will never develop dementia</w:t>
      </w:r>
      <w:r w:rsidR="00A70C0C" w:rsidRPr="00526E3F">
        <w:t xml:space="preserve"> </w:t>
      </w:r>
      <w:r w:rsidR="00E21B28">
        <w:t>(although they might still benefit from taking more exercise and a more healthy diet).</w:t>
      </w:r>
      <w:r w:rsidR="0010173A">
        <w:t xml:space="preserve"> </w:t>
      </w:r>
      <w:r w:rsidR="00E21B28">
        <w:t>For</w:t>
      </w:r>
      <w:r w:rsidR="00290A56" w:rsidRPr="00526E3F">
        <w:t xml:space="preserve"> </w:t>
      </w:r>
      <w:r w:rsidR="00E21B28">
        <w:t>those individuals who do</w:t>
      </w:r>
      <w:r w:rsidR="00290A56" w:rsidRPr="00526E3F">
        <w:t xml:space="preserve"> </w:t>
      </w:r>
      <w:r w:rsidR="00E21B28">
        <w:t xml:space="preserve">develop dementia, the health </w:t>
      </w:r>
      <w:r w:rsidR="00E21B28" w:rsidRPr="00526E3F">
        <w:t>benefits</w:t>
      </w:r>
      <w:r w:rsidR="00E21B28">
        <w:t xml:space="preserve"> are</w:t>
      </w:r>
      <w:r w:rsidR="00290A56" w:rsidRPr="00526E3F">
        <w:t xml:space="preserve"> variable.</w:t>
      </w:r>
      <w:r w:rsidR="0010173A">
        <w:t xml:space="preserve"> </w:t>
      </w:r>
      <w:r w:rsidR="00E21B28">
        <w:t>Service</w:t>
      </w:r>
      <w:r w:rsidR="00B0335E" w:rsidRPr="00526E3F">
        <w:t xml:space="preserve"> planners and decision-makers need to take </w:t>
      </w:r>
      <w:r w:rsidR="00E21B28">
        <w:t>all these</w:t>
      </w:r>
      <w:r w:rsidR="00B0335E" w:rsidRPr="00526E3F">
        <w:t xml:space="preserve"> aspects into account. </w:t>
      </w:r>
    </w:p>
    <w:p w14:paraId="122C20B5" w14:textId="6B994C35" w:rsidR="008B61A5" w:rsidRDefault="00451D2F" w:rsidP="006A3F4C">
      <w:r w:rsidRPr="00526E3F">
        <w:t>ABM is still relatively underused in practice</w:t>
      </w:r>
      <w:r>
        <w:t xml:space="preserve"> </w:t>
      </w:r>
      <w:r>
        <w:fldChar w:fldCharType="begin" w:fldLock="1"/>
      </w:r>
      <w:r>
        <w:instrText>ADDIN CSL_CITATION {"citationItems":[{"id":"ITEM-1","itemData":{"DOI":"10.1016/j.ejor.2018.10.025","ISSN":"03772217","abstract":"Hybrid simulation (defined as a modelling approach that combines two or more of the following methods: discrete-event simulation, system dynamics, and agent-based simulation) has experienced near-exponential growth in popularity in the past two decades. However, a large proportion of the academic literature on hybrid simulation is found in computer science and engineering journals. Given the importance of this emerging area and its relevance to operational research, this paper provides a review of the topic from an OR perspective. The results of a review of the hybrid simulation literature are presented, using a novel framework based on the simulation lifecycle that will be useful for future modellers and authors alike. Promising areas for future research are identified: these include the development of new methods for conceptual modelling and for model validation. Currently the main application areas are healthcare, supply chain management and manufacturing, and the majority of published models combine discrete-event simulation and system dynamics.","author":[{"dropping-particle":"","family":"Brailsford","given":"Sally C.","non-dropping-particle":"","parse-names":false,"suffix":""},{"dropping-particle":"","family":"Eldabi","given":"Tillal","non-dropping-particle":"","parse-names":false,"suffix":""},{"dropping-particle":"","family":"Kunc","given":"Martin","non-dropping-particle":"","parse-names":false,"suffix":""},{"dropping-particle":"","family":"Mustafee","given":"Navonil","non-dropping-particle":"","parse-names":false,"suffix":""},{"dropping-particle":"","family":"Osorio","given":"Andres F.","non-dropping-particle":"","parse-names":false,"suffix":""}],"container-title":"European Journal of Operational Research","id":"ITEM-1","issue":"3","issued":{"date-parts":[["2019","11"]]},"page":"721-737","publisher":"Elsevier B.V.","title":"Hybrid simulation modelling in operational research: A state-of-the-art review","type":"article-journal","volume":"278"},"uris":["http://www.mendeley.com/documents/?uuid=5c64ccff-58d9-4c6f-984c-f861e10dedae"]}],"mendeley":{"formattedCitation":"(Brailsford et al., 2019)","plainTextFormattedCitation":"(Brailsford et al., 2019)","previouslyFormattedCitation":"(Brailsford et al., 2019)"},"properties":{"noteIndex":0},"schema":"https://github.com/citation-style-language/schema/raw/master/csl-citation.json"}</w:instrText>
      </w:r>
      <w:r>
        <w:fldChar w:fldCharType="separate"/>
      </w:r>
      <w:r w:rsidRPr="00E90595">
        <w:rPr>
          <w:noProof/>
        </w:rPr>
        <w:t>(Brailsford et al., 2019)</w:t>
      </w:r>
      <w:r>
        <w:fldChar w:fldCharType="end"/>
      </w:r>
      <w:r w:rsidRPr="00526E3F">
        <w:t>, but is a very powerful approach</w:t>
      </w:r>
      <w:r>
        <w:t xml:space="preserve"> for modelling human systems</w:t>
      </w:r>
      <w:r w:rsidRPr="00526E3F">
        <w:t>.</w:t>
      </w:r>
      <w:r w:rsidR="0010173A">
        <w:t xml:space="preserve"> </w:t>
      </w:r>
      <w:r>
        <w:t>It would</w:t>
      </w:r>
      <w:r w:rsidRPr="00526E3F">
        <w:t xml:space="preserve"> </w:t>
      </w:r>
      <w:r>
        <w:t>enable</w:t>
      </w:r>
      <w:r w:rsidRPr="00526E3F">
        <w:t xml:space="preserve"> this model to be extended to include complications and comorbidities associated with dementia </w:t>
      </w:r>
      <w:r w:rsidRPr="00526E3F">
        <w:fldChar w:fldCharType="begin" w:fldLock="1"/>
      </w:r>
      <w:r w:rsidRPr="00526E3F">
        <w:instrText>ADDIN CSL_CITATION {"citationItems":[{"id":"ITEM-1","itemData":{"DOI":"10.1186/s12916-014-0192-4","ISBN":"10.1186/s12916-014-0192-4","ISSN":"1741-7015","PMID":"25358236","abstract":"BACKGROUND: Evidence suggests that amongst people with dementia there is a high prevalence of comorbid medical conditions and related complaints. The presence of dementia may complicate clinical care for other conditions and undermine a patient's ability to manage a chronic condition. The aim of this study was to scope the extent, range and nature of research activity around dementia and comorbidity.\n\nMETHODS: We undertook a scoping review including all types of research relating to the prevalence of comorbidities in people with dementia; current systems, structures and other issues relating to service organisation and delivery; patient and carer experiences; and the experiences and attitudes of service providers. We searched AMED, Cochrane Library, CINAHL, PubMed, NHS Evidence, Scopus, Google Scholar (searched 2012, Pubmed updated 2013), checked reference lists and performed citation searches on PubMed and Google Scholar (ongoing to February 2014).\n\nRESULTS: We included 54 primary studies, eight reviews and three guidelines. Much of the available literature relates to the prevalence of comorbidities in people with dementia or issues around quality of care. Less is known about service organisation and delivery or the views and experiences of people with dementia and their family carers. There is some evidence that people with dementia did not have the same access to treatment and monitoring for conditions such as visual impairment and diabetes as those with similar comorbidities but without dementia.\n\nCONCLUSIONS: The prevalence of comorbid conditions in people with dementia is high. Whilst current evidence suggests that people with dementia may have poorer access to services the reasons for this are not clear. There is a need for more research looking at the ways in which having dementia impacts on clinical care for other conditions and how the process of care and different services are adapting to the needs of people with dementia and comorbidity. People with dementia should be included in the debate about the management of comorbidities in older populations and there needs to be greater consideration given to including them in studies that focus on age-related healthcare issues.","author":[{"dropping-particle":"","family":"Bunn","given":"Frances","non-dropping-particle":"","parse-names":false,"suffix":""},{"dropping-particle":"","family":"Burn","given":"Anne-Marie","non-dropping-particle":"","parse-names":false,"suffix":""},{"dropping-particle":"","family":"Goodman","given":"Claire","non-dropping-particle":"","parse-names":false,"suffix":""},{"dropping-particle":"","family":"Rait","given":"Greta","non-dropping-particle":"","parse-names":false,"suffix":""},{"dropping-particle":"","family":"Norton","given":"Sam","non-dropping-particle":"","parse-names":false,"suffix":""},{"dropping-particle":"","family":"Robinson","given":"Louise","non-dropping-particle":"","parse-names":false,"suffix":""},{"dropping-particle":"","family":"Schoeman","given":"Johan","non-dropping-particle":"","parse-names":false,"suffix":""},{"dropping-particle":"","family":"Brayne","given":"Carol","non-dropping-particle":"","parse-names":false,"suffix":""}],"container-title":"BMC medicine","id":"ITEM-1","issue":"1","issued":{"date-parts":[["2014","1","31"]]},"language":"En","page":"192","publisher":"BioMed Central","title":"Comorbidity and dementia: a scoping review of the literature.","type":"article-journal","volume":"12"},"uris":["http://www.mendeley.com/documents/?uuid=6ecc5f19-dd7f-4213-b818-192219033a90"]},{"id":"ITEM-2","itemData":{"DOI":"10.1186/1471-244X-14-84","ISBN":"1471-244X(Electronic)","ISSN":"1471-244X","PMID":"24645776","abstract":"BACKGROUND: The epidemiologic study of comorbidities of an index health problem represents a methodological challenge. This study cross-sectionally describes and analyzes the comorbidities associated with dementia in older patients and reviews the existing similarities and differences between identified comorbid diseases using the statistical methods most frequently applied in current research.\\n\\nMETHODS: Cross-sectional study of 72,815 patients over 64 seen in 19 Spanish primary care centers during 2008. Chronic diseases were extracted from electronic health records and grouped into Expanded Diagnostic Clusters®. Three different statistical methods were applied (i.e., analysis of prevalence data, multiple regression and factor analysis), stratifying by sex.\\n\\nRESULTS: The two most frequent comorbidities both for men and women with dementia were hypertension and diabetes. Yet, logistic regression and factor analysis demonstrated that the comorbidities significantly associated with dementia were Parkinson's disease, congestive heart failure, cerebrovascular disease, anemia, cardiac arrhythmia, chronic skin ulcers, osteoporosis, thyroid disease, retinal disorders, prostatic hypertrophy, insomnia and anxiety and neurosis.\\n\\nCONCLUSIONS: The analysis of the comorbidities associated with an index disease (e.g., dementia) must not be exclusively based on prevalence rates, but rather on methodologies that allow the discovery of non-random associations between diseases. A deep and reliable knowledge about how different diseases are grouped and associated around an index disease such as dementia may orient future longitudinal studies aimed at unraveling causal associations.","author":[{"dropping-particle":"","family":"Poblador-Plou","given":"Beatriz","non-dropping-particle":"","parse-names":false,"suffix":""},{"dropping-particle":"","family":"Calderón-Larrañaga","given":"Amaia","non-dropping-particle":"","parse-names":false,"suffix":""},{"dropping-particle":"","family":"Marta-Moreno","given":"Javier","non-dropping-particle":"","parse-names":false,"suffix":""},{"dropping-particle":"","family":"Hancco-Saavedra","given":"Jorge","non-dropping-particle":"","parse-names":false,"suffix":""},{"dropping-particle":"","family":"Sicras-Mainar","given":"Antoni","non-dropping-particle":"","parse-names":false,"suffix":""},{"dropping-particle":"","family":"Soljak","given":"Michael","non-dropping-particle":"","parse-names":false,"suffix":""},{"dropping-particle":"","family":"Prados-Torres","given":"Alexandra","non-dropping-particle":"","parse-names":false,"suffix":""}],"container-title":"BMC psychiatry","id":"ITEM-2","issue":"1","issued":{"date-parts":[["2014"]]},"page":"84","title":"Comorbidity of dementia: a cross-sectional study of primary care older patients.","type":"article-journal","volume":"14"},"uris":["http://www.mendeley.com/documents/?uuid=3ee9439e-21a2-4fe9-940e-b5b68bdde5a5"]},{"id":"ITEM-3","itemData":{"DOI":"10.1017/CBO9780511894534","ISBN":"9780511894534 (ISBN); 9781107648265 (ISBN)","abstract":"Dementia is reaching epidemic proportions. To date treatment has focused on cognitive and behavioural symptoms and their management, but the physical side has been neglected. Physical comorbidity is extremely common in people with dementia and leads to excess disability and reduced quality of life for the affected person and their family. Physical comorbidity is often treatable if not reversible. Epilepsy, delirium, falls, oral disease, malnutrition, frailty, incontinence, sleep disorders and visual dysfunction are found to occur more frequently in dementia sufferers. Physical Comorbidities of Dementia describes how these may present and gives detailed information and evidence-based recommendations on how to recognise and manage these conditions. Written by clinicians, each chapter deals with a separate condition accompanied by a list of recommendations for management. Physical Comorbidities of Dementia provides practical explanations and solutions to help all healthcare professionals to improve care for people with dementia. © Susan Kurrle, Henry Brodaty and Roseanne Hogarth 2012.","author":[{"dropping-particle":"","family":"Kurrle","given":"S","non-dropping-particle":"","parse-names":false,"suffix":""},{"dropping-particle":"","family":"Brodaty","given":"H","non-dropping-particle":"","parse-names":false,"suffix":""},{"dropping-particle":"","family":"Hogarth","given":"R","non-dropping-particle":"","parse-names":false,"suffix":""}],"container-title":"Physical Comorbidities of Dementia","id":"ITEM-3","issued":{"date-parts":[["2012"]]},"number-of-pages":"1-124","title":"Physical comorbidities of dementia","type":"book"},"uris":["http://www.mendeley.com/documents/?uuid=eedbc8c8-952d-4987-92d6-089669b389f0"]}],"mendeley":{"formattedCitation":"(Bunn et al., 2014; Poblador-Plou et al., 2014; Kurrle et al., 2012)","plainTextFormattedCitation":"(Bunn et al., 2014; Poblador-Plou et al., 2014; Kurrle et al., 2012)","previouslyFormattedCitation":"(Bunn et al., 2014; Poblador-Plou et al., 2014; Kurrle et al., 2012)"},"properties":{"noteIndex":0},"schema":"https://github.com/citation-style-language/schema/raw/master/csl-citation.json"}</w:instrText>
      </w:r>
      <w:r w:rsidRPr="00526E3F">
        <w:fldChar w:fldCharType="separate"/>
      </w:r>
      <w:r w:rsidRPr="00526E3F">
        <w:rPr>
          <w:noProof/>
        </w:rPr>
        <w:t xml:space="preserve">(Bunn et al., 2014; Poblador-Plou et al., 2014; Kurrle et al., </w:t>
      </w:r>
      <w:r w:rsidRPr="00526E3F">
        <w:rPr>
          <w:noProof/>
        </w:rPr>
        <w:lastRenderedPageBreak/>
        <w:t>2012)</w:t>
      </w:r>
      <w:r w:rsidRPr="00526E3F">
        <w:fldChar w:fldCharType="end"/>
      </w:r>
      <w:r w:rsidRPr="00526E3F">
        <w:t xml:space="preserve">, </w:t>
      </w:r>
      <w:r>
        <w:t>and</w:t>
      </w:r>
      <w:r w:rsidRPr="00526E3F">
        <w:t xml:space="preserve"> also handle more complex network-based interactions, such as social engagement </w:t>
      </w:r>
      <w:r w:rsidRPr="00526E3F">
        <w:fldChar w:fldCharType="begin" w:fldLock="1"/>
      </w:r>
      <w:r w:rsidRPr="00526E3F">
        <w:instrText>ADDIN CSL_CITATION {"citationItems":[{"id":"ITEM-1","itemData":{"DOI":"10.1016/j.healthplace.2018.08.022","ISSN":"18732054","abstract":"Managing non-communicable diseases requires policy makers to adopt a whole systems perspective that adequately represents the complex causal architecture of human behaviour. Agent-based modelling is a computational method to understand the behaviour of complex systems by simulating the actions of entities within the system, including the way these individuals influence and are influenced by their physical and social environment. The potential benefits of this method have led to several calls for greater use in public health research. We discuss three challenges facing potential modellers: model specification, obtaining required data, and developing good practices. We also present steps to assist researchers to meet these challenges and implement their agent-based model.","author":[{"dropping-particle":"","family":"Badham","given":"Jennifer","non-dropping-particle":"","parse-names":false,"suffix":""},{"dropping-particle":"","family":"Chattoe-Brown","given":"Edmund","non-dropping-particle":"","parse-names":false,"suffix":""},{"dropping-particle":"","family":"Gilbert","given":"Nigel","non-dropping-particle":"","parse-names":false,"suffix":""},{"dropping-particle":"","family":"Chalabi","given":"Zaid","non-dropping-particle":"","parse-names":false,"suffix":""},{"dropping-particle":"","family":"Kee","given":"Frank","non-dropping-particle":"","parse-names":false,"suffix":""},{"dropping-particle":"","family":"Hunter","given":"Ruth F.","non-dropping-particle":"","parse-names":false,"suffix":""}],"container-title":"Health and Place","id":"ITEM-1","issue":"May","issued":{"date-parts":[["2018"]]},"page":"170-177","publisher":"Elsevier Ltd","title":"Developing agent-based models of complex health behaviour","type":"article-journal","volume":"54"},"uris":["http://www.mendeley.com/documents/?uuid=7fd5266c-b832-4725-a7b2-a804026c305e"]}],"mendeley":{"formattedCitation":"(Badham et al., 2018)","plainTextFormattedCitation":"(Badham et al., 2018)","previouslyFormattedCitation":"(Badham et al., 2018)"},"properties":{"noteIndex":0},"schema":"https://github.com/citation-style-language/schema/raw/master/csl-citation.json"}</w:instrText>
      </w:r>
      <w:r w:rsidRPr="00526E3F">
        <w:fldChar w:fldCharType="separate"/>
      </w:r>
      <w:r w:rsidRPr="00526E3F">
        <w:rPr>
          <w:noProof/>
        </w:rPr>
        <w:t>(Badham et al., 2018)</w:t>
      </w:r>
      <w:r w:rsidRPr="00526E3F">
        <w:fldChar w:fldCharType="end"/>
      </w:r>
      <w:r w:rsidRPr="00526E3F">
        <w:t xml:space="preserve"> and health service provider interactions and behaviours </w:t>
      </w:r>
      <w:r w:rsidRPr="00526E3F">
        <w:fldChar w:fldCharType="begin" w:fldLock="1"/>
      </w:r>
      <w:r w:rsidRPr="00526E3F">
        <w:instrText>ADDIN CSL_CITATION {"citationItems":[{"id":"ITEM-1","itemData":{"author":[{"dropping-particle":"","family":"Mills","given":"Alan","non-dropping-particle":"","parse-names":false,"suffix":""}],"id":"ITEM-1","issued":{"date-parts":[["2013"]]},"number-of-pages":"381","title":"Simulating health behavior","type":"report"},"uris":["http://www.mendeley.com/documents/?uuid=1b23f514-1b3c-4d2f-977b-944b3560c978"]}],"mendeley":{"formattedCitation":"(Mills, 2013)","plainTextFormattedCitation":"(Mills, 2013)","previouslyFormattedCitation":"(Mills, 2013)"},"properties":{"noteIndex":0},"schema":"https://github.com/citation-style-language/schema/raw/master/csl-citation.json"}</w:instrText>
      </w:r>
      <w:r w:rsidRPr="00526E3F">
        <w:fldChar w:fldCharType="separate"/>
      </w:r>
      <w:r w:rsidRPr="00526E3F">
        <w:rPr>
          <w:noProof/>
        </w:rPr>
        <w:t>(Mills, 2013)</w:t>
      </w:r>
      <w:r w:rsidRPr="00526E3F">
        <w:fldChar w:fldCharType="end"/>
      </w:r>
      <w:r w:rsidRPr="00526E3F">
        <w:t xml:space="preserve">, assuming sufficient data were available to parameterize such a model. </w:t>
      </w:r>
      <w:r w:rsidR="008E2ECF" w:rsidRPr="00526E3F">
        <w:t>Th</w:t>
      </w:r>
      <w:r w:rsidR="004935A8" w:rsidRPr="00526E3F">
        <w:t>is</w:t>
      </w:r>
      <w:r w:rsidR="008846AF" w:rsidRPr="00526E3F">
        <w:t xml:space="preserve"> </w:t>
      </w:r>
      <w:r w:rsidR="004935A8" w:rsidRPr="00526E3F">
        <w:t>model demonstrates</w:t>
      </w:r>
      <w:r w:rsidR="008846AF" w:rsidRPr="00526E3F">
        <w:t xml:space="preserve"> </w:t>
      </w:r>
      <w:r w:rsidR="004935A8" w:rsidRPr="00526E3F">
        <w:t xml:space="preserve">the </w:t>
      </w:r>
      <w:r w:rsidR="008846AF" w:rsidRPr="00526E3F">
        <w:t xml:space="preserve">potential of currently underutilised OR techniques </w:t>
      </w:r>
      <w:r w:rsidR="008846AF" w:rsidRPr="00526E3F">
        <w:fldChar w:fldCharType="begin" w:fldLock="1"/>
      </w:r>
      <w:r w:rsidR="001B54A6" w:rsidRPr="00526E3F">
        <w:instrText>ADDIN CSL_CITATION {"citationItems":[{"id":"ITEM-1","itemData":{"DOI":"10.1186/s12875-015-0325-7","ISBN":"1287501503257","ISSN":"1471-2296 (Electronic)","PMID":"26330096","abstract":"BACKGROUND: Self-management support to facilitate people with type 2 diabetes to  effectively manage their condition is complex to implement. Organisational and system elements operating in relation to providing optimal self-management support in primary care are poorly understood. We have applied operational research techniques to model pathways in primary care to explore and illuminate the processes and points where people struggle to find self-management support. METHODS: Primary care clinicians and support staff in 21 NHS general practices created maps to represent their experience of patients' progress through the system following diagnosis. These were collated into a combined pathway. Following consideration of how patients reduce dependency on the system to become enhanced self-managers, a model was created to show the influences on patients' pathways to self-management. RESULTS: Following establishment of diagnosis and treatment, appointment frequency decreases and patient self-management is expected to increase. However, capacity to consistently assess self-management capabilities; provide self-management support; or enhance patient-led self-care activities is missing from the pathways. Appointment frequencies are orientated to bio-medical monitoring rather than increasing the ability to mobilise resources or undertake self-management activities. CONCLUSIONS: The model provides a clear visual picture of the complexities implicated in achieving optimal self-management support. Self-management is quickly hidden from view in a system orientated to treatment delivery rather than to enhancing patient self-management. The model created highlights the limited self-management support currently provided and illuminates points where service change might impact on providing support for self-management. Ensuring professionals are aware of locally available support and people's existing network support has potential to provide appropriate and timely direction to community facilities and the mobilisation of resources.","author":[{"dropping-particle":"","family":"Penn","given":"Marion L","non-dropping-particle":"","parse-names":false,"suffix":""},{"dropping-particle":"","family":"Kennedy","given":"Anne P","non-dropping-particle":"","parse-names":false,"suffix":""},{"dropping-particle":"","family":"Vassilev","given":"Ivaylo I","non-dropping-particle":"","parse-names":false,"suffix":""},{"dropping-particle":"","family":"Chew-Graham","given":"Carolyn A","non-dropping-particle":"","parse-names":false,"suffix":""},{"dropping-particle":"","family":"Protheroe","given":"Joanne","non-dropping-particle":"","parse-names":false,"suffix":""},{"dropping-particle":"","family":"Rogers","given":"Anne","non-dropping-particle":"","parse-names":false,"suffix":""},{"dropping-particle":"","family":"Monks","given":"Tom","non-dropping-particle":"","parse-names":false,"suffix":""}],"container-title":"BMC family practice","id":"ITEM-1","issued":{"date-parts":[["2015"]]},"page":"112","title":"Modelling self-management pathways for people with diabetes in primary care.","type":"article-journal","volume":"16"},"uris":["http://www.mendeley.com/documents/?uuid=ef9815d8-7dd5-4cb0-9eb5-3aa1b4c24cc6"]},{"id":"ITEM-2","itemData":{"DOI":"10.1186/s13012-016-0444-0","ISSN":"1748-5908","PMID":"27268021","abstract":"BACKGROUND: Operational research (OR) is the discipline of using models, either quantitative or qualitative, to aid decision-making in complex implementation problems. The methods of OR have been used in healthcare since the 1950s in diverse areas such as emergency medicine and the interface between acute and community care; hospital performance; scheduling and management of patient home visits; scheduling of patient appointments; and many other complex implementation problems of an operational or logistical nature.\n\nDISCUSSION: To date, there has been limited debate about the role that operational research should take within implementation science. I detail three such roles for OR all grounded in upfront system thinking: structuring implementation problems, prospective evaluation of improvement interventions, and strategic reconfiguration. Case studies from mental health, emergency medicine, and stroke care are used to illustrate each role. I then describe the challenges for applied OR within implementation science at the organisational, interventional, and disciplinary levels. Two key challenges include the difficulty faced in achieving a position of mutual understanding between implementation scientists and research users and a stark lack of evaluation of OR interventions. To address these challenges, I propose a research agenda to evaluate applied OR through the lens of implementation science, the liberation of OR from the specialist research and consultancy environment, and co-design of models with service users. Operational research is a mature discipline that has developed a significant volume of methodology to improve health services. OR offers implementation scientists the opportunity to do more upfront system thinking before committing resources or taking risks. OR has three roles within implementation science: structuring an implementation problem, prospective evaluation of implementation problems, and a tool for strategic reconfiguration of health services. Challenges facing OR as implementation science include limited evidence and evaluation of impact, limited service user involvement, a lack of managerial awareness, effective communication between research users and OR modellers, and availability of healthcare data. To progress the science, a focus is needed in three key areas: evaluation of OR interventions, embedding the knowledge of OR in health services, and educating OR modellers about the aims and benefits of service user involvement.","author":[{"dropping-particle":"","family":"Monks","given":"Thomas","non-dropping-particle":"","parse-names":false,"suffix":""}],"container-title":"Implementation science : IS","id":"ITEM-2","issue":"1","issued":{"date-parts":[["2016","1","6"]]},"language":"En","page":"81","publisher":"BioMed Central","title":"Operational research as implementation science: definitions, challenges and research priorities.","type":"article-journal","volume":"11"},"uris":["http://www.mendeley.com/documents/?uuid=53e6b4aa-c30b-49f5-9354-1e8395176416"]}],"mendeley":{"formattedCitation":"(Penn et al., 2015; Monks, 2016)","plainTextFormattedCitation":"(Penn et al., 2015; Monks, 2016)","previouslyFormattedCitation":"(Penn et al., 2015; Monks, 2016)"},"properties":{"noteIndex":0},"schema":"https://github.com/citation-style-language/schema/raw/master/csl-citation.json"}</w:instrText>
      </w:r>
      <w:r w:rsidR="008846AF" w:rsidRPr="00526E3F">
        <w:fldChar w:fldCharType="separate"/>
      </w:r>
      <w:r w:rsidR="007F405F" w:rsidRPr="00526E3F">
        <w:rPr>
          <w:noProof/>
        </w:rPr>
        <w:t>(Penn et al., 2015; Monks, 2016)</w:t>
      </w:r>
      <w:r w:rsidR="008846AF" w:rsidRPr="00526E3F">
        <w:fldChar w:fldCharType="end"/>
      </w:r>
      <w:r w:rsidR="002167EF" w:rsidRPr="00526E3F">
        <w:t xml:space="preserve"> to better understand the interactions between </w:t>
      </w:r>
      <w:r w:rsidR="0028600A" w:rsidRPr="00526E3F">
        <w:t>population and patient-</w:t>
      </w:r>
      <w:r w:rsidR="002167EF" w:rsidRPr="00526E3F">
        <w:t>level effect</w:t>
      </w:r>
      <w:r w:rsidR="008E2ECF" w:rsidRPr="00526E3F">
        <w:t>s</w:t>
      </w:r>
      <w:r w:rsidR="00905B32" w:rsidRPr="00526E3F">
        <w:t xml:space="preserve"> of </w:t>
      </w:r>
      <w:r w:rsidR="00E21B28">
        <w:t xml:space="preserve">public health </w:t>
      </w:r>
      <w:r w:rsidR="00905B32" w:rsidRPr="00526E3F">
        <w:t>interventions</w:t>
      </w:r>
      <w:r>
        <w:t>.</w:t>
      </w:r>
      <w:r w:rsidR="0010173A">
        <w:t xml:space="preserve"> </w:t>
      </w:r>
      <w:r>
        <w:t>T</w:t>
      </w:r>
      <w:r w:rsidR="004935A8" w:rsidRPr="00526E3F">
        <w:t xml:space="preserve">he general principle of modelling macro-micro interactions extends </w:t>
      </w:r>
      <w:r w:rsidR="00905B32" w:rsidRPr="00526E3F">
        <w:t xml:space="preserve">far </w:t>
      </w:r>
      <w:r w:rsidR="004935A8" w:rsidRPr="00526E3F">
        <w:t xml:space="preserve">beyond healthcare into many other </w:t>
      </w:r>
      <w:r w:rsidR="00905B32" w:rsidRPr="00526E3F">
        <w:t xml:space="preserve">application </w:t>
      </w:r>
      <w:r w:rsidR="004935A8" w:rsidRPr="00526E3F">
        <w:t xml:space="preserve">areas. </w:t>
      </w:r>
    </w:p>
    <w:bookmarkEnd w:id="0"/>
    <w:p w14:paraId="62EF62AA" w14:textId="77777777" w:rsidR="00CC75C4" w:rsidRPr="006D0AC8" w:rsidRDefault="00CC75C4" w:rsidP="00CC75C4">
      <w:pPr>
        <w:pStyle w:val="Heading1"/>
        <w:rPr>
          <w:i/>
        </w:rPr>
      </w:pPr>
      <w:r w:rsidRPr="006D0AC8">
        <w:rPr>
          <w:i/>
        </w:rPr>
        <w:t>Acknowledgements</w:t>
      </w:r>
    </w:p>
    <w:p w14:paraId="14A8FE75" w14:textId="77777777" w:rsidR="00CC75C4" w:rsidRDefault="00CC75C4" w:rsidP="001061ED">
      <w:r w:rsidRPr="006E4300">
        <w:t>Data collection and sharing for this project was funded by the Alzheimer's Disease Neuroimaging Initiative</w:t>
      </w:r>
      <w:r>
        <w:t xml:space="preserve"> </w:t>
      </w:r>
      <w:r w:rsidRPr="006E4300">
        <w:t>(ADNI) (National Institutes of Health Grant U01 AG024904) and DOD ADNI (Department of Defense award</w:t>
      </w:r>
      <w:r>
        <w:t xml:space="preserve"> </w:t>
      </w:r>
      <w:r w:rsidRPr="006E4300">
        <w:t>number W81XWH-12-2-0012). ADNI is funded by the National Institute on Aging, the National Institute of</w:t>
      </w:r>
      <w:r>
        <w:t xml:space="preserve"> </w:t>
      </w:r>
      <w:r w:rsidRPr="006E4300">
        <w:t>Biomedical Imaging and Bioengineering, and through generous contributions from the following: AbbVie,</w:t>
      </w:r>
      <w:r>
        <w:t xml:space="preserve"> </w:t>
      </w:r>
      <w:r w:rsidRPr="006E4300">
        <w:t>Alzheimer’s Association; Alzheimer’s Drug Discovery Foundation; Araclon Biotech; BioClinica, Inc.; Biogen;</w:t>
      </w:r>
      <w:r>
        <w:t xml:space="preserve"> </w:t>
      </w:r>
      <w:r w:rsidRPr="006E4300">
        <w:t>Bristol-Myers Squibb Company; CereSpir, Inc.; Cogstate; Eisai Inc.; Elan Pharmaceuticals, Inc.; Eli Lilly and</w:t>
      </w:r>
      <w:r>
        <w:t xml:space="preserve"> </w:t>
      </w:r>
      <w:r w:rsidRPr="006E4300">
        <w:t>Company; EuroImmun; F. Hoffmann-La Roche Ltd and its affiliated company Genentech, Inc.; Fujirebio; GE</w:t>
      </w:r>
      <w:r>
        <w:t xml:space="preserve"> </w:t>
      </w:r>
      <w:r w:rsidRPr="006E4300">
        <w:t>Healthcare; IXICO Ltd.; Janssen Alzheimer Immunotherapy Research &amp; Development, LLC.; Johnson &amp;</w:t>
      </w:r>
      <w:r>
        <w:t xml:space="preserve"> </w:t>
      </w:r>
      <w:r w:rsidRPr="006E4300">
        <w:t>Johnson Pharmaceutical Research &amp; Development LLC.; Lumosity; Lundbeck; Merck &amp; Co., Inc.; Meso</w:t>
      </w:r>
      <w:r>
        <w:t xml:space="preserve"> </w:t>
      </w:r>
      <w:r w:rsidRPr="006E4300">
        <w:t>Scale Diagnostics, LLC.; NeuroRx Research; Neurotrack Technologies; Novartis Pharmaceuticals</w:t>
      </w:r>
      <w:r>
        <w:t xml:space="preserve"> </w:t>
      </w:r>
      <w:r w:rsidRPr="006E4300">
        <w:t>Corporation; Pfizer Inc.; Piramal Imaging; Servier; Takeda Pharmaceutical Company; and Transition</w:t>
      </w:r>
      <w:r>
        <w:t xml:space="preserve"> </w:t>
      </w:r>
      <w:r w:rsidRPr="006E4300">
        <w:t>Therapeutics. The Canadian Institutes of Health Research is providing funds to support ADNI clinical sites</w:t>
      </w:r>
      <w:r>
        <w:t xml:space="preserve"> </w:t>
      </w:r>
      <w:r w:rsidRPr="006E4300">
        <w:t>in Canada. Private sector contributions are facilitated by the Foundation for the National Institutes of Health</w:t>
      </w:r>
      <w:r>
        <w:t xml:space="preserve"> </w:t>
      </w:r>
      <w:r w:rsidRPr="006E4300">
        <w:t>(www.fnih.org). The grantee organization is the Northern California Institute for Research and Education,</w:t>
      </w:r>
      <w:r>
        <w:t xml:space="preserve"> </w:t>
      </w:r>
      <w:r w:rsidRPr="006E4300">
        <w:t>and the study is coordinated by the Alzheimer’s Therapeutic Research Institute at the University of Southern</w:t>
      </w:r>
      <w:r>
        <w:t xml:space="preserve"> </w:t>
      </w:r>
      <w:r w:rsidRPr="006E4300">
        <w:t>California. ADNI data are disseminated by the Laboratory for Neuro Imaging at the University of Southern</w:t>
      </w:r>
      <w:r>
        <w:t xml:space="preserve"> </w:t>
      </w:r>
      <w:r w:rsidRPr="006E4300">
        <w:t>California.</w:t>
      </w:r>
    </w:p>
    <w:p w14:paraId="369735E8" w14:textId="77777777" w:rsidR="00BB1C0E" w:rsidRDefault="00BB1C0E">
      <w:pPr>
        <w:spacing w:line="259" w:lineRule="auto"/>
        <w:jc w:val="left"/>
        <w:rPr>
          <w:rFonts w:asciiTheme="majorHAnsi" w:eastAsiaTheme="majorEastAsia" w:hAnsiTheme="majorHAnsi" w:cstheme="majorBidi"/>
          <w:color w:val="2E74B5" w:themeColor="accent1" w:themeShade="BF"/>
          <w:sz w:val="28"/>
          <w:szCs w:val="28"/>
          <w:u w:val="single"/>
        </w:rPr>
      </w:pPr>
      <w:r>
        <w:br w:type="page"/>
      </w:r>
    </w:p>
    <w:p w14:paraId="26E99B3C" w14:textId="7622F829" w:rsidR="007D42EF" w:rsidRPr="00526E3F" w:rsidRDefault="00962990" w:rsidP="00BC74E1">
      <w:pPr>
        <w:pStyle w:val="Heading1"/>
      </w:pPr>
      <w:r w:rsidRPr="00526E3F">
        <w:lastRenderedPageBreak/>
        <w:t xml:space="preserve">11 </w:t>
      </w:r>
      <w:r w:rsidR="007D42EF" w:rsidRPr="00526E3F">
        <w:t>Reference</w:t>
      </w:r>
      <w:r w:rsidR="00777E4D" w:rsidRPr="00526E3F">
        <w:t>s</w:t>
      </w:r>
    </w:p>
    <w:p w14:paraId="365E3823" w14:textId="661FFFF2" w:rsidR="001C6A20" w:rsidRPr="001C6A20" w:rsidRDefault="004F00A2" w:rsidP="001C6A20">
      <w:pPr>
        <w:widowControl w:val="0"/>
        <w:autoSpaceDE w:val="0"/>
        <w:autoSpaceDN w:val="0"/>
        <w:adjustRightInd w:val="0"/>
        <w:spacing w:after="60" w:line="240" w:lineRule="auto"/>
        <w:ind w:left="480" w:hanging="480"/>
        <w:rPr>
          <w:rFonts w:ascii="Calibri" w:hAnsi="Calibri" w:cs="Calibri"/>
          <w:noProof/>
          <w:szCs w:val="24"/>
        </w:rPr>
      </w:pPr>
      <w:r w:rsidRPr="00526E3F">
        <w:fldChar w:fldCharType="begin" w:fldLock="1"/>
      </w:r>
      <w:r w:rsidRPr="00526E3F">
        <w:instrText xml:space="preserve">ADDIN Mendeley Bibliography CSL_BIBLIOGRAPHY </w:instrText>
      </w:r>
      <w:r w:rsidRPr="00526E3F">
        <w:fldChar w:fldCharType="separate"/>
      </w:r>
      <w:r w:rsidR="001C6A20" w:rsidRPr="001C6A20">
        <w:rPr>
          <w:rFonts w:ascii="Calibri" w:hAnsi="Calibri" w:cs="Calibri"/>
          <w:noProof/>
          <w:szCs w:val="24"/>
        </w:rPr>
        <w:t>ADNI, 2016. Alzheimer’s Disease Neuroimaging Initiative. Available at: http://adni.loni.usc.edu/ [Accessed February 1, 2017].</w:t>
      </w:r>
    </w:p>
    <w:p w14:paraId="579C60AB"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Agüero-Torres, H. et al., 1999. Mortality from dementia in advanced age: A 5-year follow-up study of incident dementia cases. </w:t>
      </w:r>
      <w:r w:rsidRPr="001C6A20">
        <w:rPr>
          <w:rFonts w:ascii="Calibri" w:hAnsi="Calibri" w:cs="Calibri"/>
          <w:i/>
          <w:iCs/>
          <w:noProof/>
          <w:szCs w:val="24"/>
        </w:rPr>
        <w:t>Journal of Clinical Epidemiology</w:t>
      </w:r>
      <w:r w:rsidRPr="001C6A20">
        <w:rPr>
          <w:rFonts w:ascii="Calibri" w:hAnsi="Calibri" w:cs="Calibri"/>
          <w:noProof/>
          <w:szCs w:val="24"/>
        </w:rPr>
        <w:t>, 52(8), pp.737–743.</w:t>
      </w:r>
    </w:p>
    <w:p w14:paraId="253564AD"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Ahmadi-Abhari, S. et al., 2017. Temporal trend in dementia incidence since 2002 and projections for prevalence in England and Wales to 2040: modelling study. </w:t>
      </w:r>
      <w:r w:rsidRPr="001C6A20">
        <w:rPr>
          <w:rFonts w:ascii="Calibri" w:hAnsi="Calibri" w:cs="Calibri"/>
          <w:i/>
          <w:iCs/>
          <w:noProof/>
          <w:szCs w:val="24"/>
        </w:rPr>
        <w:t>BMJ</w:t>
      </w:r>
      <w:r w:rsidRPr="001C6A20">
        <w:rPr>
          <w:rFonts w:ascii="Calibri" w:hAnsi="Calibri" w:cs="Calibri"/>
          <w:noProof/>
          <w:szCs w:val="24"/>
        </w:rPr>
        <w:t>, 2856, pp.1–15.</w:t>
      </w:r>
    </w:p>
    <w:p w14:paraId="0C64118D"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Alzheimer’s Society, 2014. </w:t>
      </w:r>
      <w:r w:rsidRPr="001C6A20">
        <w:rPr>
          <w:rFonts w:ascii="Calibri" w:hAnsi="Calibri" w:cs="Calibri"/>
          <w:i/>
          <w:iCs/>
          <w:noProof/>
          <w:szCs w:val="24"/>
        </w:rPr>
        <w:t>Dementia UK: Update</w:t>
      </w:r>
      <w:r w:rsidRPr="001C6A20">
        <w:rPr>
          <w:rFonts w:ascii="Calibri" w:hAnsi="Calibri" w:cs="Calibri"/>
          <w:noProof/>
          <w:szCs w:val="24"/>
        </w:rPr>
        <w:t>, London.</w:t>
      </w:r>
    </w:p>
    <w:p w14:paraId="7601F362"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Ansah, J.P. et al., 2013. Simulating the Impact of Long-Term Care Policy on Family Eldercare Hours. </w:t>
      </w:r>
      <w:r w:rsidRPr="001C6A20">
        <w:rPr>
          <w:rFonts w:ascii="Calibri" w:hAnsi="Calibri" w:cs="Calibri"/>
          <w:i/>
          <w:iCs/>
          <w:noProof/>
          <w:szCs w:val="24"/>
        </w:rPr>
        <w:t>Health Services Research</w:t>
      </w:r>
      <w:r w:rsidRPr="001C6A20">
        <w:rPr>
          <w:rFonts w:ascii="Calibri" w:hAnsi="Calibri" w:cs="Calibri"/>
          <w:noProof/>
          <w:szCs w:val="24"/>
        </w:rPr>
        <w:t>, 48(2pt2), pp.773–791.</w:t>
      </w:r>
    </w:p>
    <w:p w14:paraId="43E2FA67"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van Baal, P.H.M., Hoogendoorn, M. and Fischer, A., 2016. Preventing dementia by promoting physical activity and the long-term impact on health and social care expenditures. </w:t>
      </w:r>
      <w:r w:rsidRPr="001C6A20">
        <w:rPr>
          <w:rFonts w:ascii="Calibri" w:hAnsi="Calibri" w:cs="Calibri"/>
          <w:i/>
          <w:iCs/>
          <w:noProof/>
          <w:szCs w:val="24"/>
        </w:rPr>
        <w:t>Preventive Medicine</w:t>
      </w:r>
      <w:r w:rsidRPr="001C6A20">
        <w:rPr>
          <w:rFonts w:ascii="Calibri" w:hAnsi="Calibri" w:cs="Calibri"/>
          <w:noProof/>
          <w:szCs w:val="24"/>
        </w:rPr>
        <w:t>, 85, pp.78–83.</w:t>
      </w:r>
    </w:p>
    <w:p w14:paraId="75AD085F"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Badham, J. et al., 2018. Developing agent-based models of complex health behaviour. </w:t>
      </w:r>
      <w:r w:rsidRPr="001C6A20">
        <w:rPr>
          <w:rFonts w:ascii="Calibri" w:hAnsi="Calibri" w:cs="Calibri"/>
          <w:i/>
          <w:iCs/>
          <w:noProof/>
          <w:szCs w:val="24"/>
        </w:rPr>
        <w:t>Health and Place</w:t>
      </w:r>
      <w:r w:rsidRPr="001C6A20">
        <w:rPr>
          <w:rFonts w:ascii="Calibri" w:hAnsi="Calibri" w:cs="Calibri"/>
          <w:noProof/>
          <w:szCs w:val="24"/>
        </w:rPr>
        <w:t>, 54(May), pp.170–177.</w:t>
      </w:r>
    </w:p>
    <w:p w14:paraId="0A27253E"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Barnett, J.H. et al., 2014. Early intervention in Alzheimer’s disease: a health economic study of the effects of diagnostic timing. </w:t>
      </w:r>
      <w:r w:rsidRPr="001C6A20">
        <w:rPr>
          <w:rFonts w:ascii="Calibri" w:hAnsi="Calibri" w:cs="Calibri"/>
          <w:i/>
          <w:iCs/>
          <w:noProof/>
          <w:szCs w:val="24"/>
        </w:rPr>
        <w:t>BMC neurology</w:t>
      </w:r>
      <w:r w:rsidRPr="001C6A20">
        <w:rPr>
          <w:rFonts w:ascii="Calibri" w:hAnsi="Calibri" w:cs="Calibri"/>
          <w:noProof/>
          <w:szCs w:val="24"/>
        </w:rPr>
        <w:t>, 14(1), pp.1–9.</w:t>
      </w:r>
    </w:p>
    <w:p w14:paraId="1ACC7166"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Barocco, F. et al., 2017. The Progression of Alzheimer’s Disease: Are Fast Decliners Really Fast? A Four-Year Follow-Up. </w:t>
      </w:r>
      <w:r w:rsidRPr="001C6A20">
        <w:rPr>
          <w:rFonts w:ascii="Calibri" w:hAnsi="Calibri" w:cs="Calibri"/>
          <w:i/>
          <w:iCs/>
          <w:noProof/>
          <w:szCs w:val="24"/>
        </w:rPr>
        <w:t>Journal of Alzheimer’s Disease</w:t>
      </w:r>
      <w:r w:rsidRPr="001C6A20">
        <w:rPr>
          <w:rFonts w:ascii="Calibri" w:hAnsi="Calibri" w:cs="Calibri"/>
          <w:noProof/>
          <w:szCs w:val="24"/>
        </w:rPr>
        <w:t>, 57(3), pp.775–786.</w:t>
      </w:r>
    </w:p>
    <w:p w14:paraId="30272089"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Bates, D. et al., 2015. Fitting linear mixed-effects models using lme4. </w:t>
      </w:r>
      <w:r w:rsidRPr="001C6A20">
        <w:rPr>
          <w:rFonts w:ascii="Calibri" w:hAnsi="Calibri" w:cs="Calibri"/>
          <w:i/>
          <w:iCs/>
          <w:noProof/>
          <w:szCs w:val="24"/>
        </w:rPr>
        <w:t>Journal of Statistical Software</w:t>
      </w:r>
      <w:r w:rsidRPr="001C6A20">
        <w:rPr>
          <w:rFonts w:ascii="Calibri" w:hAnsi="Calibri" w:cs="Calibri"/>
          <w:noProof/>
          <w:szCs w:val="24"/>
        </w:rPr>
        <w:t>, 67(1), pp.1–48.</w:t>
      </w:r>
    </w:p>
    <w:p w14:paraId="6817F05F"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Birks, J., McGuinness, B. and Craig, D., 2013. </w:t>
      </w:r>
      <w:r w:rsidRPr="001C6A20">
        <w:rPr>
          <w:rFonts w:ascii="Calibri" w:hAnsi="Calibri" w:cs="Calibri"/>
          <w:i/>
          <w:iCs/>
          <w:noProof/>
          <w:szCs w:val="24"/>
        </w:rPr>
        <w:t>Rivastigmine for vascular cognitive impairment.</w:t>
      </w:r>
      <w:r w:rsidRPr="001C6A20">
        <w:rPr>
          <w:rFonts w:ascii="Calibri" w:hAnsi="Calibri" w:cs="Calibri"/>
          <w:noProof/>
          <w:szCs w:val="24"/>
        </w:rPr>
        <w:t>, Chichester, UK.</w:t>
      </w:r>
    </w:p>
    <w:p w14:paraId="796D6D16"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Birks, J.S., 2006. </w:t>
      </w:r>
      <w:r w:rsidRPr="001C6A20">
        <w:rPr>
          <w:rFonts w:ascii="Calibri" w:hAnsi="Calibri" w:cs="Calibri"/>
          <w:i/>
          <w:iCs/>
          <w:noProof/>
          <w:szCs w:val="24"/>
        </w:rPr>
        <w:t>Cholinesterase inhibitors for Alzheimer’s disease</w:t>
      </w:r>
      <w:r w:rsidRPr="001C6A20">
        <w:rPr>
          <w:rFonts w:ascii="Calibri" w:hAnsi="Calibri" w:cs="Calibri"/>
          <w:noProof/>
          <w:szCs w:val="24"/>
        </w:rPr>
        <w:t xml:space="preserve"> Cochrane Dementia and Cognitive Improvement Group, ed., Chichester, UK.</w:t>
      </w:r>
    </w:p>
    <w:p w14:paraId="75FED981"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Birks, J.S., Chong, L.Y. and Grimley Evans, J., 2015. </w:t>
      </w:r>
      <w:r w:rsidRPr="001C6A20">
        <w:rPr>
          <w:rFonts w:ascii="Calibri" w:hAnsi="Calibri" w:cs="Calibri"/>
          <w:i/>
          <w:iCs/>
          <w:noProof/>
          <w:szCs w:val="24"/>
        </w:rPr>
        <w:t>Rivastigmine for Alzheimer’s disease</w:t>
      </w:r>
      <w:r w:rsidRPr="001C6A20">
        <w:rPr>
          <w:rFonts w:ascii="Calibri" w:hAnsi="Calibri" w:cs="Calibri"/>
          <w:noProof/>
          <w:szCs w:val="24"/>
        </w:rPr>
        <w:t>, Chichester, UK: John Wiley &amp; Sons, Ltd.</w:t>
      </w:r>
    </w:p>
    <w:p w14:paraId="4CEB1516"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Brailsford, S.C. et al., 2019. Hybrid simulation modelling in operational research: A state-of-the-art review. </w:t>
      </w:r>
      <w:r w:rsidRPr="001C6A20">
        <w:rPr>
          <w:rFonts w:ascii="Calibri" w:hAnsi="Calibri" w:cs="Calibri"/>
          <w:i/>
          <w:iCs/>
          <w:noProof/>
          <w:szCs w:val="24"/>
        </w:rPr>
        <w:t>European Journal of Operational Research</w:t>
      </w:r>
      <w:r w:rsidRPr="001C6A20">
        <w:rPr>
          <w:rFonts w:ascii="Calibri" w:hAnsi="Calibri" w:cs="Calibri"/>
          <w:noProof/>
          <w:szCs w:val="24"/>
        </w:rPr>
        <w:t>, 278(3), pp.721–737.</w:t>
      </w:r>
    </w:p>
    <w:p w14:paraId="7194C422"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Brookmeyer, R. and Abdalla, N., 2018. Estimation of lifetime risks of Alzheimer’s disease dementia using biomarkers for preclinical disease. </w:t>
      </w:r>
      <w:r w:rsidRPr="001C6A20">
        <w:rPr>
          <w:rFonts w:ascii="Calibri" w:hAnsi="Calibri" w:cs="Calibri"/>
          <w:i/>
          <w:iCs/>
          <w:noProof/>
          <w:szCs w:val="24"/>
        </w:rPr>
        <w:t>Alzheimer’s and Dementia</w:t>
      </w:r>
      <w:r w:rsidRPr="001C6A20">
        <w:rPr>
          <w:rFonts w:ascii="Calibri" w:hAnsi="Calibri" w:cs="Calibri"/>
          <w:noProof/>
          <w:szCs w:val="24"/>
        </w:rPr>
        <w:t>, 14(8), pp.981–988.</w:t>
      </w:r>
    </w:p>
    <w:p w14:paraId="73352FB4"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Bunn, F. et al., 2014. Comorbidity and dementia: a scoping review of the literature. </w:t>
      </w:r>
      <w:r w:rsidRPr="001C6A20">
        <w:rPr>
          <w:rFonts w:ascii="Calibri" w:hAnsi="Calibri" w:cs="Calibri"/>
          <w:i/>
          <w:iCs/>
          <w:noProof/>
          <w:szCs w:val="24"/>
        </w:rPr>
        <w:t>BMC medicine</w:t>
      </w:r>
      <w:r w:rsidRPr="001C6A20">
        <w:rPr>
          <w:rFonts w:ascii="Calibri" w:hAnsi="Calibri" w:cs="Calibri"/>
          <w:noProof/>
          <w:szCs w:val="24"/>
        </w:rPr>
        <w:t>, 12(1), p.192.</w:t>
      </w:r>
    </w:p>
    <w:p w14:paraId="5A740732"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Corrada, M.M. et al., 2010. Dementia incidence continues to increase with age in the oldest old the 90+ study. </w:t>
      </w:r>
      <w:r w:rsidRPr="001C6A20">
        <w:rPr>
          <w:rFonts w:ascii="Calibri" w:hAnsi="Calibri" w:cs="Calibri"/>
          <w:i/>
          <w:iCs/>
          <w:noProof/>
          <w:szCs w:val="24"/>
        </w:rPr>
        <w:t>Annals of Neurology</w:t>
      </w:r>
      <w:r w:rsidRPr="001C6A20">
        <w:rPr>
          <w:rFonts w:ascii="Calibri" w:hAnsi="Calibri" w:cs="Calibri"/>
          <w:noProof/>
          <w:szCs w:val="24"/>
        </w:rPr>
        <w:t>, 67(1), pp.114–121.</w:t>
      </w:r>
    </w:p>
    <w:p w14:paraId="3044FE47"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CSHA Working Group, 2000. The incidence of dementia in Canada. </w:t>
      </w:r>
      <w:r w:rsidRPr="001C6A20">
        <w:rPr>
          <w:rFonts w:ascii="Calibri" w:hAnsi="Calibri" w:cs="Calibri"/>
          <w:i/>
          <w:iCs/>
          <w:noProof/>
          <w:szCs w:val="24"/>
        </w:rPr>
        <w:t>Neurology</w:t>
      </w:r>
      <w:r w:rsidRPr="001C6A20">
        <w:rPr>
          <w:rFonts w:ascii="Calibri" w:hAnsi="Calibri" w:cs="Calibri"/>
          <w:noProof/>
          <w:szCs w:val="24"/>
        </w:rPr>
        <w:t>, 55(1), pp.66–73.</w:t>
      </w:r>
    </w:p>
    <w:p w14:paraId="61DBBFF5"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Doody, R.S. et al., 2010. Predicting progression of Alzheimer’s disease. </w:t>
      </w:r>
      <w:r w:rsidRPr="001C6A20">
        <w:rPr>
          <w:rFonts w:ascii="Calibri" w:hAnsi="Calibri" w:cs="Calibri"/>
          <w:i/>
          <w:iCs/>
          <w:noProof/>
          <w:szCs w:val="24"/>
        </w:rPr>
        <w:t>Alzheimer’s Research &amp; Therapy</w:t>
      </w:r>
      <w:r w:rsidRPr="001C6A20">
        <w:rPr>
          <w:rFonts w:ascii="Calibri" w:hAnsi="Calibri" w:cs="Calibri"/>
          <w:noProof/>
          <w:szCs w:val="24"/>
        </w:rPr>
        <w:t>, 2(4), p.14.</w:t>
      </w:r>
    </w:p>
    <w:p w14:paraId="466015DC"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Eberlein, R. and Thompson, J., 2012. Chronological Aging in Continuous Time. In </w:t>
      </w:r>
      <w:r w:rsidRPr="001C6A20">
        <w:rPr>
          <w:rFonts w:ascii="Calibri" w:hAnsi="Calibri" w:cs="Calibri"/>
          <w:i/>
          <w:iCs/>
          <w:noProof/>
          <w:szCs w:val="24"/>
        </w:rPr>
        <w:t>Proceedings of the 30th International Conference of the System Dynamics Society</w:t>
      </w:r>
      <w:r w:rsidRPr="001C6A20">
        <w:rPr>
          <w:rFonts w:ascii="Calibri" w:hAnsi="Calibri" w:cs="Calibri"/>
          <w:noProof/>
          <w:szCs w:val="24"/>
        </w:rPr>
        <w:t>. pp. 1–22.</w:t>
      </w:r>
    </w:p>
    <w:p w14:paraId="6F337C6D"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Eberlein, R.L. and Thompson, J.P., 2013. Precise modeling of aging populations. </w:t>
      </w:r>
      <w:r w:rsidRPr="001C6A20">
        <w:rPr>
          <w:rFonts w:ascii="Calibri" w:hAnsi="Calibri" w:cs="Calibri"/>
          <w:i/>
          <w:iCs/>
          <w:noProof/>
          <w:szCs w:val="24"/>
        </w:rPr>
        <w:t>System Dynamics Review</w:t>
      </w:r>
      <w:r w:rsidRPr="001C6A20">
        <w:rPr>
          <w:rFonts w:ascii="Calibri" w:hAnsi="Calibri" w:cs="Calibri"/>
          <w:noProof/>
          <w:szCs w:val="24"/>
        </w:rPr>
        <w:t>, 29(2), pp.87–101.</w:t>
      </w:r>
    </w:p>
    <w:p w14:paraId="253943D5"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Edland, S.D. et al., 2002. Dementia and Alzheimer Disease Incidence Rates Do Not Vary by Sex in Rochester,Minn. </w:t>
      </w:r>
      <w:r w:rsidRPr="001C6A20">
        <w:rPr>
          <w:rFonts w:ascii="Calibri" w:hAnsi="Calibri" w:cs="Calibri"/>
          <w:i/>
          <w:iCs/>
          <w:noProof/>
          <w:szCs w:val="24"/>
        </w:rPr>
        <w:t>Arch Neurol</w:t>
      </w:r>
      <w:r w:rsidRPr="001C6A20">
        <w:rPr>
          <w:rFonts w:ascii="Calibri" w:hAnsi="Calibri" w:cs="Calibri"/>
          <w:noProof/>
          <w:szCs w:val="24"/>
        </w:rPr>
        <w:t>, 59(10), pp.1589–1593.</w:t>
      </w:r>
    </w:p>
    <w:p w14:paraId="20EBFAF4"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Elwood, P. et al., 2013. Healthy Lifestyles Reduce the Incidence of Chronic Diseases and Dementia: Evidence from the Caerphilly Cohort Study K. Sathian, ed. </w:t>
      </w:r>
      <w:r w:rsidRPr="001C6A20">
        <w:rPr>
          <w:rFonts w:ascii="Calibri" w:hAnsi="Calibri" w:cs="Calibri"/>
          <w:i/>
          <w:iCs/>
          <w:noProof/>
          <w:szCs w:val="24"/>
        </w:rPr>
        <w:t>PLoS ONE</w:t>
      </w:r>
      <w:r w:rsidRPr="001C6A20">
        <w:rPr>
          <w:rFonts w:ascii="Calibri" w:hAnsi="Calibri" w:cs="Calibri"/>
          <w:noProof/>
          <w:szCs w:val="24"/>
        </w:rPr>
        <w:t>, 8(12), pp.1–7.</w:t>
      </w:r>
    </w:p>
    <w:p w14:paraId="18071B70"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lastRenderedPageBreak/>
        <w:t xml:space="preserve">Fichter, M.M., Schröppel, H. and Meller, I., 1996. Incidence of dementia in a Munich community sample of the oldest old. </w:t>
      </w:r>
      <w:r w:rsidRPr="001C6A20">
        <w:rPr>
          <w:rFonts w:ascii="Calibri" w:hAnsi="Calibri" w:cs="Calibri"/>
          <w:i/>
          <w:iCs/>
          <w:noProof/>
          <w:szCs w:val="24"/>
        </w:rPr>
        <w:t>European archives of psychiatry and clinical neuroscience</w:t>
      </w:r>
      <w:r w:rsidRPr="001C6A20">
        <w:rPr>
          <w:rFonts w:ascii="Calibri" w:hAnsi="Calibri" w:cs="Calibri"/>
          <w:noProof/>
          <w:szCs w:val="24"/>
        </w:rPr>
        <w:t>, 246(6), pp.320–8.</w:t>
      </w:r>
    </w:p>
    <w:p w14:paraId="63B46563"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Fishman, E., 2017. Risk of Developing Dementia at Older Ages in the United States. </w:t>
      </w:r>
      <w:r w:rsidRPr="001C6A20">
        <w:rPr>
          <w:rFonts w:ascii="Calibri" w:hAnsi="Calibri" w:cs="Calibri"/>
          <w:i/>
          <w:iCs/>
          <w:noProof/>
          <w:szCs w:val="24"/>
        </w:rPr>
        <w:t>Demography</w:t>
      </w:r>
      <w:r w:rsidRPr="001C6A20">
        <w:rPr>
          <w:rFonts w:ascii="Calibri" w:hAnsi="Calibri" w:cs="Calibri"/>
          <w:noProof/>
          <w:szCs w:val="24"/>
        </w:rPr>
        <w:t>, 54(5), pp.1897–1919.</w:t>
      </w:r>
    </w:p>
    <w:p w14:paraId="1AA26EAB"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Folstein, M.F., Folstein, S.E. and McHugh, P.R., 1975. “Mini-mental state.” </w:t>
      </w:r>
      <w:r w:rsidRPr="001C6A20">
        <w:rPr>
          <w:rFonts w:ascii="Calibri" w:hAnsi="Calibri" w:cs="Calibri"/>
          <w:i/>
          <w:iCs/>
          <w:noProof/>
          <w:szCs w:val="24"/>
        </w:rPr>
        <w:t>Journal of Psychiatric Research</w:t>
      </w:r>
      <w:r w:rsidRPr="001C6A20">
        <w:rPr>
          <w:rFonts w:ascii="Calibri" w:hAnsi="Calibri" w:cs="Calibri"/>
          <w:noProof/>
          <w:szCs w:val="24"/>
        </w:rPr>
        <w:t>, 12(3), pp.189–198.</w:t>
      </w:r>
    </w:p>
    <w:p w14:paraId="647C5895"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Forrester, J.W., 1994. System Dynamics, Systems Thinking, and Soft OR. </w:t>
      </w:r>
      <w:r w:rsidRPr="001C6A20">
        <w:rPr>
          <w:rFonts w:ascii="Calibri" w:hAnsi="Calibri" w:cs="Calibri"/>
          <w:i/>
          <w:iCs/>
          <w:noProof/>
          <w:szCs w:val="24"/>
        </w:rPr>
        <w:t>System Dynamics Review</w:t>
      </w:r>
      <w:r w:rsidRPr="001C6A20">
        <w:rPr>
          <w:rFonts w:ascii="Calibri" w:hAnsi="Calibri" w:cs="Calibri"/>
          <w:noProof/>
          <w:szCs w:val="24"/>
        </w:rPr>
        <w:t>, 10(2), pp.1–14.</w:t>
      </w:r>
    </w:p>
    <w:p w14:paraId="115F2A64"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Ganguli, M. et al., 2005. Alzheimer Disease and Mortality. </w:t>
      </w:r>
      <w:r w:rsidRPr="001C6A20">
        <w:rPr>
          <w:rFonts w:ascii="Calibri" w:hAnsi="Calibri" w:cs="Calibri"/>
          <w:i/>
          <w:iCs/>
          <w:noProof/>
          <w:szCs w:val="24"/>
        </w:rPr>
        <w:t>Archives of Neurology</w:t>
      </w:r>
      <w:r w:rsidRPr="001C6A20">
        <w:rPr>
          <w:rFonts w:ascii="Calibri" w:hAnsi="Calibri" w:cs="Calibri"/>
          <w:noProof/>
          <w:szCs w:val="24"/>
        </w:rPr>
        <w:t>, 62(May 2005), pp.779–784.</w:t>
      </w:r>
    </w:p>
    <w:p w14:paraId="0AEA0524"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Genolini, C. et al., 2015. kml and kml3d: R Packages to Cluster Longitudinal Data. </w:t>
      </w:r>
      <w:r w:rsidRPr="001C6A20">
        <w:rPr>
          <w:rFonts w:ascii="Calibri" w:hAnsi="Calibri" w:cs="Calibri"/>
          <w:i/>
          <w:iCs/>
          <w:noProof/>
          <w:szCs w:val="24"/>
        </w:rPr>
        <w:t>Journal of Statistical Software</w:t>
      </w:r>
      <w:r w:rsidRPr="001C6A20">
        <w:rPr>
          <w:rFonts w:ascii="Calibri" w:hAnsi="Calibri" w:cs="Calibri"/>
          <w:noProof/>
          <w:szCs w:val="24"/>
        </w:rPr>
        <w:t>, 65(4), pp.1–34.</w:t>
      </w:r>
    </w:p>
    <w:p w14:paraId="4ED3DC24"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Genolini, C. et al., 2013. KmL3D: A non-parametric algorithm for clustering joint trajectories. </w:t>
      </w:r>
      <w:r w:rsidRPr="001C6A20">
        <w:rPr>
          <w:rFonts w:ascii="Calibri" w:hAnsi="Calibri" w:cs="Calibri"/>
          <w:i/>
          <w:iCs/>
          <w:noProof/>
          <w:szCs w:val="24"/>
        </w:rPr>
        <w:t>Computer Methods and Programs in Biomedicine</w:t>
      </w:r>
      <w:r w:rsidRPr="001C6A20">
        <w:rPr>
          <w:rFonts w:ascii="Calibri" w:hAnsi="Calibri" w:cs="Calibri"/>
          <w:noProof/>
          <w:szCs w:val="24"/>
        </w:rPr>
        <w:t>, 109(1), pp.104–111.</w:t>
      </w:r>
    </w:p>
    <w:p w14:paraId="30B13569"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Georghiou, T. et al., 2012. </w:t>
      </w:r>
      <w:r w:rsidRPr="001C6A20">
        <w:rPr>
          <w:rFonts w:ascii="Calibri" w:hAnsi="Calibri" w:cs="Calibri"/>
          <w:i/>
          <w:iCs/>
          <w:noProof/>
          <w:szCs w:val="24"/>
        </w:rPr>
        <w:t>Understanding patterns of health and social care at the end of life</w:t>
      </w:r>
      <w:r w:rsidRPr="001C6A20">
        <w:rPr>
          <w:rFonts w:ascii="Calibri" w:hAnsi="Calibri" w:cs="Calibri"/>
          <w:noProof/>
          <w:szCs w:val="24"/>
        </w:rPr>
        <w:t>, London.</w:t>
      </w:r>
    </w:p>
    <w:p w14:paraId="195AB8F1"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Getsios, D. et al., 2010. Cost Effectiveness of Donepezil in the Treatment of Mild to Moderate Alzheimerʼs Disease. </w:t>
      </w:r>
      <w:r w:rsidRPr="001C6A20">
        <w:rPr>
          <w:rFonts w:ascii="Calibri" w:hAnsi="Calibri" w:cs="Calibri"/>
          <w:i/>
          <w:iCs/>
          <w:noProof/>
          <w:szCs w:val="24"/>
        </w:rPr>
        <w:t>PharmacoEconomics</w:t>
      </w:r>
      <w:r w:rsidRPr="001C6A20">
        <w:rPr>
          <w:rFonts w:ascii="Calibri" w:hAnsi="Calibri" w:cs="Calibri"/>
          <w:noProof/>
          <w:szCs w:val="24"/>
        </w:rPr>
        <w:t>, 28(5), pp.411–427.</w:t>
      </w:r>
    </w:p>
    <w:p w14:paraId="4875A714"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Grasset, L. et al., 2016. Trends in dementia incidence: Evolution over a 10-year period in France. </w:t>
      </w:r>
      <w:r w:rsidRPr="001C6A20">
        <w:rPr>
          <w:rFonts w:ascii="Calibri" w:hAnsi="Calibri" w:cs="Calibri"/>
          <w:i/>
          <w:iCs/>
          <w:noProof/>
          <w:szCs w:val="24"/>
        </w:rPr>
        <w:t>Alzheimer’s &amp; Dementia</w:t>
      </w:r>
      <w:r w:rsidRPr="001C6A20">
        <w:rPr>
          <w:rFonts w:ascii="Calibri" w:hAnsi="Calibri" w:cs="Calibri"/>
          <w:noProof/>
          <w:szCs w:val="24"/>
        </w:rPr>
        <w:t>, 12(3), pp.272–280.</w:t>
      </w:r>
    </w:p>
    <w:p w14:paraId="64978693"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Grootoonk, S. et al., 2016. Understanding the Costs of Dementia Diagnosis and Care and the Financial Benefits Arising From Identifying Rapid Progressors. In </w:t>
      </w:r>
      <w:r w:rsidRPr="001C6A20">
        <w:rPr>
          <w:rFonts w:ascii="Calibri" w:hAnsi="Calibri" w:cs="Calibri"/>
          <w:i/>
          <w:iCs/>
          <w:noProof/>
          <w:szCs w:val="24"/>
        </w:rPr>
        <w:t>AAIC 2016</w:t>
      </w:r>
      <w:r w:rsidRPr="001C6A20">
        <w:rPr>
          <w:rFonts w:ascii="Calibri" w:hAnsi="Calibri" w:cs="Calibri"/>
          <w:noProof/>
          <w:szCs w:val="24"/>
        </w:rPr>
        <w:t>. Elsevier.</w:t>
      </w:r>
    </w:p>
    <w:p w14:paraId="2412AD37"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Guo, S. et al., 2014. Evaluating disease-modifying agents: a simulation framework for Alzheimer’s disease. </w:t>
      </w:r>
      <w:r w:rsidRPr="001C6A20">
        <w:rPr>
          <w:rFonts w:ascii="Calibri" w:hAnsi="Calibri" w:cs="Calibri"/>
          <w:i/>
          <w:iCs/>
          <w:noProof/>
          <w:szCs w:val="24"/>
        </w:rPr>
        <w:t>PharmacoEconomics</w:t>
      </w:r>
      <w:r w:rsidRPr="001C6A20">
        <w:rPr>
          <w:rFonts w:ascii="Calibri" w:hAnsi="Calibri" w:cs="Calibri"/>
          <w:noProof/>
          <w:szCs w:val="24"/>
        </w:rPr>
        <w:t>, 32(11), pp.1129–39.</w:t>
      </w:r>
    </w:p>
    <w:p w14:paraId="7B8BDB76"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Guzman-Castillo, M. et al., 2017. Forecasted trends in disability and life expectancy in England and Wales up to 2025: a modelling study. </w:t>
      </w:r>
      <w:r w:rsidRPr="001C6A20">
        <w:rPr>
          <w:rFonts w:ascii="Calibri" w:hAnsi="Calibri" w:cs="Calibri"/>
          <w:i/>
          <w:iCs/>
          <w:noProof/>
          <w:szCs w:val="24"/>
        </w:rPr>
        <w:t>The Lancet Public Health</w:t>
      </w:r>
      <w:r w:rsidRPr="001C6A20">
        <w:rPr>
          <w:rFonts w:ascii="Calibri" w:hAnsi="Calibri" w:cs="Calibri"/>
          <w:noProof/>
          <w:szCs w:val="24"/>
        </w:rPr>
        <w:t>, 2667(17), pp.1–7.</w:t>
      </w:r>
    </w:p>
    <w:p w14:paraId="3F6F3ED2"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St. John, P.D. et al., 2002. Cognitive scores, even within the normal range, predict death and institutionalization. </w:t>
      </w:r>
      <w:r w:rsidRPr="001C6A20">
        <w:rPr>
          <w:rFonts w:ascii="Calibri" w:hAnsi="Calibri" w:cs="Calibri"/>
          <w:i/>
          <w:iCs/>
          <w:noProof/>
          <w:szCs w:val="24"/>
        </w:rPr>
        <w:t>Age and Ageing</w:t>
      </w:r>
      <w:r w:rsidRPr="001C6A20">
        <w:rPr>
          <w:rFonts w:ascii="Calibri" w:hAnsi="Calibri" w:cs="Calibri"/>
          <w:noProof/>
          <w:szCs w:val="24"/>
        </w:rPr>
        <w:t>, 31(5), pp.373–378.</w:t>
      </w:r>
    </w:p>
    <w:p w14:paraId="29C9C8FF"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Jones, R.W. et al., 2017. Disease Progression in Mild Dementia due to Alzheimer Disease in an 18-Month Observational Study (GERAS): The Impact on Costs and Caregiver Outcomes. </w:t>
      </w:r>
      <w:r w:rsidRPr="001C6A20">
        <w:rPr>
          <w:rFonts w:ascii="Calibri" w:hAnsi="Calibri" w:cs="Calibri"/>
          <w:i/>
          <w:iCs/>
          <w:noProof/>
          <w:szCs w:val="24"/>
        </w:rPr>
        <w:t>Dementia and geriatric cognitive disorders extra</w:t>
      </w:r>
      <w:r w:rsidRPr="001C6A20">
        <w:rPr>
          <w:rFonts w:ascii="Calibri" w:hAnsi="Calibri" w:cs="Calibri"/>
          <w:noProof/>
          <w:szCs w:val="24"/>
        </w:rPr>
        <w:t>, 7(1), pp.87–100.</w:t>
      </w:r>
    </w:p>
    <w:p w14:paraId="3D3095C9"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Kahle-Wrobleski, K. et al., 2015. Clinical and Economic Characteristics of Milestones along the Continuum of Alzheimer’s Disease: Transforming Functional Scores into Levels of Dependence. </w:t>
      </w:r>
      <w:r w:rsidRPr="001C6A20">
        <w:rPr>
          <w:rFonts w:ascii="Calibri" w:hAnsi="Calibri" w:cs="Calibri"/>
          <w:i/>
          <w:iCs/>
          <w:noProof/>
          <w:szCs w:val="24"/>
        </w:rPr>
        <w:t>J Prev Alzh Disease</w:t>
      </w:r>
      <w:r w:rsidRPr="001C6A20">
        <w:rPr>
          <w:rFonts w:ascii="Calibri" w:hAnsi="Calibri" w:cs="Calibri"/>
          <w:noProof/>
          <w:szCs w:val="24"/>
        </w:rPr>
        <w:t>, 2(2), pp.2–7.</w:t>
      </w:r>
    </w:p>
    <w:p w14:paraId="0BEF0DE0"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Kingston, A., Robinson, L., et al., 2018. Projections of multi-morbidity in the older population in England to 2035: Estimates from the Population Ageing and Care Simulation (PACSim) model. </w:t>
      </w:r>
      <w:r w:rsidRPr="001C6A20">
        <w:rPr>
          <w:rFonts w:ascii="Calibri" w:hAnsi="Calibri" w:cs="Calibri"/>
          <w:i/>
          <w:iCs/>
          <w:noProof/>
          <w:szCs w:val="24"/>
        </w:rPr>
        <w:t>Age and Ageing</w:t>
      </w:r>
      <w:r w:rsidRPr="001C6A20">
        <w:rPr>
          <w:rFonts w:ascii="Calibri" w:hAnsi="Calibri" w:cs="Calibri"/>
          <w:noProof/>
          <w:szCs w:val="24"/>
        </w:rPr>
        <w:t>, 47(3), pp.374–380.</w:t>
      </w:r>
    </w:p>
    <w:p w14:paraId="6CF3F349"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Kingston, A., Comas-Herrera, A. and Jagger, C., 2018. Forecasting the care needs of the older population in England over the next 20 years: estimates from the Population Ageing and Care Simulation (PACSim) modelling study. </w:t>
      </w:r>
      <w:r w:rsidRPr="001C6A20">
        <w:rPr>
          <w:rFonts w:ascii="Calibri" w:hAnsi="Calibri" w:cs="Calibri"/>
          <w:i/>
          <w:iCs/>
          <w:noProof/>
          <w:szCs w:val="24"/>
        </w:rPr>
        <w:t>The Lancet Public Health</w:t>
      </w:r>
      <w:r w:rsidRPr="001C6A20">
        <w:rPr>
          <w:rFonts w:ascii="Calibri" w:hAnsi="Calibri" w:cs="Calibri"/>
          <w:noProof/>
          <w:szCs w:val="24"/>
        </w:rPr>
        <w:t>, 3(9), pp.e447–e455.</w:t>
      </w:r>
    </w:p>
    <w:p w14:paraId="65C9181A"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Kurrle, S., Brodaty, H. and Hogarth, R., 2012. </w:t>
      </w:r>
      <w:r w:rsidRPr="001C6A20">
        <w:rPr>
          <w:rFonts w:ascii="Calibri" w:hAnsi="Calibri" w:cs="Calibri"/>
          <w:i/>
          <w:iCs/>
          <w:noProof/>
          <w:szCs w:val="24"/>
        </w:rPr>
        <w:t>Physical comorbidities of dementia</w:t>
      </w:r>
      <w:r w:rsidRPr="001C6A20">
        <w:rPr>
          <w:rFonts w:ascii="Calibri" w:hAnsi="Calibri" w:cs="Calibri"/>
          <w:noProof/>
          <w:szCs w:val="24"/>
        </w:rPr>
        <w:t>,</w:t>
      </w:r>
    </w:p>
    <w:p w14:paraId="6EAE7C87"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Larson, E.B. et al., 2006. Exercise Is Associated with Reduced Risk for Incident Dementia among Persons 65 Years of Age and Older. </w:t>
      </w:r>
      <w:r w:rsidRPr="001C6A20">
        <w:rPr>
          <w:rFonts w:ascii="Calibri" w:hAnsi="Calibri" w:cs="Calibri"/>
          <w:i/>
          <w:iCs/>
          <w:noProof/>
          <w:szCs w:val="24"/>
        </w:rPr>
        <w:t>Annals of Internal Medicine</w:t>
      </w:r>
      <w:r w:rsidRPr="001C6A20">
        <w:rPr>
          <w:rFonts w:ascii="Calibri" w:hAnsi="Calibri" w:cs="Calibri"/>
          <w:noProof/>
          <w:szCs w:val="24"/>
        </w:rPr>
        <w:t>, pp.73–82.</w:t>
      </w:r>
    </w:p>
    <w:p w14:paraId="36EC3424"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Larson, E.B. et al., 2004. Survival after initial diagnosis of Alzheimer disease. </w:t>
      </w:r>
      <w:r w:rsidRPr="001C6A20">
        <w:rPr>
          <w:rFonts w:ascii="Calibri" w:hAnsi="Calibri" w:cs="Calibri"/>
          <w:i/>
          <w:iCs/>
          <w:noProof/>
          <w:szCs w:val="24"/>
        </w:rPr>
        <w:t>Ann Intern Med</w:t>
      </w:r>
      <w:r w:rsidRPr="001C6A20">
        <w:rPr>
          <w:rFonts w:ascii="Calibri" w:hAnsi="Calibri" w:cs="Calibri"/>
          <w:noProof/>
          <w:szCs w:val="24"/>
        </w:rPr>
        <w:t>, 140(7), pp.501–509.</w:t>
      </w:r>
    </w:p>
    <w:p w14:paraId="1E990E8A"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Macal, C.M. and North, M.J., 2010. Tutorial on agent-based modelling and simulation. </w:t>
      </w:r>
      <w:r w:rsidRPr="001C6A20">
        <w:rPr>
          <w:rFonts w:ascii="Calibri" w:hAnsi="Calibri" w:cs="Calibri"/>
          <w:i/>
          <w:iCs/>
          <w:noProof/>
          <w:szCs w:val="24"/>
        </w:rPr>
        <w:t>Journal of Simulation</w:t>
      </w:r>
      <w:r w:rsidRPr="001C6A20">
        <w:rPr>
          <w:rFonts w:ascii="Calibri" w:hAnsi="Calibri" w:cs="Calibri"/>
          <w:noProof/>
          <w:szCs w:val="24"/>
        </w:rPr>
        <w:t>.</w:t>
      </w:r>
    </w:p>
    <w:p w14:paraId="70CF8638"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lastRenderedPageBreak/>
        <w:t xml:space="preserve">Matthews, F.E. et al., 2013. A two-decade comparison of prevalence of dementia in individuals aged 65 years and older from three geographical areas of England: Results of the cognitive function and ageing study i and II. </w:t>
      </w:r>
      <w:r w:rsidRPr="001C6A20">
        <w:rPr>
          <w:rFonts w:ascii="Calibri" w:hAnsi="Calibri" w:cs="Calibri"/>
          <w:i/>
          <w:iCs/>
          <w:noProof/>
          <w:szCs w:val="24"/>
        </w:rPr>
        <w:t>The Lancet</w:t>
      </w:r>
      <w:r w:rsidRPr="001C6A20">
        <w:rPr>
          <w:rFonts w:ascii="Calibri" w:hAnsi="Calibri" w:cs="Calibri"/>
          <w:noProof/>
          <w:szCs w:val="24"/>
        </w:rPr>
        <w:t>, 382(9902), pp.1405–1412.</w:t>
      </w:r>
    </w:p>
    <w:p w14:paraId="645CF420"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Matthews, F.E. et al., 2016. A two decade dementia incidence comparison from the Cognitive Function and Ageing Studies I and II. </w:t>
      </w:r>
      <w:r w:rsidRPr="001C6A20">
        <w:rPr>
          <w:rFonts w:ascii="Calibri" w:hAnsi="Calibri" w:cs="Calibri"/>
          <w:i/>
          <w:iCs/>
          <w:noProof/>
          <w:szCs w:val="24"/>
        </w:rPr>
        <w:t>Nature Communications</w:t>
      </w:r>
      <w:r w:rsidRPr="001C6A20">
        <w:rPr>
          <w:rFonts w:ascii="Calibri" w:hAnsi="Calibri" w:cs="Calibri"/>
          <w:noProof/>
          <w:szCs w:val="24"/>
        </w:rPr>
        <w:t>, 7, p.8.</w:t>
      </w:r>
    </w:p>
    <w:p w14:paraId="5D0E4B1C"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Miech, R.A. et al., 2002. Incidence of AD may decline in the early 90s for men, later for women: The Cache County study. </w:t>
      </w:r>
      <w:r w:rsidRPr="001C6A20">
        <w:rPr>
          <w:rFonts w:ascii="Calibri" w:hAnsi="Calibri" w:cs="Calibri"/>
          <w:i/>
          <w:iCs/>
          <w:noProof/>
          <w:szCs w:val="24"/>
        </w:rPr>
        <w:t>Neurology</w:t>
      </w:r>
      <w:r w:rsidRPr="001C6A20">
        <w:rPr>
          <w:rFonts w:ascii="Calibri" w:hAnsi="Calibri" w:cs="Calibri"/>
          <w:noProof/>
          <w:szCs w:val="24"/>
        </w:rPr>
        <w:t>, 58(2), pp.209–218.</w:t>
      </w:r>
    </w:p>
    <w:p w14:paraId="08646910"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Mills, A., 2013. </w:t>
      </w:r>
      <w:r w:rsidRPr="001C6A20">
        <w:rPr>
          <w:rFonts w:ascii="Calibri" w:hAnsi="Calibri" w:cs="Calibri"/>
          <w:i/>
          <w:iCs/>
          <w:noProof/>
          <w:szCs w:val="24"/>
        </w:rPr>
        <w:t>Simulating health behavior</w:t>
      </w:r>
      <w:r w:rsidRPr="001C6A20">
        <w:rPr>
          <w:rFonts w:ascii="Calibri" w:hAnsi="Calibri" w:cs="Calibri"/>
          <w:noProof/>
          <w:szCs w:val="24"/>
        </w:rPr>
        <w:t>,</w:t>
      </w:r>
    </w:p>
    <w:p w14:paraId="0F1F2FE8"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Monks, T., 2016. Operational research as implementation science: definitions, challenges and research priorities. </w:t>
      </w:r>
      <w:r w:rsidRPr="001C6A20">
        <w:rPr>
          <w:rFonts w:ascii="Calibri" w:hAnsi="Calibri" w:cs="Calibri"/>
          <w:i/>
          <w:iCs/>
          <w:noProof/>
          <w:szCs w:val="24"/>
        </w:rPr>
        <w:t>Implementation science : IS</w:t>
      </w:r>
      <w:r w:rsidRPr="001C6A20">
        <w:rPr>
          <w:rFonts w:ascii="Calibri" w:hAnsi="Calibri" w:cs="Calibri"/>
          <w:noProof/>
          <w:szCs w:val="24"/>
        </w:rPr>
        <w:t>, 11(1), p.81.</w:t>
      </w:r>
    </w:p>
    <w:p w14:paraId="3A7D8763"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ONS, 2019. Mortality statistics - underlying cause, sex and age. </w:t>
      </w:r>
      <w:r w:rsidRPr="001C6A20">
        <w:rPr>
          <w:rFonts w:ascii="Calibri" w:hAnsi="Calibri" w:cs="Calibri"/>
          <w:i/>
          <w:iCs/>
          <w:noProof/>
          <w:szCs w:val="24"/>
        </w:rPr>
        <w:t>nomis</w:t>
      </w:r>
      <w:r w:rsidRPr="001C6A20">
        <w:rPr>
          <w:rFonts w:ascii="Calibri" w:hAnsi="Calibri" w:cs="Calibri"/>
          <w:noProof/>
          <w:szCs w:val="24"/>
        </w:rPr>
        <w:t>. Available at: https://forum.alzheimers.org.uk/attachments/nomis-leading-cause-of-death-pdf.57354/ [Accessed February 4, 2019].</w:t>
      </w:r>
    </w:p>
    <w:p w14:paraId="7CBFABF7"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ONS, 2014a. nltuk1315reg.xls. </w:t>
      </w:r>
      <w:r w:rsidRPr="001C6A20">
        <w:rPr>
          <w:rFonts w:ascii="Calibri" w:hAnsi="Calibri" w:cs="Calibri"/>
          <w:i/>
          <w:iCs/>
          <w:noProof/>
          <w:szCs w:val="24"/>
        </w:rPr>
        <w:t>National life tables: United Kingdom</w:t>
      </w:r>
      <w:r w:rsidRPr="001C6A20">
        <w:rPr>
          <w:rFonts w:ascii="Calibri" w:hAnsi="Calibri" w:cs="Calibri"/>
          <w:noProof/>
          <w:szCs w:val="24"/>
        </w:rPr>
        <w:t>. Available at: https://www.ons.gov.uk/file?uri=/peoplepopulationandcommunity/birthsdeathsandmarriages/lifeexpectancies/datasets/nationallifetablesunitedkingdomreferencetables/current/nltuk1315reg.xls [Accessed May 4, 2018].</w:t>
      </w:r>
    </w:p>
    <w:p w14:paraId="60351C1D"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ONS, 2014b. Population Estimates Analysis Tool. </w:t>
      </w:r>
      <w:r w:rsidRPr="001C6A20">
        <w:rPr>
          <w:rFonts w:ascii="Calibri" w:hAnsi="Calibri" w:cs="Calibri"/>
          <w:i/>
          <w:iCs/>
          <w:noProof/>
          <w:szCs w:val="24"/>
        </w:rPr>
        <w:t>Mid-2013 Population Estimates: Pivot table Analysis Tool for the United Kingdom</w:t>
      </w:r>
      <w:r w:rsidRPr="001C6A20">
        <w:rPr>
          <w:rFonts w:ascii="Calibri" w:hAnsi="Calibri" w:cs="Calibri"/>
          <w:noProof/>
          <w:szCs w:val="24"/>
        </w:rPr>
        <w:t>. Available at: https://www.ons.gov.uk/peoplepopulationandcommunity/populationandmigration/populationestimates/datasets/populationestimatesanalysistool [Accessed May 8, 2018].</w:t>
      </w:r>
    </w:p>
    <w:p w14:paraId="70846843" w14:textId="77777777" w:rsidR="001C6A20" w:rsidRPr="001C6A20" w:rsidRDefault="001C6A20" w:rsidP="00EE08A8">
      <w:pPr>
        <w:widowControl w:val="0"/>
        <w:autoSpaceDE w:val="0"/>
        <w:autoSpaceDN w:val="0"/>
        <w:adjustRightInd w:val="0"/>
        <w:spacing w:after="60" w:line="240" w:lineRule="auto"/>
        <w:ind w:left="480" w:hanging="480"/>
        <w:jc w:val="left"/>
        <w:rPr>
          <w:rFonts w:ascii="Calibri" w:hAnsi="Calibri" w:cs="Calibri"/>
          <w:noProof/>
          <w:szCs w:val="24"/>
        </w:rPr>
      </w:pPr>
      <w:r w:rsidRPr="001C6A20">
        <w:rPr>
          <w:rFonts w:ascii="Calibri" w:hAnsi="Calibri" w:cs="Calibri"/>
          <w:noProof/>
          <w:szCs w:val="24"/>
        </w:rPr>
        <w:t xml:space="preserve">ONS, 2014c. Table 2, tcm77364153.xls. </w:t>
      </w:r>
      <w:r w:rsidRPr="001C6A20">
        <w:rPr>
          <w:rFonts w:ascii="Calibri" w:hAnsi="Calibri" w:cs="Calibri"/>
          <w:i/>
          <w:iCs/>
          <w:noProof/>
          <w:szCs w:val="24"/>
        </w:rPr>
        <w:t>Subnational population projections for England: 2012-based</w:t>
      </w:r>
      <w:r w:rsidRPr="001C6A20">
        <w:rPr>
          <w:rFonts w:ascii="Calibri" w:hAnsi="Calibri" w:cs="Calibri"/>
          <w:noProof/>
          <w:szCs w:val="24"/>
        </w:rPr>
        <w:t>. Available at: https://www.ons.gov.uk/peoplepopulationandcommunity/populationandmigration/populationprojections/datasets/localauthoritiesinenglandtable2 [Accessed April 20, 2018].</w:t>
      </w:r>
    </w:p>
    <w:p w14:paraId="22A0C97A"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Ott, A. et al., 1998. Incidence and risk of dementia. The Rotterdam Study. </w:t>
      </w:r>
      <w:r w:rsidRPr="001C6A20">
        <w:rPr>
          <w:rFonts w:ascii="Calibri" w:hAnsi="Calibri" w:cs="Calibri"/>
          <w:i/>
          <w:iCs/>
          <w:noProof/>
          <w:szCs w:val="24"/>
        </w:rPr>
        <w:t>American journal of epidemiology</w:t>
      </w:r>
      <w:r w:rsidRPr="001C6A20">
        <w:rPr>
          <w:rFonts w:ascii="Calibri" w:hAnsi="Calibri" w:cs="Calibri"/>
          <w:noProof/>
          <w:szCs w:val="24"/>
        </w:rPr>
        <w:t>, 147(6), pp.574–80.</w:t>
      </w:r>
    </w:p>
    <w:p w14:paraId="0D5E1FF8"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Penn, M.L. et al., 2015. Modelling self-management pathways for people with diabetes in primary care. </w:t>
      </w:r>
      <w:r w:rsidRPr="001C6A20">
        <w:rPr>
          <w:rFonts w:ascii="Calibri" w:hAnsi="Calibri" w:cs="Calibri"/>
          <w:i/>
          <w:iCs/>
          <w:noProof/>
          <w:szCs w:val="24"/>
        </w:rPr>
        <w:t>BMC family practice</w:t>
      </w:r>
      <w:r w:rsidRPr="001C6A20">
        <w:rPr>
          <w:rFonts w:ascii="Calibri" w:hAnsi="Calibri" w:cs="Calibri"/>
          <w:noProof/>
          <w:szCs w:val="24"/>
        </w:rPr>
        <w:t>, 16, p.112.</w:t>
      </w:r>
    </w:p>
    <w:p w14:paraId="6EFD2DFB"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Perera, G. et al., 2014. Factors Associated with Response to Acetylcholinesterase Inhibition in Dementia: A Cohort Study from a Secondary Mental Health Care Case Register in London E. M. C. Skoulakis, ed. </w:t>
      </w:r>
      <w:r w:rsidRPr="001C6A20">
        <w:rPr>
          <w:rFonts w:ascii="Calibri" w:hAnsi="Calibri" w:cs="Calibri"/>
          <w:i/>
          <w:iCs/>
          <w:noProof/>
          <w:szCs w:val="24"/>
        </w:rPr>
        <w:t>PLoS ONE</w:t>
      </w:r>
      <w:r w:rsidRPr="001C6A20">
        <w:rPr>
          <w:rFonts w:ascii="Calibri" w:hAnsi="Calibri" w:cs="Calibri"/>
          <w:noProof/>
          <w:szCs w:val="24"/>
        </w:rPr>
        <w:t>, 9(11), p.e109484.</w:t>
      </w:r>
    </w:p>
    <w:p w14:paraId="01D9DB91"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Poblador-Plou, B. et al., 2014. Comorbidity of dementia: a cross-sectional study of primary care older patients. </w:t>
      </w:r>
      <w:r w:rsidRPr="001C6A20">
        <w:rPr>
          <w:rFonts w:ascii="Calibri" w:hAnsi="Calibri" w:cs="Calibri"/>
          <w:i/>
          <w:iCs/>
          <w:noProof/>
          <w:szCs w:val="24"/>
        </w:rPr>
        <w:t>BMC psychiatry</w:t>
      </w:r>
      <w:r w:rsidRPr="001C6A20">
        <w:rPr>
          <w:rFonts w:ascii="Calibri" w:hAnsi="Calibri" w:cs="Calibri"/>
          <w:noProof/>
          <w:szCs w:val="24"/>
        </w:rPr>
        <w:t>, 14(1), p.84.</w:t>
      </w:r>
    </w:p>
    <w:p w14:paraId="1DC8F403"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Prince, M., 2016. Recent global trends in the prevalence and incidence of dementia, and survival with dementia. </w:t>
      </w:r>
      <w:r w:rsidRPr="001C6A20">
        <w:rPr>
          <w:rFonts w:ascii="Calibri" w:hAnsi="Calibri" w:cs="Calibri"/>
          <w:i/>
          <w:iCs/>
          <w:noProof/>
          <w:szCs w:val="24"/>
        </w:rPr>
        <w:t>Alzheimer’s Research &amp; Therapy</w:t>
      </w:r>
      <w:r w:rsidRPr="001C6A20">
        <w:rPr>
          <w:rFonts w:ascii="Calibri" w:hAnsi="Calibri" w:cs="Calibri"/>
          <w:noProof/>
          <w:szCs w:val="24"/>
        </w:rPr>
        <w:t>, 8(1), p.23.</w:t>
      </w:r>
    </w:p>
    <w:p w14:paraId="4145E29F"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Rait, G. et al., 2010. Survival of People with Clinical Diagnosis of Dementia in Primary Care: Cohort Study. </w:t>
      </w:r>
      <w:r w:rsidRPr="001C6A20">
        <w:rPr>
          <w:rFonts w:ascii="Calibri" w:hAnsi="Calibri" w:cs="Calibri"/>
          <w:i/>
          <w:iCs/>
          <w:noProof/>
          <w:szCs w:val="24"/>
        </w:rPr>
        <w:t>BMJ</w:t>
      </w:r>
      <w:r w:rsidRPr="001C6A20">
        <w:rPr>
          <w:rFonts w:ascii="Calibri" w:hAnsi="Calibri" w:cs="Calibri"/>
          <w:noProof/>
          <w:szCs w:val="24"/>
        </w:rPr>
        <w:t>, 341(7768), p.337.</w:t>
      </w:r>
    </w:p>
    <w:p w14:paraId="3113BBD7"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Ravi, S., 2011. Dementia mortality: Estimates of survival after the onset of dementia range from 4 to 12 years. </w:t>
      </w:r>
      <w:r w:rsidRPr="001C6A20">
        <w:rPr>
          <w:rFonts w:ascii="Calibri" w:hAnsi="Calibri" w:cs="Calibri"/>
          <w:i/>
          <w:iCs/>
          <w:noProof/>
          <w:szCs w:val="24"/>
        </w:rPr>
        <w:t>Indian Journal of Psychiatry</w:t>
      </w:r>
      <w:r w:rsidRPr="001C6A20">
        <w:rPr>
          <w:rFonts w:ascii="Calibri" w:hAnsi="Calibri" w:cs="Calibri"/>
          <w:noProof/>
          <w:szCs w:val="24"/>
        </w:rPr>
        <w:t>, 53(2), p.178.</w:t>
      </w:r>
    </w:p>
    <w:p w14:paraId="5D19E4EB"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Ray, S. and Davidson, S., 2014. </w:t>
      </w:r>
      <w:r w:rsidRPr="001C6A20">
        <w:rPr>
          <w:rFonts w:ascii="Calibri" w:hAnsi="Calibri" w:cs="Calibri"/>
          <w:i/>
          <w:iCs/>
          <w:noProof/>
          <w:szCs w:val="24"/>
        </w:rPr>
        <w:t>Dementia and cognitive decline: a review of the evidence</w:t>
      </w:r>
      <w:r w:rsidRPr="001C6A20">
        <w:rPr>
          <w:rFonts w:ascii="Calibri" w:hAnsi="Calibri" w:cs="Calibri"/>
          <w:noProof/>
          <w:szCs w:val="24"/>
        </w:rPr>
        <w:t>, London.</w:t>
      </w:r>
    </w:p>
    <w:p w14:paraId="457005F4"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Reisberg, B. et al., 1996. Mortality and temporal course of probable Alzheimer’s disease: a 5-year prospective study. </w:t>
      </w:r>
      <w:r w:rsidRPr="001C6A20">
        <w:rPr>
          <w:rFonts w:ascii="Calibri" w:hAnsi="Calibri" w:cs="Calibri"/>
          <w:i/>
          <w:iCs/>
          <w:noProof/>
          <w:szCs w:val="24"/>
        </w:rPr>
        <w:t>International psychogeriatrics</w:t>
      </w:r>
      <w:r w:rsidRPr="001C6A20">
        <w:rPr>
          <w:rFonts w:ascii="Calibri" w:hAnsi="Calibri" w:cs="Calibri"/>
          <w:noProof/>
          <w:szCs w:val="24"/>
        </w:rPr>
        <w:t>, 8(2), pp.291–311.</w:t>
      </w:r>
    </w:p>
    <w:p w14:paraId="75A141C5"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Seshadri, S. et al., 1997. Lifetime risk of dementia and Alzheimer’s disease: The impact of mortality on risk estimates in the Framingham Study. </w:t>
      </w:r>
      <w:r w:rsidRPr="001C6A20">
        <w:rPr>
          <w:rFonts w:ascii="Calibri" w:hAnsi="Calibri" w:cs="Calibri"/>
          <w:i/>
          <w:iCs/>
          <w:noProof/>
          <w:szCs w:val="24"/>
        </w:rPr>
        <w:t>Neurology</w:t>
      </w:r>
      <w:r w:rsidRPr="001C6A20">
        <w:rPr>
          <w:rFonts w:ascii="Calibri" w:hAnsi="Calibri" w:cs="Calibri"/>
          <w:noProof/>
          <w:szCs w:val="24"/>
        </w:rPr>
        <w:t>, 49(6), pp.1498–1504.</w:t>
      </w:r>
    </w:p>
    <w:p w14:paraId="4665247E"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Sheehan, B., 2012. Assessment scales in dementia. </w:t>
      </w:r>
      <w:r w:rsidRPr="001C6A20">
        <w:rPr>
          <w:rFonts w:ascii="Calibri" w:hAnsi="Calibri" w:cs="Calibri"/>
          <w:i/>
          <w:iCs/>
          <w:noProof/>
          <w:szCs w:val="24"/>
        </w:rPr>
        <w:t>Therapeutic Advances in Neurological Disorders</w:t>
      </w:r>
      <w:r w:rsidRPr="001C6A20">
        <w:rPr>
          <w:rFonts w:ascii="Calibri" w:hAnsi="Calibri" w:cs="Calibri"/>
          <w:noProof/>
          <w:szCs w:val="24"/>
        </w:rPr>
        <w:t>, 5(6), pp.349–358.</w:t>
      </w:r>
    </w:p>
    <w:p w14:paraId="3135CE6A"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lastRenderedPageBreak/>
        <w:t xml:space="preserve">Sterman, J.D., 2000. </w:t>
      </w:r>
      <w:r w:rsidRPr="001C6A20">
        <w:rPr>
          <w:rFonts w:ascii="Calibri" w:hAnsi="Calibri" w:cs="Calibri"/>
          <w:i/>
          <w:iCs/>
          <w:noProof/>
          <w:szCs w:val="24"/>
        </w:rPr>
        <w:t>Systems Thinking and Modeling for a Complex World</w:t>
      </w:r>
      <w:r w:rsidRPr="001C6A20">
        <w:rPr>
          <w:rFonts w:ascii="Calibri" w:hAnsi="Calibri" w:cs="Calibri"/>
          <w:noProof/>
          <w:szCs w:val="24"/>
        </w:rPr>
        <w:t>, USA: McGraw-Hill.</w:t>
      </w:r>
    </w:p>
    <w:p w14:paraId="783C8DC6"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Su, Y.-P. et al., 2014. Mini-mental state examination as a predictor of mortality among older people referred to secondary mental healthcare. </w:t>
      </w:r>
      <w:r w:rsidRPr="001C6A20">
        <w:rPr>
          <w:rFonts w:ascii="Calibri" w:hAnsi="Calibri" w:cs="Calibri"/>
          <w:i/>
          <w:iCs/>
          <w:noProof/>
          <w:szCs w:val="24"/>
        </w:rPr>
        <w:t>PloS one</w:t>
      </w:r>
      <w:r w:rsidRPr="001C6A20">
        <w:rPr>
          <w:rFonts w:ascii="Calibri" w:hAnsi="Calibri" w:cs="Calibri"/>
          <w:noProof/>
          <w:szCs w:val="24"/>
        </w:rPr>
        <w:t>, 9(9), pp.1–7.</w:t>
      </w:r>
    </w:p>
    <w:p w14:paraId="4617D9E5"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Thompson, J.P. et al., 2012. Future living arrangements of Singaporeans with age-related dementia. </w:t>
      </w:r>
      <w:r w:rsidRPr="001C6A20">
        <w:rPr>
          <w:rFonts w:ascii="Calibri" w:hAnsi="Calibri" w:cs="Calibri"/>
          <w:i/>
          <w:iCs/>
          <w:noProof/>
          <w:szCs w:val="24"/>
        </w:rPr>
        <w:t>International Psychogeriatrics</w:t>
      </w:r>
      <w:r w:rsidRPr="001C6A20">
        <w:rPr>
          <w:rFonts w:ascii="Calibri" w:hAnsi="Calibri" w:cs="Calibri"/>
          <w:noProof/>
          <w:szCs w:val="24"/>
        </w:rPr>
        <w:t>, 24(10), pp.1592–1599.</w:t>
      </w:r>
    </w:p>
    <w:p w14:paraId="1C0EEE80"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Thompson, J.P., Riley, C.M. and Eberlein, R.L., 2014. Modelling for Insight: The Case of Dementia in Singapore. </w:t>
      </w:r>
      <w:r w:rsidRPr="001C6A20">
        <w:rPr>
          <w:rFonts w:ascii="Calibri" w:hAnsi="Calibri" w:cs="Calibri"/>
          <w:i/>
          <w:iCs/>
          <w:noProof/>
          <w:szCs w:val="24"/>
        </w:rPr>
        <w:t>Systems Research and Behavioral Science</w:t>
      </w:r>
      <w:r w:rsidRPr="001C6A20">
        <w:rPr>
          <w:rFonts w:ascii="Calibri" w:hAnsi="Calibri" w:cs="Calibri"/>
          <w:noProof/>
          <w:szCs w:val="24"/>
        </w:rPr>
        <w:t>, 31(2), pp.227–235.</w:t>
      </w:r>
    </w:p>
    <w:p w14:paraId="03E062D8"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Waring, S.C. et al., 2005. Survival among Patients With Dementia from a Large Multi-Ethnic Population. </w:t>
      </w:r>
      <w:r w:rsidRPr="001C6A20">
        <w:rPr>
          <w:rFonts w:ascii="Calibri" w:hAnsi="Calibri" w:cs="Calibri"/>
          <w:i/>
          <w:iCs/>
          <w:noProof/>
          <w:szCs w:val="24"/>
        </w:rPr>
        <w:t>Alzheimer Disease &amp; Associated Disorders</w:t>
      </w:r>
      <w:r w:rsidRPr="001C6A20">
        <w:rPr>
          <w:rFonts w:ascii="Calibri" w:hAnsi="Calibri" w:cs="Calibri"/>
          <w:noProof/>
          <w:szCs w:val="24"/>
        </w:rPr>
        <w:t>, 19(4), pp.178–183.</w:t>
      </w:r>
    </w:p>
    <w:p w14:paraId="523CB0BD"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Wu, Y.T. et al., 2017. The changing prevalence and incidence of dementia over time - current evidence. </w:t>
      </w:r>
      <w:r w:rsidRPr="001C6A20">
        <w:rPr>
          <w:rFonts w:ascii="Calibri" w:hAnsi="Calibri" w:cs="Calibri"/>
          <w:i/>
          <w:iCs/>
          <w:noProof/>
          <w:szCs w:val="24"/>
        </w:rPr>
        <w:t>Nature Reviews Neurology</w:t>
      </w:r>
      <w:r w:rsidRPr="001C6A20">
        <w:rPr>
          <w:rFonts w:ascii="Calibri" w:hAnsi="Calibri" w:cs="Calibri"/>
          <w:noProof/>
          <w:szCs w:val="24"/>
        </w:rPr>
        <w:t>, 13(6), pp.327–339.</w:t>
      </w:r>
    </w:p>
    <w:p w14:paraId="7D552C4E"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Wübker, A. et al., 2015. Costs of care for people with dementia just before and after nursing home placement: primary data from eight European countries. </w:t>
      </w:r>
      <w:r w:rsidRPr="001C6A20">
        <w:rPr>
          <w:rFonts w:ascii="Calibri" w:hAnsi="Calibri" w:cs="Calibri"/>
          <w:i/>
          <w:iCs/>
          <w:noProof/>
          <w:szCs w:val="24"/>
        </w:rPr>
        <w:t>The European Journal of Health Economics</w:t>
      </w:r>
      <w:r w:rsidRPr="001C6A20">
        <w:rPr>
          <w:rFonts w:ascii="Calibri" w:hAnsi="Calibri" w:cs="Calibri"/>
          <w:noProof/>
          <w:szCs w:val="24"/>
        </w:rPr>
        <w:t>, 16(7), pp.689–707.</w:t>
      </w:r>
    </w:p>
    <w:p w14:paraId="4791B0E2"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szCs w:val="24"/>
        </w:rPr>
      </w:pPr>
      <w:r w:rsidRPr="001C6A20">
        <w:rPr>
          <w:rFonts w:ascii="Calibri" w:hAnsi="Calibri" w:cs="Calibri"/>
          <w:noProof/>
          <w:szCs w:val="24"/>
        </w:rPr>
        <w:t xml:space="preserve">Xie, J. et al., 2008. Survival times in people with dementia: analysis from population based cohort study with 14 year follow-up. </w:t>
      </w:r>
      <w:r w:rsidRPr="001C6A20">
        <w:rPr>
          <w:rFonts w:ascii="Calibri" w:hAnsi="Calibri" w:cs="Calibri"/>
          <w:i/>
          <w:iCs/>
          <w:noProof/>
          <w:szCs w:val="24"/>
        </w:rPr>
        <w:t>BMJ</w:t>
      </w:r>
      <w:r w:rsidRPr="001C6A20">
        <w:rPr>
          <w:rFonts w:ascii="Calibri" w:hAnsi="Calibri" w:cs="Calibri"/>
          <w:noProof/>
          <w:szCs w:val="24"/>
        </w:rPr>
        <w:t>, 336(7638), pp.258–62.</w:t>
      </w:r>
    </w:p>
    <w:p w14:paraId="3B3BB461" w14:textId="77777777" w:rsidR="001C6A20" w:rsidRPr="001C6A20" w:rsidRDefault="001C6A20" w:rsidP="001C6A20">
      <w:pPr>
        <w:widowControl w:val="0"/>
        <w:autoSpaceDE w:val="0"/>
        <w:autoSpaceDN w:val="0"/>
        <w:adjustRightInd w:val="0"/>
        <w:spacing w:after="60" w:line="240" w:lineRule="auto"/>
        <w:ind w:left="480" w:hanging="480"/>
        <w:rPr>
          <w:rFonts w:ascii="Calibri" w:hAnsi="Calibri" w:cs="Calibri"/>
          <w:noProof/>
        </w:rPr>
      </w:pPr>
      <w:r w:rsidRPr="001C6A20">
        <w:rPr>
          <w:rFonts w:ascii="Calibri" w:hAnsi="Calibri" w:cs="Calibri"/>
          <w:noProof/>
          <w:szCs w:val="24"/>
        </w:rPr>
        <w:t>XJ Technologies, 2015. The AnyLogic Company. Available at: www.anylogic.com.</w:t>
      </w:r>
    </w:p>
    <w:p w14:paraId="558F7ECB" w14:textId="3307982F" w:rsidR="00CF16DC" w:rsidRDefault="004F00A2" w:rsidP="00234CBA">
      <w:pPr>
        <w:widowControl w:val="0"/>
        <w:autoSpaceDE w:val="0"/>
        <w:autoSpaceDN w:val="0"/>
        <w:adjustRightInd w:val="0"/>
        <w:spacing w:after="60" w:line="240" w:lineRule="auto"/>
        <w:ind w:left="480" w:hanging="480"/>
        <w:jc w:val="left"/>
      </w:pPr>
      <w:r w:rsidRPr="00526E3F">
        <w:fldChar w:fldCharType="end"/>
      </w:r>
    </w:p>
    <w:p w14:paraId="7AB4B776" w14:textId="77777777" w:rsidR="00F07F2F" w:rsidRDefault="00F07F2F" w:rsidP="002C6180">
      <w:pPr>
        <w:widowControl w:val="0"/>
        <w:autoSpaceDE w:val="0"/>
        <w:autoSpaceDN w:val="0"/>
        <w:adjustRightInd w:val="0"/>
        <w:spacing w:after="60" w:line="240" w:lineRule="auto"/>
        <w:ind w:left="480" w:hanging="480"/>
        <w:rPr>
          <w:rFonts w:asciiTheme="majorHAnsi" w:eastAsiaTheme="majorEastAsia" w:hAnsiTheme="majorHAnsi" w:cstheme="majorBidi"/>
          <w:color w:val="2E74B5" w:themeColor="accent1" w:themeShade="BF"/>
          <w:sz w:val="28"/>
          <w:szCs w:val="28"/>
        </w:rPr>
      </w:pPr>
    </w:p>
    <w:p w14:paraId="4C81A511" w14:textId="77777777" w:rsidR="00F07F2F" w:rsidRDefault="00F07F2F">
      <w:pPr>
        <w:spacing w:line="259" w:lineRule="auto"/>
        <w:jc w:val="left"/>
        <w:rPr>
          <w:rFonts w:asciiTheme="majorHAnsi" w:eastAsiaTheme="majorEastAsia" w:hAnsiTheme="majorHAnsi" w:cstheme="majorBidi"/>
          <w:color w:val="2E74B5" w:themeColor="accent1" w:themeShade="BF"/>
          <w:sz w:val="28"/>
          <w:szCs w:val="28"/>
        </w:rPr>
      </w:pPr>
      <w:r>
        <w:rPr>
          <w:rFonts w:asciiTheme="majorHAnsi" w:eastAsiaTheme="majorEastAsia" w:hAnsiTheme="majorHAnsi" w:cstheme="majorBidi"/>
          <w:color w:val="2E74B5" w:themeColor="accent1" w:themeShade="BF"/>
          <w:sz w:val="28"/>
          <w:szCs w:val="28"/>
        </w:rPr>
        <w:br w:type="page"/>
      </w:r>
    </w:p>
    <w:p w14:paraId="32BB0370" w14:textId="0510C0C1" w:rsidR="00E25548" w:rsidRPr="003F042E" w:rsidRDefault="00E25548" w:rsidP="003F042E">
      <w:pPr>
        <w:pStyle w:val="AppendixMain"/>
      </w:pPr>
    </w:p>
    <w:p w14:paraId="6193B3AD" w14:textId="29B3A963" w:rsidR="00E25548" w:rsidRDefault="00E25548" w:rsidP="00E25548">
      <w:r>
        <w:t xml:space="preserve">This appendix provides </w:t>
      </w:r>
      <w:r w:rsidR="00FF4E01">
        <w:t>a more</w:t>
      </w:r>
      <w:r>
        <w:t xml:space="preserve"> deta</w:t>
      </w:r>
      <w:r w:rsidR="00FF4E01">
        <w:t>iled description of the model, consisting</w:t>
      </w:r>
      <w:r>
        <w:t xml:space="preserve"> of the following parts</w:t>
      </w:r>
      <w:r w:rsidR="00FF4E01">
        <w:t>:</w:t>
      </w:r>
    </w:p>
    <w:p w14:paraId="31529F24" w14:textId="4A741FB4" w:rsidR="00C87754" w:rsidRDefault="001B72EB" w:rsidP="00F33B30">
      <w:pPr>
        <w:pStyle w:val="ListParagraph"/>
        <w:numPr>
          <w:ilvl w:val="0"/>
          <w:numId w:val="8"/>
        </w:numPr>
        <w:spacing w:after="0"/>
        <w:ind w:left="714" w:hanging="357"/>
      </w:pPr>
      <w:r>
        <w:t>Parameter d</w:t>
      </w:r>
      <w:r w:rsidR="00C87754">
        <w:t>ata sources</w:t>
      </w:r>
      <w:r w:rsidR="00117936">
        <w:t xml:space="preserve"> and references</w:t>
      </w:r>
    </w:p>
    <w:p w14:paraId="2ACC2998" w14:textId="0D421DE2" w:rsidR="00E87DC3" w:rsidRDefault="00E87DC3" w:rsidP="00F33B30">
      <w:pPr>
        <w:pStyle w:val="ListParagraph"/>
        <w:numPr>
          <w:ilvl w:val="0"/>
          <w:numId w:val="8"/>
        </w:numPr>
        <w:spacing w:after="0"/>
        <w:ind w:left="714" w:hanging="357"/>
      </w:pPr>
      <w:r>
        <w:t>The population definition</w:t>
      </w:r>
    </w:p>
    <w:p w14:paraId="365097AE" w14:textId="2149F54B" w:rsidR="00E25548" w:rsidRDefault="00E87DC3" w:rsidP="00F33B30">
      <w:pPr>
        <w:pStyle w:val="ListParagraph"/>
        <w:numPr>
          <w:ilvl w:val="0"/>
          <w:numId w:val="8"/>
        </w:numPr>
        <w:spacing w:after="0"/>
        <w:ind w:left="714" w:hanging="357"/>
      </w:pPr>
      <w:r>
        <w:t>T</w:t>
      </w:r>
      <w:r w:rsidR="00433A32">
        <w:t xml:space="preserve">he </w:t>
      </w:r>
      <w:r w:rsidR="001B72EB">
        <w:t>SD</w:t>
      </w:r>
      <w:r w:rsidR="00433A32" w:rsidRPr="00526E3F">
        <w:t xml:space="preserve"> model </w:t>
      </w:r>
      <w:r w:rsidR="00E25548">
        <w:t xml:space="preserve">as </w:t>
      </w:r>
      <w:r w:rsidR="00433A32">
        <w:t xml:space="preserve">a system of </w:t>
      </w:r>
      <w:r w:rsidR="00FF4E01">
        <w:t>differential equations (</w:t>
      </w:r>
      <w:r w:rsidR="00E25548">
        <w:t>DEs)</w:t>
      </w:r>
    </w:p>
    <w:p w14:paraId="7460C524" w14:textId="16D57E98" w:rsidR="00E25548" w:rsidRDefault="00FF4E01" w:rsidP="00F33B30">
      <w:pPr>
        <w:pStyle w:val="ListParagraph"/>
        <w:numPr>
          <w:ilvl w:val="0"/>
          <w:numId w:val="8"/>
        </w:numPr>
        <w:spacing w:after="0"/>
        <w:ind w:left="714" w:hanging="357"/>
      </w:pPr>
      <w:r>
        <w:t xml:space="preserve">The solution to the </w:t>
      </w:r>
      <w:r w:rsidR="00E25548">
        <w:t>DEs</w:t>
      </w:r>
    </w:p>
    <w:p w14:paraId="2498D278" w14:textId="6412A2DC" w:rsidR="00433A32" w:rsidRDefault="00433A32" w:rsidP="00F33B30">
      <w:pPr>
        <w:pStyle w:val="ListParagraph"/>
        <w:numPr>
          <w:ilvl w:val="0"/>
          <w:numId w:val="8"/>
        </w:numPr>
        <w:spacing w:after="0"/>
        <w:ind w:left="714" w:hanging="357"/>
      </w:pPr>
      <w:r>
        <w:t>The derivation of dementia incidence and mortality rate</w:t>
      </w:r>
    </w:p>
    <w:p w14:paraId="2672F52C" w14:textId="22C42A4F" w:rsidR="00E87DC3" w:rsidRDefault="001B72EB" w:rsidP="00F33B30">
      <w:pPr>
        <w:pStyle w:val="ListParagraph"/>
        <w:numPr>
          <w:ilvl w:val="0"/>
          <w:numId w:val="8"/>
        </w:numPr>
        <w:spacing w:after="0"/>
        <w:ind w:left="714" w:hanging="357"/>
      </w:pPr>
      <w:r>
        <w:t>T</w:t>
      </w:r>
      <w:r w:rsidR="00433A32">
        <w:t xml:space="preserve">he dementia severity progression model </w:t>
      </w:r>
    </w:p>
    <w:p w14:paraId="792AAC8F" w14:textId="40482E42" w:rsidR="001B72EB" w:rsidRDefault="00BB59B7" w:rsidP="00F33B30">
      <w:pPr>
        <w:pStyle w:val="ListParagraph"/>
        <w:numPr>
          <w:ilvl w:val="0"/>
          <w:numId w:val="8"/>
        </w:numPr>
        <w:spacing w:after="0"/>
        <w:ind w:left="714" w:hanging="357"/>
      </w:pPr>
      <w:r>
        <w:t>Care cost and QALY equations</w:t>
      </w:r>
    </w:p>
    <w:p w14:paraId="05169523" w14:textId="573A121D" w:rsidR="00C87754" w:rsidRPr="003F042E" w:rsidRDefault="00C87754" w:rsidP="00FF4E01">
      <w:pPr>
        <w:pStyle w:val="AppendixSubheading"/>
      </w:pPr>
      <w:r w:rsidRPr="003F042E">
        <w:t xml:space="preserve">Data sources </w:t>
      </w:r>
    </w:p>
    <w:p w14:paraId="3AF18CCF" w14:textId="2F404229" w:rsidR="009E3711" w:rsidRPr="009E3711" w:rsidRDefault="009E3711" w:rsidP="009E3711">
      <w:pPr>
        <w:pStyle w:val="Caption"/>
      </w:pPr>
      <w:r w:rsidRPr="00526E3F">
        <w:t xml:space="preserve">Table </w:t>
      </w:r>
      <w:r>
        <w:t>A1</w:t>
      </w:r>
      <w:r w:rsidR="00061BD6">
        <w:t xml:space="preserve">   </w:t>
      </w:r>
      <w:r>
        <w:t>Input parameter data sources</w:t>
      </w:r>
    </w:p>
    <w:tbl>
      <w:tblPr>
        <w:tblW w:w="8755" w:type="dxa"/>
        <w:tblInd w:w="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9" w:type="dxa"/>
          <w:left w:w="58" w:type="dxa"/>
          <w:bottom w:w="29" w:type="dxa"/>
          <w:right w:w="58" w:type="dxa"/>
        </w:tblCellMar>
        <w:tblLook w:val="04A0" w:firstRow="1" w:lastRow="0" w:firstColumn="1" w:lastColumn="0" w:noHBand="0" w:noVBand="1"/>
      </w:tblPr>
      <w:tblGrid>
        <w:gridCol w:w="2263"/>
        <w:gridCol w:w="6492"/>
      </w:tblGrid>
      <w:tr w:rsidR="00C87754" w:rsidRPr="00047057" w14:paraId="6FF0B07A" w14:textId="77777777" w:rsidTr="00E1466D">
        <w:trPr>
          <w:cantSplit/>
          <w:tblHeader/>
        </w:trPr>
        <w:tc>
          <w:tcPr>
            <w:tcW w:w="2263" w:type="dxa"/>
            <w:shd w:val="clear" w:color="auto" w:fill="auto"/>
          </w:tcPr>
          <w:p w14:paraId="6E4FC6D8" w14:textId="77777777" w:rsidR="00C87754" w:rsidRPr="00047057" w:rsidRDefault="00C87754" w:rsidP="00E1466D">
            <w:pPr>
              <w:keepNext/>
              <w:keepLines/>
              <w:adjustRightInd w:val="0"/>
              <w:spacing w:after="0" w:line="240" w:lineRule="auto"/>
              <w:jc w:val="left"/>
              <w:rPr>
                <w:rFonts w:ascii="Calibri" w:eastAsia="Calibri" w:hAnsi="Calibri" w:cs="Times New Roman"/>
                <w:b/>
              </w:rPr>
            </w:pPr>
            <w:r w:rsidRPr="00047057">
              <w:rPr>
                <w:rFonts w:ascii="Calibri" w:eastAsia="Calibri" w:hAnsi="Calibri" w:cs="Times New Roman"/>
                <w:b/>
              </w:rPr>
              <w:t>parameter</w:t>
            </w:r>
          </w:p>
        </w:tc>
        <w:tc>
          <w:tcPr>
            <w:tcW w:w="6492" w:type="dxa"/>
            <w:shd w:val="clear" w:color="auto" w:fill="auto"/>
          </w:tcPr>
          <w:p w14:paraId="058C3C44" w14:textId="77777777" w:rsidR="00C87754" w:rsidRPr="00047057" w:rsidRDefault="00C87754" w:rsidP="00E1466D">
            <w:pPr>
              <w:keepNext/>
              <w:keepLines/>
              <w:adjustRightInd w:val="0"/>
              <w:spacing w:after="0" w:line="240" w:lineRule="auto"/>
              <w:jc w:val="left"/>
              <w:rPr>
                <w:rFonts w:ascii="Calibri" w:eastAsia="Calibri" w:hAnsi="Calibri" w:cs="Times New Roman"/>
                <w:b/>
              </w:rPr>
            </w:pPr>
            <w:r w:rsidRPr="00047057">
              <w:rPr>
                <w:rFonts w:ascii="Calibri" w:eastAsia="Calibri" w:hAnsi="Calibri" w:cs="Times New Roman"/>
                <w:b/>
              </w:rPr>
              <w:t>source details</w:t>
            </w:r>
          </w:p>
        </w:tc>
      </w:tr>
      <w:tr w:rsidR="00C87754" w:rsidRPr="00047057" w14:paraId="7AA59D1F" w14:textId="77777777" w:rsidTr="00E1466D">
        <w:trPr>
          <w:cantSplit/>
        </w:trPr>
        <w:tc>
          <w:tcPr>
            <w:tcW w:w="2263" w:type="dxa"/>
            <w:shd w:val="clear" w:color="auto" w:fill="auto"/>
          </w:tcPr>
          <w:p w14:paraId="7FAF25DD" w14:textId="77777777" w:rsidR="00C87754" w:rsidRPr="00047057" w:rsidRDefault="00C87754" w:rsidP="00E1466D">
            <w:pPr>
              <w:keepNext/>
              <w:keepLines/>
              <w:adjustRightInd w:val="0"/>
              <w:spacing w:after="0" w:line="240" w:lineRule="auto"/>
              <w:jc w:val="left"/>
              <w:rPr>
                <w:rFonts w:ascii="Calibri" w:eastAsia="Calibri" w:hAnsi="Calibri" w:cs="Times New Roman"/>
              </w:rPr>
            </w:pPr>
            <w:r w:rsidRPr="00047057">
              <w:rPr>
                <w:rFonts w:ascii="Calibri" w:eastAsia="Calibri" w:hAnsi="Calibri" w:cs="Times New Roman"/>
              </w:rPr>
              <w:t>Population mortality</w:t>
            </w:r>
          </w:p>
        </w:tc>
        <w:tc>
          <w:tcPr>
            <w:tcW w:w="6492" w:type="dxa"/>
            <w:shd w:val="clear" w:color="auto" w:fill="auto"/>
          </w:tcPr>
          <w:p w14:paraId="7D4C7EB3" w14:textId="77777777" w:rsidR="00C87754" w:rsidRPr="00047057" w:rsidRDefault="00C87754" w:rsidP="00E1466D">
            <w:pPr>
              <w:keepNext/>
              <w:keepLines/>
              <w:adjustRightInd w:val="0"/>
              <w:spacing w:after="0" w:line="240" w:lineRule="auto"/>
              <w:jc w:val="left"/>
              <w:rPr>
                <w:rFonts w:ascii="Calibri" w:eastAsia="Calibri" w:hAnsi="Calibri" w:cs="Times New Roman"/>
                <w:highlight w:val="yellow"/>
              </w:rPr>
            </w:pPr>
            <w:r w:rsidRPr="00047057">
              <w:rPr>
                <w:rFonts w:ascii="Calibri" w:eastAsia="Calibri" w:hAnsi="Calibri" w:cs="Times New Roman"/>
              </w:rPr>
              <w:t>National Life Tables</w:t>
            </w:r>
            <w:r>
              <w:rPr>
                <w:rFonts w:ascii="Calibri" w:eastAsia="Calibri" w:hAnsi="Calibri" w:cs="Times New Roman"/>
              </w:rPr>
              <w:t xml:space="preserve"> </w:t>
            </w:r>
            <w:r>
              <w:rPr>
                <w:rFonts w:ascii="Calibri" w:eastAsia="Calibri" w:hAnsi="Calibri" w:cs="Times New Roman"/>
              </w:rPr>
              <w:fldChar w:fldCharType="begin" w:fldLock="1"/>
            </w:r>
            <w:r>
              <w:rPr>
                <w:rFonts w:ascii="Calibri" w:eastAsia="Calibri" w:hAnsi="Calibri" w:cs="Times New Roman"/>
              </w:rPr>
              <w:instrText>ADDIN CSL_CITATION {"citationItems":[{"id":"ITEM-1","itemData":{"URL":"https://www.ons.gov.uk/file?uri=/peoplepopulationandcommunity/birthsdeathsandmarriages/lifeexpectancies/datasets/nationallifetablesunitedkingdomreferencetables/current/nltuk1315reg.xls","abstract":"Period life expectancy by age and sex. Each national life table is based on population estimates, births and deaths for a period of three consecutive years.","accessed":{"date-parts":[["2018","5","4"]]},"author":[{"dropping-particle":"","family":"ONS","given":"","non-dropping-particle":"","parse-names":false,"suffix":""}],"container-title":"National life tables: United Kingdom","id":"ITEM-1","issued":{"date-parts":[["2014"]]},"note":"https://www.ons.gov.uk/file?uri=/peoplepopulationandcommunity/birthsdeathsandmarriages/lifeexpectancies/datasets/nationallifetablesunitedkingdomreferencetables/current/nltuk1315reg.xls","title":"nltuk1315reg.xls","type":"webpage"},"uris":["http://www.mendeley.com/documents/?uuid=3db866fb-8d41-450b-80c3-89a718a75603"]}],"mendeley":{"formattedCitation":"(ONS, 2014a)","plainTextFormattedCitation":"(ONS, 2014a)","previouslyFormattedCitation":"(ONS, 2014a)"},"properties":{"noteIndex":0},"schema":"https://github.com/citation-style-language/schema/raw/master/csl-citation.json"}</w:instrText>
            </w:r>
            <w:r>
              <w:rPr>
                <w:rFonts w:ascii="Calibri" w:eastAsia="Calibri" w:hAnsi="Calibri" w:cs="Times New Roman"/>
              </w:rPr>
              <w:fldChar w:fldCharType="separate"/>
            </w:r>
            <w:r w:rsidRPr="00E224F9">
              <w:rPr>
                <w:rFonts w:ascii="Calibri" w:eastAsia="Calibri" w:hAnsi="Calibri" w:cs="Times New Roman"/>
                <w:noProof/>
              </w:rPr>
              <w:t>(ONS, 2014a)</w:t>
            </w:r>
            <w:r>
              <w:rPr>
                <w:rFonts w:ascii="Calibri" w:eastAsia="Calibri" w:hAnsi="Calibri" w:cs="Times New Roman"/>
              </w:rPr>
              <w:fldChar w:fldCharType="end"/>
            </w:r>
          </w:p>
        </w:tc>
      </w:tr>
      <w:tr w:rsidR="00C87754" w:rsidRPr="00047057" w14:paraId="4489E60F" w14:textId="77777777" w:rsidTr="00E1466D">
        <w:trPr>
          <w:cantSplit/>
        </w:trPr>
        <w:tc>
          <w:tcPr>
            <w:tcW w:w="2263" w:type="dxa"/>
            <w:shd w:val="clear" w:color="auto" w:fill="auto"/>
          </w:tcPr>
          <w:p w14:paraId="3E89B775" w14:textId="77777777" w:rsidR="00C87754" w:rsidRDefault="00C87754" w:rsidP="00E1466D">
            <w:pPr>
              <w:keepNext/>
              <w:keepLines/>
              <w:adjustRightInd w:val="0"/>
              <w:spacing w:after="0" w:line="240" w:lineRule="auto"/>
              <w:jc w:val="left"/>
              <w:rPr>
                <w:rFonts w:ascii="Calibri" w:eastAsia="Calibri" w:hAnsi="Calibri" w:cs="Times New Roman"/>
              </w:rPr>
            </w:pPr>
            <w:r w:rsidRPr="00047057">
              <w:rPr>
                <w:rFonts w:ascii="Calibri" w:eastAsia="Calibri" w:hAnsi="Calibri" w:cs="Times New Roman"/>
              </w:rPr>
              <w:t>Population distribution</w:t>
            </w:r>
          </w:p>
        </w:tc>
        <w:tc>
          <w:tcPr>
            <w:tcW w:w="6492" w:type="dxa"/>
            <w:shd w:val="clear" w:color="auto" w:fill="auto"/>
          </w:tcPr>
          <w:p w14:paraId="444FCD75" w14:textId="77777777" w:rsidR="00C87754" w:rsidRPr="00047057" w:rsidRDefault="00C87754" w:rsidP="00E1466D">
            <w:pPr>
              <w:keepNext/>
              <w:keepLines/>
              <w:adjustRightInd w:val="0"/>
              <w:spacing w:after="0" w:line="240" w:lineRule="auto"/>
              <w:jc w:val="left"/>
              <w:rPr>
                <w:rFonts w:ascii="Calibri" w:eastAsia="Calibri" w:hAnsi="Calibri" w:cs="Times New Roman"/>
              </w:rPr>
            </w:pPr>
            <w:r>
              <w:rPr>
                <w:rFonts w:ascii="Calibri" w:eastAsia="Calibri" w:hAnsi="Calibri" w:cs="Times New Roman"/>
              </w:rPr>
              <w:t xml:space="preserve">Estimates for mid-2016 </w:t>
            </w:r>
            <w:r w:rsidRPr="00047057">
              <w:rPr>
                <w:rFonts w:ascii="Calibri" w:eastAsia="Calibri" w:hAnsi="Calibri" w:cs="Times New Roman"/>
              </w:rPr>
              <w:fldChar w:fldCharType="begin" w:fldLock="1"/>
            </w:r>
            <w:r>
              <w:rPr>
                <w:rFonts w:ascii="Calibri" w:eastAsia="Calibri" w:hAnsi="Calibri" w:cs="Times New Roman"/>
              </w:rPr>
              <w:instrText>ADDIN CSL_CITATION {"citationItems":[{"id":"ITEM-1","itemData":{"URL":"https://www.ons.gov.uk/peoplepopulationandcommunity/populationandmigration/populationestimates/datasets/populationestimatesanalysistool","accessed":{"date-parts":[["2018","5","8"]]},"author":[{"dropping-particle":"","family":"ONS","given":"","non-dropping-particle":"","parse-names":false,"suffix":""}],"container-title":"Mid-2013 Population Estimates: Pivot table Analysis Tool for the United Kingdom","id":"ITEM-1","issued":{"date-parts":[["2014"]]},"title":"Population Estimates Analysis Tool","type":"webpage"},"uris":["http://www.mendeley.com/documents/?uuid=87b091d2-c8c6-4785-ac00-a0de2a934c43"]}],"mendeley":{"formattedCitation":"(ONS, 2014b)","plainTextFormattedCitation":"(ONS, 2014b)","previouslyFormattedCitation":"(ONS, 2014b)"},"properties":{"noteIndex":0},"schema":"https://github.com/citation-style-language/schema/raw/master/csl-citation.json"}</w:instrText>
            </w:r>
            <w:r w:rsidRPr="00047057">
              <w:rPr>
                <w:rFonts w:ascii="Calibri" w:eastAsia="Calibri" w:hAnsi="Calibri" w:cs="Times New Roman"/>
              </w:rPr>
              <w:fldChar w:fldCharType="separate"/>
            </w:r>
            <w:r w:rsidRPr="00047057">
              <w:rPr>
                <w:rFonts w:ascii="Calibri" w:eastAsia="Calibri" w:hAnsi="Calibri" w:cs="Times New Roman"/>
                <w:noProof/>
              </w:rPr>
              <w:t>(ONS, 2014b)</w:t>
            </w:r>
            <w:r w:rsidRPr="00047057">
              <w:rPr>
                <w:rFonts w:ascii="Calibri" w:eastAsia="Calibri" w:hAnsi="Calibri" w:cs="Times New Roman"/>
              </w:rPr>
              <w:fldChar w:fldCharType="end"/>
            </w:r>
          </w:p>
        </w:tc>
      </w:tr>
      <w:tr w:rsidR="00C87754" w:rsidRPr="00047057" w14:paraId="21641151" w14:textId="77777777" w:rsidTr="00E1466D">
        <w:trPr>
          <w:cantSplit/>
        </w:trPr>
        <w:tc>
          <w:tcPr>
            <w:tcW w:w="2263" w:type="dxa"/>
            <w:shd w:val="clear" w:color="auto" w:fill="auto"/>
          </w:tcPr>
          <w:p w14:paraId="794B9E25" w14:textId="77777777" w:rsidR="00C87754" w:rsidRPr="00047057" w:rsidRDefault="00C87754" w:rsidP="00E1466D">
            <w:pPr>
              <w:keepNext/>
              <w:keepLines/>
              <w:adjustRightInd w:val="0"/>
              <w:spacing w:after="0" w:line="240" w:lineRule="auto"/>
              <w:jc w:val="left"/>
              <w:rPr>
                <w:rFonts w:ascii="Calibri" w:eastAsia="Calibri" w:hAnsi="Calibri" w:cs="Times New Roman"/>
              </w:rPr>
            </w:pPr>
            <w:r w:rsidRPr="00047057">
              <w:rPr>
                <w:rFonts w:ascii="Calibri" w:eastAsia="Calibri" w:hAnsi="Calibri" w:cs="Times New Roman"/>
              </w:rPr>
              <w:t>Population projections</w:t>
            </w:r>
          </w:p>
        </w:tc>
        <w:tc>
          <w:tcPr>
            <w:tcW w:w="6492" w:type="dxa"/>
            <w:shd w:val="clear" w:color="auto" w:fill="auto"/>
          </w:tcPr>
          <w:p w14:paraId="64FEE355" w14:textId="77777777" w:rsidR="00C87754" w:rsidRPr="00047057" w:rsidRDefault="00C87754" w:rsidP="00E1466D">
            <w:pPr>
              <w:keepNext/>
              <w:keepLines/>
              <w:adjustRightInd w:val="0"/>
              <w:spacing w:after="0" w:line="240" w:lineRule="auto"/>
              <w:jc w:val="left"/>
              <w:rPr>
                <w:rFonts w:ascii="Calibri" w:eastAsia="Calibri" w:hAnsi="Calibri" w:cs="Times New Roman"/>
              </w:rPr>
            </w:pPr>
            <w:r>
              <w:rPr>
                <w:rFonts w:ascii="Calibri" w:eastAsia="Calibri" w:hAnsi="Calibri" w:cs="Times New Roman"/>
              </w:rPr>
              <w:t xml:space="preserve">25 year forecast by Local Authority </w:t>
            </w:r>
            <w:r w:rsidRPr="00047057">
              <w:rPr>
                <w:rFonts w:ascii="Calibri" w:eastAsia="Calibri" w:hAnsi="Calibri" w:cs="Times New Roman"/>
              </w:rPr>
              <w:fldChar w:fldCharType="begin" w:fldLock="1"/>
            </w:r>
            <w:r>
              <w:rPr>
                <w:rFonts w:ascii="Calibri" w:eastAsia="Calibri" w:hAnsi="Calibri" w:cs="Times New Roman"/>
              </w:rPr>
              <w:instrText>ADDIN CSL_CITATION {"citationItems":[{"id":"ITEM-1","itemData":{"URL":"https://www.ons.gov.uk/peoplepopulationandcommunity/populationandmigration/populationprojections/datasets/localauthoritiesinenglandtable2","abstract":"Population figures for mid-2014 to mid-2039 for persons, males and females in five year age groups for local authorities in England.","accessed":{"date-parts":[["2018","4","20"]]},"author":[{"dropping-particle":"","family":"ONS","given":"","non-dropping-particle":"","parse-names":false,"suffix":""}],"container-title":"Subnational population projections for England: 2012-based","id":"ITEM-1","issued":{"date-parts":[["2014"]]},"note":"https://www.ons.gov.uk/peoplepopulationandcommunity/populationandmigration/populationprojections/datasets/localauthoritiesinenglandtable2","title":"Table 2, tcm77364153.xls","type":"webpage"},"uris":["http://www.mendeley.com/documents/?uuid=ac10fae7-37a5-4ba7-926b-980a5048c64a"]}],"mendeley":{"formattedCitation":"(ONS, 2014c)","plainTextFormattedCitation":"(ONS, 2014c)","previouslyFormattedCitation":"(ONS, 2014c)"},"properties":{"noteIndex":0},"schema":"https://github.com/citation-style-language/schema/raw/master/csl-citation.json"}</w:instrText>
            </w:r>
            <w:r w:rsidRPr="00047057">
              <w:rPr>
                <w:rFonts w:ascii="Calibri" w:eastAsia="Calibri" w:hAnsi="Calibri" w:cs="Times New Roman"/>
              </w:rPr>
              <w:fldChar w:fldCharType="separate"/>
            </w:r>
            <w:r w:rsidRPr="00047057">
              <w:rPr>
                <w:rFonts w:ascii="Calibri" w:eastAsia="Calibri" w:hAnsi="Calibri" w:cs="Times New Roman"/>
                <w:noProof/>
              </w:rPr>
              <w:t>(ONS, 2014c)</w:t>
            </w:r>
            <w:r w:rsidRPr="00047057">
              <w:rPr>
                <w:rFonts w:ascii="Calibri" w:eastAsia="Calibri" w:hAnsi="Calibri" w:cs="Times New Roman"/>
              </w:rPr>
              <w:fldChar w:fldCharType="end"/>
            </w:r>
          </w:p>
        </w:tc>
      </w:tr>
      <w:tr w:rsidR="00C87754" w:rsidRPr="00047057" w14:paraId="35B0EBA1" w14:textId="77777777" w:rsidTr="00E1466D">
        <w:trPr>
          <w:cantSplit/>
        </w:trPr>
        <w:tc>
          <w:tcPr>
            <w:tcW w:w="2263" w:type="dxa"/>
            <w:shd w:val="clear" w:color="auto" w:fill="auto"/>
          </w:tcPr>
          <w:p w14:paraId="16F91750" w14:textId="77777777" w:rsidR="00C87754" w:rsidRPr="00047057" w:rsidRDefault="00C87754" w:rsidP="00E1466D">
            <w:pPr>
              <w:keepNext/>
              <w:keepLines/>
              <w:adjustRightInd w:val="0"/>
              <w:spacing w:after="0" w:line="240" w:lineRule="auto"/>
              <w:jc w:val="left"/>
              <w:rPr>
                <w:rFonts w:ascii="Calibri" w:eastAsia="Calibri" w:hAnsi="Calibri" w:cs="Times New Roman"/>
              </w:rPr>
            </w:pPr>
            <w:r>
              <w:rPr>
                <w:rFonts w:ascii="Calibri" w:eastAsia="Calibri" w:hAnsi="Calibri" w:cs="Times New Roman"/>
              </w:rPr>
              <w:t>Incidence rates</w:t>
            </w:r>
          </w:p>
          <w:p w14:paraId="6D000518" w14:textId="77777777" w:rsidR="00C87754" w:rsidRPr="00047057" w:rsidRDefault="00C87754" w:rsidP="00E1466D">
            <w:pPr>
              <w:keepNext/>
              <w:keepLines/>
              <w:adjustRightInd w:val="0"/>
              <w:spacing w:after="0" w:line="240" w:lineRule="auto"/>
              <w:jc w:val="left"/>
              <w:rPr>
                <w:rFonts w:ascii="Calibri" w:eastAsia="Calibri" w:hAnsi="Calibri" w:cs="Times New Roman"/>
              </w:rPr>
            </w:pPr>
          </w:p>
        </w:tc>
        <w:tc>
          <w:tcPr>
            <w:tcW w:w="6492" w:type="dxa"/>
            <w:shd w:val="clear" w:color="auto" w:fill="auto"/>
          </w:tcPr>
          <w:p w14:paraId="34D049ED" w14:textId="77777777" w:rsidR="00C87754" w:rsidRPr="00047057" w:rsidRDefault="00C87754" w:rsidP="00E1466D">
            <w:pPr>
              <w:keepNext/>
              <w:keepLines/>
              <w:adjustRightInd w:val="0"/>
              <w:spacing w:after="0" w:line="240" w:lineRule="auto"/>
              <w:jc w:val="left"/>
              <w:rPr>
                <w:rFonts w:ascii="Calibri" w:eastAsia="Calibri" w:hAnsi="Calibri" w:cs="Times New Roman"/>
              </w:rPr>
            </w:pPr>
            <w:r w:rsidRPr="00526E3F">
              <w:fldChar w:fldCharType="begin" w:fldLock="1"/>
            </w:r>
            <w:r w:rsidRPr="00526E3F">
              <w:instrText>ADDIN CSL_CITATION {"citationItems":[{"id":"ITEM-1","itemData":{"DOI":"10.1016/j.jalz.2018.03.005","ISSN":"15525279","abstract":"Introduction: Lifetime risks are the probabilities of progressing to Alzheimer's disease (AD) dementia during one's lifespan. Here, we report the first estimates of the lifetime and ten-year risks of AD dementia based on age, gender, and biomarker tests for preclinical disease. Methods: We used a multistate model for the disease process together with US death rates. Results: Lifetime risks of AD dementia vary considerably by age, gender, and the preclinical or clinical disease state of the individual. For example, the lifetime risks for a female with only amyloidosis are 8.4% for a 90-year old and 29.3% for a 65-year old. Persons younger than 85 years with mild cognitive impairment, amyloidosis, and neurodegeneration have lifetime risks of AD dementia greater than 50%. Discussion: Most persons with preclinical AD will not develop AD dementia during their lifetimes. Lifetime risks help interpret the clinical significance of biomarker screening tests for AD.","author":[{"dropping-particle":"","family":"Brookmeyer","given":"Ron","non-dropping-particle":"","parse-names":false,"suffix":""},{"dropping-particle":"","family":"Abdalla","given":"Nada","non-dropping-particle":"","parse-names":false,"suffix":""}],"container-title":"Alzheimer's and Dementia","id":"ITEM-1","issue":"8","issued":{"date-parts":[["2018"]]},"page":"981-988","publisher":"Elsevier Inc.","title":"Estimation of lifetime risks of Alzheimer's disease dementia using biomarkers for preclinical disease","type":"article-journal","volume":"14"},"uris":["http://www.mendeley.com/documents/?uuid=1f5f1e98-45a5-4a94-a679-b1f82dc8bdb9"]},{"id":"ITEM-2","itemData":{"DOI":"10.1007/s13524-017-0598-7","ISSN":"0070-3370","author":[{"dropping-particle":"","family":"Fishman","given":"Ezra","non-dropping-particle":"","parse-names":false,"suffix":""}],"container-title":"Demography","id":"ITEM-2","issue":"5","issued":{"date-parts":[["2017","10","3"]]},"page":"1897-1919","title":"Risk of Developing Dementia at Older Ages in the United States","type":"article-journal","volume":"54"},"uris":["http://www.mendeley.com/documents/?uuid=9e85b5f9-1794-48b8-890a-63b24ebdffe4"]},{"id":"ITEM-3","itemData":{"DOI":"10.1016/j.jalz.2015.11.001","ISBN":"1552-5279 (Electronic)\\r1552-5260 (Linking)","ISSN":"15525279","PMID":"26693893","abstract":"Introduction Few recent studies have suggested declining trends in dementia frequency. French cohorts with long follow-up allowed us to explore incidence evolution trends. Methods Two different populations of subjects aged ≥65 years included in 1988-1989 (n = 1469) and 1999-2000 (n = 2104) were followed up over 10 years, with systematic assessment for cognition and dementia. Multistates illness-death models were used to compare dementia incidence using both clinical and algorithmic diagnoses. Results Using the algorithmic diagnosis, incidence declined significantly overall and for women (age-adjusted hazard ratio [HR] = 0.62; confidence interval (CI) = 0.48-0.80 for women between the two populations). Differences in education, vascular factors, and depression accounted only to some extent for this reduction (women full-adjusted HR = 0.73; CI = 0.57-0.95). No significant decreasing trends were found for men or when using the clinical diagnosis for either sex. Discussion Our study provides further support for a decrease in dementia incidence in women using algorithmic diagnosis. Changes in diagnostic boundaries mask this reduction.","author":[{"dropping-particle":"","family":"Grasset","given":"Leslie","non-dropping-particle":"","parse-names":false,"suffix":""},{"dropping-particle":"","family":"Brayne","given":"Carol","non-dropping-particle":"","parse-names":false,"suffix":""},{"dropping-particle":"","family":"Joly","given":"Pierre","non-dropping-particle":"","parse-names":false,"suffix":""},{"dropping-particle":"","family":"Jacqmin-Gadda","given":"Hélène","non-dropping-particle":"","parse-names":false,"suffix":""},{"dropping-particle":"","family":"Peres","given":"Karine","non-dropping-particle":"","parse-names":false,"suffix":""},{"dropping-particle":"","family":"Foubert-Samier","given":"Alexandra","non-dropping-particle":"","parse-names":false,"suffix":""},{"dropping-particle":"","family":"Dartigues","given":"Jean François","non-dropping-particle":"","parse-names":false,"suffix":""},{"dropping-particle":"","family":"Helmer","given":"Catherine","non-dropping-particle":"","parse-names":false,"suffix":""}],"container-title":"Alzheimer's &amp; Dementia","id":"ITEM-3","issue":"3","issued":{"date-parts":[["2016"]]},"page":"272-280","title":"Trends in dementia incidence: Evolution over a 10-year period in France","type":"article-journal","volume":"12"},"uris":["http://www.mendeley.com/documents/?uuid=f3e29c6d-7374-4625-983c-0509152c1be9"]},{"id":"ITEM-4","itemData":{"DOI":"10.1038/ncomms11398","ISSN":"2041-1723","PMID":"27092707","abstract":"Dramatic global increases in future numbers of people with dementia have been predicted. No multicentre population-based study powered to detect changes over time has reported dementia incidence. MRC Cognitive Function and Ageing Study (CFAS) undertook baseline interviews in populations aged 65+ years in England and Wales (1989–1994). Three areas (CFAS I) were selected for new sampling two decades later (2008–2011) with same geographical boundaries, sampling and approach methods (CFAS II). At 2 years CFAS I interviewed 5,156 (76% response) with 5,288 interviewed in CFAS II (74% response). Here we report a 20% drop in incidence (95% CI: 0–40%), driven by a reduction in men across all ages above 65. In the UK we estimate 209,600 new dementia cases per year. This study was uniquely designed to test for differences across geography and time. A reduction of age-specific incidence means that the numbers of people estimated to develop dementia in any year has remained relatively stable.","author":[{"dropping-particle":"","family":"Matthews","given":"Fiona E.","non-dropping-particle":"","parse-names":false,"suffix":""},{"dropping-particle":"","family":"Stephan","given":"B. C. M.","non-dropping-particle":"","parse-names":false,"suffix":""},{"dropping-particle":"","family":"Robinson","given":"L.","non-dropping-particle":"","parse-names":false,"suffix":""},{"dropping-particle":"","family":"Jagger","given":"C.","non-dropping-particle":"","parse-names":false,"suffix":""},{"dropping-particle":"","family":"Barnes","given":"L. E.","non-dropping-particle":"","parse-names":false,"suffix":""},{"dropping-particle":"","family":"Arthur","given":"A.","non-dropping-particle":"","parse-names":false,"suffix":""},{"dropping-particle":"","family":"Brayne","given":"C.","non-dropping-particle":"","parse-names":false,"suffix":""},{"dropping-particle":"","family":"Comas-Herrera","given":"A.","non-dropping-particle":"","parse-names":false,"suffix":""},{"dropping-particle":"","family":"Wittenberg","given":"R.","non-dropping-particle":"","parse-names":false,"suffix":""},{"dropping-particle":"","family":"Dening","given":"T.","non-dropping-particle":"","parse-names":false,"suffix":""},{"dropping-particle":"","family":"McCracken","given":"C.F.M.","non-dropping-particle":"","parse-names":false,"suffix":""},{"dropping-particle":"","family":"Moody","given":"C.","non-dropping-particle":"","parse-names":false,"suffix":""},{"dropping-particle":"","family":"Parry","given":"B.","non-dropping-particle":"","parse-names":false,"suffix":""},{"dropping-particle":"","family":"Green","given":"E.","non-dropping-particle":"","parse-names":false,"suffix":""},{"dropping-particle":"","family":"Barnes","given":"R.","non-dropping-particle":"","parse-names":false,"suffix":""},{"dropping-particle":"","family":"Warwick","given":"J.","non-dropping-particle":"","parse-names":false,"suffix":""},{"dropping-particle":"","family":"Gao","given":"L.","non-dropping-particle":"","parse-names":false,"suffix":""},{"dropping-particle":"","family":"Mattison","given":"A.","non-dropping-particle":"","parse-names":false,"suffix":""},{"dropping-particle":"","family":"Baldwin","given":"C.","non-dropping-particle":"","parse-names":false,"suffix":""},{"dropping-particle":"","family":"Harrison","given":"S.","non-dropping-particle":"","parse-names":false,"suffix":""},{"dropping-particle":"","family":"Woods","given":"B.","non-dropping-particle":"","parse-names":false,"suffix":""},{"dropping-particle":"","family":"McKeith","given":"I.G.","non-dropping-particle":"","parse-names":false,"suffix":""},{"dropping-particle":"","family":"Ince","given":"P.G.","non-dropping-particle":"","parse-names":false,"suffix":""},{"dropping-particle":"","family":"Wharton","given":"S.B.","non-dropping-particle":"","parse-names":false,"suffix":""},{"dropping-particle":"","family":"Forster","given":"G.","non-dropping-particle":"","parse-names":false,"suffix":""}],"container-title":"Nature Communications","id":"ITEM-4","issued":{"date-parts":[["2016","4","19"]]},"language":"en","page":"8","title":"A two decade dementia incidence comparison from the Cognitive Function and Ageing Studies I and II","type":"article-journal","volume":"7"},"uris":["http://www.mendeley.com/documents/?uuid=eb0c304d-4265-446d-ab86-6630e3e015c0"]},{"id":"ITEM-5","itemData":{"DOI":"10.1002/ana.21915","ISBN":"1531-8249 (Electronic)\\n0364-5134 (Linking)","ISSN":"03645134","PMID":"20186856","abstract":"OBJECTIVE The oldest old are the fastest growing segment of the US population, and accurate estimates of dementia incidence in this group are crucial for healthcare planning. Although dementia incidence doubles every 5 years from ages 65 to 90 years, it is unknown if this exponential increase continues past age 90 years. Here, we estimate age- and sex-specific incidence rates of all-cause dementia in people aged 90 years and older, including estimates for centenarians. METHODS Participants are from The 90+ Study, a population-based longitudinal study of aging and dementia. Three hundred thirty nondemented participants aged 90 years and older at baseline were followed between January 2003 and December 2007. Age- and sex-specific incidence rates of all-cause dementia were estimated by person-years analysis. RESULTS The overall incidence rate of all-cause dementia was 18.2% (95% confidence interval [CI], 15.3-21.5) per year and was similar for men and women (risk ratio, 0.94; 95% CI, 0.65-1.37). Rates increased exponentially with age from 12.7% per year in the 90-94-year age group, to 21.2% per year in the 95-99-year age group, to 40.7% per year in the 100+-year age group. The doubling time based on a Poisson regression was 5.5 years. INTERPRETATION Incidence of all-cause dementia is very high in people aged 90 years and older and continues to increase exponentially with age in both men and women. Projections of the number of people with dementia should incorporate this continuing increase of dementia incidence after age 90 years. Our results foretell the growing public health burden of dementia in an increasingly aging population.","author":[{"dropping-particle":"","family":"Corrada","given":"María M.","non-dropping-particle":"","parse-names":false,"suffix":""},{"dropping-particle":"","family":"Hayden","given":"Kathleen M.","non-dropping-particle":"","parse-names":false,"suffix":""},{"dropping-particle":"","family":"Paganini-Hill","given":"Annlia","non-dropping-particle":"","parse-names":false,"suffix":""},{"dropping-particle":"","family":"Bullain","given":"Szofia S.","non-dropping-particle":"","parse-names":false,"suffix":""},{"dropping-particle":"","family":"DeMoss","given":"Jaime","non-dropping-particle":"","parse-names":false,"suffix":""},{"dropping-particle":"","family":"Aguirre","given":"Colette","non-dropping-particle":"","parse-names":false,"suffix":""},{"dropping-particle":"","family":"Brookmeyer","given":"Ron","non-dropping-particle":"","parse-names":false,"suffix":""},{"dropping-particle":"","family":"Kawas","given":"Claudia H.","non-dropping-particle":"","parse-names":false,"suffix":""},{"dropping-particle":"","family":"Paganini-Hill","given":"Annlia","non-dropping-particle":"","parse-names":false,"suffix":""},{"dropping-particle":"","family":"Berlau","given":"Daniel","non-dropping-particle":"","parse-names":false,"suffix":""},{"dropping-particle":"","family":"Kawas","given":"Claudia H.","non-dropping-particle":"","parse-names":false,"suffix":""}],"container-title":"Annals of Neurology","id":"ITEM-5","issue":"1","issued":{"date-parts":[["2010","1"]]},"page":"114-121","publisher":"NIH Public Access","title":"Dementia incidence continues to increase with age in the oldest old the 90+ study","type":"article-journal","volume":"67"},"uris":["http://www.mendeley.com/documents/?uuid=195598ab-d56d-45af-ad6c-9a8ece4e4ca7"]},{"id":"ITEM-6","itemData":{"DOI":"http://dx.doi.org/10.1136/bmj.c3584","ISSN":"0959-535X, 0959-535X","abstract":"STUDY QUESTION What is the long term survival of people from first recorded diagnosis of dementia in UK primary care? SUMMARY ANSWER The survival of people with dementia drops from an average of 6.7 years in those in their 60s to 1.9 years in those aged 90 and over; mortality rates are three times higher in the first year after the initial recorded diagnosis compared with people without dementia. WHAT IS KNOWN AND WHAT THIS PAPER ADDS Family doctors provide most medical care for people with dementia, but no survival estimates relevant to primary care are available. Survival is lower than in screened populations, and these clinically relevant estimates can assist with planning of care in general practice. Adapted from the source document.","author":[{"dropping-particle":"","family":"Rait","given":"Greta","non-dropping-particle":"","parse-names":false,"suffix":""},{"dropping-particle":"","family":"Walters","given":"Kate","non-dropping-particle":"","parse-names":false,"suffix":""},{"dropping-particle":"","family":"Bottomley","given":"Christian","non-dropping-particle":"","parse-names":false,"suffix":""},{"dropping-particle":"","family":"Petersen","given":"Irene","non-dropping-particle":"","parse-names":false,"suffix":""},{"dropping-particle":"","family":"Iliffe","given":"Steve","non-dropping-particle":"","parse-names":false,"suffix":""},{"dropping-particle":"","family":"Nazareth","given":"Irwin","non-dropping-particle":"","parse-names":false,"suffix":""}],"container-title":"BMJ","id":"ITEM-6","issue":"7768","issued":{"date-parts":[["2010"]]},"page":"337","title":"Survival of People with Clinical Diagnosis of Dementia in Primary Care: Cohort Study","type":"article-journal","volume":"341"},"uris":["http://www.mendeley.com/documents/?uuid=ec11fce6-15fe-427b-9fe7-6f91ff12b764"]},{"id":"ITEM-7","itemData":{"DOI":"10.1001/archneur.59.10.1589","author":[{"dropping-particle":"","family":"Edland","given":"S D","non-dropping-particle":"","parse-names":false,"suffix":""},{"dropping-particle":"","family":"Rocca","given":"W A","non-dropping-particle":"","parse-names":false,"suffix":""},{"dropping-particle":"","family":"Petersen","given":"R C","non-dropping-particle":"","parse-names":false,"suffix":""},{"dropping-particle":"","family":"Cha","given":"R H","non-dropping-particle":"","parse-names":false,"suffix":""},{"dropping-particle":"","family":"Kokmen","given":"E","non-dropping-particle":"","parse-names":false,"suffix":""}],"container-title":"Arch Neurol","id":"ITEM-7","issue":"10","issued":{"date-parts":[["2002"]]},"page":"1589-1593","title":"Dementia and Alzheimer Disease Incidence Rates Do Not Vary by Sex in Rochester,Minn","type":"article-journal","volume":"59"},"uris":["http://www.mendeley.com/documents/?uuid=d02fc414-0f96-4f21-8db7-3b3ba743857b"]},{"id":"ITEM-8","itemData":{"DOI":"10.1212/WNL.58.2.209","ISBN":"0028-3878","ISSN":"00283878","PMID":"11805246","abstract":"OBJECTIVES: To characterize the incidence of AD among the elderly population of Cache County, UT, noted for its longevity and high response rates; to explore sex differences; and to examine whether AD incidence plateaus or declines in extreme old age. METHODS: Using a multistage screening process in 1998 and 1999, and re-examining 122 individuals who had been identified 3 years earlier as cognitively compromised but not demented, the authors found 185 individuals with incident dementia (123 with AD) among 3,308 participants who contributed 10,541 person-years of observation. Adjusting for nonresponse and screening sensitivity, the authors estimated the incidence of dementia and of AD for men and women in 3-year age intervals. Multivariate discrete time survival analysis was used to examine influences of age, sex, education, and genotype at APOE, as well as interactions of these factors. RESULTS: The incidence of both dementia and AD increased almost exponentially until ages 85 to 90, but appeared to decline after age 93 for men and 97 for women. A statistical interaction between age and the presence of two APOE-epsilon 4 alleles indicated acceleration in onset of AD with this genotype; the interaction of age and one epsilon 4 suggested more modest acceleration. A statistical interaction of sex and age indicated greater incidence of AD in women than in men after age 85. CONCLUSIONS: The incidence of AD in the Cache County population increased with advancing age, but then peaked and declined among the extremely old. The presence of APOE-epsilon 4 alleles accelerated onset of AD, but did not appreciably alter lifetime incidence apparent over a span of 100 years.","author":[{"dropping-particle":"","family":"Miech","given":"R. A.","non-dropping-particle":"","parse-names":false,"suffix":""},{"dropping-particle":"","family":"Breitner","given":"J. C.S.","non-dropping-particle":"","parse-names":false,"suffix":""},{"dropping-particle":"","family":"Zandi","given":"P. P.","non-dropping-particle":"","parse-names":false,"suffix":""},{"dropping-particle":"","family":"Khachaturian","given":"A. S.","non-dropping-particle":"","parse-names":false,"suffix":""},{"dropping-particle":"","family":"Anthony","given":"J. C.","non-dropping-particle":"","parse-names":false,"suffix":""},{"dropping-particle":"","family":"Mayer","given":"L.","non-dropping-particle":"","parse-names":false,"suffix":""}],"container-title":"Neurology","id":"ITEM-8","issue":"2","issued":{"date-parts":[["2002"]]},"page":"209-218","title":"Incidence of AD may decline in the early 90s for men, later for women: The Cache County study","type":"article-journal","volume":"58"},"uris":["http://www.mendeley.com/documents/?uuid=3012a16f-1022-4b83-a435-6fa633cfdd65"]},{"id":"ITEM-9","itemData":{"DOI":"10.1212/WNL.55.1.66","ISBN":"0028-3878","ISSN":"0028-3878","PMID":"10891908","abstract":"OBJECTIVE: To estimate the incidence of dementia, including AD, among Canadians aged 65 and over. METHODS: A 5-year cohort study of 10,263 seniors was undertaken, including community and institutional samples. The baseline study in 1991 identified 1,132 prevalent cases of dementia through screening and clinical examination. The remaining 9,131 cases formed the incidence study sample and were rescreened and selectively reexamined in 1996. Incident cases were diagnosed using established criteria. Incidence was estimated based on the 1991 population, and included data on those who died between the first and second phases of the study. RESULTS: Of the nondemented cohort who remained alive in 1996, 5,432 people in the community (88.3%) and 210 (91.3%) in the institutional sample participated in the incidence study. Nine hundred sixty incident cases were identified; the overall age-standardized incidence rates were 21.8 (women) and 19.1 (men) per 1,000 nondemented persons per year. This translates into 60,150 new cases of dementia per year in Canada. The logarithm of the rates rises linearly with age, but suggests a slight slowing of growth in incidence in the oldest age groups. CONCLUSIONS: Our incidence estimates lie toward the upper end of the range of incidence estimates found in other studies. Nonetheless, we calculate that several factors may have biased our estimates downward, suggesting that the incidence of dementia may be higher than many studies have reported","author":[{"dropping-particle":"","family":"CSHA Working Group","given":"","non-dropping-particle":"","parse-names":false,"suffix":""}],"container-title":"Neurology","id":"ITEM-9","issue":"1","issued":{"date-parts":[["2000"]]},"page":"66-73","title":"The incidence of dementia in Canada","type":"article-journal","volume":"55"},"uris":["http://www.mendeley.com/documents/?uuid=32fe1b58-2d3c-4a9a-abaa-f17a57413d68"]},{"id":"ITEM-10","itemData":{"ISSN":"0002-9262","PMID":"9521184","abstract":"To assess age-, sex-, and subtype-specific incidence rates of dementia and to calculate the risk of dementia, the authors performed a large, community-based, prospective cohort study on dementia as part of the Rotterdam Study. Participants were recruited among residents of a suburb of Rotterdam, aged 55 years and older. Baseline examinations took place between 1990 and 1993. The average follow-up was 2.1 years. Screening for dementia followed a three-stage protocol. Medical records of subjects who had died or could not be examined in person were evaluated. Of 7,046 subjects who were nondemented at baseline, 162 developed dementia during 15,135 person-years of follow-up, resulting in an overall incidence rate of 10.7 per 1,000 person-years. From the youngest to the oldest 5-year age category, the incidence rate increased from 0.6 to 97.2 per 1,000 person-years. Only in men did the increase level off after age 85. Overall, the incidence rate per 1,000 person-years was 7.7 for Alzheimer's disease and 1.5 for vascular dementia. Dementia incidence rates and dementia-free Kaplan-Meier survival tables were used to calculate age- and sex-specific cumulative risks of dementia. Although the incidence rates of men and women up to age 85 were similar, the lifetime risk of dementia for 55-year-old women was twice as high as for men (0.33 vs. 0.16), reflecting both the higher life expectancy of women and the higher dementia risk at very old age.","author":[{"dropping-particle":"","family":"Ott","given":"A","non-dropping-particle":"","parse-names":false,"suffix":""},{"dropping-particle":"","family":"Breteler","given":"M M","non-dropping-particle":"","parse-names":false,"suffix":""},{"dropping-particle":"","family":"Harskamp","given":"F","non-dropping-particle":"van","parse-names":false,"suffix":""},{"dropping-particle":"","family":"Stijnen","given":"T","non-dropping-particle":"","parse-names":false,"suffix":""},{"dropping-particle":"","family":"Hofman","given":"A","non-dropping-particle":"","parse-names":false,"suffix":""}],"container-title":"American journal of epidemiology","id":"ITEM-10","issue":"6","issued":{"date-parts":[["1998","3","15"]]},"page":"574-80","title":"Incidence and risk of dementia. The Rotterdam Study.","type":"article-journal","volume":"147"},"uris":["http://www.mendeley.com/documents/?uuid=c8e1e9fd-ac05-4e26-92f1-56bf8ac631dc"]},{"id":"ITEM-11","itemData":{"DOI":"10.1212/WNL.49.6.1498","ISSN":"0028-3878","abstract":"We estimated the remaining lifetime risks of developing Alzheimer's disease (AD) and dementia from all causes, based on data from longitudinal population studies. The risk of developing AD during one's lifetime depends on both disease incidence and life expectancy. Conventional estimates of cumulative incidence overestimate the risk when there is a substantial probability of mortality due to competing causes. A total of 2,611 cognitively intact subjects (1,061 men, 1,550 women; mean age, 66± 7 years) were prospectively evaluated for the development of AD or other dementia. A modified survival analysis was used to estimate both cumulative incidence and the sex-specific remaining lifetime risk estimates for quinquennial age groups above age 65 years. Over a 20-year follow-up period, 198 subjects developed dementia (120 with AD). The remaining lifetime risk of AD or other dementia depended on sex, being higher in women, but varied little with age between 65 and 80 years. In a 65-year-old man, the remaining lifetime risk of AD was 6.3% (95% CI, 3.9 to 8.7) and the remaining lifetime risk of developing any dementing illness was 10.9% (95% CI, 8.0 to 13.8); corresponding risks for a 65-year-old woman were 12% (95% CI, 9.2 to 14.8) and 19% (95% CI, 17.2 to 22.5). The cumulative incidence between age 65 and 100 years was much higher: for AD, 25.5% in men and 28.1% in women; for dementia, 32.8% in men and 45% in women. The actual remaining lifetime risk of AD or dementia varies with age, sex, and life expectancy and is lower than the hypothetical risk estimated by a cumulative incidence in the same population.","author":[{"dropping-particle":"","family":"Seshadri","given":"S.","non-dropping-particle":"","parse-names":false,"suffix":""},{"dropping-particle":"","family":"Wolf","given":"P. A.","non-dropping-particle":"","parse-names":false,"suffix":""},{"dropping-particle":"","family":"Beiser","given":"A.","non-dropping-particle":"","parse-names":false,"suffix":""},{"dropping-particle":"","family":"Au","given":"R.","non-dropping-particle":"","parse-names":false,"suffix":""},{"dropping-particle":"","family":"McNulty","given":"K.","non-dropping-particle":"","parse-names":false,"suffix":""},{"dropping-particle":"","family":"White","given":"R.","non-dropping-particle":"","parse-names":false,"suffix":""},{"dropping-particle":"","family":"D'Agostino","given":"R. B.","non-dropping-particle":"","parse-names":false,"suffix":""}],"container-title":"Neurology","id":"ITEM-11","issue":"6","issued":{"date-parts":[["1997","12","1"]]},"page":"1498-1504","title":"Lifetime risk of dementia and Alzheimer's disease: The impact of mortality on risk estimates in the Framingham Study","type":"article-journal","volume":"49"},"uris":["http://www.mendeley.com/documents/?uuid=57c32f42-3718-44f9-bfdd-4841475c7962"]},{"id":"ITEM-12","itemData":{"ISSN":"0940-1334","PMID":"8908415","abstract":"In a two-wave community study a representative sample of 402 very old people (older than 85 years) was restudied 1 year later. Four instruments in the clinical examination were used for case identification: (a) the Geriatric Mental State Interview (GMS-A); (b) the Structured Interview for the Diagnosis of Dementia (SIDAM); (c) the Global Deterioration Scale (GDS); and (d) the Mini Mental State Examination (MMSE). The clinical examination was performed by the interviewing physician who made a diagnosis according to DMS-III-R. The focus of the present study is on the (true) incidence of dementia in a representative community sample. The establishment of incidence rates is particularly important for dementia because the prevalence of dementia is affected by the length of survival, which is reduced in dementia and with increasing age. The annual incidence rates per 1000 person years on the basis of the SIDAM DSM-III-R were 116.6 for all cases at risk, 113.6 for those aged 85-89 years, 112.5 for those aged 90-94 years and 235.7 for those aged 95 years and older at first assessment (t1). Incidence rates based on the other methods of assessment are reported. In order to obtain the most meaningful estimate of incidence rates a compound dementia diagnosis was defined. According to this the annual incidence rate per 1000 person years was 144.1 for all persons at risk. The incidence rate tended to be higher in the older-age cohorts: It was 126.2 for those aged 85-89 years, 193.1 for those aged 90-94 years and 295.5 for those aged 95 years and older. In comparison with the literature the incidence rates were high. The results are plausible when the very old age of the sample is taken into account.","author":[{"dropping-particle":"","family":"Fichter","given":"M M","non-dropping-particle":"","parse-names":false,"suffix":""},{"dropping-particle":"","family":"Schröppel","given":"H","non-dropping-particle":"","parse-names":false,"suffix":""},{"dropping-particle":"","family":"Meller","given":"I","non-dropping-particle":"","parse-names":false,"suffix":""}],"container-title":"European archives of psychiatry and clinical neuroscience","id":"ITEM-12","issue":"6","issued":{"date-parts":[["1996"]]},"page":"320-8","title":"Incidence of dementia in a Munich community sample of the oldest old.","type":"article-journal","volume":"246"},"uris":["http://www.mendeley.com/documents/?uuid=011a4d3b-ceef-46e7-b659-0449ee4d9d05"]}],"mendeley":{"formattedCitation":"(Brookmeyer and Abdalla, 2018; Fishman, 2017; Grasset et al., 2016; Matthews et al., 2016; Corrada et al., 2010; Rait et al., 2010; Edland et al., 2002; Miech et al., 2002; CSHA Working Group, 2000; Ott et al., 1998; Seshadri et al., 1997; Fichter et al., 1996)","plainTextFormattedCitation":"(Brookmeyer and Abdalla, 2018; Fishman, 2017; Grasset et al., 2016; Matthews et al., 2016; Corrada et al., 2010; Rait et al., 2010; Edland et al., 2002; Miech et al., 2002; CSHA Working Group, 2000; Ott et al., 1998; Seshadri et al., 1997; Fichter et al., 1996)","previouslyFormattedCitation":"(Brookmeyer and Abdalla, 2018; Fishman, 2017; Grasset et al., 2016; Matthews et al., 2016; Corrada et al., 2010; Rait et al., 2010; Edland et al., 2002; Miech et al., 2002; CSHA Working Group, 2000; Ott et al., 1998; Seshadri et al., 1997; Fichter et al., 1996)"},"properties":{"noteIndex":0},"schema":"https://github.com/citation-style-language/schema/raw/master/csl-citation.json"}</w:instrText>
            </w:r>
            <w:r w:rsidRPr="00526E3F">
              <w:fldChar w:fldCharType="separate"/>
            </w:r>
            <w:r w:rsidRPr="00526E3F">
              <w:rPr>
                <w:noProof/>
              </w:rPr>
              <w:t>(Brookmeyer and Abdalla, 2018; Fishman, 2017; Grasset et al., 2016; Matthews et al., 2016; Corrada et al., 2010; Rait et al., 2010; Edland et al., 2002; Miech et al., 2002; CSHA Working Group, 2000; Ott et al., 1998; Seshadri et al., 1997; Fichter et al., 1996)</w:t>
            </w:r>
            <w:r w:rsidRPr="00526E3F">
              <w:fldChar w:fldCharType="end"/>
            </w:r>
          </w:p>
        </w:tc>
      </w:tr>
      <w:tr w:rsidR="00C87754" w:rsidRPr="00047057" w14:paraId="77EDBB70" w14:textId="77777777" w:rsidTr="00E1466D">
        <w:trPr>
          <w:cantSplit/>
        </w:trPr>
        <w:tc>
          <w:tcPr>
            <w:tcW w:w="2263" w:type="dxa"/>
            <w:shd w:val="clear" w:color="auto" w:fill="auto"/>
          </w:tcPr>
          <w:p w14:paraId="5F4C53DB" w14:textId="77777777" w:rsidR="00C87754" w:rsidRPr="00A42133" w:rsidRDefault="00C87754" w:rsidP="00E1466D">
            <w:pPr>
              <w:keepNext/>
              <w:keepLines/>
              <w:adjustRightInd w:val="0"/>
              <w:spacing w:after="0" w:line="240" w:lineRule="auto"/>
              <w:jc w:val="left"/>
              <w:rPr>
                <w:rFonts w:ascii="Calibri" w:eastAsia="Calibri" w:hAnsi="Calibri" w:cs="Times New Roman"/>
              </w:rPr>
            </w:pPr>
            <w:r w:rsidRPr="004B4F1B">
              <w:rPr>
                <w:rFonts w:ascii="Calibri" w:eastAsia="Times New Roman" w:hAnsi="Calibri" w:cs="Times New Roman"/>
              </w:rPr>
              <w:t>Dementia mortality</w:t>
            </w:r>
          </w:p>
        </w:tc>
        <w:tc>
          <w:tcPr>
            <w:tcW w:w="6492" w:type="dxa"/>
            <w:shd w:val="clear" w:color="auto" w:fill="auto"/>
          </w:tcPr>
          <w:p w14:paraId="0E39E6A2" w14:textId="77777777" w:rsidR="00C87754" w:rsidRDefault="00C87754" w:rsidP="00E1466D">
            <w:pPr>
              <w:keepNext/>
              <w:keepLines/>
              <w:adjustRightInd w:val="0"/>
              <w:spacing w:after="0" w:line="240" w:lineRule="auto"/>
              <w:jc w:val="left"/>
            </w:pPr>
            <w:r w:rsidRPr="00526E3F">
              <w:fldChar w:fldCharType="begin" w:fldLock="1"/>
            </w:r>
            <w:r w:rsidRPr="00526E3F">
              <w:instrText>ADDIN CSL_CITATION {"citationItems":[{"id":"ITEM-1","itemData":{"author":[{"dropping-particle":"","family":"Ganguli","given":"M.","non-dropping-particle":"","parse-names":false,"suffix":""},{"dropping-particle":"","family":"Dodge","given":"H.","non-dropping-particle":"","parse-names":false,"suffix":""},{"dropping-particle":"","family":"Shen","given":"C.","non-dropping-particle":"","parse-names":false,"suffix":""},{"dropping-particle":"","family":"Pandav","given":"R.","non-dropping-particle":"","parse-names":false,"suffix":""},{"dropping-particle":"","family":"DeKosky","given":"S.","non-dropping-particle":"","parse-names":false,"suffix":""}],"container-title":"Archives of Neurology","id":"ITEM-1","issue":"May 2005","issued":{"date-parts":[["2005"]]},"page":"779-784","title":"Alzheimer Disease and Mortality","type":"article-journal","volume":"62"},"uris":["http://www.mendeley.com/documents/?uuid=2ee2bc2b-7187-4d82-b036-72f052de0078"]},{"id":"ITEM-2","itemData":{"DOI":"10.1016/S0895-4356(99)00067-0","ISBN":"0895-4356","ISSN":"08954356","PMID":"10465318","abstract":"Five-year follow-up of a community-based, 77+ old cohort including incident dementia cases was used to evaluate the impact of dementia on the risk of death, taking into account other chronic conditions potentially related to death, and contrasting Alzheimer's disease (AD), and vascular dementia (VaD). In this population, 70% of the dementia cases died during the five years after diagnosis, with a mortality rate specific for dementia of 2.4 per 100 person-years. After controlling for sociodemographic variables and comorbidity, 14% of all deaths could be attributed to dementia with a risk of death among demented subjects twice as high as that for non-demented people. Mortality risk ratios were 2.0 (95% confidence interval 1.5-2.7) for AD and 3.3 (95% confidence interval 2.0-5.3) for VaD. This study confirms that dementing disorders are a major risk factor for death. Even in the oldest old (85+), dementia shortens life, especially among women. Copyright (C) 1999 Elsevier Science Inc.","author":[{"dropping-particle":"","family":"Agüero-Torres","given":"H.","non-dropping-particle":"","parse-names":false,"suffix":""},{"dropping-particle":"","family":"Fratiglioni","given":"L.","non-dropping-particle":"","parse-names":false,"suffix":""},{"dropping-particle":"","family":"Guo","given":"Z.","non-dropping-particle":"","parse-names":false,"suffix":""},{"dropping-particle":"","family":"Viitanen","given":"M.","non-dropping-particle":"","parse-names":false,"suffix":""},{"dropping-particle":"","family":"Winblad","given":"B.","non-dropping-particle":"","parse-names":false,"suffix":""}],"container-title":"Journal of Clinical Epidemiology","id":"ITEM-2","issue":"8","issued":{"date-parts":[["1999"]]},"page":"737-743","title":"Mortality from dementia in advanced age: A 5-year follow-up study of incident dementia cases","type":"article-journal","volume":"52"},"uris":["http://www.mendeley.com/documents/?uuid=609b7877-e280-4d90-ab4e-1cac5ab978c1"]},{"id":"ITEM-3","itemData":{"URL":"https://forum.alzheimers.org.uk/attachments/nomis-leading-cause-of-death-pdf.57354/","accessed":{"date-parts":[["2019","2","4"]]},"author":[{"dropping-particle":"","family":"ONS","given":"","non-dropping-particle":"","parse-names":false,"suffix":""}],"container-title":"nomis","id":"ITEM-3","issued":{"date-parts":[["2019"]]},"title":"Mortality statistics - underlying cause, sex and age","type":"webpage"},"uris":["http://www.mendeley.com/documents/?uuid=51a6445b-57da-4b68-88e2-7acda8f83d76"]}],"mendeley":{"formattedCitation":"(Ganguli et al., 2005; Agüero-Torres et al., 1999; ONS, 2019)","plainTextFormattedCitation":"(Ganguli et al., 2005; Agüero-Torres et al., 1999; ONS, 2019)","previouslyFormattedCitation":"(Ganguli et al., 2005; Agüero-Torres et al., 1999; ONS, 2019)"},"properties":{"noteIndex":0},"schema":"https://github.com/citation-style-language/schema/raw/master/csl-citation.json"}</w:instrText>
            </w:r>
            <w:r w:rsidRPr="00526E3F">
              <w:fldChar w:fldCharType="separate"/>
            </w:r>
            <w:r w:rsidRPr="00526E3F">
              <w:rPr>
                <w:noProof/>
              </w:rPr>
              <w:t>(Ganguli et al., 2005; Agüero-Torres et al., 1999; ONS, 2019)</w:t>
            </w:r>
            <w:r w:rsidRPr="00526E3F">
              <w:fldChar w:fldCharType="end"/>
            </w:r>
          </w:p>
          <w:p w14:paraId="5E5181CF" w14:textId="77777777" w:rsidR="00C87754" w:rsidRPr="00526E3F" w:rsidRDefault="00C87754" w:rsidP="00E1466D">
            <w:pPr>
              <w:keepNext/>
              <w:keepLines/>
              <w:adjustRightInd w:val="0"/>
              <w:spacing w:after="0" w:line="240" w:lineRule="auto"/>
              <w:jc w:val="left"/>
            </w:pPr>
            <w:r>
              <w:t>Values interpolated to 5-year age groups</w:t>
            </w:r>
          </w:p>
        </w:tc>
      </w:tr>
      <w:tr w:rsidR="00C87754" w:rsidRPr="00047057" w14:paraId="429AF5FD" w14:textId="77777777" w:rsidTr="00E1466D">
        <w:trPr>
          <w:cantSplit/>
        </w:trPr>
        <w:tc>
          <w:tcPr>
            <w:tcW w:w="2263" w:type="dxa"/>
            <w:shd w:val="clear" w:color="auto" w:fill="auto"/>
          </w:tcPr>
          <w:p w14:paraId="763C9E56" w14:textId="77777777" w:rsidR="00C87754" w:rsidRPr="00E307D7" w:rsidRDefault="00C87754" w:rsidP="00E1466D">
            <w:pPr>
              <w:keepNext/>
              <w:keepLines/>
              <w:adjustRightInd w:val="0"/>
              <w:spacing w:after="0" w:line="240" w:lineRule="auto"/>
              <w:jc w:val="left"/>
              <w:rPr>
                <w:rFonts w:ascii="Calibri" w:eastAsia="Calibri" w:hAnsi="Calibri" w:cs="Times New Roman"/>
              </w:rPr>
            </w:pPr>
            <w:r w:rsidRPr="00E307D7">
              <w:rPr>
                <w:rFonts w:ascii="Calibri" w:eastAsia="Calibri" w:hAnsi="Calibri" w:cs="Times New Roman"/>
              </w:rPr>
              <w:t>Dementia prevalence</w:t>
            </w:r>
          </w:p>
        </w:tc>
        <w:tc>
          <w:tcPr>
            <w:tcW w:w="6492" w:type="dxa"/>
            <w:shd w:val="clear" w:color="auto" w:fill="auto"/>
          </w:tcPr>
          <w:p w14:paraId="0E9343C1" w14:textId="77777777" w:rsidR="00C87754" w:rsidRPr="00E307D7" w:rsidRDefault="00C87754" w:rsidP="00E1466D">
            <w:pPr>
              <w:keepNext/>
              <w:keepLines/>
              <w:adjustRightInd w:val="0"/>
              <w:spacing w:after="0" w:line="240" w:lineRule="auto"/>
              <w:jc w:val="left"/>
              <w:rPr>
                <w:rFonts w:ascii="Calibri" w:eastAsia="Calibri" w:hAnsi="Calibri" w:cs="Times New Roman"/>
              </w:rPr>
            </w:pPr>
            <w:r w:rsidRPr="00E307D7">
              <w:rPr>
                <w:rFonts w:ascii="Calibri" w:eastAsia="Calibri" w:hAnsi="Calibri" w:cs="Times New Roman"/>
              </w:rPr>
              <w:t xml:space="preserve">Dementia UK: Update </w:t>
            </w:r>
            <w:r w:rsidRPr="00E307D7">
              <w:rPr>
                <w:rFonts w:ascii="Calibri" w:eastAsia="Calibri" w:hAnsi="Calibri" w:cs="Times New Roman"/>
              </w:rPr>
              <w:fldChar w:fldCharType="begin" w:fldLock="1"/>
            </w:r>
            <w:r w:rsidRPr="00E307D7">
              <w:rPr>
                <w:rFonts w:ascii="Calibri" w:eastAsia="Calibri" w:hAnsi="Calibri" w:cs="Times New Roman"/>
              </w:rPr>
              <w:instrText>ADDIN CSL_CITATION {"citationItems":[{"id":"ITEM-1","itemData":{"ISBN":"9781906647315","abstract":"This report presents the findings of research commissioned by Alzheimer’s Society to update the Dementia UK (2007) report. It provides a synthesis of best available evidence for the current cost and prevalence of dementia. It aims to provide an accurate understanding of dementia prevalence and cost in the UK to assist in policy development, influencing, commissioning and service design.","author":[{"dropping-particle":"","family":"Alzheimer’s Society","given":"","non-dropping-particle":"","parse-names":false,"suffix":""}],"id":"ITEM-1","issued":{"date-parts":[["2014"]]},"number-of-pages":"136","publisher-place":"London","title":"Dementia UK: Update","type":"report"},"uris":["http://www.mendeley.com/documents/?uuid=4e6196fa-b828-4d7a-8351-1887c1dec5ab"]}],"mendeley":{"formattedCitation":"(Alzheimer’s Society, 2014)","plainTextFormattedCitation":"(Alzheimer’s Society, 2014)","previouslyFormattedCitation":"(Alzheimer’s Society, 2014)"},"properties":{"noteIndex":0},"schema":"https://github.com/citation-style-language/schema/raw/master/csl-citation.json"}</w:instrText>
            </w:r>
            <w:r w:rsidRPr="00E307D7">
              <w:rPr>
                <w:rFonts w:ascii="Calibri" w:eastAsia="Calibri" w:hAnsi="Calibri" w:cs="Times New Roman"/>
              </w:rPr>
              <w:fldChar w:fldCharType="separate"/>
            </w:r>
            <w:r w:rsidRPr="00E307D7">
              <w:rPr>
                <w:rFonts w:ascii="Calibri" w:eastAsia="Calibri" w:hAnsi="Calibri" w:cs="Times New Roman"/>
                <w:noProof/>
              </w:rPr>
              <w:t>(Alzheimer’s Society, 2014)</w:t>
            </w:r>
            <w:r w:rsidRPr="00E307D7">
              <w:rPr>
                <w:rFonts w:ascii="Calibri" w:eastAsia="Calibri" w:hAnsi="Calibri" w:cs="Times New Roman"/>
              </w:rPr>
              <w:fldChar w:fldCharType="end"/>
            </w:r>
          </w:p>
        </w:tc>
      </w:tr>
      <w:tr w:rsidR="00C87754" w:rsidRPr="00047057" w14:paraId="02590BA0" w14:textId="77777777" w:rsidTr="00E1466D">
        <w:trPr>
          <w:cantSplit/>
        </w:trPr>
        <w:tc>
          <w:tcPr>
            <w:tcW w:w="2263" w:type="dxa"/>
            <w:vMerge w:val="restart"/>
            <w:shd w:val="clear" w:color="auto" w:fill="auto"/>
          </w:tcPr>
          <w:p w14:paraId="4DDBD190" w14:textId="77777777" w:rsidR="00C87754" w:rsidRPr="00047057" w:rsidRDefault="00C87754" w:rsidP="00E1466D">
            <w:pPr>
              <w:keepNext/>
              <w:keepLines/>
              <w:adjustRightInd w:val="0"/>
              <w:spacing w:after="40" w:line="240" w:lineRule="auto"/>
              <w:jc w:val="left"/>
              <w:rPr>
                <w:rFonts w:ascii="Calibri" w:eastAsia="Times New Roman" w:hAnsi="Calibri" w:cs="Times New Roman"/>
              </w:rPr>
            </w:pPr>
            <w:r>
              <w:rPr>
                <w:rFonts w:ascii="Calibri" w:eastAsia="Times New Roman" w:hAnsi="Calibri" w:cs="Times New Roman"/>
              </w:rPr>
              <w:t xml:space="preserve">Severity Progression </w:t>
            </w:r>
          </w:p>
          <w:p w14:paraId="05035550" w14:textId="77777777" w:rsidR="00C87754" w:rsidRDefault="00C87754" w:rsidP="00E1466D">
            <w:pPr>
              <w:keepNext/>
              <w:keepLines/>
              <w:adjustRightInd w:val="0"/>
              <w:spacing w:after="40" w:line="240" w:lineRule="auto"/>
              <w:jc w:val="left"/>
              <w:rPr>
                <w:rFonts w:ascii="Calibri" w:eastAsia="Times New Roman" w:hAnsi="Calibri" w:cs="Times New Roman"/>
              </w:rPr>
            </w:pPr>
          </w:p>
          <w:p w14:paraId="6BEC82ED" w14:textId="77777777" w:rsidR="00C87754" w:rsidRPr="00047057" w:rsidRDefault="00C87754" w:rsidP="00E1466D">
            <w:pPr>
              <w:keepNext/>
              <w:keepLines/>
              <w:adjustRightInd w:val="0"/>
              <w:spacing w:after="40" w:line="240" w:lineRule="auto"/>
              <w:jc w:val="left"/>
              <w:rPr>
                <w:rFonts w:ascii="Calibri" w:eastAsia="Times New Roman" w:hAnsi="Calibri" w:cs="Times New Roman"/>
              </w:rPr>
            </w:pPr>
          </w:p>
        </w:tc>
        <w:tc>
          <w:tcPr>
            <w:tcW w:w="6492" w:type="dxa"/>
            <w:shd w:val="clear" w:color="auto" w:fill="auto"/>
          </w:tcPr>
          <w:p w14:paraId="6B67A605" w14:textId="77777777" w:rsidR="00C87754" w:rsidRPr="00047057" w:rsidRDefault="00C87754" w:rsidP="00E1466D">
            <w:pPr>
              <w:keepNext/>
              <w:keepLines/>
              <w:adjustRightInd w:val="0"/>
              <w:spacing w:after="40" w:line="240" w:lineRule="auto"/>
              <w:jc w:val="left"/>
              <w:rPr>
                <w:rFonts w:ascii="Calibri" w:eastAsia="Times New Roman" w:hAnsi="Calibri" w:cs="Times New Roman"/>
              </w:rPr>
            </w:pPr>
            <w:r w:rsidRPr="00047057">
              <w:rPr>
                <w:rFonts w:ascii="Calibri" w:eastAsia="Times New Roman" w:hAnsi="Calibri" w:cs="Times New Roman"/>
              </w:rPr>
              <w:t>Alzheimer’s Disease Neuroimaging Initiative</w:t>
            </w:r>
            <w:r>
              <w:rPr>
                <w:rFonts w:ascii="Calibri" w:eastAsia="Times New Roman" w:hAnsi="Calibri" w:cs="Times New Roman"/>
              </w:rPr>
              <w:t xml:space="preserve"> </w:t>
            </w:r>
            <w:r w:rsidRPr="00047057">
              <w:rPr>
                <w:rFonts w:ascii="Calibri" w:eastAsia="Times New Roman" w:hAnsi="Calibri" w:cs="Times New Roman"/>
              </w:rPr>
              <w:fldChar w:fldCharType="begin" w:fldLock="1"/>
            </w:r>
            <w:r>
              <w:rPr>
                <w:rFonts w:ascii="Calibri" w:eastAsia="Times New Roman" w:hAnsi="Calibri" w:cs="Times New Roman"/>
              </w:rPr>
              <w:instrText>ADDIN CSL_CITATION {"citationItems":[{"id":"ITEM-1","itemData":{"URL":"http://adni.loni.usc.edu/","abstract":"Data used in the preparation of this article were obtained from the Alzheimer’s Disease Neuroimaging Initiative (ADNI) database (adni.loni.usc.edu). The ADNI was launched in 2003 as a public-private partnership, led by Principal Investigator Michael W. Weiner, MD. The primary goal of ADNI has been to test whether serial magnetic resonance imaging (MRI), positron emission tomography (PET), other biological markers, and clinical and neuropsychological assessment can be combined to measure the progression of mild cognitive impairment (MCI) and early Alzheimer’s disease (AD).","accessed":{"date-parts":[["2017","2","1"]]},"author":[{"dropping-particle":"","family":"ADNI","given":"","non-dropping-particle":"","parse-names":false,"suffix":""}],"id":"ITEM-1","issued":{"date-parts":[["2016"]]},"title":"Alzheimer’s Disease Neuroimaging Initiative","type":"webpage"},"uris":["http://www.mendeley.com/documents/?uuid=833aff0e-ab50-4d0d-9dfb-11b2b7cbe8c6"]}],"mendeley":{"formattedCitation":"(ADNI, 2016)","plainTextFormattedCitation":"(ADNI, 2016)","previouslyFormattedCitation":"(ADNI, 2016)"},"properties":{"noteIndex":0},"schema":"https://github.com/citation-style-language/schema/raw/master/csl-citation.json"}</w:instrText>
            </w:r>
            <w:r w:rsidRPr="00047057">
              <w:rPr>
                <w:rFonts w:ascii="Calibri" w:eastAsia="Times New Roman" w:hAnsi="Calibri" w:cs="Times New Roman"/>
              </w:rPr>
              <w:fldChar w:fldCharType="separate"/>
            </w:r>
            <w:r w:rsidRPr="00047057">
              <w:rPr>
                <w:rFonts w:ascii="Calibri" w:eastAsia="Times New Roman" w:hAnsi="Calibri" w:cs="Times New Roman"/>
                <w:noProof/>
              </w:rPr>
              <w:t>(ADNI, 2016)</w:t>
            </w:r>
            <w:r w:rsidRPr="00047057">
              <w:rPr>
                <w:rFonts w:ascii="Calibri" w:eastAsia="Times New Roman" w:hAnsi="Calibri" w:cs="Times New Roman"/>
              </w:rPr>
              <w:fldChar w:fldCharType="end"/>
            </w:r>
          </w:p>
        </w:tc>
      </w:tr>
      <w:tr w:rsidR="00C87754" w:rsidRPr="00047057" w14:paraId="43B9E41A" w14:textId="77777777" w:rsidTr="00E1466D">
        <w:trPr>
          <w:cantSplit/>
        </w:trPr>
        <w:tc>
          <w:tcPr>
            <w:tcW w:w="2263" w:type="dxa"/>
            <w:vMerge/>
            <w:shd w:val="clear" w:color="auto" w:fill="auto"/>
          </w:tcPr>
          <w:p w14:paraId="2D1FABB4" w14:textId="77777777" w:rsidR="00C87754" w:rsidRDefault="00C87754" w:rsidP="00E1466D">
            <w:pPr>
              <w:keepNext/>
              <w:keepLines/>
              <w:adjustRightInd w:val="0"/>
              <w:spacing w:after="40" w:line="240" w:lineRule="auto"/>
              <w:jc w:val="left"/>
              <w:rPr>
                <w:rFonts w:ascii="Calibri" w:eastAsia="Times New Roman" w:hAnsi="Calibri" w:cs="Times New Roman"/>
              </w:rPr>
            </w:pPr>
          </w:p>
        </w:tc>
        <w:tc>
          <w:tcPr>
            <w:tcW w:w="6492" w:type="dxa"/>
            <w:shd w:val="clear" w:color="auto" w:fill="auto"/>
          </w:tcPr>
          <w:p w14:paraId="330AE32C" w14:textId="77777777" w:rsidR="00C87754" w:rsidRPr="00047057" w:rsidRDefault="00C87754" w:rsidP="00E1466D">
            <w:pPr>
              <w:keepNext/>
              <w:keepLines/>
              <w:adjustRightInd w:val="0"/>
              <w:spacing w:after="40" w:line="240" w:lineRule="auto"/>
              <w:jc w:val="left"/>
              <w:rPr>
                <w:rFonts w:ascii="Calibri" w:eastAsia="Times New Roman" w:hAnsi="Calibri" w:cs="Times New Roman"/>
              </w:rPr>
            </w:pPr>
            <w:r>
              <w:rPr>
                <w:rFonts w:ascii="Calibri" w:eastAsia="Times New Roman" w:hAnsi="Calibri" w:cs="Times New Roman"/>
              </w:rPr>
              <w:t xml:space="preserve">Longitudinal clustering method </w:t>
            </w:r>
            <w:r>
              <w:rPr>
                <w:rFonts w:ascii="Calibri" w:eastAsia="Times New Roman" w:hAnsi="Calibri" w:cs="Times New Roman"/>
              </w:rPr>
              <w:fldChar w:fldCharType="begin" w:fldLock="1"/>
            </w:r>
            <w:r>
              <w:rPr>
                <w:rFonts w:ascii="Calibri" w:eastAsia="Times New Roman" w:hAnsi="Calibri" w:cs="Times New Roman"/>
              </w:rPr>
              <w:instrText>ADDIN CSL_CITATION {"citationItems":[{"id":"ITEM-1","itemData":{"ISBN":"9781420065213","ISSN":"1548-7660","abstract":"Longitudinal studies are essential tools in medical research. In these studies, variables are not restricted to single measurements but can be seen as variable-trajectories, either single or joint. Thus, an important question concerns the identification of homogeneous patient trajectories. kml and kml3d are R packages providing an implementation of k-means designed to work specifically on trajectories (kml) or on joint trajectories (kml3d). They provide various tools to work on longitudinal data: imputation methods for trajectories (nine classic and one original), methods to define starting conditions in k-means (four classic and three original) and quality criteria to choose the best number of clusters (four classic and one original). In addition, they offer graphic facilities to “visualize” the trajectories, either in 2D (single trajectory) or 3D (joint-trajectories). The 3D graph representing the mean joint-trajectories of each cluster can be exported through L ATEX in a 3D dynamic rotating PDF graph (Figures 1 and 9).","author":[{"dropping-particle":"","family":"Genolini","given":"C","non-dropping-particle":"","parse-names":false,"suffix":""},{"dropping-particle":"","family":"Alacoque","given":"X","non-dropping-particle":"","parse-names":false,"suffix":""},{"dropping-particle":"","family":"Sentenac","given":"M","non-dropping-particle":"","parse-names":false,"suffix":""},{"dropping-particle":"","family":"Arnaud","given":"C","non-dropping-particle":"","parse-names":false,"suffix":""}],"container-title":"Journal of Statistical Software","id":"ITEM-1","issue":"4","issued":{"date-parts":[["2015"]]},"page":"1-34","title":"kml and kml3d: R Packages to Cluster Longitudinal Data","type":"article-journal","volume":"65"},"uris":["http://www.mendeley.com/documents/?uuid=cb8f80df-893a-4a2b-ac7f-94ba0fd65dd4"]}],"mendeley":{"formattedCitation":"(Genolini et al., 2015)","plainTextFormattedCitation":"(Genolini et al., 2015)","previouslyFormattedCitation":"(Genolini et al., 2015)"},"properties":{"noteIndex":0},"schema":"https://github.com/citation-style-language/schema/raw/master/csl-citation.json"}</w:instrText>
            </w:r>
            <w:r>
              <w:rPr>
                <w:rFonts w:ascii="Calibri" w:eastAsia="Times New Roman" w:hAnsi="Calibri" w:cs="Times New Roman"/>
              </w:rPr>
              <w:fldChar w:fldCharType="separate"/>
            </w:r>
            <w:r w:rsidRPr="009067AC">
              <w:rPr>
                <w:rFonts w:ascii="Calibri" w:eastAsia="Times New Roman" w:hAnsi="Calibri" w:cs="Times New Roman"/>
                <w:noProof/>
              </w:rPr>
              <w:t>(Genolini et al., 2015)</w:t>
            </w:r>
            <w:r>
              <w:rPr>
                <w:rFonts w:ascii="Calibri" w:eastAsia="Times New Roman" w:hAnsi="Calibri" w:cs="Times New Roman"/>
              </w:rPr>
              <w:fldChar w:fldCharType="end"/>
            </w:r>
          </w:p>
        </w:tc>
      </w:tr>
      <w:tr w:rsidR="00C87754" w:rsidRPr="00047057" w14:paraId="60D4E2F2" w14:textId="77777777" w:rsidTr="00E1466D">
        <w:trPr>
          <w:cantSplit/>
        </w:trPr>
        <w:tc>
          <w:tcPr>
            <w:tcW w:w="2263" w:type="dxa"/>
            <w:vMerge/>
            <w:shd w:val="clear" w:color="auto" w:fill="auto"/>
          </w:tcPr>
          <w:p w14:paraId="4D70A079" w14:textId="77777777" w:rsidR="00C87754" w:rsidRDefault="00C87754" w:rsidP="00E1466D">
            <w:pPr>
              <w:keepNext/>
              <w:keepLines/>
              <w:adjustRightInd w:val="0"/>
              <w:spacing w:after="40" w:line="240" w:lineRule="auto"/>
              <w:jc w:val="left"/>
              <w:rPr>
                <w:rFonts w:ascii="Calibri" w:eastAsia="Times New Roman" w:hAnsi="Calibri" w:cs="Times New Roman"/>
              </w:rPr>
            </w:pPr>
          </w:p>
        </w:tc>
        <w:tc>
          <w:tcPr>
            <w:tcW w:w="6492" w:type="dxa"/>
            <w:shd w:val="clear" w:color="auto" w:fill="auto"/>
          </w:tcPr>
          <w:p w14:paraId="74C9126D" w14:textId="77777777" w:rsidR="00C87754" w:rsidRDefault="00C87754" w:rsidP="00E1466D">
            <w:pPr>
              <w:keepNext/>
              <w:keepLines/>
              <w:adjustRightInd w:val="0"/>
              <w:spacing w:after="40" w:line="240" w:lineRule="auto"/>
              <w:jc w:val="left"/>
              <w:rPr>
                <w:rFonts w:ascii="Calibri" w:eastAsia="Times New Roman" w:hAnsi="Calibri" w:cs="Times New Roman"/>
              </w:rPr>
            </w:pPr>
            <w:r>
              <w:rPr>
                <w:rFonts w:ascii="Calibri" w:eastAsia="Times New Roman" w:hAnsi="Calibri" w:cs="Times New Roman"/>
              </w:rPr>
              <w:t xml:space="preserve">Mixed effects regression </w:t>
            </w:r>
            <w:r w:rsidRPr="00526E3F">
              <w:fldChar w:fldCharType="begin" w:fldLock="1"/>
            </w:r>
            <w:r w:rsidRPr="00526E3F">
              <w:instrText>ADDIN CSL_CITATION {"citationItems":[{"id":"ITEM-1","itemData":{"DOI":"10.18637/jss.v067.i01","ISBN":"%(","ISSN":"1548-7660","abstract":"Fit linear and generalized linear mixed-effects models. The models and their components are represented using S4 classes and methods. The core computational algorithms are implemented using the Eigen C++ library for numerical linear algebra and RcppEigen ``glue''.","author":[{"dropping-particle":"","family":"Bates","given":"Douglas","non-dropping-particle":"","parse-names":false,"suffix":""},{"dropping-particle":"","family":"Mächler","given":"Martin","non-dropping-particle":"","parse-names":false,"suffix":""},{"dropping-particle":"","family":"Bolker","given":"Benjamin M.","non-dropping-particle":"","parse-names":false,"suffix":""},{"dropping-particle":"","family":"Walker","given":"Steven C.","non-dropping-particle":"","parse-names":false,"suffix":""}],"container-title":"Journal of Statistical Software","id":"ITEM-1","issue":"1","issued":{"date-parts":[["2015"]]},"page":"1-48","title":"Fitting linear mixed-effects models using lme4","type":"article-journal","volume":"67"},"uris":["http://www.mendeley.com/documents/?uuid=582dad2d-83e0-4243-967e-1bc61cf66518"]}],"mendeley":{"formattedCitation":"(Bates et al., 2015)","plainTextFormattedCitation":"(Bates et al., 2015)","previouslyFormattedCitation":"(Bates et al., 2015)"},"properties":{"noteIndex":0},"schema":"https://github.com/citation-style-language/schema/raw/master/csl-citation.json"}</w:instrText>
            </w:r>
            <w:r w:rsidRPr="00526E3F">
              <w:fldChar w:fldCharType="separate"/>
            </w:r>
            <w:r w:rsidRPr="00526E3F">
              <w:rPr>
                <w:noProof/>
              </w:rPr>
              <w:t>(Bates et al., 2015)</w:t>
            </w:r>
            <w:r w:rsidRPr="00526E3F">
              <w:fldChar w:fldCharType="end"/>
            </w:r>
          </w:p>
        </w:tc>
      </w:tr>
      <w:tr w:rsidR="00C87754" w:rsidRPr="00047057" w14:paraId="13F05504" w14:textId="77777777" w:rsidTr="00E1466D">
        <w:trPr>
          <w:cantSplit/>
        </w:trPr>
        <w:tc>
          <w:tcPr>
            <w:tcW w:w="2263" w:type="dxa"/>
            <w:shd w:val="clear" w:color="auto" w:fill="auto"/>
          </w:tcPr>
          <w:p w14:paraId="621347C9" w14:textId="77777777" w:rsidR="00C87754" w:rsidRPr="00047057" w:rsidRDefault="00C87754" w:rsidP="00E1466D">
            <w:pPr>
              <w:keepNext/>
              <w:keepLines/>
              <w:adjustRightInd w:val="0"/>
              <w:spacing w:after="40" w:line="240" w:lineRule="auto"/>
              <w:jc w:val="left"/>
              <w:rPr>
                <w:rFonts w:ascii="Calibri" w:eastAsia="Times New Roman" w:hAnsi="Calibri" w:cs="Times New Roman"/>
              </w:rPr>
            </w:pPr>
            <w:r w:rsidRPr="00047057">
              <w:rPr>
                <w:rFonts w:ascii="Calibri" w:eastAsia="Times New Roman" w:hAnsi="Calibri" w:cs="Times New Roman"/>
              </w:rPr>
              <w:t>Medication benefit</w:t>
            </w:r>
          </w:p>
        </w:tc>
        <w:tc>
          <w:tcPr>
            <w:tcW w:w="6492" w:type="dxa"/>
            <w:shd w:val="clear" w:color="auto" w:fill="auto"/>
          </w:tcPr>
          <w:p w14:paraId="18B5DD1D" w14:textId="1C89B057" w:rsidR="00C87754" w:rsidRPr="009217B0" w:rsidRDefault="00C87754" w:rsidP="00E1466D">
            <w:pPr>
              <w:keepNext/>
              <w:keepLines/>
              <w:adjustRightInd w:val="0"/>
              <w:spacing w:after="40" w:line="240" w:lineRule="auto"/>
              <w:jc w:val="left"/>
            </w:pPr>
            <w:r w:rsidRPr="00526E3F">
              <w:fldChar w:fldCharType="begin" w:fldLock="1"/>
            </w:r>
            <w:r w:rsidR="00234CBA">
              <w:instrText>ADDIN CSL_CITATION {"citationItems":[{"id":"ITEM-1","itemData":{"DOI":"10.1002/14651858.CD005593","author":[{"dropping-particle":"","family":"Birks","given":"Jacqueline S","non-dropping-particle":"","parse-names":false,"suffix":""}],"container-title":"Cochrane Database of Systematic Reviews","editor":[{"dropping-particle":"","family":"Cochrane Dementia and Cognitive Improvement Group","given":"","non-dropping-particle":"","parse-names":false,"suffix":""}],"id":"ITEM-1","issue":"1","issued":{"date-parts":[["2006","1","25"]]},"number-of-pages":"pp107","publisher-place":"Chichester, UK","title":"Cholinesterase inhibitors for Alzheimer's disease","type":"report"},"uris":["http://www.mendeley.com/documents/?uuid=b6117a5c-0d94-4749-a8d3-bd48d85929ea"]},{"id":"ITEM-2","itemData":{"DOI":"10.1371/journal.pone.0109484","ISBN":"1932-6203","ISSN":"1932-6203","PMID":"25411838","abstract":"BACKGROUND: Acetylcholinesterase inhibitors (AChEIs) are widely used to delay cognitive decline in Alzheimer's disease. Observational studies in routine clinical practice have shown cognitive improvement in some groups of patients receiving these agents but longitudinal trajectories before and after AChEI initiation have not previously been considered. OBJECTIVES: To compare trajectories of cognitive function before and after AChEI initiation and investigate predictors of these differences. METHOD: A retrospective longitudinal study was constructed using data from 2460 patients who received AChEIs and who had routine data on cognitive function (Mini-Mental State Examination; MMSE) before and after AChEI initiation. Longitudinal MMSE change was modelled using three-piece linear mixed models with the following segments: 0-12 months prior to AChEI initiation, 0-6 months and 6-36 months after initiation. RESULTS: MMSE decline was reversed (in that the slope was improved by an average 4.2 units per year, 95% CI 3.5-4.8) during the 6-month period following AChEI initiation compared with the slope in the one year period before AChEI initiation. The slope in the period from 6-36 months following AChEI initiation returned to the pre-initiation downward trajectory. The differences in slopes in the 1 year period prior to AChEI initiation and in the 6 months after initiation were smaller among those with higher MMSE scores at the time of AChEI initiation, among those who received a vascular dementia diagnosis at any point, and among those receiving antipsychotic agents. CONCLUSION: In this naturalistic observational study, changes in cognitive trajectories around AChEI initiation were similar to those reported in randomised controlled trials. The magnitude of the difference in slopes between the 1 year period prior to AChEI initiation and the 6 month period after AChEI initiation was related to level of cognitive function at treatment initiation, vascular comorbidity and antipsychotic use.","author":[{"dropping-particle":"","family":"Perera","given":"Gayan","non-dropping-particle":"","parse-names":false,"suffix":""},{"dropping-particle":"","family":"Khondoker","given":"Mizanur","non-dropping-particle":"","parse-names":false,"suffix":""},{"dropping-particle":"","family":"Broadbent","given":"Matthew","non-dropping-particle":"","parse-names":false,"suffix":""},{"dropping-particle":"","family":"Breen","given":"Gerome","non-dropping-particle":"","parse-names":false,"suffix":""},{"dropping-particle":"","family":"Stewart","given":"Robert","non-dropping-particle":"","parse-names":false,"suffix":""}],"container-title":"PLoS ONE","editor":[{"dropping-particle":"","family":"Skoulakis","given":"Efthimios M. C.","non-dropping-particle":"","parse-names":false,"suffix":""}],"id":"ITEM-2","issue":"11","issued":{"date-parts":[["2014","11","20"]]},"page":"e109484","title":"Factors Associated with Response to Acetylcholinesterase Inhibition in Dementia: A Cohort Study from a Secondary Mental Health Care Case Register in London","type":"article-journal","volume":"9"},"uris":["http://www.mendeley.com/documents/?uuid=7bfe4d65-7cb7-40b5-9932-d045b2d69b60"]},{"id":"ITEM-3","itemData":{"DOI":"10.1002/14651858.CD004744.pub3","ISBN":"1465-1858","ISSN":"1469-493X","PMID":"23728651","abstract":"BACKGROUND: Vascular dementia represents the second most common type of dementia after Alzheimer's disease. In older patients, in particular, the combination of vascular dementia and Alzheimer's disease is common, and is referred to as mixed dementia. The classification of vascular dementia broadly follows three clinico-pathological processes: multi-infarct dementia, single strategic infarct dementia and subcortical dementia. Not all victims fulfil strict criteria for dementia and may be significantly cognitively impaired without memory loss, when the term vascular cognitive impairment (VCI) is more useful. Currently, no established standard treatment for VCI exists. Reductions in acetylcholine and acetyltransferase activity are common to both Alzheimer's disease and VCI, raising the possibility that cholinesterase inhibitors - such as rivastigmine - which are beneficial in Alzheimer's disease, may also be beneficial for VCI. OBJECTIVES: To assess the efficacy of rivastigmine compared with placebo in the treatment of people with vascular cognitive impairment (VCI), vascular dementia or mixed dementia. SEARCH METHODS: We searched ALOIS (the Cochrane Dementia and Cognitive Improvement Group's Specialized Register) on 12 February 2013 using the terms: rivastigmine, exelon, \"SDZ ENA 713\". ALOIS contains records of clinical trials identified from monthly searches of a number of major healthcare databases (The Cochrane Library, MEDLINE, EMBASE, CINAHL, PsycINFO, LILACS), numerous trial registries and grey literature sources. SELECTION CRITERIA: All unconfounded randomized double-blind trials comparing rivastigmine with placebo in the treatment of people with VCI, vascular dementia or mixed dementia were eligible for inclusion. DATA COLLECTION AND ANALYSIS: Two reviewers extracted and assessed data independently, and agreement was reached after discussion. They noted results concerning adverse effects. MAIN RESULTS: Three trials, with a total of 800 participants, were identified for inclusion. The participants in one trial did not have dementia, while the other two studies included participants with dementia of different severities. The dose of rivastigmine was different in each study. No pooling of study results was attempted because of these differences between the studies.One trial included 40 participants with subcortical vascular dementia (age range 40 to 90 years) with a mean mini-mental state examination (MMSE) score of 13.0 and 13.4 in the rivastigmine…","author":[{"dropping-particle":"","family":"Birks","given":"Jacqueline","non-dropping-particle":"","parse-names":false,"suffix":""},{"dropping-particle":"","family":"McGuinness","given":"Bernadette","non-dropping-particle":"","parse-names":false,"suffix":""},{"dropping-particle":"","family":"Craig","given":"David","non-dropping-particle":"","parse-names":false,"suffix":""}],"container-title":"Cochrane Database of Systematic Reviews","id":"ITEM-3","issue":"5","issued":{"date-parts":[["2013","5","31"]]},"number-of-pages":"1-59","publisher-place":"Chichester, UK","title":"Rivastigmine for vascular cognitive impairment.","type":"report"},"uris":["http://www.mendeley.com/documents/?uuid=922697b5-221e-433b-91d3-0adbd40e37d0"]},{"id":"ITEM-4","itemData":{"DOI":"10.1002/14651858.CD001191.pub4","ISSN":"1469-493X","PMID":"26393402","abstract":"BACKGROUND Alzheimer's disease is the commonest cause of dementia affecting older people. One of the therapeutic strategies aimed at ameliorating the clinical manifestations of Alzheimer's disease is to enhance cholinergic neurotransmission in the brain by the use of cholinesterase inhibitors to delay the breakdown of acetylcholine released into synaptic clefts. Tacrine, the first of the cholinesterase inhibitors to undergo extensive trials for this purpose, was associated with significant adverse effects including hepatotoxicity. Other cholinesterase inhibitors, including rivastigmine, with superior properties in terms of specificity of action and lower risk of adverse effects have since been introduced. Rivastigmine has received approval for use in 60 countries including all member states of the European Union and the USA. OBJECTIVES To determine the clinical efficacy and safety of rivastigmine for patients with dementia of Alzheimer's type. SEARCH METHODS We searched ALOIS, the Cochrane Dementia and Cognitive Improvement Group Specialized Register, on 2 March 2015 using the terms: Rivastigmine OR exelon OR ENA OR \"SDZ ENA 713\". ALOIS contains records of clinical trials identified from monthly searches of a number of major healthcare databases (Cochrane Library, MEDLINE, EMBASE, PsycINFO, CINAHL, LILACS), numerous trial registries and grey literature sources. SELECTION CRITERIA We included all unconfounded, double-blind, randomised, controlled trials in which treatment with rivastigmine was administered to patients with dementia of the Alzheimer's type for 12 weeks or more and its effects compared with those of placebo in a parallel group of patients, or where two formulations of rivastigmine were compared. DATA COLLECTION AND ANALYSIS One review author (JSB) applied the study selection criteria, assessed the quality of studies and extracted data. MAIN RESULTS A total of 13 trials met the inclusion criteria of the review. The trials had a duration of between 12 and 52 weeks. The older trials tested a capsule form with a dose of up to 12 mg/day. Trials reported since 2007 have tested continuous dose transdermal patch formulations delivering 4.6, 9.5 and 17.7 mg/day.Our main analysis compared the safety and efficacy of rivastigmine 6 to 12 mg/day orally or 9.5 mg/day transdermally with placebo.Seven trials contributed data from 3450 patients to this analysis. Data from another two studies were not included because of a lack of information and methodolog…","author":[{"dropping-particle":"","family":"Birks","given":"Jacqueline S","non-dropping-particle":"","parse-names":false,"suffix":""},{"dropping-particle":"","family":"Chong","given":"Lee Yee","non-dropping-particle":"","parse-names":false,"suffix":""},{"dropping-particle":"","family":"Grimley Evans","given":"John","non-dropping-particle":"","parse-names":false,"suffix":""}],"container-title":"Cochrane Database of Systematic Reviews","id":"ITEM-4","issue":"9","issued":{"date-parts":[["2015","9","22"]]},"number-of-pages":"pp206","publisher":"John Wiley &amp; Sons, Ltd","publisher-place":"Chichester, UK","title":"Rivastigmine for Alzheimer's disease","type":"report"},"uris":["http://www.mendeley.com/documents/?uuid=dc22c25e-bc4e-4118-8784-089a847e86b1"]}],"mendeley":{"formattedCitation":"(Birks, 2006; Perera et al., 2014; Birks et al., 2013; Birks et al., 2015)","plainTextFormattedCitation":"(Birks, 2006; Perera et al., 2014; Birks et al., 2013; Birks et al., 2015)","previouslyFormattedCitation":"(Birks, 2006; Perera et al., 2014; Birks et al., 2013; Birks et al., 2015)"},"properties":{"noteIndex":0},"schema":"https://github.com/citation-style-language/schema/raw/master/csl-citation.json"}</w:instrText>
            </w:r>
            <w:r w:rsidRPr="00526E3F">
              <w:fldChar w:fldCharType="separate"/>
            </w:r>
            <w:r w:rsidRPr="00423485">
              <w:rPr>
                <w:noProof/>
              </w:rPr>
              <w:t>(Birks, 2006; Perera et al., 2014; Birks et al., 2013; Birks et al., 2015)</w:t>
            </w:r>
            <w:r w:rsidRPr="00526E3F">
              <w:fldChar w:fldCharType="end"/>
            </w:r>
            <w:r>
              <w:t xml:space="preserve"> plus expert judgement for the proportion benefitting.</w:t>
            </w:r>
          </w:p>
        </w:tc>
      </w:tr>
      <w:tr w:rsidR="00C87754" w:rsidRPr="00047057" w14:paraId="31C23CA9" w14:textId="77777777" w:rsidTr="00E1466D">
        <w:trPr>
          <w:cantSplit/>
          <w:trHeight w:val="500"/>
        </w:trPr>
        <w:tc>
          <w:tcPr>
            <w:tcW w:w="2263" w:type="dxa"/>
            <w:shd w:val="clear" w:color="auto" w:fill="auto"/>
          </w:tcPr>
          <w:p w14:paraId="05FA25C4" w14:textId="77777777" w:rsidR="00C87754" w:rsidRPr="00047057" w:rsidRDefault="00C87754" w:rsidP="00E1466D">
            <w:pPr>
              <w:keepNext/>
              <w:keepLines/>
              <w:adjustRightInd w:val="0"/>
              <w:spacing w:after="40" w:line="240" w:lineRule="auto"/>
              <w:jc w:val="left"/>
              <w:rPr>
                <w:rFonts w:ascii="Calibri" w:eastAsia="Times New Roman" w:hAnsi="Calibri" w:cs="Times New Roman"/>
              </w:rPr>
            </w:pPr>
            <w:r w:rsidRPr="00FD2CBB">
              <w:rPr>
                <w:rFonts w:ascii="Calibri" w:eastAsia="Times New Roman" w:hAnsi="Calibri" w:cs="Times New Roman"/>
              </w:rPr>
              <w:t>Lifestyle benefit</w:t>
            </w:r>
          </w:p>
        </w:tc>
        <w:tc>
          <w:tcPr>
            <w:tcW w:w="6492" w:type="dxa"/>
            <w:shd w:val="clear" w:color="auto" w:fill="auto"/>
          </w:tcPr>
          <w:p w14:paraId="6887833A" w14:textId="77777777" w:rsidR="00C87754" w:rsidRPr="00047057" w:rsidRDefault="00C87754" w:rsidP="00E1466D">
            <w:pPr>
              <w:keepNext/>
              <w:keepLines/>
              <w:adjustRightInd w:val="0"/>
              <w:spacing w:after="40" w:line="240" w:lineRule="auto"/>
              <w:jc w:val="left"/>
              <w:rPr>
                <w:rFonts w:ascii="Calibri" w:eastAsia="Times New Roman" w:hAnsi="Calibri" w:cs="Times New Roman"/>
              </w:rPr>
            </w:pPr>
            <w:r w:rsidRPr="00526E3F">
              <w:fldChar w:fldCharType="begin" w:fldLock="1"/>
            </w:r>
            <w:r w:rsidRPr="00526E3F">
              <w:instrText>ADDIN CSL_CITATION {"citationItems":[{"id":"ITEM-1","itemData":{"DOI":"10.1016/j.ypmed.2016.01.013","ISBN":"1096-0260 (Electronic) 0091-7435 (Linking)","ISSN":"10960260","PMID":"26825761","abstract":"Background: Preventing dementia has been proposed to increase population health as well as reduce the demand for health and social care. Our aim was to evaluate whether preventing dementia by promoting physical activity (PA) a) improves population health or b) reduces expenditure for both health and social care if one takes into account the additional demand in health and social care caused by increased life expectancy. Methods: A simulation model was developed that models the relation between PA, dementia, mortality, and the use of health care and social care in England. With this model, scenarios were evaluated in which different assumptions were made about the increase in PA level in (part of) the population. Results: Lifetime spending on health and social care related to dementia was highest for the physically inactive (??28,100/??28,900 for 40-year-old males/females), but spending on other diseases was highest for those that meet PA recommendations (??55,200/??43,300 for 40-year-old males/females) due to their longer life expectancies. If the English population aged 40-65 were to increase their PA by one level, life expectancy would increase by 0.23 years and health and social care expenditures would decrease by ??400 per person. Conclusions: Preventing dementia by increasing PA increases life expectancy and can result in decreased spending overall on health and social care, even after additional spending during life years gained has been taken into account. If prevention is targeted at the physically inactive, savings in dementia-related costs outweigh the additional spending in life years gained.","author":[{"dropping-particle":"","family":"Baal","given":"Pieter H M","non-dropping-particle":"van","parse-names":false,"suffix":""},{"dropping-particle":"","family":"Hoogendoorn","given":"Martine","non-dropping-particle":"","parse-names":false,"suffix":""},{"dropping-particle":"","family":"Fischer","given":"Alastair","non-dropping-particle":"","parse-names":false,"suffix":""}],"container-title":"Preventive Medicine","id":"ITEM-1","issued":{"date-parts":[["2016"]]},"page":"78-83","publisher":"Elsevier Inc.","title":"Preventing dementia by promoting physical activity and the long-term impact on health and social care expenditures","type":"article-journal","volume":"85"},"uris":["http://www.mendeley.com/documents/?uuid=bb61a39e-9f7f-4989-bc1e-82f4b536ca6b"]},{"id":"ITEM-2","itemData":{"author":[{"dropping-particle":"","family":"Larson","given":"Eric B","non-dropping-particle":"","parse-names":false,"suffix":""},{"dropping-particle":"","family":"Wang","given":"Li","non-dropping-particle":"","parse-names":false,"suffix":""},{"dropping-particle":"","family":"Bowen","given":"James D","non-dropping-particle":"","parse-names":false,"suffix":""},{"dropping-particle":"","family":"Mccormick","given":"Wayne C","non-dropping-particle":"","parse-names":false,"suffix":""},{"dropping-particle":"","family":"Teri","given":"Linda","non-dropping-particle":"","parse-names":false,"suffix":""},{"dropping-particle":"","family":"Crane","given":"Paul","non-dropping-particle":"","parse-names":false,"suffix":""}],"container-title":"Annals of Internal Medicine","id":"ITEM-2","issued":{"date-parts":[["2006"]]},"page":"73-82","title":"Exercise Is Associated with Reduced Risk for Incident Dementia among Persons 65 Years of Age and Older","type":"article-journal"},"uris":["http://www.mendeley.com/documents/?uuid=d70de590-a44e-44e1-a69c-da5f50f578d0"]},{"id":"ITEM-3","itemData":{"abstract":"For over a decade, Age UK has supported a unique, ground-breaking research project called The Disconnected Mind, based at Edinburgh University. It has contributed greatly to our knowledge about how our thinking skills change with age and what we can do to protect our cognitive health in later life. As well as funding, we have worked with the researchers to summarise, interpret and translate their findings. A specific report is due to be published in the next few months, however this experience has left us well-placed to speak authoritatively not only about cognitive ageing but also about dementia","author":[{"dropping-particle":"","family":"Ray","given":"Sujata","non-dropping-particle":"","parse-names":false,"suffix":""},{"dropping-particle":"","family":"Davidson","given":"Susan","non-dropping-particle":"","parse-names":false,"suffix":""}],"id":"ITEM-3","issued":{"date-parts":[["2014"]]},"number-of-pages":"39","publisher-place":"London","title":"Dementia and cognitive decline: a review of the evidence","type":"report"},"uris":["http://www.mendeley.com/documents/?uuid=1b9f8629-7396-3760-9a89-0c39e90e1a70"]},{"id":"ITEM-4","itemData":{"DOI":"10.1371/journal.pone.0081877","ISSN":"1932-6203","author":[{"dropping-particle":"","family":"Elwood","given":"Peter","non-dropping-particle":"","parse-names":false,"suffix":""},{"dropping-particle":"","family":"Galante","given":"Julieta","non-dropping-particle":"","parse-names":false,"suffix":""},{"dropping-particle":"","family":"Pickering","given":"Janet","non-dropping-particle":"","parse-names":false,"suffix":""},{"dropping-particle":"","family":"Palmer","given":"Stephen","non-dropping-particle":"","parse-names":false,"suffix":""},{"drop</w:instrText>
            </w:r>
            <w:r w:rsidRPr="00423485">
              <w:instrText>ping-particle":"","family":"Bayer","given":"Antony","non-dropping-particle":"","parse-names":false,"suffix":""},{"dropping-particle":"","family":"Ben-Shlomo","given":"Yoav","non-dropping-particle":"","parse-names":false,"suffix":""},{"dropping-particle":"","family":"Longley","given":"Marcus","non-dropping-particle":"","parse-names":false,"suffix":""},{"dropping-particle":"","family":"Gallacher","given":"John","non-dropping-particle":"","parse-names":false,"suffix":""}],"container-title":"PLoS ONE","editor":[{"dropping-particle":"","family":"Sathian","given":"Krish","non-dropping-particle":"","parse-names":false,"suffix":""}],"id":"ITEM-4","issue":"12","issued":{"date-parts":[["2013","12","9"]]},"page":"1-7","publisher":"Public Library of Science","title":"Healthy Lifestyles Reduce the Incidence of Chronic Diseases and Dementia: Evidence from the Caerphilly Cohort Study","type":"article-journal","volume":"8"},"uris":["http://www.mendeley.com/documents/?uuid=f9a14629-04c6-3ae0-8755-2a468d3047fd"]}],"mendeley":{"formattedCitation":"(van Baal et al., 2016; Larson et al., 2006; Ray and Davidson, 2014; Elwood et al., 2013)","plainTextFormattedCitation":"(van Baal et al., 2016; Larson et al., 2006; Ray and Davidson, 2014; Elwood et al., 2013)","previouslyFormattedCitation":"(van Baal et al., 2016; Larson et al., 2006; Ray and Davidson, 2014; Elwood et al., 2013)"},"properties":{"noteIndex":0},"schema":"https://github.com/citation-style-language/schema/raw/master/csl-citation.json"}</w:instrText>
            </w:r>
            <w:r w:rsidRPr="00526E3F">
              <w:fldChar w:fldCharType="separate"/>
            </w:r>
            <w:r w:rsidRPr="00423485">
              <w:rPr>
                <w:noProof/>
              </w:rPr>
              <w:t>(van Baal et al., 2016; Larson et al., 2006; Ray and Davidson, 2014; Elwood et al., 2013)</w:t>
            </w:r>
            <w:r w:rsidRPr="00526E3F">
              <w:fldChar w:fldCharType="end"/>
            </w:r>
          </w:p>
        </w:tc>
      </w:tr>
      <w:tr w:rsidR="00C87754" w:rsidRPr="00047057" w14:paraId="71ECC589" w14:textId="77777777" w:rsidTr="00E1466D">
        <w:trPr>
          <w:cantSplit/>
          <w:trHeight w:val="582"/>
        </w:trPr>
        <w:tc>
          <w:tcPr>
            <w:tcW w:w="2263" w:type="dxa"/>
            <w:shd w:val="clear" w:color="auto" w:fill="auto"/>
          </w:tcPr>
          <w:p w14:paraId="039DEB27" w14:textId="77777777" w:rsidR="00C87754" w:rsidRPr="00047057" w:rsidRDefault="00C87754" w:rsidP="00E1466D">
            <w:pPr>
              <w:keepNext/>
              <w:keepLines/>
              <w:adjustRightInd w:val="0"/>
              <w:spacing w:after="40" w:line="240" w:lineRule="auto"/>
              <w:jc w:val="left"/>
              <w:rPr>
                <w:rFonts w:ascii="Calibri" w:eastAsia="Times New Roman" w:hAnsi="Calibri" w:cs="Times New Roman"/>
              </w:rPr>
            </w:pPr>
            <w:r>
              <w:rPr>
                <w:rFonts w:ascii="Calibri" w:eastAsia="Times New Roman" w:hAnsi="Calibri" w:cs="Times New Roman"/>
              </w:rPr>
              <w:t>Care costs</w:t>
            </w:r>
          </w:p>
        </w:tc>
        <w:tc>
          <w:tcPr>
            <w:tcW w:w="6492" w:type="dxa"/>
            <w:shd w:val="clear" w:color="auto" w:fill="auto"/>
          </w:tcPr>
          <w:p w14:paraId="5C52DCC8" w14:textId="77777777" w:rsidR="00C87754" w:rsidRPr="00047057" w:rsidRDefault="00C87754" w:rsidP="00E1466D">
            <w:pPr>
              <w:keepNext/>
              <w:keepLines/>
              <w:adjustRightInd w:val="0"/>
              <w:spacing w:after="40" w:line="240" w:lineRule="auto"/>
              <w:jc w:val="left"/>
              <w:rPr>
                <w:rFonts w:ascii="Calibri" w:eastAsia="Times New Roman" w:hAnsi="Calibri" w:cs="Times New Roman"/>
              </w:rPr>
            </w:pPr>
            <w:r>
              <w:fldChar w:fldCharType="begin" w:fldLock="1"/>
            </w:r>
            <w:r>
              <w:instrText>ADDIN CSL_CITATION {"citationItems":[{"id":"ITEM-1","itemData":{"ISBN":"9781906647315","abstract":"This report presents the findings of research commissioned by Alzheimer’s Society to update the Dementia UK (2007) report. It provides a synthesis of best available evidence for the current cost and prevalence of dementia. It aims to provide an accurate understanding of dementia prevalence and cost in the UK to assist in policy development, influencing, commissioning and service design.","author":[{"dropping-particle":"","family":"Alzheimer’s Society","given":"","non-dropping-particle":"","parse-names":false,"suffix":""}],"id":"ITEM-1","issued":{"date-parts":[["2014"]]},"number-of-pages":"136","publisher-place":"London","title":"Dementia UK: Update","type":"report"},"uris":["http://www.mendeley.com/documents/?uuid=4e6196fa-b828-4d7a-8351-1887c1dec5ab"]},{"id":"ITEM-2","itemData":{"DOI":"/10.14283/jpad.2015.53","author":[{"dropping-particle":"","family":"Kahle-Wrobleski","given":"K","non-dropping-particle":"","parse-names":false,"suffix":""},{"dropping-particle":"","family":"Andrews","given":"J S","non-dropping-particle":"","parse-names":false,"suffix":""},{"dropping-particle":"","family":"Belger","given":"M","non-dropping-particle":"","parse-names":false,"suffix":""},{"dropping-particle":"","family":"Gauthier","given":"S","non-dropping-particle":"","parse-names":false,"suffix":""},{"dropping-particle":"","family":"Stern","given":"Y","non-dropping-particle":"","parse-names":false,"suffix":""},{"dropping-particle":"","family":"Rentz","given":"D M","non-dropping-particle":"","parse-names":false,"suffix":""},{"dropping-particle":"","family":"Galasko","given":"D","non-dropping-particle":"","parse-names":false,"suffix":""}],"container-title":"J Prev Alzh Disease","id":"ITEM-2","issue":"2","issued":{"date-parts":[["2015"]]},"page":"2-7","title":"Clinical and Economic Characteristics of Milestones along the Continuum of Alzheimer’s Disease: Transforming Functional Scores into Levels of Dependence","type":"article-journal","volume":"2"},"uris":["http://www.mendeley.com/documents/?uuid=b65f3f57-014d-4055-b980-9ec6ac20e635"]},{"id":"ITEM-3","itemData":{"DOI":"10.1159/000461577","PMID":"28611822","abstract":"BACKGROUND/AIMS We assessed whether cognitive and functional decline in community-dwelling patients with mild Alzheimer disease (AD) dementia were associated with increased societal costs and caregiver burden and time outcomes. METHODS Cognitive decline was defined as a ≥3-point reduction in the Mini-Mental State Examination and functional decline as a decrease in the ability to perform one or more basic items of the Alzheimer's Disease Cooperative Study Activities of Daily Living Inventory (ADCS-ADL) or ≥20% of instrumental ADL items. Total societal costs were estimated from resource use and caregiver hours using 2010 costs. Caregiver burden was assessed using the Zarit Burden Interview (ZBI); caregiver supervision and total hours were collected. RESULTS Of 566 patients with mild AD enrolled in the GERAS study, 494 were suitable for the current analysis. Mean monthly total societal costs were greater for patients showing functional (+61%) or cognitive decline (+27%) compared with those without decline. In relation to a typical mean monthly cost of approximately EUR 1,400 at baseline, this translated into increases over 18 months to EUR 2,254 and 1,778 for patients with functional and cognitive decline, respectively. The number of patients requiring supervision doubled among patients showing functional or cognitive decline compared with those not showing decline, while caregiver total time increased by 70 and 33%, respectively and ZBI total score by 5.3 and 3.4 points, respectively. CONCLUSION Cognitive and, more notably, functional decline were associated with increases in costs and caregiver outcomes in patients with mild AD dementia.","author":[{"dropping-particle":"","family":"Jones","given":"Roy W","non-dropping-particle":"","parse-names":false,"suffix":""},{"dropping-particle":"","family":"Lebrec","given":"Jeremie","non-dropping-particle":"","parse-names":false,"suffix":""},{"dropping-particle":"","family":"Kahle-Wrobleski","given":"Kristin","non-dropping-particle":"","parse-names":false,"suffix":""},{"dropping-particle":"","family":"Dell'Agnello","given":"Grazia","non-dropping-particle":"","parse-names":false,"suffix":""},{"dropping-particle":"","family":"Bruno","given":"Giuseppe","non-dropping-particle":"","parse-names":false,"suffix":""},{"dropping-particle":"","family":"Vellas","given":"Bruno","non-dropping-particle":"","parse-names":false,"suffix":""},{"dropping-particle":"","family":"Argimon","given":"Josep M","non-dropping-particle":"","parse-names":false,"suffix":""},{"dropping-particle":"","family":"Dodel","given":"Richard","non-dropping-particle":"","parse-names":false,"suffix":""},{"dropping-particle":"","family":"Haro","given":"Josep Maria","non-dropping-particle":"","parse-names":false,"suffix":""},{"dropping-particle":"","family":"Wimo","given":"Anders","non-dropping-particle":"","parse-names":false,"suffix":""},{"dropping-particle":"","family":"Reed","given":"Catherine","non-dropping-particle":"","parse-names":false,"suffix":""}],"container-title":"Dementia and geriatric cognitive disorders extra","id":"ITEM-3","issue":"1","issued":{"date-parts":[["2017"]]},"page":"87-100","publisher":"Karger Publishers","title":"Disease Progression in Mild Dementia due to Alzheimer Disease in an 18-Month Observational Study (GERAS): The Impact on Costs and Caregiver Outcomes.","type":"article-journal","volume":"7"},"uris":["http://www.mendeley.com/documents/?uuid=5cce70b2-aa73-32cb-ae6f-670f2f499a75"]}],"mendeley":{"formattedCitation":"(Alzheimer’s Society, 2014; Kahle-Wrobleski et al., 2015; Jones et al., 2017)","plainTextFormattedCitation":"(Alzheimer’s Society, 2014; Kahle-Wrobleski et al., 2015; Jones et al., 2017)","previouslyFormattedCitation":"(Alzheimer’s Society, 2014; Kahle-Wrobleski et al., 2015; Jones et al., 2017)"},"properties":{"noteIndex":0},"schema":"https://github.com/citation-style-language/schema/raw/master/csl-citation.json"}</w:instrText>
            </w:r>
            <w:r>
              <w:fldChar w:fldCharType="separate"/>
            </w:r>
            <w:r w:rsidRPr="004A658C">
              <w:rPr>
                <w:noProof/>
              </w:rPr>
              <w:t>(Alzheimer’s Society, 2014; Kahle-Wrobleski et al., 2015; Jones et al., 2017)</w:t>
            </w:r>
            <w:r>
              <w:fldChar w:fldCharType="end"/>
            </w:r>
          </w:p>
        </w:tc>
      </w:tr>
    </w:tbl>
    <w:p w14:paraId="7A642E8D" w14:textId="618FB69E" w:rsidR="00660BE3" w:rsidRDefault="00660BE3" w:rsidP="00C87754">
      <w:pPr>
        <w:pStyle w:val="NewNorm"/>
        <w:rPr>
          <w:rFonts w:eastAsia="Calibri"/>
          <w:i/>
        </w:rPr>
      </w:pPr>
    </w:p>
    <w:p w14:paraId="615DA65C" w14:textId="77777777" w:rsidR="00660BE3" w:rsidRDefault="00660BE3">
      <w:pPr>
        <w:spacing w:line="259" w:lineRule="auto"/>
        <w:jc w:val="left"/>
        <w:rPr>
          <w:rFonts w:ascii="Calibri" w:eastAsia="Calibri" w:hAnsi="Calibri" w:cs="Times New Roman"/>
          <w:i/>
        </w:rPr>
      </w:pPr>
      <w:r>
        <w:rPr>
          <w:rFonts w:eastAsia="Calibri"/>
          <w:i/>
        </w:rPr>
        <w:br w:type="page"/>
      </w:r>
    </w:p>
    <w:p w14:paraId="0C0CC935" w14:textId="77777777" w:rsidR="00A87B7E" w:rsidRPr="00906472" w:rsidRDefault="00A87B7E" w:rsidP="00C87754">
      <w:pPr>
        <w:pStyle w:val="NewNorm"/>
        <w:rPr>
          <w:rFonts w:eastAsia="Calibri"/>
          <w:i/>
        </w:rPr>
      </w:pPr>
    </w:p>
    <w:p w14:paraId="417178AE" w14:textId="0776869E" w:rsidR="00E87DC3" w:rsidRPr="00FF4E01" w:rsidRDefault="00E87DC3" w:rsidP="00FF4E01">
      <w:pPr>
        <w:pStyle w:val="AppendixSubheading"/>
      </w:pPr>
      <w:r w:rsidRPr="00FF4E01">
        <w:t>Population definition</w:t>
      </w:r>
    </w:p>
    <w:p w14:paraId="782CB470" w14:textId="51D5041F" w:rsidR="00F037A3" w:rsidRPr="00092701" w:rsidRDefault="00F037A3" w:rsidP="00E87DC3">
      <w:r w:rsidRPr="00092701">
        <w:t>The model allows various population starting scenarios, from single and multiple successive age</w:t>
      </w:r>
      <w:r w:rsidR="00795940" w:rsidRPr="00092701">
        <w:t>/birth</w:t>
      </w:r>
      <w:r w:rsidRPr="00092701">
        <w:t xml:space="preserve"> cohorts, to a cross-sectional age distribution with </w:t>
      </w:r>
      <w:r w:rsidR="00795940" w:rsidRPr="00092701">
        <w:t xml:space="preserve">starting-value stock levels in </w:t>
      </w:r>
      <w:r w:rsidRPr="00092701">
        <w:t>all age groups</w:t>
      </w:r>
      <w:r w:rsidR="00795940" w:rsidRPr="00092701">
        <w:t xml:space="preserve"> for both CN and PWD stocks.</w:t>
      </w:r>
      <w:r w:rsidRPr="00092701">
        <w:t xml:space="preserve"> </w:t>
      </w:r>
    </w:p>
    <w:p w14:paraId="2027A4F6" w14:textId="69F89340" w:rsidR="00FD4F8D" w:rsidRDefault="00795940" w:rsidP="00E87DC3">
      <w:r w:rsidRPr="00092701">
        <w:t>This paper focusses on the results for a single</w:t>
      </w:r>
      <w:r w:rsidR="00E87DC3" w:rsidRPr="00092701">
        <w:t xml:space="preserve"> cohort approach</w:t>
      </w:r>
      <w:r w:rsidRPr="00092701">
        <w:t>, as this provide</w:t>
      </w:r>
      <w:r w:rsidR="004925FE">
        <w:t>d</w:t>
      </w:r>
      <w:r w:rsidRPr="00092701">
        <w:t xml:space="preserve"> the</w:t>
      </w:r>
      <w:r w:rsidR="00E87DC3" w:rsidRPr="00092701">
        <w:t xml:space="preserve"> </w:t>
      </w:r>
      <w:r w:rsidRPr="00092701">
        <w:t>most easily interpretable results</w:t>
      </w:r>
      <w:r w:rsidR="004925FE">
        <w:t>.</w:t>
      </w:r>
      <w:r w:rsidR="0010173A">
        <w:t xml:space="preserve"> </w:t>
      </w:r>
      <w:r w:rsidR="004925FE">
        <w:t>A</w:t>
      </w:r>
      <w:r w:rsidR="00E87DC3" w:rsidRPr="00092701">
        <w:t xml:space="preserve">geing, onset, and death could be directly observed without more complicated interaction effects. Observing a single age cohort also provided </w:t>
      </w:r>
      <w:r w:rsidR="00CE5E1E">
        <w:t xml:space="preserve">clearer </w:t>
      </w:r>
      <w:r w:rsidR="00E87DC3" w:rsidRPr="00092701">
        <w:t xml:space="preserve">insights into the underlying epidemiology, and the </w:t>
      </w:r>
      <w:r w:rsidRPr="00092701">
        <w:t xml:space="preserve">intervention </w:t>
      </w:r>
      <w:r w:rsidR="00E87DC3" w:rsidRPr="00092701">
        <w:t>benefit</w:t>
      </w:r>
      <w:r w:rsidRPr="00092701">
        <w:t>s</w:t>
      </w:r>
      <w:r w:rsidR="00E87DC3" w:rsidRPr="00092701">
        <w:t xml:space="preserve"> </w:t>
      </w:r>
      <w:r w:rsidRPr="00092701">
        <w:t xml:space="preserve">for </w:t>
      </w:r>
      <w:r w:rsidR="00E87DC3" w:rsidRPr="00092701">
        <w:t xml:space="preserve">a specific age group. </w:t>
      </w:r>
    </w:p>
    <w:p w14:paraId="0FC1FD9D" w14:textId="07A7DF3C" w:rsidR="009E3711" w:rsidRPr="00526E3F" w:rsidRDefault="00FD4F8D" w:rsidP="004925FE">
      <w:r>
        <w:t xml:space="preserve">For multiple age cohorts, </w:t>
      </w:r>
      <w:r w:rsidR="00E87DC3" w:rsidRPr="00092701">
        <w:t>the eff</w:t>
      </w:r>
      <w:r>
        <w:t>ect of population growth c</w:t>
      </w:r>
      <w:r w:rsidR="004925FE">
        <w:t>an</w:t>
      </w:r>
      <w:r w:rsidR="00E87DC3" w:rsidRPr="00092701">
        <w:t xml:space="preserve"> be explored by making </w:t>
      </w:r>
      <w:r>
        <w:t>subsequent</w:t>
      </w:r>
      <w:r w:rsidR="00E87DC3" w:rsidRPr="00092701">
        <w:t xml:space="preserve"> 60-65 age groups </w:t>
      </w:r>
      <w:r w:rsidR="00CE5E1E">
        <w:t xml:space="preserve">entering the model </w:t>
      </w:r>
      <w:r w:rsidR="00E87DC3" w:rsidRPr="00092701">
        <w:t>progressively larger</w:t>
      </w:r>
      <w:r w:rsidR="004925FE">
        <w:t>.</w:t>
      </w:r>
      <w:r w:rsidR="0010173A">
        <w:t xml:space="preserve"> </w:t>
      </w:r>
      <w:r w:rsidR="009E3711" w:rsidRPr="00526E3F">
        <w:t xml:space="preserve">The </w:t>
      </w:r>
      <w:r w:rsidR="009E3711">
        <w:t>model</w:t>
      </w:r>
      <w:r w:rsidR="009E3711" w:rsidRPr="00526E3F">
        <w:t xml:space="preserve"> </w:t>
      </w:r>
      <w:r w:rsidR="009E3711">
        <w:t xml:space="preserve">does not attempt to reflect short-term fluctuations in </w:t>
      </w:r>
      <w:r w:rsidR="009E3711" w:rsidRPr="00526E3F">
        <w:t>real-world population growth and longevity</w:t>
      </w:r>
      <w:r w:rsidR="009E3711">
        <w:t>, but simply depicts general trends</w:t>
      </w:r>
      <w:r w:rsidR="009E3711" w:rsidRPr="00526E3F">
        <w:t xml:space="preserve">. </w:t>
      </w:r>
      <w:r w:rsidR="009E3711" w:rsidRPr="002C2366">
        <w:t>Younger cohorts entering the model are increased by a cohort inflation parameter</w:t>
      </w:r>
      <w:r w:rsidR="002C2366" w:rsidRPr="002C2366">
        <w:t xml:space="preserve"> to reflect projected population increases</w:t>
      </w:r>
      <w:r w:rsidR="009E3711" w:rsidRPr="002C2366">
        <w:t>.</w:t>
      </w:r>
      <w:r w:rsidR="009E3711" w:rsidRPr="00526E3F">
        <w:t xml:space="preserve"> Younger cohorts also live longer, and this is controlled by a mortality rate reduction parameter. The ONS-based </w:t>
      </w:r>
      <w:r w:rsidR="009E3711" w:rsidRPr="00526E3F">
        <w:fldChar w:fldCharType="begin" w:fldLock="1"/>
      </w:r>
      <w:r w:rsidR="009E3711">
        <w:instrText>ADDIN CSL_CITATION {"citationItems":[{"id":"ITEM-1","itemData":{"URL":"https://www.ons.gov.uk/peoplepopulationandcommunity/populationandmigration/populationprojections/datasets/localauthoritiesinenglandtable2","abstract":"Population figures for mid-2014 to mid-2039 for persons, males and females in five year age groups for local authorities in England.","accessed":{"date-parts":[["2018","4","20"]]},"author":[{"dropping-particle":"","family":"ONS","given":"","non-dropping-particle":"","parse-names":false,"suffix":""}],"container-title":"Subnational population projections for England: 2012-based","id":"ITEM-1","issued":{"date-parts":[["2014"]]},"note":"https://www.ons.gov.uk/peoplepopulationandcommunity/populationandmigration/populationprojections/datasets/localauthoritiesinenglandtable2","title":"Table 2, tcm77364153.xls","type":"webpage"},"uris":["http://www.mendeley.com/documents/?uuid=ac10fae7-37a5-4ba7-926b-980a5048c64a"]}],"mendeley":{"formattedCitation":"(ONS, 2014c)","plainTextFormattedCitation":"(ONS, 2014c)","previouslyFormattedCitation":"(ONS, 2014c)"},"properties":{"noteIndex":0},"schema":"https://github.com/citation-style-language/schema/raw/master/csl-citation.json"}</w:instrText>
      </w:r>
      <w:r w:rsidR="009E3711" w:rsidRPr="00526E3F">
        <w:fldChar w:fldCharType="separate"/>
      </w:r>
      <w:r w:rsidR="009E3711" w:rsidRPr="009F669E">
        <w:rPr>
          <w:noProof/>
        </w:rPr>
        <w:t>(ONS, 2014c)</w:t>
      </w:r>
      <w:r w:rsidR="009E3711" w:rsidRPr="00526E3F">
        <w:fldChar w:fldCharType="end"/>
      </w:r>
      <w:r w:rsidR="009E3711" w:rsidRPr="00526E3F">
        <w:t xml:space="preserve"> reference values in </w:t>
      </w:r>
      <w:r w:rsidR="009E3711" w:rsidRPr="00526E3F">
        <w:fldChar w:fldCharType="begin"/>
      </w:r>
      <w:r w:rsidR="009E3711" w:rsidRPr="00526E3F">
        <w:instrText xml:space="preserve"> REF _Ref7779006 \h </w:instrText>
      </w:r>
      <w:r w:rsidR="009E3711" w:rsidRPr="00526E3F">
        <w:fldChar w:fldCharType="separate"/>
      </w:r>
      <w:r w:rsidR="0020511F" w:rsidRPr="00526E3F">
        <w:t xml:space="preserve">Table </w:t>
      </w:r>
      <w:r w:rsidR="0020511F">
        <w:t>A2</w:t>
      </w:r>
      <w:r w:rsidR="009E3711" w:rsidRPr="00526E3F">
        <w:fldChar w:fldCharType="end"/>
      </w:r>
      <w:r w:rsidR="009E3711" w:rsidRPr="00526E3F">
        <w:t xml:space="preserve"> show </w:t>
      </w:r>
      <w:r w:rsidR="009E3711">
        <w:t>the projected relative growth in each age band over the next</w:t>
      </w:r>
      <w:r w:rsidR="009E3711" w:rsidRPr="00526E3F">
        <w:t xml:space="preserve"> 20 year</w:t>
      </w:r>
      <w:r w:rsidR="009E3711">
        <w:t>s: f</w:t>
      </w:r>
      <w:r w:rsidR="009E3711" w:rsidRPr="00526E3F">
        <w:t xml:space="preserve">or example, </w:t>
      </w:r>
      <w:r w:rsidR="009E3711">
        <w:t>in 2034</w:t>
      </w:r>
      <w:r w:rsidR="009E3711" w:rsidRPr="00526E3F">
        <w:t xml:space="preserve"> there will be </w:t>
      </w:r>
      <w:r w:rsidR="009E3711">
        <w:t>1.99 times</w:t>
      </w:r>
      <w:r w:rsidR="009E3711" w:rsidRPr="00526E3F">
        <w:t xml:space="preserve"> as many 85-year-olds</w:t>
      </w:r>
      <w:r w:rsidR="009E3711">
        <w:t xml:space="preserve"> as there were in 2014</w:t>
      </w:r>
      <w:r w:rsidR="009E3711" w:rsidRPr="00526E3F">
        <w:t>.</w:t>
      </w:r>
      <w:r w:rsidR="009E3711">
        <w:t xml:space="preserve"> </w:t>
      </w:r>
      <w:r w:rsidR="009E3711" w:rsidRPr="00526E3F">
        <w:t xml:space="preserve">Simulation case 1 shows </w:t>
      </w:r>
      <w:r w:rsidR="009E3711">
        <w:t xml:space="preserve">the </w:t>
      </w:r>
      <w:r w:rsidR="009E3711" w:rsidRPr="00526E3F">
        <w:t xml:space="preserve">results for annual increases of 2.2% in population growth at age 60 and </w:t>
      </w:r>
      <w:r w:rsidR="009E3711">
        <w:t xml:space="preserve">a </w:t>
      </w:r>
      <w:r w:rsidR="009E3711" w:rsidRPr="00526E3F">
        <w:t>1.2% reduction</w:t>
      </w:r>
      <w:r w:rsidR="009E3711">
        <w:t xml:space="preserve"> in </w:t>
      </w:r>
      <w:r w:rsidR="009E3711" w:rsidRPr="00526E3F">
        <w:t xml:space="preserve">mortality rate. Case 2 shows </w:t>
      </w:r>
      <w:r w:rsidR="009E3711">
        <w:t xml:space="preserve">the </w:t>
      </w:r>
      <w:r w:rsidR="009E3711" w:rsidRPr="00526E3F">
        <w:t>results for 2.2% and 3.0% respectively.</w:t>
      </w:r>
    </w:p>
    <w:p w14:paraId="202B1C18" w14:textId="2466DE17" w:rsidR="009E3711" w:rsidRPr="00526E3F" w:rsidRDefault="009E3711" w:rsidP="009E3711">
      <w:pPr>
        <w:pStyle w:val="Caption"/>
      </w:pPr>
      <w:bookmarkStart w:id="12" w:name="_Ref7779006"/>
      <w:r w:rsidRPr="00526E3F">
        <w:t xml:space="preserve">Table </w:t>
      </w:r>
      <w:r>
        <w:t>A2</w:t>
      </w:r>
      <w:bookmarkEnd w:id="12"/>
      <w:r w:rsidR="00061BD6">
        <w:t xml:space="preserve">   </w:t>
      </w:r>
      <w:r w:rsidRPr="00526E3F">
        <w:t>Population growth and longevity comparison</w:t>
      </w:r>
      <w:r w:rsidR="0010173A">
        <w:t xml:space="preserve"> </w:t>
      </w:r>
    </w:p>
    <w:tbl>
      <w:tblPr>
        <w:tblStyle w:val="TableGrid"/>
        <w:tblW w:w="864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4"/>
        <w:gridCol w:w="851"/>
        <w:gridCol w:w="850"/>
        <w:gridCol w:w="709"/>
        <w:gridCol w:w="851"/>
        <w:gridCol w:w="850"/>
        <w:gridCol w:w="709"/>
        <w:gridCol w:w="1134"/>
        <w:gridCol w:w="1559"/>
      </w:tblGrid>
      <w:tr w:rsidR="009E3711" w:rsidRPr="00526E3F" w14:paraId="12F6DFF7" w14:textId="77777777" w:rsidTr="00E1466D">
        <w:tc>
          <w:tcPr>
            <w:tcW w:w="1134" w:type="dxa"/>
          </w:tcPr>
          <w:p w14:paraId="30E19711" w14:textId="77777777" w:rsidR="009E3711" w:rsidRPr="00526E3F" w:rsidRDefault="009E3711" w:rsidP="00E1466D">
            <w:pPr>
              <w:spacing w:line="240" w:lineRule="auto"/>
              <w:rPr>
                <w:b/>
              </w:rPr>
            </w:pPr>
            <w:r w:rsidRPr="00526E3F">
              <w:rPr>
                <w:b/>
              </w:rPr>
              <w:t>Age</w:t>
            </w:r>
          </w:p>
        </w:tc>
        <w:tc>
          <w:tcPr>
            <w:tcW w:w="851" w:type="dxa"/>
          </w:tcPr>
          <w:p w14:paraId="596D328D" w14:textId="77777777" w:rsidR="009E3711" w:rsidRPr="00526E3F" w:rsidRDefault="009E3711" w:rsidP="00E1466D">
            <w:pPr>
              <w:spacing w:line="240" w:lineRule="auto"/>
              <w:rPr>
                <w:b/>
              </w:rPr>
            </w:pPr>
            <w:r w:rsidRPr="00526E3F">
              <w:rPr>
                <w:b/>
              </w:rPr>
              <w:t>65</w:t>
            </w:r>
          </w:p>
        </w:tc>
        <w:tc>
          <w:tcPr>
            <w:tcW w:w="850" w:type="dxa"/>
          </w:tcPr>
          <w:p w14:paraId="4D394116" w14:textId="77777777" w:rsidR="009E3711" w:rsidRPr="00526E3F" w:rsidRDefault="009E3711" w:rsidP="00E1466D">
            <w:pPr>
              <w:spacing w:line="240" w:lineRule="auto"/>
              <w:rPr>
                <w:b/>
              </w:rPr>
            </w:pPr>
            <w:r w:rsidRPr="00526E3F">
              <w:rPr>
                <w:b/>
              </w:rPr>
              <w:t>70</w:t>
            </w:r>
          </w:p>
        </w:tc>
        <w:tc>
          <w:tcPr>
            <w:tcW w:w="709" w:type="dxa"/>
          </w:tcPr>
          <w:p w14:paraId="2882B81E" w14:textId="77777777" w:rsidR="009E3711" w:rsidRPr="00526E3F" w:rsidRDefault="009E3711" w:rsidP="00E1466D">
            <w:pPr>
              <w:spacing w:line="240" w:lineRule="auto"/>
              <w:rPr>
                <w:b/>
              </w:rPr>
            </w:pPr>
            <w:r w:rsidRPr="00526E3F">
              <w:rPr>
                <w:b/>
              </w:rPr>
              <w:t>75</w:t>
            </w:r>
          </w:p>
        </w:tc>
        <w:tc>
          <w:tcPr>
            <w:tcW w:w="851" w:type="dxa"/>
          </w:tcPr>
          <w:p w14:paraId="39DE298C" w14:textId="77777777" w:rsidR="009E3711" w:rsidRPr="00526E3F" w:rsidRDefault="009E3711" w:rsidP="00E1466D">
            <w:pPr>
              <w:spacing w:line="240" w:lineRule="auto"/>
              <w:rPr>
                <w:b/>
              </w:rPr>
            </w:pPr>
            <w:r w:rsidRPr="00526E3F">
              <w:rPr>
                <w:b/>
              </w:rPr>
              <w:t>80</w:t>
            </w:r>
          </w:p>
        </w:tc>
        <w:tc>
          <w:tcPr>
            <w:tcW w:w="850" w:type="dxa"/>
          </w:tcPr>
          <w:p w14:paraId="1AECA0C0" w14:textId="77777777" w:rsidR="009E3711" w:rsidRPr="00526E3F" w:rsidRDefault="009E3711" w:rsidP="00E1466D">
            <w:pPr>
              <w:spacing w:line="240" w:lineRule="auto"/>
              <w:rPr>
                <w:b/>
              </w:rPr>
            </w:pPr>
            <w:r w:rsidRPr="00526E3F">
              <w:rPr>
                <w:b/>
              </w:rPr>
              <w:t>85</w:t>
            </w:r>
          </w:p>
        </w:tc>
        <w:tc>
          <w:tcPr>
            <w:tcW w:w="709" w:type="dxa"/>
          </w:tcPr>
          <w:p w14:paraId="02DFA4C5" w14:textId="77777777" w:rsidR="009E3711" w:rsidRPr="00526E3F" w:rsidRDefault="009E3711" w:rsidP="00E1466D">
            <w:pPr>
              <w:spacing w:line="240" w:lineRule="auto"/>
              <w:rPr>
                <w:b/>
              </w:rPr>
            </w:pPr>
            <w:r w:rsidRPr="00526E3F">
              <w:rPr>
                <w:b/>
              </w:rPr>
              <w:t>90</w:t>
            </w:r>
          </w:p>
        </w:tc>
        <w:tc>
          <w:tcPr>
            <w:tcW w:w="1134" w:type="dxa"/>
          </w:tcPr>
          <w:p w14:paraId="58C0C3D3" w14:textId="77777777" w:rsidR="009E3711" w:rsidRPr="00526E3F" w:rsidRDefault="009E3711" w:rsidP="00E1466D">
            <w:pPr>
              <w:spacing w:line="240" w:lineRule="auto"/>
              <w:rPr>
                <w:b/>
              </w:rPr>
            </w:pPr>
            <w:r w:rsidRPr="00526E3F">
              <w:rPr>
                <w:b/>
              </w:rPr>
              <w:t>over 65s</w:t>
            </w:r>
          </w:p>
        </w:tc>
        <w:tc>
          <w:tcPr>
            <w:tcW w:w="1559" w:type="dxa"/>
          </w:tcPr>
          <w:p w14:paraId="76256093" w14:textId="77777777" w:rsidR="009E3711" w:rsidRPr="00526E3F" w:rsidRDefault="009E3711" w:rsidP="00E1466D">
            <w:pPr>
              <w:spacing w:line="240" w:lineRule="auto"/>
              <w:rPr>
                <w:b/>
              </w:rPr>
            </w:pPr>
            <w:r w:rsidRPr="00526E3F">
              <w:rPr>
                <w:b/>
              </w:rPr>
              <w:t>parameters</w:t>
            </w:r>
          </w:p>
        </w:tc>
      </w:tr>
      <w:tr w:rsidR="009E3711" w:rsidRPr="00526E3F" w14:paraId="582EC042" w14:textId="77777777" w:rsidTr="00E1466D">
        <w:tc>
          <w:tcPr>
            <w:tcW w:w="1134" w:type="dxa"/>
          </w:tcPr>
          <w:p w14:paraId="23FAC440" w14:textId="77777777" w:rsidR="009E3711" w:rsidRPr="00526E3F" w:rsidRDefault="009E3711" w:rsidP="00E1466D">
            <w:pPr>
              <w:pStyle w:val="TableContent"/>
            </w:pPr>
            <w:r>
              <w:t>R</w:t>
            </w:r>
            <w:r w:rsidRPr="00526E3F">
              <w:t>eference</w:t>
            </w:r>
          </w:p>
        </w:tc>
        <w:tc>
          <w:tcPr>
            <w:tcW w:w="851" w:type="dxa"/>
          </w:tcPr>
          <w:p w14:paraId="66478398" w14:textId="77777777" w:rsidR="009E3711" w:rsidRPr="00526E3F" w:rsidRDefault="009E3711" w:rsidP="00E1466D">
            <w:pPr>
              <w:pStyle w:val="TableContent"/>
            </w:pPr>
            <w:r w:rsidRPr="00526E3F">
              <w:t>1.22</w:t>
            </w:r>
          </w:p>
        </w:tc>
        <w:tc>
          <w:tcPr>
            <w:tcW w:w="850" w:type="dxa"/>
          </w:tcPr>
          <w:p w14:paraId="60904ED6" w14:textId="77777777" w:rsidR="009E3711" w:rsidRPr="00526E3F" w:rsidRDefault="009E3711" w:rsidP="00E1466D">
            <w:pPr>
              <w:pStyle w:val="TableContent"/>
            </w:pPr>
            <w:r w:rsidRPr="00526E3F">
              <w:t>1.55</w:t>
            </w:r>
          </w:p>
        </w:tc>
        <w:tc>
          <w:tcPr>
            <w:tcW w:w="709" w:type="dxa"/>
          </w:tcPr>
          <w:p w14:paraId="1B2D41CF" w14:textId="77777777" w:rsidR="009E3711" w:rsidRPr="00526E3F" w:rsidRDefault="009E3711" w:rsidP="00E1466D">
            <w:pPr>
              <w:pStyle w:val="TableContent"/>
            </w:pPr>
            <w:r w:rsidRPr="00526E3F">
              <w:t>1.64</w:t>
            </w:r>
          </w:p>
        </w:tc>
        <w:tc>
          <w:tcPr>
            <w:tcW w:w="851" w:type="dxa"/>
          </w:tcPr>
          <w:p w14:paraId="3242626A" w14:textId="77777777" w:rsidR="009E3711" w:rsidRPr="00526E3F" w:rsidRDefault="009E3711" w:rsidP="00E1466D">
            <w:pPr>
              <w:pStyle w:val="TableContent"/>
            </w:pPr>
            <w:r w:rsidRPr="00526E3F">
              <w:t>1.81</w:t>
            </w:r>
          </w:p>
        </w:tc>
        <w:tc>
          <w:tcPr>
            <w:tcW w:w="850" w:type="dxa"/>
          </w:tcPr>
          <w:p w14:paraId="37C64989" w14:textId="77777777" w:rsidR="009E3711" w:rsidRPr="00526E3F" w:rsidRDefault="009E3711" w:rsidP="00E1466D">
            <w:pPr>
              <w:pStyle w:val="TableContent"/>
            </w:pPr>
            <w:r w:rsidRPr="00526E3F">
              <w:t>1.99</w:t>
            </w:r>
          </w:p>
        </w:tc>
        <w:tc>
          <w:tcPr>
            <w:tcW w:w="709" w:type="dxa"/>
          </w:tcPr>
          <w:p w14:paraId="4CFFDC1E" w14:textId="77777777" w:rsidR="009E3711" w:rsidRPr="00526E3F" w:rsidRDefault="009E3711" w:rsidP="00E1466D">
            <w:pPr>
              <w:pStyle w:val="TableContent"/>
            </w:pPr>
            <w:r w:rsidRPr="00526E3F">
              <w:t>2.81</w:t>
            </w:r>
          </w:p>
        </w:tc>
        <w:tc>
          <w:tcPr>
            <w:tcW w:w="1134" w:type="dxa"/>
          </w:tcPr>
          <w:p w14:paraId="0EAC5274" w14:textId="77777777" w:rsidR="009E3711" w:rsidRPr="00526E3F" w:rsidRDefault="009E3711" w:rsidP="00E1466D">
            <w:pPr>
              <w:pStyle w:val="TableContent"/>
            </w:pPr>
            <w:r w:rsidRPr="00526E3F">
              <w:t>1.55</w:t>
            </w:r>
          </w:p>
        </w:tc>
        <w:tc>
          <w:tcPr>
            <w:tcW w:w="1559" w:type="dxa"/>
          </w:tcPr>
          <w:p w14:paraId="03E3E0AB" w14:textId="77777777" w:rsidR="009E3711" w:rsidRPr="00526E3F" w:rsidRDefault="009E3711" w:rsidP="00E1466D">
            <w:pPr>
              <w:pStyle w:val="TableContent"/>
            </w:pPr>
            <w:r w:rsidRPr="00526E3F">
              <w:fldChar w:fldCharType="begin" w:fldLock="1"/>
            </w:r>
            <w:r>
              <w:instrText>ADDIN CSL_CITATION {"citationItems":[{"id":"ITEM-1","itemData":{"URL":"https://www.ons.gov.uk/peoplepopulationandcommunity/populationandmigration/populationprojections/datasets/localauthoritiesinenglandtable2","abstract":"Population figures for mid-2014 to mid-2039 for persons, males and females in five year age groups for local authorities in England.","accessed":{"date-parts":[["2018","4","20"]]},"author":[{"dropping-particle":"","family":"ONS","given":"","non-dropping-particle":"","parse-names":false,"suffix":""}],"container-title":"Subnational population projections for England: 2012-based","id":"ITEM-1","issued":{"date-parts":[["2014"]]},"note":"https://www.ons.gov.uk/peoplepopulationandcommunity/populationandmigration/populationprojections/datasets/localauthoritiesinenglandtable2","title":"Table 2, tcm77364153.xls","type":"webpage"},"uris":["http://www.mendeley.com/documents/?uuid=ac10fae7-37a5-4ba7-926b-980a5048c64a"]}],"mendeley":{"formattedCitation":"(ONS, 2014c)","plainTextFormattedCitation":"(ONS, 2014c)","previouslyFormattedCitation":"(ONS, 2014c)"},"properties":{"noteIndex":0},"schema":"https://github.com/citation-style-language/schema/raw/master/csl-citation.json"}</w:instrText>
            </w:r>
            <w:r w:rsidRPr="00526E3F">
              <w:fldChar w:fldCharType="separate"/>
            </w:r>
            <w:r w:rsidRPr="009F669E">
              <w:rPr>
                <w:noProof/>
              </w:rPr>
              <w:t>(ONS, 2014c)</w:t>
            </w:r>
            <w:r w:rsidRPr="00526E3F">
              <w:fldChar w:fldCharType="end"/>
            </w:r>
          </w:p>
        </w:tc>
      </w:tr>
      <w:tr w:rsidR="009E3711" w:rsidRPr="00526E3F" w14:paraId="7D73EE0F" w14:textId="77777777" w:rsidTr="00E1466D">
        <w:trPr>
          <w:trHeight w:val="251"/>
        </w:trPr>
        <w:tc>
          <w:tcPr>
            <w:tcW w:w="1134" w:type="dxa"/>
          </w:tcPr>
          <w:p w14:paraId="14929067" w14:textId="77777777" w:rsidR="009E3711" w:rsidRPr="00526E3F" w:rsidRDefault="009E3711" w:rsidP="00E1466D">
            <w:pPr>
              <w:pStyle w:val="TableContent"/>
            </w:pPr>
            <w:r>
              <w:t>C</w:t>
            </w:r>
            <w:r w:rsidRPr="00526E3F">
              <w:t>ase 1</w:t>
            </w:r>
          </w:p>
        </w:tc>
        <w:tc>
          <w:tcPr>
            <w:tcW w:w="851" w:type="dxa"/>
          </w:tcPr>
          <w:p w14:paraId="55BA6C86" w14:textId="77777777" w:rsidR="009E3711" w:rsidRPr="00526E3F" w:rsidRDefault="009E3711" w:rsidP="00E1466D">
            <w:pPr>
              <w:pStyle w:val="TableContent"/>
            </w:pPr>
            <w:r w:rsidRPr="00526E3F">
              <w:t>1.54</w:t>
            </w:r>
          </w:p>
        </w:tc>
        <w:tc>
          <w:tcPr>
            <w:tcW w:w="850" w:type="dxa"/>
          </w:tcPr>
          <w:p w14:paraId="6BE237DB" w14:textId="77777777" w:rsidR="009E3711" w:rsidRPr="00526E3F" w:rsidRDefault="009E3711" w:rsidP="00E1466D">
            <w:pPr>
              <w:pStyle w:val="TableContent"/>
            </w:pPr>
            <w:r w:rsidRPr="00526E3F">
              <w:t>1.59</w:t>
            </w:r>
          </w:p>
        </w:tc>
        <w:tc>
          <w:tcPr>
            <w:tcW w:w="709" w:type="dxa"/>
          </w:tcPr>
          <w:p w14:paraId="6085AAF7" w14:textId="77777777" w:rsidR="009E3711" w:rsidRPr="00526E3F" w:rsidRDefault="009E3711" w:rsidP="00E1466D">
            <w:pPr>
              <w:pStyle w:val="TableContent"/>
            </w:pPr>
            <w:r w:rsidRPr="00526E3F">
              <w:t>1.61</w:t>
            </w:r>
          </w:p>
        </w:tc>
        <w:tc>
          <w:tcPr>
            <w:tcW w:w="851" w:type="dxa"/>
          </w:tcPr>
          <w:p w14:paraId="02FCC0D7" w14:textId="77777777" w:rsidR="009E3711" w:rsidRPr="00526E3F" w:rsidRDefault="009E3711" w:rsidP="00E1466D">
            <w:pPr>
              <w:pStyle w:val="TableContent"/>
            </w:pPr>
            <w:r w:rsidRPr="00526E3F">
              <w:t>1.64</w:t>
            </w:r>
          </w:p>
        </w:tc>
        <w:tc>
          <w:tcPr>
            <w:tcW w:w="850" w:type="dxa"/>
          </w:tcPr>
          <w:p w14:paraId="357EBC4B" w14:textId="77777777" w:rsidR="009E3711" w:rsidRPr="00526E3F" w:rsidRDefault="009E3711" w:rsidP="00E1466D">
            <w:pPr>
              <w:pStyle w:val="TableContent"/>
            </w:pPr>
            <w:r w:rsidRPr="00526E3F">
              <w:t>1.72</w:t>
            </w:r>
          </w:p>
        </w:tc>
        <w:tc>
          <w:tcPr>
            <w:tcW w:w="709" w:type="dxa"/>
          </w:tcPr>
          <w:p w14:paraId="5A0A47F6" w14:textId="77777777" w:rsidR="009E3711" w:rsidRPr="00526E3F" w:rsidRDefault="009E3711" w:rsidP="00E1466D">
            <w:pPr>
              <w:pStyle w:val="TableContent"/>
            </w:pPr>
            <w:r w:rsidRPr="00526E3F">
              <w:t>1.99</w:t>
            </w:r>
          </w:p>
        </w:tc>
        <w:tc>
          <w:tcPr>
            <w:tcW w:w="1134" w:type="dxa"/>
          </w:tcPr>
          <w:p w14:paraId="57779A7B" w14:textId="77777777" w:rsidR="009E3711" w:rsidRPr="00526E3F" w:rsidRDefault="009E3711" w:rsidP="00E1466D">
            <w:pPr>
              <w:pStyle w:val="TableContent"/>
            </w:pPr>
            <w:r w:rsidRPr="00526E3F">
              <w:t>1.71</w:t>
            </w:r>
          </w:p>
        </w:tc>
        <w:tc>
          <w:tcPr>
            <w:tcW w:w="1559" w:type="dxa"/>
          </w:tcPr>
          <w:p w14:paraId="226E5307" w14:textId="77777777" w:rsidR="009E3711" w:rsidRPr="00526E3F" w:rsidRDefault="009E3711" w:rsidP="00E1466D">
            <w:pPr>
              <w:pStyle w:val="TableContent"/>
            </w:pPr>
            <w:r w:rsidRPr="00526E3F">
              <w:t>2.2% and 1.2%</w:t>
            </w:r>
          </w:p>
        </w:tc>
      </w:tr>
      <w:tr w:rsidR="009E3711" w:rsidRPr="00526E3F" w14:paraId="7B95C9BD" w14:textId="77777777" w:rsidTr="00E1466D">
        <w:tc>
          <w:tcPr>
            <w:tcW w:w="1134" w:type="dxa"/>
          </w:tcPr>
          <w:p w14:paraId="6380B054" w14:textId="77777777" w:rsidR="009E3711" w:rsidRPr="00526E3F" w:rsidRDefault="009E3711" w:rsidP="00E1466D">
            <w:pPr>
              <w:pStyle w:val="TableContent"/>
            </w:pPr>
            <w:r>
              <w:t>C</w:t>
            </w:r>
            <w:r w:rsidRPr="00526E3F">
              <w:t>ase 2</w:t>
            </w:r>
          </w:p>
        </w:tc>
        <w:tc>
          <w:tcPr>
            <w:tcW w:w="851" w:type="dxa"/>
          </w:tcPr>
          <w:p w14:paraId="5AF98285" w14:textId="77777777" w:rsidR="009E3711" w:rsidRPr="00526E3F" w:rsidRDefault="009E3711" w:rsidP="00E1466D">
            <w:pPr>
              <w:pStyle w:val="TableContent"/>
            </w:pPr>
            <w:r w:rsidRPr="00526E3F">
              <w:t>1.60</w:t>
            </w:r>
          </w:p>
        </w:tc>
        <w:tc>
          <w:tcPr>
            <w:tcW w:w="850" w:type="dxa"/>
          </w:tcPr>
          <w:p w14:paraId="311119C2" w14:textId="77777777" w:rsidR="009E3711" w:rsidRPr="00526E3F" w:rsidRDefault="009E3711" w:rsidP="00E1466D">
            <w:pPr>
              <w:pStyle w:val="TableContent"/>
            </w:pPr>
            <w:r w:rsidRPr="00526E3F">
              <w:t>1.66</w:t>
            </w:r>
          </w:p>
        </w:tc>
        <w:tc>
          <w:tcPr>
            <w:tcW w:w="709" w:type="dxa"/>
          </w:tcPr>
          <w:p w14:paraId="78160176" w14:textId="77777777" w:rsidR="009E3711" w:rsidRPr="00526E3F" w:rsidRDefault="009E3711" w:rsidP="00E1466D">
            <w:pPr>
              <w:pStyle w:val="TableContent"/>
            </w:pPr>
            <w:r w:rsidRPr="00526E3F">
              <w:t>1.71</w:t>
            </w:r>
          </w:p>
        </w:tc>
        <w:tc>
          <w:tcPr>
            <w:tcW w:w="851" w:type="dxa"/>
          </w:tcPr>
          <w:p w14:paraId="7F4311D6" w14:textId="77777777" w:rsidR="009E3711" w:rsidRPr="00526E3F" w:rsidRDefault="009E3711" w:rsidP="00E1466D">
            <w:pPr>
              <w:pStyle w:val="TableContent"/>
            </w:pPr>
            <w:r w:rsidRPr="00526E3F">
              <w:t>1.79</w:t>
            </w:r>
          </w:p>
        </w:tc>
        <w:tc>
          <w:tcPr>
            <w:tcW w:w="850" w:type="dxa"/>
          </w:tcPr>
          <w:p w14:paraId="4B103641" w14:textId="77777777" w:rsidR="009E3711" w:rsidRPr="00526E3F" w:rsidRDefault="009E3711" w:rsidP="00E1466D">
            <w:pPr>
              <w:pStyle w:val="TableContent"/>
            </w:pPr>
            <w:r w:rsidRPr="00526E3F">
              <w:t>1.98</w:t>
            </w:r>
          </w:p>
        </w:tc>
        <w:tc>
          <w:tcPr>
            <w:tcW w:w="709" w:type="dxa"/>
          </w:tcPr>
          <w:p w14:paraId="47FE2AAA" w14:textId="77777777" w:rsidR="009E3711" w:rsidRPr="00526E3F" w:rsidRDefault="009E3711" w:rsidP="00E1466D">
            <w:pPr>
              <w:pStyle w:val="TableContent"/>
            </w:pPr>
            <w:r w:rsidRPr="00526E3F">
              <w:t>2.78</w:t>
            </w:r>
          </w:p>
        </w:tc>
        <w:tc>
          <w:tcPr>
            <w:tcW w:w="1134" w:type="dxa"/>
          </w:tcPr>
          <w:p w14:paraId="7CB7876F" w14:textId="77777777" w:rsidR="009E3711" w:rsidRPr="00526E3F" w:rsidRDefault="009E3711" w:rsidP="00E1466D">
            <w:pPr>
              <w:pStyle w:val="TableContent"/>
            </w:pPr>
            <w:r w:rsidRPr="00526E3F">
              <w:t>1.99</w:t>
            </w:r>
          </w:p>
        </w:tc>
        <w:tc>
          <w:tcPr>
            <w:tcW w:w="1559" w:type="dxa"/>
          </w:tcPr>
          <w:p w14:paraId="27D398B3" w14:textId="77777777" w:rsidR="009E3711" w:rsidRPr="00526E3F" w:rsidRDefault="009E3711" w:rsidP="00E1466D">
            <w:pPr>
              <w:pStyle w:val="TableContent"/>
            </w:pPr>
            <w:r w:rsidRPr="00526E3F">
              <w:t>2.2% and 3.0%</w:t>
            </w:r>
          </w:p>
        </w:tc>
      </w:tr>
    </w:tbl>
    <w:p w14:paraId="4004B5DF" w14:textId="77777777" w:rsidR="009E3711" w:rsidRDefault="009E3711" w:rsidP="00E87DC3"/>
    <w:p w14:paraId="17B1EF75" w14:textId="0228B79B" w:rsidR="009E3711" w:rsidRDefault="009E3711" w:rsidP="00E87DC3">
      <w:r w:rsidRPr="00092701">
        <w:t xml:space="preserve">For the cross-sectional age distribution, the cognitively normal stocks were initialised with headcounts based on published values </w:t>
      </w:r>
      <w:r w:rsidRPr="00092701">
        <w:fldChar w:fldCharType="begin" w:fldLock="1"/>
      </w:r>
      <w:r w:rsidRPr="00092701">
        <w:instrText>ADDIN CSL_CITATION {"citationItems":[{"id":"ITEM-1","itemData":{"URL":"https://www.ons.gov.uk/peoplepopulationandcommunity/populationandmigration/populationestimates/datasets/populationestimatesanalysistool","accessed":{"date-parts":[["2018","5","8"]]},"author":[{"dropping-particle":"","family":"ONS","given":"","non-dropping-particle":"","parse-names":false,"suffix":""}],"container-title":"Mid-2013 Population Estimates: Pivot table Analysis Tool for the United Kingdom","id":"ITEM-1","issued":{"date-parts":[["2014"]]},"title":"Population Estimates Analysis Tool","type":"webpage"},"uris":["http://www.mendeley.com/documents/?uuid=87b091d2-c8c6-4785-ac00-a0de2a934c43"]}],"mendeley":{"formattedCitation":"(ONS, 2014b)","plainTextFormattedCitation":"(ONS, 2014b)","previouslyFormattedCitation":"(ONS, 2014b)"},"properties":{"noteIndex":0},"schema":"https://github.com/citation-style-language/schema/raw/master/csl-citation.json"}</w:instrText>
      </w:r>
      <w:r w:rsidRPr="00092701">
        <w:fldChar w:fldCharType="separate"/>
      </w:r>
      <w:r w:rsidRPr="00092701">
        <w:rPr>
          <w:noProof/>
        </w:rPr>
        <w:t>(ONS, 2014b)</w:t>
      </w:r>
      <w:r w:rsidRPr="00092701">
        <w:fldChar w:fldCharType="end"/>
      </w:r>
      <w:r w:rsidRPr="00092701">
        <w:t xml:space="preserve"> of the number of people in each 5-year age group. While this </w:t>
      </w:r>
      <w:r>
        <w:t xml:space="preserve">approach </w:t>
      </w:r>
      <w:r w:rsidRPr="00092701">
        <w:t xml:space="preserve">is more </w:t>
      </w:r>
      <w:r>
        <w:t>realistic</w:t>
      </w:r>
      <w:r w:rsidRPr="00092701">
        <w:t>, older people spend a shorter time in the model and the results are a composite of onset and mortality effects across these different age groups. While the results obtained were more comprehensive, detailed interpretation is thus</w:t>
      </w:r>
      <w:r>
        <w:t xml:space="preserve"> more difficult, and are not reported here.</w:t>
      </w:r>
    </w:p>
    <w:p w14:paraId="203C113B" w14:textId="77777777" w:rsidR="009E3711" w:rsidRPr="00092701" w:rsidRDefault="009E3711" w:rsidP="00E87DC3"/>
    <w:p w14:paraId="526F9C08" w14:textId="097FCC65" w:rsidR="0065284C" w:rsidRDefault="003C5EB4" w:rsidP="00FF4E01">
      <w:pPr>
        <w:pStyle w:val="AppendixSubheading"/>
      </w:pPr>
      <w:r>
        <w:lastRenderedPageBreak/>
        <w:t>Analytical formulation</w:t>
      </w:r>
    </w:p>
    <w:p w14:paraId="1DFFEA4D" w14:textId="12078416" w:rsidR="005F071D" w:rsidRDefault="005C2B37" w:rsidP="00CE5E1E">
      <w:pPr>
        <w:tabs>
          <w:tab w:val="center" w:pos="4253"/>
          <w:tab w:val="right" w:pos="8789"/>
        </w:tabs>
      </w:pPr>
      <w:r>
        <w:rPr>
          <w:rFonts w:ascii="Calibri" w:eastAsia="Calibri" w:hAnsi="Calibri" w:cs="Times New Roman"/>
        </w:rPr>
        <w:t>In this section we present a continuous</w:t>
      </w:r>
      <w:r w:rsidR="003C5EB4">
        <w:rPr>
          <w:rFonts w:ascii="Calibri" w:eastAsia="Calibri" w:hAnsi="Calibri" w:cs="Times New Roman"/>
        </w:rPr>
        <w:t>, analytical,</w:t>
      </w:r>
      <w:r>
        <w:rPr>
          <w:rFonts w:ascii="Calibri" w:eastAsia="Calibri" w:hAnsi="Calibri" w:cs="Times New Roman"/>
        </w:rPr>
        <w:t xml:space="preserve"> formulation of the ageing process in the SD model as a set of </w:t>
      </w:r>
      <w:r w:rsidR="00BB0FF5">
        <w:rPr>
          <w:rFonts w:ascii="Calibri" w:eastAsia="Calibri" w:hAnsi="Calibri" w:cs="Times New Roman"/>
        </w:rPr>
        <w:t xml:space="preserve">ordinary </w:t>
      </w:r>
      <w:r>
        <w:rPr>
          <w:rFonts w:ascii="Calibri" w:eastAsia="Calibri" w:hAnsi="Calibri" w:cs="Times New Roman"/>
        </w:rPr>
        <w:t>d</w:t>
      </w:r>
      <w:r w:rsidR="0031509A">
        <w:rPr>
          <w:rFonts w:ascii="Calibri" w:eastAsia="Calibri" w:hAnsi="Calibri" w:cs="Times New Roman"/>
        </w:rPr>
        <w:t>ifferential equation</w:t>
      </w:r>
      <w:r w:rsidR="00CE5E1E">
        <w:rPr>
          <w:rFonts w:ascii="Calibri" w:eastAsia="Calibri" w:hAnsi="Calibri" w:cs="Times New Roman"/>
        </w:rPr>
        <w:t xml:space="preserve">s </w:t>
      </w:r>
      <w:r w:rsidR="00C56A25">
        <w:rPr>
          <w:rFonts w:ascii="Calibri" w:eastAsia="Calibri" w:hAnsi="Calibri" w:cs="Times New Roman"/>
        </w:rPr>
        <w:t>(</w:t>
      </w:r>
      <w:r w:rsidR="00BB0FF5">
        <w:rPr>
          <w:rFonts w:ascii="Calibri" w:eastAsia="Calibri" w:hAnsi="Calibri" w:cs="Times New Roman"/>
        </w:rPr>
        <w:t>O</w:t>
      </w:r>
      <w:r w:rsidR="00C56A25">
        <w:rPr>
          <w:rFonts w:ascii="Calibri" w:eastAsia="Calibri" w:hAnsi="Calibri" w:cs="Times New Roman"/>
        </w:rPr>
        <w:t>DEs)</w:t>
      </w:r>
      <w:r w:rsidR="00EE1B4D">
        <w:rPr>
          <w:rFonts w:ascii="Calibri" w:eastAsia="Calibri" w:hAnsi="Calibri" w:cs="Times New Roman"/>
        </w:rPr>
        <w:t>. T</w:t>
      </w:r>
      <w:r w:rsidR="00EE1B4D">
        <w:t xml:space="preserve">he </w:t>
      </w:r>
      <w:r w:rsidR="0050334D">
        <w:t>broad horizontal</w:t>
      </w:r>
      <w:r w:rsidR="00EE1B4D">
        <w:t xml:space="preserve"> arrows in Figure A</w:t>
      </w:r>
      <w:r w:rsidR="00061BD6">
        <w:t>1</w:t>
      </w:r>
      <w:r w:rsidR="00EE1B4D">
        <w:t xml:space="preserve"> represent how stock levels are </w:t>
      </w:r>
      <w:r w:rsidR="00C147F5">
        <w:t>transferred</w:t>
      </w:r>
      <w:r w:rsidR="00E11AA1">
        <w:t xml:space="preserve"> </w:t>
      </w:r>
      <w:r w:rsidR="00EE1B4D">
        <w:t xml:space="preserve">at </w:t>
      </w:r>
      <w:r w:rsidR="00237243">
        <w:t xml:space="preserve">5-year </w:t>
      </w:r>
      <w:r w:rsidR="00EE1B4D">
        <w:t>interval</w:t>
      </w:r>
      <w:r w:rsidR="00344E9E">
        <w:t>s between age groups</w:t>
      </w:r>
      <w:r w:rsidR="0050334D">
        <w:t>. The vertical arrows show</w:t>
      </w:r>
      <w:r w:rsidR="00146F3A">
        <w:t xml:space="preserve"> the incidence and mortality flows between stock</w:t>
      </w:r>
      <w:r w:rsidR="003D6389">
        <w:t>s</w:t>
      </w:r>
      <w:r w:rsidR="00146F3A">
        <w:t xml:space="preserve"> within an age group</w:t>
      </w:r>
      <w:r w:rsidR="00344E9E">
        <w:t>.</w:t>
      </w:r>
      <w:r w:rsidR="007A56AD">
        <w:t xml:space="preserve"> For simplicity </w:t>
      </w:r>
      <w:r w:rsidR="00213C35">
        <w:t>this formulation</w:t>
      </w:r>
      <w:r w:rsidR="007A56AD">
        <w:t xml:space="preserve"> omit</w:t>
      </w:r>
      <w:r w:rsidR="00213C35">
        <w:t>s</w:t>
      </w:r>
      <w:r w:rsidR="007A56AD">
        <w:t xml:space="preserve"> the age band index</w:t>
      </w:r>
      <w:r w:rsidR="00213C35">
        <w:t>,</w:t>
      </w:r>
      <w:r w:rsidR="007A56AD">
        <w:t xml:space="preserve"> but (unlike many studies in the literature) the model uses age-related incidence and mortality rates.</w:t>
      </w:r>
    </w:p>
    <w:p w14:paraId="5EE36A71" w14:textId="7C94B81C" w:rsidR="006E4300" w:rsidRPr="00E11AA1" w:rsidRDefault="006E4300" w:rsidP="006E4300">
      <w:pPr>
        <w:tabs>
          <w:tab w:val="center" w:pos="4253"/>
          <w:tab w:val="right" w:pos="8789"/>
        </w:tabs>
        <w:rPr>
          <w:rFonts w:eastAsiaTheme="minorEastAsia"/>
        </w:rPr>
      </w:pPr>
      <w:r>
        <w:t xml:space="preserve">The stock </w:t>
      </w:r>
      <w:r w:rsidR="003C5EB4">
        <w:t>of people with</w:t>
      </w:r>
      <w:r>
        <w:t xml:space="preserve"> dementia</w:t>
      </w:r>
      <w:r w:rsidR="00213C35">
        <w:t xml:space="preserve"> </w:t>
      </w:r>
      <m:oMath>
        <m:r>
          <w:rPr>
            <w:rFonts w:ascii="Cambria Math" w:hAnsi="Cambria Math"/>
          </w:rPr>
          <m:t>P</m:t>
        </m:r>
        <m:d>
          <m:dPr>
            <m:ctrlPr>
              <w:rPr>
                <w:rFonts w:ascii="Cambria Math" w:hAnsi="Cambria Math"/>
                <w:i/>
              </w:rPr>
            </m:ctrlPr>
          </m:dPr>
          <m:e>
            <m:r>
              <w:rPr>
                <w:rFonts w:ascii="Cambria Math" w:hAnsi="Cambria Math"/>
              </w:rPr>
              <m:t>t</m:t>
            </m:r>
          </m:e>
        </m:d>
      </m:oMath>
      <w:r>
        <w:t xml:space="preserve"> </w:t>
      </w:r>
      <w:r w:rsidR="003C5EB4">
        <w:t>has initial</w:t>
      </w:r>
      <w:r>
        <w:t xml:space="preserve"> value </w:t>
      </w:r>
      <m:oMath>
        <m:r>
          <w:rPr>
            <w:rFonts w:ascii="Cambria Math" w:hAnsi="Cambria Math"/>
          </w:rPr>
          <m:t>P</m:t>
        </m:r>
        <m:d>
          <m:dPr>
            <m:ctrlPr>
              <w:rPr>
                <w:rFonts w:ascii="Cambria Math" w:hAnsi="Cambria Math"/>
                <w:i/>
              </w:rPr>
            </m:ctrlPr>
          </m:dPr>
          <m:e>
            <m:r>
              <w:rPr>
                <w:rFonts w:ascii="Cambria Math" w:hAnsi="Cambria Math"/>
              </w:rPr>
              <m:t>0</m:t>
            </m:r>
          </m:e>
        </m:d>
        <m:r>
          <w:rPr>
            <w:rFonts w:ascii="Cambria Math" w:hAnsi="Cambria Math"/>
          </w:rPr>
          <m:t>,</m:t>
        </m:r>
      </m:oMath>
      <w:r w:rsidR="0010173A">
        <w:rPr>
          <w:rFonts w:eastAsiaTheme="minorEastAsia"/>
        </w:rPr>
        <w:t xml:space="preserve"> </w:t>
      </w:r>
      <w:r w:rsidR="003C5EB4">
        <w:rPr>
          <w:rFonts w:eastAsiaTheme="minorEastAsia"/>
        </w:rPr>
        <w:t>an inflow of</w:t>
      </w:r>
      <w:r>
        <w:t xml:space="preserve"> new cases </w:t>
      </w:r>
      <w:r w:rsidR="003C5EB4">
        <w:t xml:space="preserve">with </w:t>
      </w:r>
      <w:r>
        <w:t xml:space="preserve">incidence rate </w:t>
      </w:r>
      <m:oMath>
        <m:r>
          <w:rPr>
            <w:rFonts w:ascii="Cambria Math" w:hAnsi="Cambria Math"/>
          </w:rPr>
          <m:t>rI</m:t>
        </m:r>
      </m:oMath>
      <w:r w:rsidR="00213C35">
        <w:rPr>
          <w:rFonts w:eastAsiaTheme="minorEastAsia"/>
        </w:rPr>
        <w:t>,</w:t>
      </w:r>
      <w:r>
        <w:rPr>
          <w:rFonts w:eastAsiaTheme="minorEastAsia"/>
        </w:rPr>
        <w:t xml:space="preserve"> </w:t>
      </w:r>
      <w:r w:rsidR="003C5EB4">
        <w:rPr>
          <w:rFonts w:eastAsiaTheme="minorEastAsia"/>
        </w:rPr>
        <w:t>and an outflow to the stock</w:t>
      </w:r>
      <w:r>
        <w:rPr>
          <w:rFonts w:eastAsiaTheme="minorEastAsia"/>
        </w:rPr>
        <w:t xml:space="preserve"> </w:t>
      </w:r>
      <m:oMath>
        <m:r>
          <w:rPr>
            <w:rFonts w:ascii="Cambria Math" w:eastAsia="Calibri" w:hAnsi="Cambria Math"/>
          </w:rPr>
          <m:t>M</m:t>
        </m:r>
        <m:d>
          <m:dPr>
            <m:ctrlPr>
              <w:rPr>
                <w:rFonts w:ascii="Cambria Math" w:eastAsia="Calibri" w:hAnsi="Cambria Math"/>
              </w:rPr>
            </m:ctrlPr>
          </m:dPr>
          <m:e>
            <m:r>
              <w:rPr>
                <w:rFonts w:ascii="Cambria Math" w:eastAsia="Calibri" w:hAnsi="Cambria Math"/>
              </w:rPr>
              <m:t>t</m:t>
            </m:r>
          </m:e>
        </m:d>
      </m:oMath>
      <w:r>
        <w:rPr>
          <w:rFonts w:eastAsiaTheme="minorEastAsia"/>
        </w:rPr>
        <w:t xml:space="preserve"> </w:t>
      </w:r>
      <w:r w:rsidR="003C5EB4">
        <w:rPr>
          <w:rFonts w:eastAsiaTheme="minorEastAsia"/>
        </w:rPr>
        <w:t>(</w:t>
      </w:r>
      <w:r w:rsidR="00213C35">
        <w:rPr>
          <w:rFonts w:eastAsiaTheme="minorEastAsia"/>
        </w:rPr>
        <w:t xml:space="preserve">dementia </w:t>
      </w:r>
      <w:r w:rsidR="003C5EB4">
        <w:rPr>
          <w:rFonts w:eastAsiaTheme="minorEastAsia"/>
        </w:rPr>
        <w:t xml:space="preserve">deaths) with </w:t>
      </w:r>
      <w:r w:rsidR="00213C35">
        <w:rPr>
          <w:rFonts w:eastAsiaTheme="minorEastAsia"/>
        </w:rPr>
        <w:t xml:space="preserve">dementia </w:t>
      </w:r>
      <w:r>
        <w:rPr>
          <w:rFonts w:eastAsiaTheme="minorEastAsia"/>
        </w:rPr>
        <w:t xml:space="preserve">mortality rate </w:t>
      </w:r>
      <m:oMath>
        <m:r>
          <w:rPr>
            <w:rFonts w:ascii="Cambria Math" w:eastAsia="Calibri" w:hAnsi="Cambria Math"/>
          </w:rPr>
          <m:t>rM</m:t>
        </m:r>
      </m:oMath>
      <w:r>
        <w:t>.</w:t>
      </w:r>
      <w:r w:rsidR="0010173A">
        <w:t xml:space="preserve"> </w:t>
      </w:r>
      <m:oMath>
        <m:r>
          <w:rPr>
            <w:rFonts w:ascii="Cambria Math" w:hAnsi="Cambria Math"/>
          </w:rPr>
          <m:t>P(0)</m:t>
        </m:r>
      </m:oMath>
      <w:r>
        <w:t xml:space="preserve"> </w:t>
      </w:r>
      <w:r w:rsidR="00344E9E">
        <w:rPr>
          <w:rFonts w:ascii="Calibri" w:eastAsia="Calibri" w:hAnsi="Calibri" w:cs="Times New Roman"/>
        </w:rPr>
        <w:t>are</w:t>
      </w:r>
      <w:r>
        <w:rPr>
          <w:rFonts w:ascii="Calibri" w:eastAsia="Calibri" w:hAnsi="Calibri" w:cs="Times New Roman"/>
        </w:rPr>
        <w:t xml:space="preserve"> </w:t>
      </w:r>
      <w:r>
        <w:t>the survivors with dementia transferred in from the previous age group. Similarly</w:t>
      </w:r>
      <w:r w:rsidR="003C5EB4">
        <w:t>,</w:t>
      </w:r>
      <w:r>
        <w:t xml:space="preserve"> </w:t>
      </w:r>
      <w:r w:rsidR="00213C35">
        <w:t xml:space="preserve">the stock </w:t>
      </w:r>
      <m:oMath>
        <m:r>
          <w:rPr>
            <w:rFonts w:ascii="Cambria Math" w:hAnsi="Cambria Math"/>
          </w:rPr>
          <m:t>CN</m:t>
        </m:r>
        <m:d>
          <m:dPr>
            <m:ctrlPr>
              <w:rPr>
                <w:rFonts w:ascii="Cambria Math" w:hAnsi="Cambria Math"/>
                <w:i/>
              </w:rPr>
            </m:ctrlPr>
          </m:dPr>
          <m:e>
            <m:r>
              <w:rPr>
                <w:rFonts w:ascii="Cambria Math" w:hAnsi="Cambria Math"/>
              </w:rPr>
              <m:t>t</m:t>
            </m:r>
          </m:e>
        </m:d>
      </m:oMath>
      <w:r>
        <w:t xml:space="preserve"> </w:t>
      </w:r>
      <w:r w:rsidR="00213C35">
        <w:t xml:space="preserve">of </w:t>
      </w:r>
      <w:r>
        <w:t xml:space="preserve">cognitively normal </w:t>
      </w:r>
      <w:r w:rsidR="00213C35">
        <w:t>(CN)</w:t>
      </w:r>
      <w:r>
        <w:t xml:space="preserve"> </w:t>
      </w:r>
      <w:r w:rsidR="00213C35">
        <w:t xml:space="preserve">people, has initial </w:t>
      </w:r>
      <w:r>
        <w:t xml:space="preserve">value </w:t>
      </w:r>
      <m:oMath>
        <m:r>
          <w:rPr>
            <w:rFonts w:ascii="Cambria Math" w:hAnsi="Cambria Math"/>
          </w:rPr>
          <m:t>CN</m:t>
        </m:r>
        <m:d>
          <m:dPr>
            <m:ctrlPr>
              <w:rPr>
                <w:rFonts w:ascii="Cambria Math" w:hAnsi="Cambria Math"/>
                <w:i/>
              </w:rPr>
            </m:ctrlPr>
          </m:dPr>
          <m:e>
            <m:r>
              <w:rPr>
                <w:rFonts w:ascii="Cambria Math" w:hAnsi="Cambria Math"/>
              </w:rPr>
              <m:t>0</m:t>
            </m:r>
          </m:e>
        </m:d>
      </m:oMath>
      <w:r>
        <w:rPr>
          <w:rFonts w:eastAsiaTheme="minorEastAsia"/>
        </w:rPr>
        <w:t xml:space="preserve"> </w:t>
      </w:r>
      <w:r w:rsidR="00213C35">
        <w:rPr>
          <w:rFonts w:eastAsiaTheme="minorEastAsia"/>
        </w:rPr>
        <w:t>and</w:t>
      </w:r>
      <w:r w:rsidR="003C5EB4">
        <w:rPr>
          <w:rFonts w:eastAsiaTheme="minorEastAsia"/>
        </w:rPr>
        <w:t xml:space="preserve"> an outflow to the stock </w:t>
      </w:r>
      <m:oMath>
        <m:r>
          <w:rPr>
            <w:rFonts w:ascii="Cambria Math" w:hAnsi="Cambria Math"/>
          </w:rPr>
          <m:t>D</m:t>
        </m:r>
        <m:d>
          <m:dPr>
            <m:ctrlPr>
              <w:rPr>
                <w:rFonts w:ascii="Cambria Math" w:hAnsi="Cambria Math"/>
                <w:i/>
              </w:rPr>
            </m:ctrlPr>
          </m:dPr>
          <m:e>
            <m:r>
              <w:rPr>
                <w:rFonts w:ascii="Cambria Math" w:hAnsi="Cambria Math"/>
              </w:rPr>
              <m:t>t</m:t>
            </m:r>
          </m:e>
        </m:d>
      </m:oMath>
      <w:r>
        <w:rPr>
          <w:rFonts w:eastAsiaTheme="minorEastAsia"/>
        </w:rPr>
        <w:t xml:space="preserve"> </w:t>
      </w:r>
      <w:r w:rsidR="003C5EB4">
        <w:rPr>
          <w:rFonts w:eastAsiaTheme="minorEastAsia"/>
        </w:rPr>
        <w:t xml:space="preserve">of </w:t>
      </w:r>
      <w:r w:rsidR="00213C35">
        <w:t>CN</w:t>
      </w:r>
      <w:r w:rsidR="003C5EB4">
        <w:t xml:space="preserve"> deaths with</w:t>
      </w:r>
      <w:r>
        <w:rPr>
          <w:rFonts w:eastAsiaTheme="minorEastAsia"/>
        </w:rPr>
        <w:t xml:space="preserve"> </w:t>
      </w:r>
      <w:r w:rsidR="003C5EB4">
        <w:rPr>
          <w:rFonts w:eastAsiaTheme="minorEastAsia"/>
        </w:rPr>
        <w:t>CN</w:t>
      </w:r>
      <w:r>
        <w:t xml:space="preserve"> </w:t>
      </w:r>
      <w:r w:rsidR="00213C35">
        <w:t>mortality</w:t>
      </w:r>
      <w:r>
        <w:t xml:space="preserve"> rate </w:t>
      </w:r>
      <m:oMath>
        <m:r>
          <w:rPr>
            <w:rFonts w:ascii="Cambria Math" w:eastAsia="Calibri" w:hAnsi="Cambria Math"/>
          </w:rPr>
          <m:t>rD</m:t>
        </m:r>
      </m:oMath>
      <w:r>
        <w:rPr>
          <w:rFonts w:eastAsiaTheme="minorEastAsia"/>
        </w:rPr>
        <w:t>.</w:t>
      </w:r>
    </w:p>
    <w:p w14:paraId="55775C32" w14:textId="1FD1FF16" w:rsidR="006E4300" w:rsidRDefault="006E4300" w:rsidP="009E3711">
      <w:pPr>
        <w:tabs>
          <w:tab w:val="center" w:pos="4253"/>
          <w:tab w:val="right" w:pos="8789"/>
        </w:tabs>
      </w:pPr>
      <w:r>
        <w:t xml:space="preserve">At the end of each 5-year interval, the surviving </w:t>
      </w:r>
      <m:oMath>
        <m:r>
          <w:rPr>
            <w:rFonts w:ascii="Cambria Math" w:hAnsi="Cambria Math"/>
          </w:rPr>
          <m:t>CN(5)</m:t>
        </m:r>
      </m:oMath>
      <w:r>
        <w:t xml:space="preserve"> and </w:t>
      </w:r>
      <m:oMath>
        <m:r>
          <w:rPr>
            <w:rFonts w:ascii="Cambria Math" w:hAnsi="Cambria Math"/>
          </w:rPr>
          <m:t>P(5)</m:t>
        </m:r>
      </m:oMath>
      <w:r>
        <w:t xml:space="preserve"> stocks are transferred to the next </w:t>
      </w:r>
      <w:r w:rsidR="00344E9E">
        <w:t xml:space="preserve">oldest </w:t>
      </w:r>
      <w:r>
        <w:t xml:space="preserve">age group, where they become </w:t>
      </w:r>
      <m:oMath>
        <m:r>
          <w:rPr>
            <w:rFonts w:ascii="Cambria Math" w:hAnsi="Cambria Math"/>
          </w:rPr>
          <m:t>CN(0)</m:t>
        </m:r>
      </m:oMath>
      <w:r>
        <w:rPr>
          <w:rFonts w:eastAsiaTheme="minorEastAsia"/>
        </w:rPr>
        <w:t xml:space="preserve"> and </w:t>
      </w:r>
      <m:oMath>
        <m:r>
          <w:rPr>
            <w:rFonts w:ascii="Cambria Math" w:hAnsi="Cambria Math"/>
          </w:rPr>
          <m:t>P(0)</m:t>
        </m:r>
      </m:oMath>
      <w:r>
        <w:rPr>
          <w:rFonts w:eastAsiaTheme="minorEastAsia"/>
        </w:rPr>
        <w:t xml:space="preserve"> for that age group</w:t>
      </w:r>
      <w:r>
        <w:t>. T</w:t>
      </w:r>
      <w:r w:rsidR="003C5EB4">
        <w:t>hese t</w:t>
      </w:r>
      <w:r>
        <w:t xml:space="preserve">ransferred stocks </w:t>
      </w:r>
      <w:r w:rsidR="00344E9E">
        <w:t xml:space="preserve">therefore </w:t>
      </w:r>
      <w:r w:rsidR="00213C35">
        <w:t xml:space="preserve">represent </w:t>
      </w:r>
      <w:r>
        <w:t xml:space="preserve">the initial conditions for the </w:t>
      </w:r>
      <w:r>
        <w:rPr>
          <w:rFonts w:ascii="Calibri" w:eastAsia="Calibri" w:hAnsi="Calibri" w:cs="Times New Roman"/>
        </w:rPr>
        <w:t>differential equation</w:t>
      </w:r>
      <w:r w:rsidR="00344E9E">
        <w:rPr>
          <w:rFonts w:ascii="Calibri" w:eastAsia="Calibri" w:hAnsi="Calibri" w:cs="Times New Roman"/>
        </w:rPr>
        <w:t>s</w:t>
      </w:r>
      <w:r>
        <w:rPr>
          <w:rFonts w:ascii="Calibri" w:eastAsia="Calibri" w:hAnsi="Calibri" w:cs="Times New Roman"/>
        </w:rPr>
        <w:t xml:space="preserve"> describing that process</w:t>
      </w:r>
      <w:r>
        <w:t>.</w:t>
      </w:r>
    </w:p>
    <w:tbl>
      <w:tblPr>
        <w:tblW w:w="7225" w:type="dxa"/>
        <w:jc w:val="cente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blBorders>
        <w:tblLayout w:type="fixed"/>
        <w:tblLook w:val="04A0" w:firstRow="1" w:lastRow="0" w:firstColumn="1" w:lastColumn="0" w:noHBand="0" w:noVBand="1"/>
      </w:tblPr>
      <w:tblGrid>
        <w:gridCol w:w="1413"/>
        <w:gridCol w:w="709"/>
        <w:gridCol w:w="3402"/>
        <w:gridCol w:w="561"/>
        <w:gridCol w:w="1140"/>
      </w:tblGrid>
      <w:tr w:rsidR="00146F3A" w:rsidRPr="006D519D" w14:paraId="4EA863D3" w14:textId="77777777" w:rsidTr="00B826A1">
        <w:trPr>
          <w:trHeight w:val="211"/>
          <w:jc w:val="center"/>
        </w:trPr>
        <w:tc>
          <w:tcPr>
            <w:tcW w:w="2122" w:type="dxa"/>
            <w:gridSpan w:val="2"/>
            <w:tcBorders>
              <w:top w:val="dotted" w:sz="4" w:space="0" w:color="BFBFBF" w:themeColor="background1" w:themeShade="BF"/>
              <w:bottom w:val="dotted" w:sz="4" w:space="0" w:color="BFBFBF" w:themeColor="background1" w:themeShade="BF"/>
            </w:tcBorders>
            <w:shd w:val="clear" w:color="auto" w:fill="auto"/>
            <w:vAlign w:val="center"/>
          </w:tcPr>
          <w:p w14:paraId="374F803D" w14:textId="6F36CB1F" w:rsidR="00146F3A" w:rsidRPr="00E44D67" w:rsidRDefault="00490D95" w:rsidP="00E25548">
            <w:pPr>
              <w:keepNext/>
              <w:keepLines/>
              <w:spacing w:line="240" w:lineRule="auto"/>
              <w:ind w:left="-108"/>
              <w:rPr>
                <w:rFonts w:eastAsia="Calibri"/>
                <w:i/>
                <w:lang w:eastAsia="en-GB"/>
              </w:rPr>
            </w:pPr>
            <w:r>
              <w:rPr>
                <w:rFonts w:eastAsia="Calibri"/>
                <w:i/>
                <w:sz w:val="20"/>
              </w:rPr>
              <w:t xml:space="preserve">from </w:t>
            </w:r>
            <w:r w:rsidR="00146F3A">
              <w:rPr>
                <w:rFonts w:eastAsia="Calibri"/>
                <w:i/>
                <w:sz w:val="20"/>
              </w:rPr>
              <w:t>previous age group</w:t>
            </w:r>
          </w:p>
        </w:tc>
        <w:tc>
          <w:tcPr>
            <w:tcW w:w="3402" w:type="dxa"/>
            <w:tcBorders>
              <w:top w:val="dotted" w:sz="4" w:space="0" w:color="BFBFBF" w:themeColor="background1" w:themeShade="BF"/>
              <w:bottom w:val="dotted" w:sz="4" w:space="0" w:color="BFBFBF" w:themeColor="background1" w:themeShade="BF"/>
            </w:tcBorders>
            <w:shd w:val="clear" w:color="auto" w:fill="auto"/>
            <w:vAlign w:val="center"/>
          </w:tcPr>
          <w:p w14:paraId="7FF76784" w14:textId="77777777" w:rsidR="00146F3A" w:rsidRPr="00E44D67" w:rsidRDefault="00146F3A" w:rsidP="00E25548">
            <w:pPr>
              <w:keepNext/>
              <w:keepLines/>
              <w:spacing w:line="240" w:lineRule="auto"/>
              <w:ind w:left="-123"/>
              <w:jc w:val="center"/>
              <w:rPr>
                <w:rFonts w:eastAsia="Calibri"/>
              </w:rPr>
            </w:pPr>
            <w:r>
              <w:rPr>
                <w:rFonts w:eastAsia="Calibri"/>
                <w:i/>
                <w:sz w:val="20"/>
              </w:rPr>
              <w:t>current age group</w:t>
            </w:r>
          </w:p>
        </w:tc>
        <w:tc>
          <w:tcPr>
            <w:tcW w:w="1701" w:type="dxa"/>
            <w:gridSpan w:val="2"/>
            <w:tcBorders>
              <w:top w:val="dotted" w:sz="4" w:space="0" w:color="BFBFBF" w:themeColor="background1" w:themeShade="BF"/>
              <w:bottom w:val="dotted" w:sz="4" w:space="0" w:color="BFBFBF" w:themeColor="background1" w:themeShade="BF"/>
            </w:tcBorders>
            <w:shd w:val="clear" w:color="auto" w:fill="auto"/>
            <w:vAlign w:val="center"/>
          </w:tcPr>
          <w:p w14:paraId="514B3E78" w14:textId="70D1A119" w:rsidR="00146F3A" w:rsidRPr="00E44D67" w:rsidRDefault="00490D95" w:rsidP="00E25548">
            <w:pPr>
              <w:keepNext/>
              <w:keepLines/>
              <w:spacing w:line="240" w:lineRule="auto"/>
              <w:ind w:left="-108"/>
              <w:jc w:val="right"/>
              <w:rPr>
                <w:rFonts w:eastAsia="Calibri"/>
              </w:rPr>
            </w:pPr>
            <w:r>
              <w:rPr>
                <w:rFonts w:eastAsia="Calibri"/>
                <w:i/>
                <w:sz w:val="20"/>
              </w:rPr>
              <w:t xml:space="preserve">to </w:t>
            </w:r>
            <w:r w:rsidR="00146F3A">
              <w:rPr>
                <w:rFonts w:eastAsia="Calibri"/>
                <w:i/>
                <w:sz w:val="20"/>
              </w:rPr>
              <w:t>next age group</w:t>
            </w:r>
          </w:p>
        </w:tc>
      </w:tr>
      <w:tr w:rsidR="00146F3A" w:rsidRPr="006D519D" w14:paraId="724D3762" w14:textId="77777777" w:rsidTr="00B826A1">
        <w:trPr>
          <w:trHeight w:val="422"/>
          <w:jc w:val="center"/>
        </w:trPr>
        <w:tc>
          <w:tcPr>
            <w:tcW w:w="1413" w:type="dxa"/>
            <w:tcBorders>
              <w:top w:val="dotted" w:sz="4" w:space="0" w:color="BFBFBF" w:themeColor="background1" w:themeShade="BF"/>
            </w:tcBorders>
            <w:shd w:val="clear" w:color="auto" w:fill="auto"/>
            <w:vAlign w:val="center"/>
          </w:tcPr>
          <w:p w14:paraId="2D0A7483" w14:textId="77777777" w:rsidR="00146F3A" w:rsidRDefault="00146F3A" w:rsidP="003C2C84">
            <w:pPr>
              <w:keepNext/>
              <w:keepLines/>
              <w:spacing w:after="120" w:line="240" w:lineRule="auto"/>
              <w:rPr>
                <w:rFonts w:eastAsia="Calibri"/>
              </w:rPr>
            </w:pPr>
          </w:p>
          <w:p w14:paraId="05249DC9" w14:textId="77777777" w:rsidR="00146F3A" w:rsidRDefault="00146F3A" w:rsidP="003C2C84">
            <w:pPr>
              <w:keepNext/>
              <w:keepLines/>
              <w:spacing w:after="120" w:line="240" w:lineRule="auto"/>
              <w:rPr>
                <w:rFonts w:eastAsia="Calibri"/>
              </w:rPr>
            </w:pPr>
          </w:p>
          <w:p w14:paraId="68C5D37A" w14:textId="77777777" w:rsidR="00146F3A" w:rsidRPr="00E44D67" w:rsidRDefault="00146F3A" w:rsidP="003C2C84">
            <w:pPr>
              <w:keepNext/>
              <w:keepLines/>
              <w:spacing w:after="120" w:line="240" w:lineRule="auto"/>
              <w:rPr>
                <w:rFonts w:eastAsia="Calibri"/>
              </w:rPr>
            </w:pPr>
          </w:p>
        </w:tc>
        <w:tc>
          <w:tcPr>
            <w:tcW w:w="4672" w:type="dxa"/>
            <w:gridSpan w:val="3"/>
            <w:vMerge w:val="restart"/>
            <w:tcBorders>
              <w:top w:val="dotted" w:sz="4" w:space="0" w:color="BFBFBF" w:themeColor="background1" w:themeShade="BF"/>
            </w:tcBorders>
            <w:shd w:val="clear" w:color="auto" w:fill="auto"/>
          </w:tcPr>
          <w:p w14:paraId="084ED6A6" w14:textId="77777777" w:rsidR="00146F3A" w:rsidRPr="00E44D67" w:rsidRDefault="00146F3A" w:rsidP="00E25548">
            <w:pPr>
              <w:keepNext/>
              <w:keepLines/>
              <w:spacing w:line="240" w:lineRule="auto"/>
              <w:ind w:left="-123"/>
              <w:rPr>
                <w:rFonts w:eastAsia="Calibri"/>
                <w:i/>
                <w:lang w:eastAsia="en-GB"/>
              </w:rPr>
            </w:pPr>
            <w:r>
              <w:rPr>
                <w:rStyle w:val="NewNormChar"/>
                <w:rFonts w:eastAsia="Calibri"/>
                <w:noProof/>
                <w:lang w:eastAsia="en-GB"/>
              </w:rPr>
              <w:drawing>
                <wp:inline distT="0" distB="0" distL="0" distR="0" wp14:anchorId="6348A323" wp14:editId="74A765E1">
                  <wp:extent cx="2866145" cy="2789878"/>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8492" cy="2792162"/>
                          </a:xfrm>
                          <a:prstGeom prst="rect">
                            <a:avLst/>
                          </a:prstGeom>
                          <a:noFill/>
                        </pic:spPr>
                      </pic:pic>
                    </a:graphicData>
                  </a:graphic>
                </wp:inline>
              </w:drawing>
            </w:r>
          </w:p>
        </w:tc>
        <w:tc>
          <w:tcPr>
            <w:tcW w:w="1140" w:type="dxa"/>
            <w:tcBorders>
              <w:top w:val="dotted" w:sz="4" w:space="0" w:color="BFBFBF" w:themeColor="background1" w:themeShade="BF"/>
            </w:tcBorders>
            <w:shd w:val="clear" w:color="auto" w:fill="auto"/>
            <w:vAlign w:val="center"/>
          </w:tcPr>
          <w:p w14:paraId="538D6449" w14:textId="77777777" w:rsidR="00146F3A" w:rsidRPr="00E44D67" w:rsidRDefault="00146F3A" w:rsidP="003C2C84">
            <w:pPr>
              <w:keepNext/>
              <w:keepLines/>
              <w:spacing w:after="120" w:line="240" w:lineRule="auto"/>
              <w:rPr>
                <w:rFonts w:eastAsia="Calibri"/>
              </w:rPr>
            </w:pPr>
          </w:p>
        </w:tc>
      </w:tr>
      <w:tr w:rsidR="00146F3A" w:rsidRPr="006D519D" w14:paraId="37DA190D" w14:textId="77777777" w:rsidTr="00B826A1">
        <w:trPr>
          <w:trHeight w:val="926"/>
          <w:jc w:val="center"/>
        </w:trPr>
        <w:tc>
          <w:tcPr>
            <w:tcW w:w="1413" w:type="dxa"/>
            <w:shd w:val="clear" w:color="auto" w:fill="auto"/>
            <w:vAlign w:val="center"/>
          </w:tcPr>
          <w:p w14:paraId="6B7F4972" w14:textId="77777777" w:rsidR="00490D95" w:rsidRPr="003C2C84" w:rsidRDefault="00490D95" w:rsidP="003C2C84">
            <w:pPr>
              <w:keepNext/>
              <w:keepLines/>
              <w:spacing w:after="120" w:line="240" w:lineRule="auto"/>
              <w:ind w:left="-108"/>
              <w:jc w:val="center"/>
              <w:rPr>
                <w:rFonts w:eastAsiaTheme="minorEastAsia"/>
                <w:sz w:val="18"/>
              </w:rPr>
            </w:pPr>
            <m:oMathPara>
              <m:oMath>
                <m:r>
                  <w:rPr>
                    <w:rFonts w:ascii="Cambria Math" w:eastAsia="Calibri" w:hAnsi="Cambria Math"/>
                    <w:sz w:val="18"/>
                  </w:rPr>
                  <m:t>CN</m:t>
                </m:r>
                <m:d>
                  <m:dPr>
                    <m:ctrlPr>
                      <w:rPr>
                        <w:rFonts w:ascii="Cambria Math" w:eastAsia="Calibri" w:hAnsi="Cambria Math"/>
                        <w:i/>
                        <w:sz w:val="18"/>
                      </w:rPr>
                    </m:ctrlPr>
                  </m:dPr>
                  <m:e>
                    <m:r>
                      <w:rPr>
                        <w:rFonts w:ascii="Cambria Math" w:eastAsia="Calibri" w:hAnsi="Cambria Math"/>
                        <w:sz w:val="18"/>
                      </w:rPr>
                      <m:t>0</m:t>
                    </m:r>
                  </m:e>
                </m:d>
              </m:oMath>
            </m:oMathPara>
          </w:p>
          <w:p w14:paraId="175295E7" w14:textId="6BD87EA4" w:rsidR="00146F3A" w:rsidRPr="003C2C84" w:rsidRDefault="00146F3A" w:rsidP="003C2C84">
            <w:pPr>
              <w:keepNext/>
              <w:keepLines/>
              <w:spacing w:after="120" w:line="240" w:lineRule="auto"/>
              <w:ind w:left="-108"/>
              <w:jc w:val="center"/>
              <w:rPr>
                <w:rFonts w:eastAsiaTheme="minorEastAsia"/>
              </w:rPr>
            </w:pPr>
            <w:r>
              <w:rPr>
                <w:noProof/>
                <w:lang w:eastAsia="en-GB"/>
              </w:rPr>
              <mc:AlternateContent>
                <mc:Choice Requires="wps">
                  <w:drawing>
                    <wp:inline distT="0" distB="0" distL="0" distR="0" wp14:anchorId="54FC65B8" wp14:editId="71D71CC8">
                      <wp:extent cx="299085" cy="117475"/>
                      <wp:effectExtent l="0" t="0" r="5715" b="0"/>
                      <wp:docPr id="49" name="Righ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 cy="117475"/>
                              </a:xfrm>
                              <a:prstGeom prst="rightArrow">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D6381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1" o:spid="_x0000_s1026" type="#_x0000_t13" style="width:23.55pt;height: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" adj="17358" fillcolor="#0070c0" stroked="f" strokeweight="1pt">
                      <v:path arrowok="t"/>
                      <w10:anchorlock/>
                    </v:shape>
                  </w:pict>
                </mc:Fallback>
              </mc:AlternateContent>
            </w:r>
          </w:p>
        </w:tc>
        <w:tc>
          <w:tcPr>
            <w:tcW w:w="4672" w:type="dxa"/>
            <w:gridSpan w:val="3"/>
            <w:vMerge/>
            <w:shd w:val="clear" w:color="auto" w:fill="auto"/>
            <w:vAlign w:val="center"/>
          </w:tcPr>
          <w:p w14:paraId="564D7697" w14:textId="77777777" w:rsidR="00146F3A" w:rsidRPr="00E44D67" w:rsidRDefault="00146F3A" w:rsidP="00E25548">
            <w:pPr>
              <w:keepNext/>
              <w:keepLines/>
              <w:spacing w:line="240" w:lineRule="auto"/>
              <w:ind w:left="-123"/>
              <w:jc w:val="center"/>
              <w:rPr>
                <w:rFonts w:eastAsia="Calibri"/>
                <w:i/>
                <w:lang w:eastAsia="en-GB"/>
              </w:rPr>
            </w:pPr>
          </w:p>
        </w:tc>
        <w:tc>
          <w:tcPr>
            <w:tcW w:w="1140" w:type="dxa"/>
            <w:shd w:val="clear" w:color="auto" w:fill="auto"/>
            <w:vAlign w:val="center"/>
          </w:tcPr>
          <w:p w14:paraId="3C651ED7" w14:textId="77777777" w:rsidR="00490D95" w:rsidRDefault="00146F3A" w:rsidP="003C2C84">
            <w:pPr>
              <w:keepNext/>
              <w:keepLines/>
              <w:spacing w:after="120" w:line="240" w:lineRule="auto"/>
              <w:ind w:left="-108"/>
              <w:jc w:val="center"/>
              <w:rPr>
                <w:rFonts w:eastAsiaTheme="minorEastAsia"/>
                <w:noProof/>
                <w:sz w:val="18"/>
              </w:rPr>
            </w:pPr>
            <m:oMathPara>
              <m:oMath>
                <m:r>
                  <w:rPr>
                    <w:rFonts w:ascii="Cambria Math" w:eastAsia="Calibri" w:hAnsi="Cambria Math"/>
                    <w:sz w:val="18"/>
                  </w:rPr>
                  <m:t>CN(5)</m:t>
                </m:r>
              </m:oMath>
            </m:oMathPara>
          </w:p>
          <w:p w14:paraId="74CB571E" w14:textId="4D291706" w:rsidR="00146F3A" w:rsidRPr="00E44D67" w:rsidRDefault="00146F3A" w:rsidP="003C2C84">
            <w:pPr>
              <w:keepNext/>
              <w:keepLines/>
              <w:spacing w:after="120" w:line="240" w:lineRule="auto"/>
              <w:ind w:left="-108"/>
              <w:jc w:val="center"/>
              <w:rPr>
                <w:rFonts w:eastAsia="Calibri"/>
              </w:rPr>
            </w:pPr>
            <w:r w:rsidRPr="007269F0">
              <w:rPr>
                <w:noProof/>
                <w:sz w:val="18"/>
                <w:lang w:eastAsia="en-GB"/>
              </w:rPr>
              <mc:AlternateContent>
                <mc:Choice Requires="wps">
                  <w:drawing>
                    <wp:inline distT="0" distB="0" distL="0" distR="0" wp14:anchorId="647815CC" wp14:editId="6DE917BC">
                      <wp:extent cx="299085" cy="117475"/>
                      <wp:effectExtent l="0" t="0" r="5715" b="0"/>
                      <wp:docPr id="111" name="Righ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 cy="117475"/>
                              </a:xfrm>
                              <a:prstGeom prst="rightArrow">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E039009" id="Right Arrow 31" o:spid="_x0000_s1026" type="#_x0000_t13" style="width:23.55pt;height: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" adj="17358" fillcolor="#0070c0" stroked="f" strokeweight="1pt">
                      <v:path arrowok="t"/>
                      <w10:anchorlock/>
                    </v:shape>
                  </w:pict>
                </mc:Fallback>
              </mc:AlternateContent>
            </w:r>
          </w:p>
        </w:tc>
      </w:tr>
      <w:tr w:rsidR="00146F3A" w:rsidRPr="006D519D" w14:paraId="2A1A7588" w14:textId="77777777" w:rsidTr="00B826A1">
        <w:trPr>
          <w:trHeight w:val="1238"/>
          <w:jc w:val="center"/>
        </w:trPr>
        <w:tc>
          <w:tcPr>
            <w:tcW w:w="1413" w:type="dxa"/>
            <w:shd w:val="clear" w:color="auto" w:fill="auto"/>
            <w:vAlign w:val="center"/>
          </w:tcPr>
          <w:p w14:paraId="44FFEB01" w14:textId="77777777" w:rsidR="00146F3A" w:rsidRPr="007269F0" w:rsidRDefault="00146F3A" w:rsidP="003C2C84">
            <w:pPr>
              <w:keepNext/>
              <w:keepLines/>
              <w:spacing w:after="120" w:line="240" w:lineRule="auto"/>
              <w:ind w:left="-108"/>
              <w:jc w:val="center"/>
              <w:rPr>
                <w:rFonts w:eastAsia="Calibri"/>
                <w:sz w:val="18"/>
              </w:rPr>
            </w:pPr>
            <m:oMathPara>
              <m:oMath>
                <m:r>
                  <w:rPr>
                    <w:rFonts w:ascii="Cambria Math" w:eastAsia="Calibri" w:hAnsi="Cambria Math"/>
                    <w:sz w:val="18"/>
                  </w:rPr>
                  <m:t>P(0)</m:t>
                </m:r>
              </m:oMath>
            </m:oMathPara>
          </w:p>
          <w:p w14:paraId="28E752B1" w14:textId="77777777" w:rsidR="00146F3A" w:rsidRPr="00E44D67" w:rsidRDefault="00146F3A" w:rsidP="003C2C84">
            <w:pPr>
              <w:keepNext/>
              <w:keepLines/>
              <w:spacing w:after="120" w:line="240" w:lineRule="auto"/>
              <w:ind w:left="-108"/>
              <w:jc w:val="center"/>
              <w:rPr>
                <w:rFonts w:eastAsia="Calibri"/>
              </w:rPr>
            </w:pPr>
            <w:r>
              <w:rPr>
                <w:noProof/>
                <w:lang w:eastAsia="en-GB"/>
              </w:rPr>
              <mc:AlternateContent>
                <mc:Choice Requires="wps">
                  <w:drawing>
                    <wp:inline distT="0" distB="0" distL="0" distR="0" wp14:anchorId="22408554" wp14:editId="2047AF13">
                      <wp:extent cx="299085" cy="117475"/>
                      <wp:effectExtent l="0" t="0" r="5715" b="0"/>
                      <wp:docPr id="102" name="Right Arrow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 cy="117475"/>
                              </a:xfrm>
                              <a:prstGeom prst="rightArrow">
                                <a:avLst/>
                              </a:prstGeom>
                              <a:solidFill>
                                <a:srgbClr val="0070C0"/>
                              </a:solidFill>
                              <a:ln w="12700" cap="flat" cmpd="sng" algn="ctr">
                                <a:noFill/>
                                <a:prstDash val="solid"/>
                                <a:miter lim="800000"/>
                              </a:ln>
                              <a:effectLst/>
                            </wps:spPr>
                            <wps:txbx>
                              <w:txbxContent>
                                <w:p w14:paraId="024241E4" w14:textId="77777777" w:rsidR="006909F2" w:rsidRDefault="006909F2" w:rsidP="00146F3A">
                                  <w:pPr>
                                    <w:jc w:val="center"/>
                                  </w:pPr>
                                </w:p>
                                <w:p w14:paraId="42E670E4" w14:textId="77777777" w:rsidR="006909F2" w:rsidRDefault="006909F2" w:rsidP="00146F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408554" id="Right Arrow 102" o:spid="_x0000_s1026" type="#_x0000_t13" style="width:23.55pt;height: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" adj="17358" fillcolor="#0070c0" stroked="f" strokeweight="1pt">
                      <v:path arrowok="t"/>
                      <v:textbox>
                        <w:txbxContent>
                          <w:p w14:paraId="024241E4" w14:textId="77777777" w:rsidR="006909F2" w:rsidRDefault="006909F2" w:rsidP="00146F3A">
                            <w:pPr>
                              <w:jc w:val="center"/>
                            </w:pPr>
                          </w:p>
                          <w:p w14:paraId="42E670E4" w14:textId="77777777" w:rsidR="006909F2" w:rsidRDefault="006909F2" w:rsidP="00146F3A">
                            <w:pPr>
                              <w:jc w:val="center"/>
                            </w:pPr>
                          </w:p>
                        </w:txbxContent>
                      </v:textbox>
                      <w10:anchorlock/>
                    </v:shape>
                  </w:pict>
                </mc:Fallback>
              </mc:AlternateContent>
            </w:r>
          </w:p>
        </w:tc>
        <w:tc>
          <w:tcPr>
            <w:tcW w:w="4672" w:type="dxa"/>
            <w:gridSpan w:val="3"/>
            <w:vMerge/>
            <w:shd w:val="clear" w:color="auto" w:fill="auto"/>
            <w:vAlign w:val="center"/>
          </w:tcPr>
          <w:p w14:paraId="4D5C1529" w14:textId="77777777" w:rsidR="00146F3A" w:rsidRPr="00E44D67" w:rsidRDefault="00146F3A" w:rsidP="00E25548">
            <w:pPr>
              <w:keepNext/>
              <w:keepLines/>
              <w:spacing w:line="240" w:lineRule="auto"/>
              <w:ind w:left="-123"/>
              <w:jc w:val="center"/>
              <w:rPr>
                <w:rFonts w:eastAsia="Calibri"/>
              </w:rPr>
            </w:pPr>
          </w:p>
        </w:tc>
        <w:tc>
          <w:tcPr>
            <w:tcW w:w="1140" w:type="dxa"/>
            <w:shd w:val="clear" w:color="auto" w:fill="auto"/>
            <w:vAlign w:val="center"/>
          </w:tcPr>
          <w:p w14:paraId="60A49CF6" w14:textId="77777777" w:rsidR="00146F3A" w:rsidRDefault="00146F3A" w:rsidP="003C2C84">
            <w:pPr>
              <w:keepNext/>
              <w:keepLines/>
              <w:spacing w:after="120" w:line="240" w:lineRule="auto"/>
              <w:ind w:left="-108"/>
              <w:jc w:val="center"/>
              <w:rPr>
                <w:rFonts w:eastAsia="Calibri"/>
              </w:rPr>
            </w:pPr>
            <m:oMathPara>
              <m:oMath>
                <m:r>
                  <w:rPr>
                    <w:rFonts w:ascii="Cambria Math" w:eastAsia="Calibri" w:hAnsi="Cambria Math"/>
                    <w:sz w:val="18"/>
                  </w:rPr>
                  <m:t>P(5)</m:t>
                </m:r>
              </m:oMath>
            </m:oMathPara>
          </w:p>
          <w:p w14:paraId="262665C1" w14:textId="77777777" w:rsidR="00146F3A" w:rsidRPr="00E44D67" w:rsidRDefault="00146F3A" w:rsidP="003C2C84">
            <w:pPr>
              <w:keepNext/>
              <w:keepLines/>
              <w:spacing w:after="120" w:line="240" w:lineRule="auto"/>
              <w:ind w:left="-108"/>
              <w:jc w:val="center"/>
              <w:rPr>
                <w:rFonts w:eastAsia="Calibri"/>
              </w:rPr>
            </w:pPr>
            <w:r>
              <w:rPr>
                <w:noProof/>
                <w:lang w:eastAsia="en-GB"/>
              </w:rPr>
              <mc:AlternateContent>
                <mc:Choice Requires="wps">
                  <w:drawing>
                    <wp:inline distT="0" distB="0" distL="0" distR="0" wp14:anchorId="79143148" wp14:editId="16B39F01">
                      <wp:extent cx="299085" cy="117475"/>
                      <wp:effectExtent l="0" t="0" r="5715" b="0"/>
                      <wp:docPr id="112" name="Right Arrow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 cy="117475"/>
                              </a:xfrm>
                              <a:prstGeom prst="rightArrow">
                                <a:avLst/>
                              </a:prstGeom>
                              <a:solidFill>
                                <a:srgbClr val="0070C0"/>
                              </a:solidFill>
                              <a:ln w="12700" cap="flat" cmpd="sng" algn="ctr">
                                <a:noFill/>
                                <a:prstDash val="solid"/>
                                <a:miter lim="800000"/>
                              </a:ln>
                              <a:effectLst/>
                            </wps:spPr>
                            <wps:txbx>
                              <w:txbxContent>
                                <w:p w14:paraId="1D85A2FD" w14:textId="77777777" w:rsidR="006909F2" w:rsidRDefault="006909F2" w:rsidP="00146F3A">
                                  <w:pPr>
                                    <w:jc w:val="center"/>
                                  </w:pPr>
                                </w:p>
                                <w:p w14:paraId="2ACA8B52" w14:textId="77777777" w:rsidR="006909F2" w:rsidRDefault="006909F2" w:rsidP="00146F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143148" id="Right Arrow 112" o:spid="_x0000_s1027" type="#_x0000_t13" style="width:23.55pt;height: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" adj="17358" fillcolor="#0070c0" stroked="f" strokeweight="1pt">
                      <v:path arrowok="t"/>
                      <v:textbox>
                        <w:txbxContent>
                          <w:p w14:paraId="1D85A2FD" w14:textId="77777777" w:rsidR="006909F2" w:rsidRDefault="006909F2" w:rsidP="00146F3A">
                            <w:pPr>
                              <w:jc w:val="center"/>
                            </w:pPr>
                          </w:p>
                          <w:p w14:paraId="2ACA8B52" w14:textId="77777777" w:rsidR="006909F2" w:rsidRDefault="006909F2" w:rsidP="00146F3A">
                            <w:pPr>
                              <w:jc w:val="center"/>
                            </w:pPr>
                          </w:p>
                        </w:txbxContent>
                      </v:textbox>
                      <w10:anchorlock/>
                    </v:shape>
                  </w:pict>
                </mc:Fallback>
              </mc:AlternateContent>
            </w:r>
          </w:p>
        </w:tc>
      </w:tr>
      <w:tr w:rsidR="00146F3A" w:rsidRPr="006D519D" w14:paraId="605B9BE3" w14:textId="77777777" w:rsidTr="00B826A1">
        <w:trPr>
          <w:trHeight w:val="925"/>
          <w:jc w:val="center"/>
        </w:trPr>
        <w:tc>
          <w:tcPr>
            <w:tcW w:w="1413" w:type="dxa"/>
            <w:shd w:val="clear" w:color="auto" w:fill="auto"/>
            <w:vAlign w:val="center"/>
          </w:tcPr>
          <w:p w14:paraId="541BA2C5" w14:textId="77777777" w:rsidR="00146F3A" w:rsidRPr="00E44D67" w:rsidRDefault="00146F3A" w:rsidP="003C2C84">
            <w:pPr>
              <w:keepNext/>
              <w:keepLines/>
              <w:spacing w:after="120" w:line="240" w:lineRule="auto"/>
              <w:ind w:left="-108"/>
              <w:jc w:val="center"/>
              <w:rPr>
                <w:rFonts w:eastAsia="Calibri"/>
                <w:lang w:eastAsia="en-GB"/>
              </w:rPr>
            </w:pPr>
          </w:p>
        </w:tc>
        <w:tc>
          <w:tcPr>
            <w:tcW w:w="4672" w:type="dxa"/>
            <w:gridSpan w:val="3"/>
            <w:vMerge/>
            <w:shd w:val="clear" w:color="auto" w:fill="auto"/>
            <w:vAlign w:val="center"/>
          </w:tcPr>
          <w:p w14:paraId="43403A88" w14:textId="77777777" w:rsidR="00146F3A" w:rsidRPr="00E44D67" w:rsidRDefault="00146F3A" w:rsidP="00E25548">
            <w:pPr>
              <w:keepNext/>
              <w:keepLines/>
              <w:spacing w:line="240" w:lineRule="auto"/>
              <w:ind w:left="-123"/>
              <w:jc w:val="center"/>
              <w:rPr>
                <w:rFonts w:eastAsia="Calibri"/>
                <w:lang w:eastAsia="en-GB"/>
              </w:rPr>
            </w:pPr>
          </w:p>
        </w:tc>
        <w:tc>
          <w:tcPr>
            <w:tcW w:w="1140" w:type="dxa"/>
            <w:shd w:val="clear" w:color="auto" w:fill="auto"/>
            <w:vAlign w:val="center"/>
          </w:tcPr>
          <w:p w14:paraId="12123A84" w14:textId="77777777" w:rsidR="00146F3A" w:rsidRPr="00E44D67" w:rsidRDefault="00146F3A" w:rsidP="003C2C84">
            <w:pPr>
              <w:keepNext/>
              <w:keepLines/>
              <w:spacing w:after="120" w:line="240" w:lineRule="auto"/>
              <w:ind w:left="-108"/>
              <w:jc w:val="center"/>
              <w:rPr>
                <w:rFonts w:eastAsia="Calibri"/>
                <w:lang w:eastAsia="en-GB"/>
              </w:rPr>
            </w:pPr>
          </w:p>
        </w:tc>
      </w:tr>
    </w:tbl>
    <w:p w14:paraId="35784DAD" w14:textId="7A75BE03" w:rsidR="00146F3A" w:rsidRPr="006D519D" w:rsidRDefault="00146F3A" w:rsidP="00146F3A">
      <w:pPr>
        <w:pStyle w:val="Caption"/>
      </w:pPr>
      <w:bookmarkStart w:id="13" w:name="_Toc508201528"/>
      <w:bookmarkStart w:id="14" w:name="_Toc510180631"/>
      <w:bookmarkStart w:id="15" w:name="_Toc522013663"/>
      <w:r w:rsidRPr="006D519D">
        <w:t>Figure</w:t>
      </w:r>
      <w:r>
        <w:rPr>
          <w:noProof/>
        </w:rPr>
        <w:t xml:space="preserve"> A</w:t>
      </w:r>
      <w:bookmarkEnd w:id="13"/>
      <w:bookmarkEnd w:id="14"/>
      <w:bookmarkEnd w:id="15"/>
      <w:r w:rsidR="00061BD6">
        <w:rPr>
          <w:noProof/>
        </w:rPr>
        <w:t>1</w:t>
      </w:r>
      <w:r w:rsidR="00061BD6">
        <w:t xml:space="preserve">   </w:t>
      </w:r>
      <w:r>
        <w:t>Age group stock-flow structure</w:t>
      </w:r>
      <w:r w:rsidRPr="006D519D">
        <w:t xml:space="preserve"> </w:t>
      </w:r>
    </w:p>
    <w:p w14:paraId="6DFB178C" w14:textId="77777777" w:rsidR="00146F3A" w:rsidRDefault="00146F3A" w:rsidP="00146F3A">
      <w:pPr>
        <w:tabs>
          <w:tab w:val="center" w:pos="4253"/>
          <w:tab w:val="right" w:pos="8789"/>
        </w:tabs>
      </w:pPr>
    </w:p>
    <w:p w14:paraId="5694245D" w14:textId="62665E71" w:rsidR="00344E9E" w:rsidRDefault="00213C35" w:rsidP="002C6180">
      <w:pPr>
        <w:pStyle w:val="NewNorm"/>
      </w:pPr>
      <w:r>
        <w:rPr>
          <w:rFonts w:asciiTheme="minorHAnsi" w:eastAsiaTheme="minorEastAsia" w:hAnsiTheme="minorHAnsi" w:cstheme="minorBidi"/>
        </w:rPr>
        <w:t xml:space="preserve">The rate of change of </w:t>
      </w:r>
      <m:oMath>
        <m:r>
          <w:rPr>
            <w:rFonts w:ascii="Cambria Math" w:hAnsi="Cambria Math"/>
          </w:rPr>
          <m:t>CN</m:t>
        </m:r>
        <m:r>
          <m:rPr>
            <m:sty m:val="p"/>
          </m:rPr>
          <w:rPr>
            <w:rFonts w:ascii="Cambria Math" w:hAnsi="Cambria Math"/>
          </w:rPr>
          <m:t>(</m:t>
        </m:r>
        <m:r>
          <w:rPr>
            <w:rFonts w:ascii="Cambria Math" w:hAnsi="Cambria Math"/>
          </w:rPr>
          <m:t>t</m:t>
        </m:r>
        <m:r>
          <m:rPr>
            <m:sty m:val="p"/>
          </m:rPr>
          <w:rPr>
            <w:rFonts w:ascii="Cambria Math" w:hAnsi="Cambria Math"/>
          </w:rPr>
          <m:t>)</m:t>
        </m:r>
      </m:oMath>
      <w:r w:rsidR="00237243" w:rsidRPr="00C976AA">
        <w:t xml:space="preserve"> </w:t>
      </w:r>
      <w:r>
        <w:t>over time</w:t>
      </w:r>
      <w:r w:rsidRPr="000D272E">
        <w:t xml:space="preserve"> </w:t>
      </w:r>
      <m:oMath>
        <m:r>
          <w:rPr>
            <w:rFonts w:ascii="Cambria Math" w:hAnsi="Cambria Math"/>
          </w:rPr>
          <m:t>t</m:t>
        </m:r>
      </m:oMath>
      <w:r>
        <w:t xml:space="preserve"> </w:t>
      </w:r>
      <w:r w:rsidR="00237243" w:rsidRPr="00C976AA">
        <w:t xml:space="preserve">is determined by </w:t>
      </w:r>
      <w:r w:rsidR="003C5EB4">
        <w:t xml:space="preserve">the </w:t>
      </w:r>
      <w:r w:rsidR="00237243" w:rsidRPr="00C976AA">
        <w:t xml:space="preserve">incidence rate </w:t>
      </w:r>
      <m:oMath>
        <m:r>
          <w:rPr>
            <w:rFonts w:ascii="Cambria Math" w:hAnsi="Cambria Math"/>
          </w:rPr>
          <m:t>rI</m:t>
        </m:r>
      </m:oMath>
      <w:r w:rsidR="00237243" w:rsidRPr="00C976AA">
        <w:t xml:space="preserve"> and </w:t>
      </w:r>
      <w:r w:rsidR="003C5EB4">
        <w:t>the CN</w:t>
      </w:r>
      <w:r w:rsidR="00237243" w:rsidRPr="00C976AA">
        <w:t xml:space="preserve"> mortality rate </w:t>
      </w:r>
      <m:oMath>
        <m:r>
          <w:rPr>
            <w:rFonts w:ascii="Cambria Math" w:hAnsi="Cambria Math"/>
          </w:rPr>
          <m:t>rD</m:t>
        </m:r>
      </m:oMath>
      <w:r w:rsidR="00344E9E">
        <w:t>:</w:t>
      </w:r>
    </w:p>
    <w:p w14:paraId="15A7E758" w14:textId="2440A1CA" w:rsidR="00EE1B4D" w:rsidRPr="007A56AD" w:rsidRDefault="006E4300" w:rsidP="002C6180">
      <w:pPr>
        <w:pStyle w:val="NewNorm"/>
      </w:pPr>
      <m:oMathPara>
        <m:oMathParaPr>
          <m:jc m:val="center"/>
        </m:oMathParaPr>
        <m:oMath>
          <m:r>
            <w:rPr>
              <w:rFonts w:ascii="Cambria Math" w:eastAsia="Calibri" w:hAnsi="Cambria Math"/>
            </w:rPr>
            <m:t>dCN</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m:t>
          </m:r>
          <m:r>
            <w:rPr>
              <w:rFonts w:ascii="Cambria Math" w:eastAsia="Calibri" w:hAnsi="Cambria Math"/>
            </w:rPr>
            <m:t>dt</m:t>
          </m:r>
          <m:r>
            <m:rPr>
              <m:sty m:val="p"/>
            </m:rPr>
            <w:rPr>
              <w:rFonts w:ascii="Cambria Math" w:eastAsia="Calibri" w:hAnsi="Cambria Math"/>
            </w:rPr>
            <m:t>= -(</m:t>
          </m:r>
          <m:r>
            <w:rPr>
              <w:rFonts w:ascii="Cambria Math" w:eastAsia="Calibri" w:hAnsi="Cambria Math"/>
            </w:rPr>
            <m:t>rI</m:t>
          </m:r>
          <m:r>
            <m:rPr>
              <m:sty m:val="p"/>
            </m:rPr>
            <w:rPr>
              <w:rFonts w:ascii="Cambria Math" w:eastAsia="Calibri" w:hAnsi="Cambria Math"/>
            </w:rPr>
            <m:t>+</m:t>
          </m:r>
          <m:r>
            <w:rPr>
              <w:rFonts w:ascii="Cambria Math" w:eastAsia="Calibri" w:hAnsi="Cambria Math"/>
            </w:rPr>
            <m:t>rD</m:t>
          </m:r>
          <m:r>
            <m:rPr>
              <m:sty m:val="p"/>
            </m:rPr>
            <w:rPr>
              <w:rFonts w:ascii="Cambria Math" w:eastAsia="Calibri" w:hAnsi="Cambria Math"/>
            </w:rPr>
            <m:t>).</m:t>
          </m:r>
          <m:r>
            <w:rPr>
              <w:rFonts w:ascii="Cambria Math" w:eastAsia="Calibri" w:hAnsi="Cambria Math"/>
            </w:rPr>
            <m:t>CN</m:t>
          </m:r>
          <m:d>
            <m:dPr>
              <m:ctrlPr>
                <w:rPr>
                  <w:rFonts w:ascii="Cambria Math" w:eastAsia="Calibri" w:hAnsi="Cambria Math"/>
                </w:rPr>
              </m:ctrlPr>
            </m:dPr>
            <m:e>
              <m:r>
                <w:rPr>
                  <w:rFonts w:ascii="Cambria Math" w:eastAsia="Calibri" w:hAnsi="Cambria Math"/>
                </w:rPr>
                <m:t>t</m:t>
              </m:r>
            </m:e>
          </m:d>
        </m:oMath>
      </m:oMathPara>
    </w:p>
    <w:p w14:paraId="5E9374C8" w14:textId="11671BCA" w:rsidR="00FA03D3" w:rsidRPr="00C976AA" w:rsidRDefault="00213C35" w:rsidP="002C6180">
      <w:pPr>
        <w:pStyle w:val="NewNorm"/>
      </w:pPr>
      <w:r>
        <w:rPr>
          <w:rFonts w:asciiTheme="minorHAnsi" w:eastAsiaTheme="minorEastAsia" w:hAnsiTheme="minorHAnsi" w:cstheme="minorBidi"/>
        </w:rPr>
        <w:lastRenderedPageBreak/>
        <w:t>The rate of change</w:t>
      </w:r>
      <w:r w:rsidR="00876274">
        <w:rPr>
          <w:rFonts w:asciiTheme="minorHAnsi" w:eastAsiaTheme="minorEastAsia" w:hAnsiTheme="minorHAnsi" w:cstheme="minorBidi"/>
        </w:rPr>
        <w:t xml:space="preserve"> of</w:t>
      </w:r>
      <w:r w:rsidR="00FA03D3" w:rsidRPr="00C976AA">
        <w:t xml:space="preserve"> </w:t>
      </w:r>
      <m:oMath>
        <m:r>
          <w:rPr>
            <w:rFonts w:ascii="Cambria Math" w:hAnsi="Cambria Math"/>
          </w:rPr>
          <m:t>D</m:t>
        </m:r>
        <m:d>
          <m:dPr>
            <m:ctrlPr>
              <w:rPr>
                <w:rFonts w:ascii="Cambria Math" w:hAnsi="Cambria Math"/>
              </w:rPr>
            </m:ctrlPr>
          </m:dPr>
          <m:e>
            <m:r>
              <w:rPr>
                <w:rFonts w:ascii="Cambria Math" w:hAnsi="Cambria Math"/>
              </w:rPr>
              <m:t>t</m:t>
            </m:r>
          </m:e>
        </m:d>
      </m:oMath>
      <w:r w:rsidR="00876274">
        <w:t xml:space="preserve"> </w:t>
      </w:r>
      <w:r w:rsidR="00FA03D3" w:rsidRPr="00C976AA">
        <w:t xml:space="preserve">is determined by </w:t>
      </w:r>
      <m:oMath>
        <m:r>
          <w:rPr>
            <w:rFonts w:ascii="Cambria Math" w:hAnsi="Cambria Math"/>
          </w:rPr>
          <m:t>CN</m:t>
        </m:r>
        <m:d>
          <m:dPr>
            <m:ctrlPr>
              <w:rPr>
                <w:rFonts w:ascii="Cambria Math" w:hAnsi="Cambria Math"/>
              </w:rPr>
            </m:ctrlPr>
          </m:dPr>
          <m:e>
            <m:r>
              <w:rPr>
                <w:rFonts w:ascii="Cambria Math" w:hAnsi="Cambria Math"/>
              </w:rPr>
              <m:t>t</m:t>
            </m:r>
          </m:e>
        </m:d>
      </m:oMath>
      <w:r w:rsidR="00FA03D3" w:rsidRPr="00C976AA">
        <w:t xml:space="preserve"> and the </w:t>
      </w:r>
      <w:r w:rsidR="003C5EB4">
        <w:t>CN</w:t>
      </w:r>
      <w:r w:rsidR="00FA03D3" w:rsidRPr="00C976AA">
        <w:t xml:space="preserve"> mortality rate </w:t>
      </w:r>
      <m:oMath>
        <m:r>
          <w:rPr>
            <w:rFonts w:ascii="Cambria Math" w:hAnsi="Cambria Math"/>
          </w:rPr>
          <m:t>rD</m:t>
        </m:r>
      </m:oMath>
      <w:r w:rsidR="00C56A25">
        <w:t>:</w:t>
      </w:r>
    </w:p>
    <w:p w14:paraId="1D5F9D04" w14:textId="4B29EB61" w:rsidR="00EE1B4D" w:rsidRPr="007A56AD" w:rsidRDefault="006E4300" w:rsidP="002C6180">
      <w:pPr>
        <w:pStyle w:val="NewNorm"/>
      </w:pPr>
      <m:oMathPara>
        <m:oMathParaPr>
          <m:jc m:val="center"/>
        </m:oMathParaPr>
        <m:oMath>
          <m:r>
            <w:rPr>
              <w:rFonts w:ascii="Cambria Math" w:eastAsia="Calibri" w:hAnsi="Cambria Math"/>
            </w:rPr>
            <m:t>dD</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m:t>
          </m:r>
          <m:r>
            <w:rPr>
              <w:rFonts w:ascii="Cambria Math" w:eastAsia="Calibri" w:hAnsi="Cambria Math"/>
            </w:rPr>
            <m:t>dt</m:t>
          </m:r>
          <m:r>
            <m:rPr>
              <m:sty m:val="p"/>
            </m:rPr>
            <w:rPr>
              <w:rFonts w:ascii="Cambria Math" w:eastAsia="Calibri" w:hAnsi="Cambria Math"/>
            </w:rPr>
            <m:t>=</m:t>
          </m:r>
          <m:r>
            <w:rPr>
              <w:rFonts w:ascii="Cambria Math" w:eastAsia="Calibri" w:hAnsi="Cambria Math"/>
            </w:rPr>
            <m:t>rD</m:t>
          </m:r>
          <m:r>
            <m:rPr>
              <m:sty m:val="p"/>
            </m:rPr>
            <w:rPr>
              <w:rFonts w:ascii="Cambria Math" w:eastAsia="Calibri" w:hAnsi="Cambria Math"/>
            </w:rPr>
            <m:t>.</m:t>
          </m:r>
          <m:r>
            <w:rPr>
              <w:rFonts w:ascii="Cambria Math" w:eastAsia="Calibri" w:hAnsi="Cambria Math"/>
            </w:rPr>
            <m:t>CN</m:t>
          </m:r>
          <m:d>
            <m:dPr>
              <m:ctrlPr>
                <w:rPr>
                  <w:rFonts w:ascii="Cambria Math" w:eastAsia="Calibri" w:hAnsi="Cambria Math"/>
                </w:rPr>
              </m:ctrlPr>
            </m:dPr>
            <m:e>
              <m:r>
                <w:rPr>
                  <w:rFonts w:ascii="Cambria Math" w:eastAsia="Calibri" w:hAnsi="Cambria Math"/>
                </w:rPr>
                <m:t>t</m:t>
              </m:r>
            </m:e>
          </m:d>
        </m:oMath>
      </m:oMathPara>
    </w:p>
    <w:p w14:paraId="3F596A1E" w14:textId="6DF865C4" w:rsidR="00FA03D3" w:rsidRPr="00237243" w:rsidRDefault="00213C35" w:rsidP="002C6180">
      <w:pPr>
        <w:pStyle w:val="NewNorm"/>
      </w:pPr>
      <w:r>
        <w:rPr>
          <w:rFonts w:asciiTheme="minorHAnsi" w:eastAsiaTheme="minorEastAsia" w:hAnsiTheme="minorHAnsi" w:cstheme="minorBidi"/>
        </w:rPr>
        <w:t>The rate of change</w:t>
      </w:r>
      <w:r w:rsidR="00876274">
        <w:rPr>
          <w:rFonts w:asciiTheme="minorHAnsi" w:eastAsiaTheme="minorEastAsia" w:hAnsiTheme="minorHAnsi" w:cstheme="minorBidi"/>
        </w:rPr>
        <w:t xml:space="preserve"> of</w:t>
      </w:r>
      <w:r>
        <w:rPr>
          <w:rFonts w:asciiTheme="minorHAnsi" w:eastAsiaTheme="minorEastAsia" w:hAnsiTheme="minorHAnsi" w:cstheme="minorBidi"/>
        </w:rPr>
        <w:t xml:space="preserve"> </w:t>
      </w:r>
      <m:oMath>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oMath>
      <w:r w:rsidR="00FA03D3" w:rsidRPr="00C976AA">
        <w:t xml:space="preserve"> is determined by </w:t>
      </w:r>
      <w:r w:rsidR="007A56AD">
        <w:t xml:space="preserve">the </w:t>
      </w:r>
      <w:r w:rsidR="00FA03D3" w:rsidRPr="00C976AA">
        <w:t xml:space="preserve">incidence rate </w:t>
      </w:r>
      <m:oMath>
        <m:r>
          <w:rPr>
            <w:rFonts w:ascii="Cambria Math" w:hAnsi="Cambria Math"/>
          </w:rPr>
          <m:t>rI</m:t>
        </m:r>
      </m:oMath>
      <w:r w:rsidR="00FA03D3" w:rsidRPr="00C976AA">
        <w:t xml:space="preserve"> from </w:t>
      </w:r>
      <m:oMath>
        <m:r>
          <w:rPr>
            <w:rFonts w:ascii="Cambria Math" w:hAnsi="Cambria Math"/>
          </w:rPr>
          <m:t>CN</m:t>
        </m:r>
        <m:r>
          <m:rPr>
            <m:sty m:val="p"/>
          </m:rPr>
          <w:rPr>
            <w:rFonts w:ascii="Cambria Math" w:hAnsi="Cambria Math"/>
          </w:rPr>
          <m:t>(</m:t>
        </m:r>
        <m:r>
          <w:rPr>
            <w:rFonts w:ascii="Cambria Math" w:hAnsi="Cambria Math"/>
          </w:rPr>
          <m:t>t</m:t>
        </m:r>
        <m:r>
          <m:rPr>
            <m:sty m:val="p"/>
          </m:rPr>
          <w:rPr>
            <w:rFonts w:ascii="Cambria Math" w:hAnsi="Cambria Math"/>
          </w:rPr>
          <m:t>)</m:t>
        </m:r>
      </m:oMath>
      <w:r w:rsidR="00FA03D3" w:rsidRPr="00C976AA">
        <w:t xml:space="preserve"> and </w:t>
      </w:r>
      <w:r w:rsidR="007A56AD">
        <w:t xml:space="preserve">the dementia </w:t>
      </w:r>
      <w:r w:rsidR="00FA03D3" w:rsidRPr="00C976AA">
        <w:t xml:space="preserve">mortality rate </w:t>
      </w:r>
      <m:oMath>
        <m:r>
          <w:rPr>
            <w:rFonts w:ascii="Cambria Math" w:hAnsi="Cambria Math"/>
          </w:rPr>
          <m:t>rM</m:t>
        </m:r>
      </m:oMath>
      <w:r w:rsidR="00146F3A">
        <w:t>:</w:t>
      </w:r>
    </w:p>
    <w:p w14:paraId="3448061D" w14:textId="11FC9CEF" w:rsidR="00EE1B4D" w:rsidRPr="007A56AD" w:rsidRDefault="006E4300" w:rsidP="002C6180">
      <w:pPr>
        <w:pStyle w:val="NewNorm"/>
        <w:jc w:val="left"/>
      </w:pPr>
      <m:oMathPara>
        <m:oMathParaPr>
          <m:jc m:val="center"/>
        </m:oMathParaPr>
        <m:oMath>
          <m:r>
            <w:rPr>
              <w:rFonts w:ascii="Cambria Math" w:eastAsia="Calibri" w:hAnsi="Cambria Math"/>
            </w:rPr>
            <m:t>dP</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m:t>
          </m:r>
          <m:r>
            <w:rPr>
              <w:rFonts w:ascii="Cambria Math" w:eastAsia="Calibri" w:hAnsi="Cambria Math"/>
            </w:rPr>
            <m:t>dt</m:t>
          </m:r>
          <m:r>
            <m:rPr>
              <m:sty m:val="p"/>
            </m:rPr>
            <w:rPr>
              <w:rFonts w:ascii="Cambria Math" w:eastAsia="Calibri" w:hAnsi="Cambria Math"/>
            </w:rPr>
            <m:t xml:space="preserve">= </m:t>
          </m:r>
          <m:r>
            <w:rPr>
              <w:rFonts w:ascii="Cambria Math" w:eastAsia="Calibri" w:hAnsi="Cambria Math"/>
            </w:rPr>
            <m:t>rI</m:t>
          </m:r>
          <m:r>
            <m:rPr>
              <m:sty m:val="p"/>
            </m:rPr>
            <w:rPr>
              <w:rFonts w:ascii="Cambria Math" w:eastAsia="Calibri" w:hAnsi="Cambria Math"/>
            </w:rPr>
            <m:t>.</m:t>
          </m:r>
          <m:r>
            <w:rPr>
              <w:rFonts w:ascii="Cambria Math" w:eastAsia="Calibri" w:hAnsi="Cambria Math"/>
            </w:rPr>
            <m:t>CN</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m:t>
          </m:r>
          <m:r>
            <w:rPr>
              <w:rFonts w:ascii="Cambria Math" w:eastAsia="Calibri" w:hAnsi="Cambria Math"/>
            </w:rPr>
            <m:t>rM</m:t>
          </m:r>
          <m:r>
            <m:rPr>
              <m:sty m:val="p"/>
            </m:rPr>
            <w:rPr>
              <w:rFonts w:ascii="Cambria Math" w:eastAsia="Calibri" w:hAnsi="Cambria Math"/>
            </w:rPr>
            <m:t>.</m:t>
          </m:r>
          <m:r>
            <w:rPr>
              <w:rFonts w:ascii="Cambria Math" w:eastAsia="Calibri" w:hAnsi="Cambria Math"/>
            </w:rPr>
            <m:t>P</m:t>
          </m:r>
          <m:r>
            <m:rPr>
              <m:sty m:val="p"/>
            </m:rPr>
            <w:rPr>
              <w:rFonts w:ascii="Cambria Math" w:eastAsia="Calibri" w:hAnsi="Cambria Math"/>
            </w:rPr>
            <m:t>(</m:t>
          </m:r>
          <m:r>
            <w:rPr>
              <w:rFonts w:ascii="Cambria Math" w:eastAsia="Calibri" w:hAnsi="Cambria Math"/>
            </w:rPr>
            <m:t>t</m:t>
          </m:r>
          <m:r>
            <m:rPr>
              <m:sty m:val="p"/>
            </m:rPr>
            <w:rPr>
              <w:rFonts w:ascii="Cambria Math" w:eastAsia="Calibri" w:hAnsi="Cambria Math"/>
            </w:rPr>
            <m:t>)</m:t>
          </m:r>
        </m:oMath>
      </m:oMathPara>
    </w:p>
    <w:p w14:paraId="303184BD" w14:textId="5EDEB2C0" w:rsidR="007A56AD" w:rsidRDefault="00344E9E" w:rsidP="002C6180">
      <w:pPr>
        <w:pStyle w:val="NewNorm"/>
      </w:pPr>
      <w:r>
        <w:t>Finally</w:t>
      </w:r>
      <w:r w:rsidR="007A56AD">
        <w:t>,</w:t>
      </w:r>
      <w:r>
        <w:t xml:space="preserve"> </w:t>
      </w:r>
      <w:r w:rsidR="00213C35">
        <w:t>t</w:t>
      </w:r>
      <w:r w:rsidR="00213C35">
        <w:rPr>
          <w:rFonts w:asciiTheme="minorHAnsi" w:eastAsiaTheme="minorEastAsia" w:hAnsiTheme="minorHAnsi" w:cstheme="minorBidi"/>
        </w:rPr>
        <w:t xml:space="preserve">he rate of change in </w:t>
      </w:r>
      <m:oMath>
        <m:r>
          <w:rPr>
            <w:rFonts w:ascii="Cambria Math" w:eastAsia="Calibri" w:hAnsi="Cambria Math"/>
          </w:rPr>
          <m:t>M(t)</m:t>
        </m:r>
      </m:oMath>
      <w:r w:rsidR="00876274">
        <w:rPr>
          <w:rFonts w:asciiTheme="minorHAnsi" w:eastAsiaTheme="minorEastAsia" w:hAnsiTheme="minorHAnsi" w:cstheme="minorBidi"/>
        </w:rPr>
        <w:t xml:space="preserve"> </w:t>
      </w:r>
      <w:r w:rsidR="00213C35">
        <w:t>is</w:t>
      </w:r>
      <w:r w:rsidR="007A56AD">
        <w:t xml:space="preserve"> determined by </w:t>
      </w:r>
      <m:oMath>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oMath>
      <w:r w:rsidR="007A56AD" w:rsidRPr="00C976AA">
        <w:t xml:space="preserve"> and </w:t>
      </w:r>
      <w:r w:rsidR="007A56AD">
        <w:t xml:space="preserve">the dementia </w:t>
      </w:r>
      <w:r w:rsidR="007A56AD" w:rsidRPr="00C976AA">
        <w:t xml:space="preserve">mortality rate </w:t>
      </w:r>
      <m:oMath>
        <m:r>
          <w:rPr>
            <w:rFonts w:ascii="Cambria Math" w:hAnsi="Cambria Math"/>
          </w:rPr>
          <m:t>rM</m:t>
        </m:r>
      </m:oMath>
      <w:r w:rsidR="007A56AD">
        <w:t>:</w:t>
      </w:r>
    </w:p>
    <w:p w14:paraId="2FFD9D58" w14:textId="207C4997" w:rsidR="00EE1B4D" w:rsidRPr="00876274" w:rsidRDefault="00344E9E" w:rsidP="007A56AD">
      <w:pPr>
        <w:pStyle w:val="NewNorm"/>
        <w:jc w:val="center"/>
      </w:pPr>
      <w:bookmarkStart w:id="16" w:name="_Hlk29202282"/>
      <m:oMathPara>
        <m:oMath>
          <m:r>
            <w:rPr>
              <w:rFonts w:ascii="Cambria Math" w:eastAsia="Calibri" w:hAnsi="Cambria Math"/>
            </w:rPr>
            <m:t>dM(t)</m:t>
          </m:r>
          <w:bookmarkEnd w:id="16"/>
          <m:r>
            <w:rPr>
              <w:rFonts w:ascii="Cambria Math" w:eastAsia="Calibri" w:hAnsi="Cambria Math"/>
            </w:rPr>
            <m:t>/dt= rM.P</m:t>
          </m:r>
          <m:d>
            <m:dPr>
              <m:ctrlPr>
                <w:rPr>
                  <w:rFonts w:ascii="Cambria Math" w:eastAsia="Calibri" w:hAnsi="Cambria Math"/>
                  <w:i/>
                </w:rPr>
              </m:ctrlPr>
            </m:dPr>
            <m:e>
              <m:r>
                <w:rPr>
                  <w:rFonts w:ascii="Cambria Math" w:eastAsia="Calibri" w:hAnsi="Cambria Math"/>
                </w:rPr>
                <m:t>t</m:t>
              </m:r>
            </m:e>
          </m:d>
        </m:oMath>
      </m:oMathPara>
    </w:p>
    <w:p w14:paraId="5B1FF787" w14:textId="77777777" w:rsidR="00876274" w:rsidRPr="000D272E" w:rsidRDefault="00876274" w:rsidP="007A56AD">
      <w:pPr>
        <w:pStyle w:val="NewNorm"/>
        <w:jc w:val="center"/>
      </w:pPr>
    </w:p>
    <w:p w14:paraId="5AEFCFB0" w14:textId="31970E4E" w:rsidR="00EE1B4D" w:rsidRPr="00B153BA" w:rsidRDefault="007A56AD" w:rsidP="00FF4E01">
      <w:pPr>
        <w:pStyle w:val="AppendixSubheading"/>
      </w:pPr>
      <w:r>
        <w:t>Sol</w:t>
      </w:r>
      <w:r w:rsidR="00213C35">
        <w:t>utions of</w:t>
      </w:r>
      <w:r>
        <w:t xml:space="preserve"> the d</w:t>
      </w:r>
      <w:r w:rsidR="003C2C84">
        <w:t>ifferential equation</w:t>
      </w:r>
      <w:r>
        <w:t>s</w:t>
      </w:r>
      <w:r w:rsidR="003C2C84">
        <w:t xml:space="preserve"> </w:t>
      </w:r>
    </w:p>
    <w:p w14:paraId="2D44E83E" w14:textId="43B5705A" w:rsidR="00EE1B4D" w:rsidRPr="00B5731C" w:rsidRDefault="00BB0FF5" w:rsidP="008B4D1A">
      <w:r>
        <w:t>We</w:t>
      </w:r>
      <w:r w:rsidR="00C56A25">
        <w:t xml:space="preserve"> </w:t>
      </w:r>
      <w:r>
        <w:t>present</w:t>
      </w:r>
      <w:r w:rsidR="00C56A25">
        <w:t xml:space="preserve"> </w:t>
      </w:r>
      <w:r w:rsidR="00EE1B4D" w:rsidRPr="00B5731C">
        <w:t>solutions</w:t>
      </w:r>
      <w:r w:rsidR="00BE6A06">
        <w:t xml:space="preserve"> </w:t>
      </w:r>
      <w:r>
        <w:t>for these ODEs i</w:t>
      </w:r>
      <w:r w:rsidR="00A60B97">
        <w:t xml:space="preserve">n the case </w:t>
      </w:r>
      <w:r>
        <w:t>where there are</w:t>
      </w:r>
      <w:r w:rsidR="00A60B97">
        <w:t xml:space="preserve"> no</w:t>
      </w:r>
      <w:r w:rsidR="006F1045" w:rsidRPr="00C56A25">
        <w:t xml:space="preserve"> survivors from the previous age group</w:t>
      </w:r>
      <w:r>
        <w:t>, i.e.</w:t>
      </w:r>
      <w:r w:rsidR="0010173A">
        <w:t xml:space="preserve"> </w:t>
      </w:r>
      <m:oMath>
        <m:r>
          <w:rPr>
            <w:rFonts w:ascii="Cambria Math" w:hAnsi="Cambria Math"/>
          </w:rPr>
          <m:t>P(0)=0</m:t>
        </m:r>
      </m:oMath>
      <w:r>
        <w:t xml:space="preserve">. </w:t>
      </w:r>
    </w:p>
    <w:p w14:paraId="478E671E" w14:textId="1785119E" w:rsidR="00EE1B4D" w:rsidRPr="00B5731C" w:rsidRDefault="00213C35" w:rsidP="00213C35">
      <w:r>
        <w:t>Number of</w:t>
      </w:r>
      <w:r w:rsidR="00EE1B4D" w:rsidRPr="00B5731C">
        <w:t xml:space="preserve"> </w:t>
      </w:r>
      <w:r>
        <w:t>CN people:</w:t>
      </w:r>
      <w:r w:rsidR="0010173A">
        <w:t xml:space="preserve"> </w:t>
      </w:r>
      <m:oMath>
        <m:r>
          <w:rPr>
            <w:rFonts w:ascii="Cambria Math" w:hAnsi="Cambria Math"/>
          </w:rPr>
          <m:t>CN</m:t>
        </m:r>
        <m:d>
          <m:dPr>
            <m:ctrlPr>
              <w:rPr>
                <w:rFonts w:ascii="Cambria Math" w:hAnsi="Cambria Math"/>
                <w:i/>
              </w:rPr>
            </m:ctrlPr>
          </m:dPr>
          <m:e>
            <m:r>
              <w:rPr>
                <w:rFonts w:ascii="Cambria Math" w:hAnsi="Cambria Math"/>
              </w:rPr>
              <m:t>t</m:t>
            </m:r>
          </m:e>
        </m:d>
        <m:r>
          <w:rPr>
            <w:rFonts w:ascii="Cambria Math" w:hAnsi="Cambria Math"/>
          </w:rPr>
          <m:t>=CN</m:t>
        </m:r>
        <m:d>
          <m:dPr>
            <m:ctrlPr>
              <w:rPr>
                <w:rFonts w:ascii="Cambria Math" w:hAnsi="Cambria Math"/>
                <w:i/>
              </w:rPr>
            </m:ctrlPr>
          </m:dPr>
          <m:e>
            <m:r>
              <w:rPr>
                <w:rFonts w:ascii="Cambria Math" w:hAnsi="Cambria Math"/>
              </w:rPr>
              <m:t>0</m:t>
            </m:r>
          </m:e>
        </m:d>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rI+rD</m:t>
                    </m:r>
                  </m:e>
                </m:d>
              </m:e>
            </m:d>
          </m:e>
        </m:func>
      </m:oMath>
      <w:r w:rsidR="00876274">
        <w:rPr>
          <w:rFonts w:eastAsiaTheme="minorEastAsia"/>
        </w:rPr>
        <w:t xml:space="preserve">                                                                   </w:t>
      </w:r>
      <w:r w:rsidR="00EE08A8">
        <w:rPr>
          <w:rFonts w:eastAsiaTheme="minorEastAsia"/>
        </w:rPr>
        <w:t xml:space="preserve">  </w:t>
      </w:r>
      <w:r w:rsidR="00876274">
        <w:rPr>
          <w:rFonts w:eastAsiaTheme="minorEastAsia"/>
        </w:rPr>
        <w:t>(1)</w:t>
      </w:r>
    </w:p>
    <w:p w14:paraId="70CB4DDF" w14:textId="76ED4161" w:rsidR="00213C35" w:rsidRDefault="00213C35" w:rsidP="00213C35">
      <w:r>
        <w:t xml:space="preserve">CN deaths:  </w:t>
      </w:r>
      <w:r w:rsidR="00EE1B4D" w:rsidRPr="00B5731C">
        <w:t xml:space="preserve"> </w:t>
      </w:r>
      <m:oMath>
        <m:r>
          <w:rPr>
            <w:rFonts w:ascii="Cambria Math" w:hAnsi="Cambria Math"/>
          </w:rPr>
          <m:t>D</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CN</m:t>
            </m:r>
            <m:d>
              <m:dPr>
                <m:ctrlPr>
                  <w:rPr>
                    <w:rFonts w:ascii="Cambria Math" w:hAnsi="Cambria Math"/>
                    <w:i/>
                  </w:rPr>
                </m:ctrlPr>
              </m:dPr>
              <m:e>
                <m:r>
                  <w:rPr>
                    <w:rFonts w:ascii="Cambria Math" w:hAnsi="Cambria Math"/>
                  </w:rPr>
                  <m:t>0</m:t>
                </m:r>
              </m:e>
            </m:d>
            <m:r>
              <w:rPr>
                <w:rFonts w:ascii="Cambria Math" w:hAnsi="Cambria Math"/>
              </w:rPr>
              <m:t>.rD</m:t>
            </m:r>
          </m:num>
          <m:den>
            <m:r>
              <w:rPr>
                <w:rFonts w:ascii="Cambria Math" w:hAnsi="Cambria Math"/>
              </w:rPr>
              <m:t>rD+rI</m:t>
            </m:r>
          </m:den>
        </m:f>
        <m:d>
          <m:dPr>
            <m:ctrlPr>
              <w:rPr>
                <w:rFonts w:ascii="Cambria Math" w:hAnsi="Cambria Math"/>
                <w:i/>
              </w:rPr>
            </m:ctrlPr>
          </m:dPr>
          <m:e>
            <m:r>
              <w:rPr>
                <w:rFonts w:ascii="Cambria Math" w:hAnsi="Cambria Math"/>
              </w:rPr>
              <m:t>1-</m:t>
            </m:r>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begChr m:val="["/>
                    <m:endChr m:val="]"/>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rI+rD</m:t>
                        </m:r>
                      </m:e>
                    </m:d>
                  </m:e>
                </m:d>
              </m:e>
            </m:func>
          </m:e>
        </m:d>
      </m:oMath>
      <w:r w:rsidR="00876274">
        <w:rPr>
          <w:rFonts w:eastAsiaTheme="minorEastAsia"/>
        </w:rPr>
        <w:t xml:space="preserve">                                                                               (2)</w:t>
      </w:r>
    </w:p>
    <w:p w14:paraId="46671339" w14:textId="1124411C" w:rsidR="00EE1B4D" w:rsidRPr="00B5731C" w:rsidRDefault="00213C35" w:rsidP="008B4D1A">
      <w:r>
        <w:t>Number of</w:t>
      </w:r>
      <w:r w:rsidR="008B4D1A">
        <w:t xml:space="preserve"> </w:t>
      </w:r>
      <w:r>
        <w:t xml:space="preserve">PWD: </w:t>
      </w:r>
      <w:r w:rsidR="008B4D1A">
        <w:t xml:space="preserve"> </w:t>
      </w:r>
      <m:oMath>
        <m:r>
          <w:rPr>
            <w:rFonts w:ascii="Cambria Math" w:hAnsi="Cambria Math"/>
          </w:rPr>
          <m:t>P</m:t>
        </m:r>
        <m:d>
          <m:dPr>
            <m:ctrlPr>
              <w:rPr>
                <w:rFonts w:ascii="Cambria Math" w:eastAsia="Calibri" w:hAnsi="Cambria Math"/>
                <w:i/>
              </w:rPr>
            </m:ctrlPr>
          </m:dPr>
          <m:e>
            <m:r>
              <w:rPr>
                <w:rFonts w:ascii="Cambria Math" w:eastAsia="Calibri" w:hAnsi="Cambria Math"/>
              </w:rPr>
              <m:t>t</m:t>
            </m:r>
          </m:e>
        </m:d>
        <m:r>
          <w:rPr>
            <w:rFonts w:ascii="Cambria Math" w:eastAsia="Calibri" w:hAnsi="Cambria Math"/>
          </w:rPr>
          <m:t>=</m:t>
        </m:r>
        <m:f>
          <m:fPr>
            <m:ctrlPr>
              <w:rPr>
                <w:rFonts w:ascii="Cambria Math" w:eastAsia="Calibri" w:hAnsi="Cambria Math"/>
                <w:i/>
              </w:rPr>
            </m:ctrlPr>
          </m:fPr>
          <m:num>
            <m:r>
              <w:rPr>
                <w:rFonts w:ascii="Cambria Math" w:eastAsia="Calibri" w:hAnsi="Cambria Math"/>
              </w:rPr>
              <m:t>CN</m:t>
            </m:r>
            <m:d>
              <m:dPr>
                <m:ctrlPr>
                  <w:rPr>
                    <w:rFonts w:ascii="Cambria Math" w:eastAsia="Calibri" w:hAnsi="Cambria Math"/>
                    <w:i/>
                  </w:rPr>
                </m:ctrlPr>
              </m:dPr>
              <m:e>
                <m:r>
                  <w:rPr>
                    <w:rFonts w:ascii="Cambria Math" w:eastAsia="Calibri" w:hAnsi="Cambria Math"/>
                  </w:rPr>
                  <m:t>0</m:t>
                </m:r>
              </m:e>
            </m:d>
            <m:r>
              <w:rPr>
                <w:rFonts w:ascii="Cambria Math" w:eastAsia="Calibri" w:hAnsi="Cambria Math"/>
              </w:rPr>
              <m:t>.rI</m:t>
            </m:r>
          </m:num>
          <m:den>
            <m:r>
              <w:rPr>
                <w:rFonts w:ascii="Cambria Math" w:eastAsia="Calibri" w:hAnsi="Cambria Math"/>
              </w:rPr>
              <m:t>rD+rI-rM</m:t>
            </m:r>
          </m:den>
        </m:f>
        <m:d>
          <m:dPr>
            <m:ctrlPr>
              <w:rPr>
                <w:rFonts w:ascii="Cambria Math" w:eastAsia="Calibri" w:hAnsi="Cambria Math"/>
                <w:i/>
              </w:rPr>
            </m:ctrlPr>
          </m:dPr>
          <m:e>
            <m:func>
              <m:funcPr>
                <m:ctrlPr>
                  <w:rPr>
                    <w:rFonts w:ascii="Cambria Math" w:eastAsia="Calibri" w:hAnsi="Cambria Math"/>
                  </w:rPr>
                </m:ctrlPr>
              </m:funcPr>
              <m:fName>
                <m:r>
                  <m:rPr>
                    <m:sty m:val="p"/>
                  </m:rPr>
                  <w:rPr>
                    <w:rFonts w:ascii="Cambria Math" w:eastAsia="Calibri" w:hAnsi="Cambria Math"/>
                  </w:rPr>
                  <m:t>exp</m:t>
                </m:r>
                <m:ctrlPr>
                  <w:rPr>
                    <w:rFonts w:ascii="Cambria Math" w:eastAsia="Calibri" w:hAnsi="Cambria Math"/>
                    <w:i/>
                  </w:rPr>
                </m:ctrlPr>
              </m:fName>
              <m:e>
                <m:d>
                  <m:dPr>
                    <m:begChr m:val="["/>
                    <m:endChr m:val="]"/>
                    <m:ctrlPr>
                      <w:rPr>
                        <w:rFonts w:ascii="Cambria Math" w:eastAsia="Calibri" w:hAnsi="Cambria Math"/>
                        <w:i/>
                      </w:rPr>
                    </m:ctrlPr>
                  </m:dPr>
                  <m:e>
                    <m:r>
                      <w:rPr>
                        <w:rFonts w:ascii="Cambria Math" w:eastAsia="Calibri" w:hAnsi="Cambria Math"/>
                      </w:rPr>
                      <m:t>-t.rM</m:t>
                    </m:r>
                  </m:e>
                </m:d>
              </m:e>
            </m:func>
            <m:r>
              <w:rPr>
                <w:rFonts w:ascii="Cambria Math" w:eastAsia="Calibri" w:hAnsi="Cambria Math"/>
              </w:rPr>
              <m:t>-</m:t>
            </m:r>
            <m:func>
              <m:funcPr>
                <m:ctrlPr>
                  <w:rPr>
                    <w:rFonts w:ascii="Cambria Math" w:eastAsia="Calibri" w:hAnsi="Cambria Math"/>
                  </w:rPr>
                </m:ctrlPr>
              </m:funcPr>
              <m:fName>
                <m:r>
                  <m:rPr>
                    <m:sty m:val="p"/>
                  </m:rPr>
                  <w:rPr>
                    <w:rFonts w:ascii="Cambria Math" w:eastAsia="Calibri" w:hAnsi="Cambria Math"/>
                  </w:rPr>
                  <m:t>exp</m:t>
                </m:r>
                <m:ctrlPr>
                  <w:rPr>
                    <w:rFonts w:ascii="Cambria Math" w:eastAsia="Calibri" w:hAnsi="Cambria Math"/>
                    <w:i/>
                  </w:rPr>
                </m:ctrlPr>
              </m:fName>
              <m:e>
                <m:d>
                  <m:dPr>
                    <m:begChr m:val="["/>
                    <m:endChr m:val="]"/>
                    <m:ctrlPr>
                      <w:rPr>
                        <w:rFonts w:ascii="Cambria Math" w:eastAsia="Calibri" w:hAnsi="Cambria Math"/>
                        <w:i/>
                      </w:rPr>
                    </m:ctrlPr>
                  </m:dPr>
                  <m:e>
                    <m:r>
                      <w:rPr>
                        <w:rFonts w:ascii="Cambria Math" w:eastAsia="Calibri" w:hAnsi="Cambria Math"/>
                      </w:rPr>
                      <m:t>-t.</m:t>
                    </m:r>
                    <m:d>
                      <m:dPr>
                        <m:ctrlPr>
                          <w:rPr>
                            <w:rFonts w:ascii="Cambria Math" w:eastAsia="Calibri" w:hAnsi="Cambria Math"/>
                            <w:i/>
                          </w:rPr>
                        </m:ctrlPr>
                      </m:dPr>
                      <m:e>
                        <m:r>
                          <w:rPr>
                            <w:rFonts w:ascii="Cambria Math" w:eastAsia="Calibri" w:hAnsi="Cambria Math"/>
                          </w:rPr>
                          <m:t>rI+rD</m:t>
                        </m:r>
                      </m:e>
                    </m:d>
                  </m:e>
                </m:d>
              </m:e>
            </m:func>
            <m:ctrlPr>
              <w:rPr>
                <w:rFonts w:ascii="Cambria Math" w:hAnsi="Cambria Math"/>
                <w:i/>
              </w:rPr>
            </m:ctrlPr>
          </m:e>
        </m:d>
      </m:oMath>
      <w:r w:rsidR="00EE1B4D" w:rsidRPr="00B5731C">
        <w:t xml:space="preserve"> </w:t>
      </w:r>
      <w:r w:rsidR="00876274">
        <w:t xml:space="preserve">                                              (3) </w:t>
      </w:r>
    </w:p>
    <w:p w14:paraId="216BA285" w14:textId="670193DE" w:rsidR="00EE1B4D" w:rsidRPr="0034186D" w:rsidRDefault="00876274" w:rsidP="008B4D1A">
      <w:pPr>
        <w:rPr>
          <w:rFonts w:eastAsia="Calibri"/>
        </w:rPr>
      </w:pPr>
      <w:r>
        <w:rPr>
          <w:rFonts w:eastAsiaTheme="minorEastAsia"/>
        </w:rPr>
        <w:t>Dementia deaths:</w:t>
      </w:r>
      <m:oMath>
        <m:r>
          <w:rPr>
            <w:rFonts w:ascii="Cambria Math" w:hAnsi="Cambria Math"/>
          </w:rPr>
          <m:t xml:space="preserve">  M</m:t>
        </m:r>
        <m:d>
          <m:dPr>
            <m:ctrlPr>
              <w:rPr>
                <w:rFonts w:ascii="Cambria Math" w:eastAsia="Calibri" w:hAnsi="Cambria Math"/>
                <w:i/>
              </w:rPr>
            </m:ctrlPr>
          </m:dPr>
          <m:e>
            <m:r>
              <w:rPr>
                <w:rFonts w:ascii="Cambria Math" w:eastAsia="Calibri" w:hAnsi="Cambria Math"/>
              </w:rPr>
              <m:t>t</m:t>
            </m:r>
          </m:e>
        </m:d>
        <m:r>
          <w:rPr>
            <w:rFonts w:ascii="Cambria Math" w:eastAsia="Calibri" w:hAnsi="Cambria Math"/>
          </w:rPr>
          <m:t>=</m:t>
        </m:r>
        <m:f>
          <m:fPr>
            <m:ctrlPr>
              <w:rPr>
                <w:rFonts w:ascii="Cambria Math" w:eastAsia="Calibri" w:hAnsi="Cambria Math"/>
                <w:i/>
              </w:rPr>
            </m:ctrlPr>
          </m:fPr>
          <m:num>
            <m:r>
              <w:rPr>
                <w:rFonts w:ascii="Cambria Math" w:eastAsia="Calibri" w:hAnsi="Cambria Math"/>
              </w:rPr>
              <m:t>CN(0).rI</m:t>
            </m:r>
          </m:num>
          <m:den>
            <m:r>
              <w:rPr>
                <w:rFonts w:ascii="Cambria Math" w:eastAsia="Calibri" w:hAnsi="Cambria Math"/>
              </w:rPr>
              <m:t>rD+rI</m:t>
            </m:r>
          </m:den>
        </m:f>
        <m:r>
          <w:rPr>
            <w:rFonts w:ascii="Cambria Math" w:eastAsia="Calibri" w:hAnsi="Cambria Math"/>
          </w:rPr>
          <m:t>.</m:t>
        </m:r>
        <m:d>
          <m:dPr>
            <m:ctrlPr>
              <w:rPr>
                <w:rFonts w:ascii="Cambria Math" w:eastAsia="Calibri" w:hAnsi="Cambria Math"/>
                <w:i/>
              </w:rPr>
            </m:ctrlPr>
          </m:dPr>
          <m:e>
            <m:r>
              <w:rPr>
                <w:rFonts w:ascii="Cambria Math" w:eastAsia="Calibri" w:hAnsi="Cambria Math"/>
              </w:rPr>
              <m:t>1+</m:t>
            </m:r>
            <m:f>
              <m:fPr>
                <m:ctrlPr>
                  <w:rPr>
                    <w:rFonts w:ascii="Cambria Math" w:eastAsia="Calibri" w:hAnsi="Cambria Math"/>
                    <w:i/>
                  </w:rPr>
                </m:ctrlPr>
              </m:fPr>
              <m:num>
                <m:r>
                  <w:rPr>
                    <w:rFonts w:ascii="Cambria Math" w:eastAsia="Calibri" w:hAnsi="Cambria Math"/>
                  </w:rPr>
                  <m:t>rM</m:t>
                </m:r>
              </m:num>
              <m:den>
                <m:r>
                  <w:rPr>
                    <w:rFonts w:ascii="Cambria Math" w:eastAsia="Calibri" w:hAnsi="Cambria Math"/>
                  </w:rPr>
                  <m:t>rD+rI-rM</m:t>
                </m:r>
              </m:den>
            </m:f>
            <m:r>
              <w:rPr>
                <w:rFonts w:ascii="Cambria Math" w:eastAsia="Calibri" w:hAnsi="Cambria Math"/>
              </w:rPr>
              <m:t>.</m:t>
            </m:r>
            <m:func>
              <m:funcPr>
                <m:ctrlPr>
                  <w:rPr>
                    <w:rFonts w:ascii="Cambria Math" w:eastAsia="Calibri" w:hAnsi="Cambria Math"/>
                  </w:rPr>
                </m:ctrlPr>
              </m:funcPr>
              <m:fName>
                <m:r>
                  <m:rPr>
                    <m:sty m:val="p"/>
                  </m:rPr>
                  <w:rPr>
                    <w:rFonts w:ascii="Cambria Math" w:eastAsia="Calibri" w:hAnsi="Cambria Math"/>
                  </w:rPr>
                  <m:t>exp</m:t>
                </m:r>
                <m:ctrlPr>
                  <w:rPr>
                    <w:rFonts w:ascii="Cambria Math" w:eastAsia="Calibri" w:hAnsi="Cambria Math"/>
                    <w:i/>
                  </w:rPr>
                </m:ctrlPr>
              </m:fName>
              <m:e>
                <m:d>
                  <m:dPr>
                    <m:begChr m:val="["/>
                    <m:endChr m:val="]"/>
                    <m:ctrlPr>
                      <w:rPr>
                        <w:rFonts w:ascii="Cambria Math" w:eastAsia="Calibri" w:hAnsi="Cambria Math"/>
                        <w:i/>
                      </w:rPr>
                    </m:ctrlPr>
                  </m:dPr>
                  <m:e>
                    <m:r>
                      <w:rPr>
                        <w:rFonts w:ascii="Cambria Math" w:eastAsia="Calibri" w:hAnsi="Cambria Math"/>
                      </w:rPr>
                      <m:t>-t.</m:t>
                    </m:r>
                    <m:d>
                      <m:dPr>
                        <m:ctrlPr>
                          <w:rPr>
                            <w:rFonts w:ascii="Cambria Math" w:eastAsia="Calibri" w:hAnsi="Cambria Math"/>
                            <w:i/>
                          </w:rPr>
                        </m:ctrlPr>
                      </m:dPr>
                      <m:e>
                        <m:r>
                          <w:rPr>
                            <w:rFonts w:ascii="Cambria Math" w:eastAsia="Calibri" w:hAnsi="Cambria Math"/>
                          </w:rPr>
                          <m:t>rI+rD</m:t>
                        </m:r>
                      </m:e>
                    </m:d>
                  </m:e>
                </m:d>
              </m:e>
            </m:func>
            <m:r>
              <w:rPr>
                <w:rFonts w:ascii="Cambria Math" w:eastAsia="Calibri" w:hAnsi="Cambria Math"/>
              </w:rPr>
              <m:t>-</m:t>
            </m:r>
            <m:f>
              <m:fPr>
                <m:ctrlPr>
                  <w:rPr>
                    <w:rFonts w:ascii="Cambria Math" w:eastAsia="Calibri" w:hAnsi="Cambria Math"/>
                    <w:i/>
                  </w:rPr>
                </m:ctrlPr>
              </m:fPr>
              <m:num>
                <m:r>
                  <w:rPr>
                    <w:rFonts w:ascii="Cambria Math" w:eastAsia="Calibri" w:hAnsi="Cambria Math"/>
                  </w:rPr>
                  <m:t>rD+rI</m:t>
                </m:r>
              </m:num>
              <m:den>
                <m:r>
                  <w:rPr>
                    <w:rFonts w:ascii="Cambria Math" w:eastAsia="Calibri" w:hAnsi="Cambria Math"/>
                  </w:rPr>
                  <m:t>rD+rI-rM</m:t>
                </m:r>
              </m:den>
            </m:f>
            <m:func>
              <m:funcPr>
                <m:ctrlPr>
                  <w:rPr>
                    <w:rFonts w:ascii="Cambria Math" w:eastAsia="Calibri" w:hAnsi="Cambria Math"/>
                  </w:rPr>
                </m:ctrlPr>
              </m:funcPr>
              <m:fName>
                <m:r>
                  <m:rPr>
                    <m:sty m:val="p"/>
                  </m:rPr>
                  <w:rPr>
                    <w:rFonts w:ascii="Cambria Math" w:eastAsia="Calibri" w:hAnsi="Cambria Math"/>
                  </w:rPr>
                  <m:t>exp</m:t>
                </m:r>
                <m:ctrlPr>
                  <w:rPr>
                    <w:rFonts w:ascii="Cambria Math" w:eastAsia="Calibri" w:hAnsi="Cambria Math"/>
                    <w:i/>
                  </w:rPr>
                </m:ctrlPr>
              </m:fName>
              <m:e>
                <m:d>
                  <m:dPr>
                    <m:begChr m:val="["/>
                    <m:endChr m:val="]"/>
                    <m:ctrlPr>
                      <w:rPr>
                        <w:rFonts w:ascii="Cambria Math" w:eastAsia="Calibri" w:hAnsi="Cambria Math"/>
                        <w:i/>
                      </w:rPr>
                    </m:ctrlPr>
                  </m:dPr>
                  <m:e>
                    <m:r>
                      <w:rPr>
                        <w:rFonts w:ascii="Cambria Math" w:eastAsia="Calibri" w:hAnsi="Cambria Math"/>
                      </w:rPr>
                      <m:t>-t.rM</m:t>
                    </m:r>
                  </m:e>
                </m:d>
              </m:e>
            </m:func>
            <m:ctrlPr>
              <w:rPr>
                <w:rFonts w:ascii="Cambria Math" w:hAnsi="Cambria Math"/>
                <w:i/>
              </w:rPr>
            </m:ctrlPr>
          </m:e>
        </m:d>
      </m:oMath>
      <w:r w:rsidR="0010173A">
        <w:rPr>
          <w:rFonts w:eastAsiaTheme="minorEastAsia"/>
        </w:rPr>
        <w:t xml:space="preserve"> </w:t>
      </w:r>
      <w:r w:rsidR="00EE08A8">
        <w:rPr>
          <w:rFonts w:eastAsiaTheme="minorEastAsia"/>
        </w:rPr>
        <w:t xml:space="preserve"> </w:t>
      </w:r>
      <w:r>
        <w:rPr>
          <w:rFonts w:eastAsiaTheme="minorEastAsia"/>
        </w:rPr>
        <w:t>(4)</w:t>
      </w:r>
    </w:p>
    <w:p w14:paraId="1038FE2A" w14:textId="6382B5D5" w:rsidR="006F1045" w:rsidRDefault="00BB0FF5">
      <w:r>
        <w:t xml:space="preserve">In </w:t>
      </w:r>
      <w:r w:rsidR="00A60B97" w:rsidRPr="00E42541">
        <w:t>general</w:t>
      </w:r>
      <w:r w:rsidR="00E42541">
        <w:t>,</w:t>
      </w:r>
      <w:r w:rsidR="00A60B97" w:rsidRPr="00CE4099">
        <w:rPr>
          <w:rFonts w:eastAsia="Calibri"/>
        </w:rPr>
        <w:t xml:space="preserve"> </w:t>
      </w:r>
      <w:r w:rsidR="004D2E6B" w:rsidRPr="00CE4099">
        <w:rPr>
          <w:rFonts w:ascii="Calibri" w:eastAsia="Calibri" w:hAnsi="Calibri" w:cs="Times New Roman"/>
        </w:rPr>
        <w:t xml:space="preserve">survivors </w:t>
      </w:r>
      <w:r w:rsidR="00A60B97" w:rsidRPr="00E42541">
        <w:t xml:space="preserve">with dementia </w:t>
      </w:r>
      <w:r w:rsidR="004D2E6B" w:rsidRPr="00CE4099">
        <w:rPr>
          <w:rFonts w:ascii="Calibri" w:eastAsia="Calibri" w:hAnsi="Calibri" w:cs="Times New Roman"/>
        </w:rPr>
        <w:t>from the previous age group</w:t>
      </w:r>
      <w:r w:rsidR="004D2E6B" w:rsidRPr="00CE4099">
        <w:rPr>
          <w:rFonts w:eastAsia="Calibri"/>
        </w:rPr>
        <w:t xml:space="preserve"> </w:t>
      </w:r>
      <w:r>
        <w:rPr>
          <w:rFonts w:eastAsia="Calibri"/>
        </w:rPr>
        <w:t>would be</w:t>
      </w:r>
      <w:r w:rsidR="00E42541">
        <w:rPr>
          <w:rFonts w:eastAsia="Calibri"/>
        </w:rPr>
        <w:t xml:space="preserve"> included </w:t>
      </w:r>
      <w:r w:rsidR="00A60B97" w:rsidRPr="00E42541">
        <w:t>as an initial condition</w:t>
      </w:r>
      <w:r>
        <w:t>.</w:t>
      </w:r>
      <w:r w:rsidR="0010173A">
        <w:t xml:space="preserve"> </w:t>
      </w:r>
      <w:r>
        <w:t xml:space="preserve">In this case, </w:t>
      </w:r>
      <w:r w:rsidR="006F1045" w:rsidRPr="00E42541">
        <w:t xml:space="preserve">equation </w:t>
      </w:r>
      <w:r w:rsidR="00876274">
        <w:t>(</w:t>
      </w:r>
      <w:r w:rsidR="006F1045" w:rsidRPr="00E42541">
        <w:t>3</w:t>
      </w:r>
      <w:r w:rsidR="00876274">
        <w:t>)</w:t>
      </w:r>
      <w:r w:rsidR="00A60B97" w:rsidRPr="00E42541">
        <w:t xml:space="preserve"> becomes:</w:t>
      </w:r>
    </w:p>
    <w:p w14:paraId="3A092094" w14:textId="6E9A6FE6" w:rsidR="00CE4099" w:rsidRPr="00E42541" w:rsidRDefault="00CE4099">
      <m:oMathPara>
        <m:oMath>
          <m:r>
            <w:rPr>
              <w:rFonts w:ascii="Cambria Math" w:hAnsi="Cambria Math"/>
            </w:rPr>
            <m:t>P</m:t>
          </m:r>
          <m:d>
            <m:dPr>
              <m:ctrlPr>
                <w:rPr>
                  <w:rFonts w:ascii="Cambria Math" w:eastAsia="Calibri" w:hAnsi="Cambria Math"/>
                  <w:i/>
                </w:rPr>
              </m:ctrlPr>
            </m:dPr>
            <m:e>
              <m:r>
                <w:rPr>
                  <w:rFonts w:ascii="Cambria Math" w:eastAsia="Calibri" w:hAnsi="Cambria Math"/>
                </w:rPr>
                <m:t>t</m:t>
              </m:r>
            </m:e>
          </m:d>
          <m:r>
            <w:rPr>
              <w:rFonts w:ascii="Cambria Math" w:eastAsia="Calibri" w:hAnsi="Cambria Math"/>
            </w:rPr>
            <m:t>=</m:t>
          </m:r>
          <m:f>
            <m:fPr>
              <m:ctrlPr>
                <w:rPr>
                  <w:rFonts w:ascii="Cambria Math" w:eastAsia="Calibri" w:hAnsi="Cambria Math"/>
                  <w:i/>
                </w:rPr>
              </m:ctrlPr>
            </m:fPr>
            <m:num>
              <m:r>
                <w:rPr>
                  <w:rFonts w:ascii="Cambria Math" w:eastAsia="Calibri" w:hAnsi="Cambria Math"/>
                </w:rPr>
                <m:t>CN</m:t>
              </m:r>
              <m:d>
                <m:dPr>
                  <m:ctrlPr>
                    <w:rPr>
                      <w:rFonts w:ascii="Cambria Math" w:eastAsia="Calibri" w:hAnsi="Cambria Math"/>
                      <w:i/>
                    </w:rPr>
                  </m:ctrlPr>
                </m:dPr>
                <m:e>
                  <m:r>
                    <w:rPr>
                      <w:rFonts w:ascii="Cambria Math" w:eastAsia="Calibri" w:hAnsi="Cambria Math"/>
                    </w:rPr>
                    <m:t>0</m:t>
                  </m:r>
                </m:e>
              </m:d>
              <m:r>
                <w:rPr>
                  <w:rFonts w:ascii="Cambria Math" w:eastAsia="Calibri" w:hAnsi="Cambria Math"/>
                </w:rPr>
                <m:t>.rI</m:t>
              </m:r>
            </m:num>
            <m:den>
              <m:r>
                <w:rPr>
                  <w:rFonts w:ascii="Cambria Math" w:eastAsia="Calibri" w:hAnsi="Cambria Math"/>
                </w:rPr>
                <m:t>rD+rI-rM</m:t>
              </m:r>
            </m:den>
          </m:f>
          <m:r>
            <w:rPr>
              <w:rFonts w:ascii="Cambria Math" w:eastAsia="Calibri" w:hAnsi="Cambria Math"/>
            </w:rPr>
            <m:t>.</m:t>
          </m:r>
          <m:d>
            <m:dPr>
              <m:ctrlPr>
                <w:rPr>
                  <w:rFonts w:ascii="Cambria Math" w:eastAsia="Calibri" w:hAnsi="Cambria Math"/>
                  <w:i/>
                </w:rPr>
              </m:ctrlPr>
            </m:dPr>
            <m:e>
              <m:func>
                <m:funcPr>
                  <m:ctrlPr>
                    <w:rPr>
                      <w:rFonts w:ascii="Cambria Math" w:eastAsia="Calibri" w:hAnsi="Cambria Math"/>
                    </w:rPr>
                  </m:ctrlPr>
                </m:funcPr>
                <m:fName>
                  <m:r>
                    <m:rPr>
                      <m:sty m:val="p"/>
                    </m:rPr>
                    <w:rPr>
                      <w:rFonts w:ascii="Cambria Math" w:eastAsia="Calibri" w:hAnsi="Cambria Math"/>
                    </w:rPr>
                    <m:t>exp</m:t>
                  </m:r>
                  <m:ctrlPr>
                    <w:rPr>
                      <w:rFonts w:ascii="Cambria Math" w:eastAsia="Calibri" w:hAnsi="Cambria Math"/>
                      <w:i/>
                    </w:rPr>
                  </m:ctrlPr>
                </m:fName>
                <m:e>
                  <m:d>
                    <m:dPr>
                      <m:begChr m:val="["/>
                      <m:endChr m:val="]"/>
                      <m:ctrlPr>
                        <w:rPr>
                          <w:rFonts w:ascii="Cambria Math" w:eastAsia="Calibri" w:hAnsi="Cambria Math"/>
                          <w:i/>
                        </w:rPr>
                      </m:ctrlPr>
                    </m:dPr>
                    <m:e>
                      <m:r>
                        <w:rPr>
                          <w:rFonts w:ascii="Cambria Math" w:eastAsia="Calibri" w:hAnsi="Cambria Math"/>
                        </w:rPr>
                        <m:t>-t.rM</m:t>
                      </m:r>
                    </m:e>
                  </m:d>
                </m:e>
              </m:func>
              <m:r>
                <w:rPr>
                  <w:rFonts w:ascii="Cambria Math" w:eastAsia="Calibri" w:hAnsi="Cambria Math"/>
                </w:rPr>
                <m:t>-</m:t>
              </m:r>
              <m:func>
                <m:funcPr>
                  <m:ctrlPr>
                    <w:rPr>
                      <w:rFonts w:ascii="Cambria Math" w:eastAsia="Calibri" w:hAnsi="Cambria Math"/>
                    </w:rPr>
                  </m:ctrlPr>
                </m:funcPr>
                <m:fName>
                  <m:r>
                    <m:rPr>
                      <m:sty m:val="p"/>
                    </m:rPr>
                    <w:rPr>
                      <w:rFonts w:ascii="Cambria Math" w:eastAsia="Calibri" w:hAnsi="Cambria Math"/>
                    </w:rPr>
                    <m:t>exp</m:t>
                  </m:r>
                  <m:ctrlPr>
                    <w:rPr>
                      <w:rFonts w:ascii="Cambria Math" w:eastAsia="Calibri" w:hAnsi="Cambria Math"/>
                      <w:i/>
                    </w:rPr>
                  </m:ctrlPr>
                </m:fName>
                <m:e>
                  <m:d>
                    <m:dPr>
                      <m:begChr m:val="["/>
                      <m:endChr m:val="]"/>
                      <m:ctrlPr>
                        <w:rPr>
                          <w:rFonts w:ascii="Cambria Math" w:eastAsia="Calibri" w:hAnsi="Cambria Math"/>
                          <w:i/>
                        </w:rPr>
                      </m:ctrlPr>
                    </m:dPr>
                    <m:e>
                      <m:r>
                        <w:rPr>
                          <w:rFonts w:ascii="Cambria Math" w:eastAsia="Calibri" w:hAnsi="Cambria Math"/>
                        </w:rPr>
                        <m:t>-t.</m:t>
                      </m:r>
                      <m:d>
                        <m:dPr>
                          <m:ctrlPr>
                            <w:rPr>
                              <w:rFonts w:ascii="Cambria Math" w:eastAsia="Calibri" w:hAnsi="Cambria Math"/>
                              <w:i/>
                            </w:rPr>
                          </m:ctrlPr>
                        </m:dPr>
                        <m:e>
                          <m:r>
                            <w:rPr>
                              <w:rFonts w:ascii="Cambria Math" w:eastAsia="Calibri" w:hAnsi="Cambria Math"/>
                            </w:rPr>
                            <m:t>rI+rD</m:t>
                          </m:r>
                        </m:e>
                      </m:d>
                    </m:e>
                  </m:d>
                </m:e>
              </m:func>
              <m:ctrlPr>
                <w:rPr>
                  <w:rFonts w:ascii="Cambria Math" w:hAnsi="Cambria Math"/>
                  <w:i/>
                </w:rPr>
              </m:ctrlPr>
            </m:e>
          </m:d>
          <m:r>
            <w:rPr>
              <w:rFonts w:ascii="Cambria Math" w:hAnsi="Cambria Math"/>
            </w:rPr>
            <m:t>+</m:t>
          </m:r>
          <m:r>
            <m:rPr>
              <m:sty m:val="p"/>
            </m:rPr>
            <w:rPr>
              <w:rFonts w:ascii="Cambria Math" w:hAnsi="Cambria Math"/>
            </w:rPr>
            <m:t>P(0).</m:t>
          </m:r>
          <m:func>
            <m:funcPr>
              <m:ctrlPr>
                <w:rPr>
                  <w:rFonts w:ascii="Cambria Math" w:hAnsi="Cambria Math"/>
                </w:rPr>
              </m:ctrlPr>
            </m:funcPr>
            <m:fName>
              <m:r>
                <m:rPr>
                  <m:sty m:val="p"/>
                </m:rPr>
                <w:rPr>
                  <w:rFonts w:ascii="Cambria Math" w:hAnsi="Cambria Math"/>
                </w:rPr>
                <m:t>exp</m:t>
              </m:r>
            </m:fName>
            <m:e>
              <m:d>
                <m:dPr>
                  <m:begChr m:val="["/>
                  <m:endChr m:val="]"/>
                  <m:ctrlPr>
                    <w:rPr>
                      <w:rFonts w:ascii="Cambria Math" w:hAnsi="Cambria Math"/>
                    </w:rPr>
                  </m:ctrlPr>
                </m:dPr>
                <m:e>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rM</m:t>
                  </m:r>
                </m:e>
              </m:d>
            </m:e>
          </m:func>
        </m:oMath>
      </m:oMathPara>
    </w:p>
    <w:p w14:paraId="54EF9C6A" w14:textId="3B6A939C" w:rsidR="00BB0FF5" w:rsidRPr="0012385C" w:rsidRDefault="00C56A25" w:rsidP="0012385C">
      <w:r>
        <w:t xml:space="preserve">These </w:t>
      </w:r>
      <w:r w:rsidR="00BB0FF5">
        <w:t>O</w:t>
      </w:r>
      <w:r w:rsidR="008141FB">
        <w:t xml:space="preserve">DEs are not easy to </w:t>
      </w:r>
      <w:r w:rsidR="00BB0FF5">
        <w:t>solve</w:t>
      </w:r>
      <w:r w:rsidR="008141FB">
        <w:t xml:space="preserve"> analytically, but </w:t>
      </w:r>
      <w:r w:rsidR="00BB0FF5">
        <w:t>are relatively straightforward</w:t>
      </w:r>
      <w:r w:rsidR="008141FB">
        <w:t xml:space="preserve"> to implement </w:t>
      </w:r>
      <w:r w:rsidR="00BB0FF5">
        <w:t>and solve by</w:t>
      </w:r>
      <w:r w:rsidR="008141FB">
        <w:t xml:space="preserve"> </w:t>
      </w:r>
      <w:r w:rsidR="00A60B97">
        <w:t>simulation</w:t>
      </w:r>
      <w:r w:rsidR="008141FB">
        <w:t>.</w:t>
      </w:r>
    </w:p>
    <w:p w14:paraId="29C04CF5" w14:textId="74F599D6" w:rsidR="00E25548" w:rsidRPr="00526E3F" w:rsidRDefault="00433A32" w:rsidP="00FF4E01">
      <w:pPr>
        <w:pStyle w:val="AppendixSubheading"/>
      </w:pPr>
      <w:r>
        <w:t>I</w:t>
      </w:r>
      <w:r w:rsidR="00E25548" w:rsidRPr="00526E3F">
        <w:t>ncidence</w:t>
      </w:r>
      <w:r w:rsidR="00E25548">
        <w:t xml:space="preserve"> </w:t>
      </w:r>
      <w:r>
        <w:t>and mortality parameter derivation</w:t>
      </w:r>
    </w:p>
    <w:p w14:paraId="51551996" w14:textId="1C498086" w:rsidR="00E25548" w:rsidRPr="00526E3F" w:rsidRDefault="00E25548" w:rsidP="00E25548">
      <w:r w:rsidRPr="00526E3F">
        <w:t>To parameterise the model, published studies were reviewed to obtain the most relevant evidence. Incidence rates – which define onset of dementia in a population</w:t>
      </w:r>
      <w:r>
        <w:t xml:space="preserve"> </w:t>
      </w:r>
      <w:r w:rsidRPr="00526E3F">
        <w:t xml:space="preserve">were based on a review of several </w:t>
      </w:r>
      <w:r w:rsidRPr="00526E3F">
        <w:lastRenderedPageBreak/>
        <w:t>studies</w:t>
      </w:r>
      <w:r>
        <w:t xml:space="preserve"> (</w:t>
      </w:r>
      <w:r w:rsidR="006E0495">
        <w:t>Table A1</w:t>
      </w:r>
      <w:r>
        <w:t>)</w:t>
      </w:r>
      <w:r w:rsidRPr="00526E3F">
        <w:t>. The availability of published data in most sources by 5-year age group informed the model’s age group architecture.</w:t>
      </w:r>
    </w:p>
    <w:p w14:paraId="48C36D61" w14:textId="77777777" w:rsidR="00E25548" w:rsidRPr="00526E3F" w:rsidRDefault="00E25548" w:rsidP="00E25548">
      <w:r w:rsidRPr="00526E3F">
        <w:t xml:space="preserve">Similarly, dementia mortality rates were based on a review of sources </w:t>
      </w:r>
      <w:r w:rsidRPr="00526E3F">
        <w:fldChar w:fldCharType="begin" w:fldLock="1"/>
      </w:r>
      <w:r w:rsidRPr="00526E3F">
        <w:instrText>ADDIN CSL_CITATION {"citationItems":[{"id":"ITEM-1","itemData":{"author":[{"dropping-particle":"","family":"Ganguli","given":"M.","non-dropping-particle":"","parse-names":false,"suffix":""},{"dropping-particle":"","family":"Dodge","given":"H.","non-dropping-particle":"","parse-names":false,"suffix":""},{"dropping-particle":"","family":"Shen","given":"C.","non-dropping-particle":"","parse-names":false,"suffix":""},{"dropping-particle":"","family":"Pandav","given":"R.","non-dropping-particle":"","parse-names":false,"suffix":""},{"dropping-particle":"","family":"DeKosky","given":"S.","non-dropping-particle":"","parse-names":false,"suffix":""}],"container-title":"Archives of Neurology","id":"ITEM-1","issue":"May 2005","issued":{"date-parts":[["2005"]]},"page":"779-784","title":"Alzheimer Disease and Mortality","type":"article-journal","volume":"62"},"uris":["http://www.mendeley.com/documents/?uuid=2ee2bc2b-7187-4d82-b036-72f052de0078"]},{"id":"ITEM-2","itemData":{"DOI":"10.1016/S0895-4356(99)00067-0","ISBN":"0895-4356","ISSN":"08954356","PMID":"10465318","abstract":"Five-year follow-up of a community-based, 77+ old cohort including incident dementia cases was used to evaluate the impact of dementia on the risk of death, taking into account other chronic conditions potentially related to death, and contrasting Alzheimer's disease (AD), and vascular dementia (VaD). In this population, 70% of the dementia cases died during the five years after diagnosis, with a mortality rate specific for dementia of 2.4 per 100 person-years. After controlling for sociodemographic variables and comorbidity, 14% of all deaths could be attributed to dementia with a risk of death among demented subjects twice as high as that for non-demented people. Mortality risk ratios were 2.0 (95% confidence interval 1.5-2.7) for AD and 3.3 (95% confidence interval 2.0-5.3) for VaD. This study confirms that dementing disorders are a major risk factor for death. Even in the oldest old (85+), dementia shortens life, especially among women. Copyright (C) 1999 Elsevier Science Inc.","author":[{"dropping-particle":"","family":"Agüero-Torres","given":"H.","non-dropping-particle":"","parse-names":false,"suffix":""},{"dropping-particle":"","family":"Fratiglioni","given":"L.","non-dropping-particle":"","parse-names":false,"suffix":""},{"dropping-particle":"","family":"Guo","given":"Z.","non-dropping-particle":"","parse-names":false,"suffix":""},{"dropping-particle":"","family":"Viitanen","given":"M.","non-dropping-particle":"","parse-names":false,"suffix":""},{"dropping-particle":"","family":"Winblad","given":"B.","non-dropping-particle":"","parse-names":false,"suffix":""}],"container-title":"Journal of Clinical Epidemiology","id":"ITEM-2","issue":"8","issued":{"date-parts":[["1999"]]},"page":"737-743","title":"Mortality from dementia in advanced age: A 5-year follow-up study of incident dementia cases","type":"article-journal","volume":"52"},"uris":["http://www.mendeley.com/documents/?uuid=609b7877-e280-4d90-ab4e-1cac5ab978c1"]},{"id":"ITEM-3","itemData":{"URL":"https://forum.alzheimers.org.uk/attachments/nomis-leading-cause-of-death-pdf.57354/","accessed":{"date-parts":[["2019","2","4"]]},"author":[{"dropping-particle":"","family":"ONS","given":"","non-dropping-particle":"","parse-names":false,"suffix":""}],"container-title":"nomis","id":"ITEM-3","issued":{"date-parts":[["2019"]]},"title":"Mortality statistics - underlying cause, sex and age","type":"webpage"},"uris":["http://www.mendeley.com/documents/?uuid=51a6445b-57da-4b68-88e2-7acda8f83d76"]}],"mendeley":{"formattedCitation":"(Ganguli et al., 2005; Agüero-Torres et al., 1999; ONS, 2019)","plainTextFormattedCitation":"(Ganguli et al., 2005; Agüero-Torres et al., 1999; ONS, 2019)","previouslyFormattedCitation":"(Ganguli et al., 2005; Agüero-Torres et al., 1999; ONS, 2019)"},"properties":{"noteIndex":0},"schema":"https://github.com/citation-style-language/schema/raw/master/csl-citation.json"}</w:instrText>
      </w:r>
      <w:r w:rsidRPr="00526E3F">
        <w:fldChar w:fldCharType="separate"/>
      </w:r>
      <w:r w:rsidRPr="00526E3F">
        <w:rPr>
          <w:noProof/>
        </w:rPr>
        <w:t>(Ganguli et al., 2005; Agüero-Torres et al., 1999; ONS, 2019)</w:t>
      </w:r>
      <w:r w:rsidRPr="00526E3F">
        <w:fldChar w:fldCharType="end"/>
      </w:r>
      <w:r w:rsidRPr="00526E3F">
        <w:t xml:space="preserve">. Estimated dementia mortality rates were between one-and-a-half times and twice the rates for the cognitively normal population, consistent with previous studies </w:t>
      </w:r>
      <w:r w:rsidRPr="00526E3F">
        <w:fldChar w:fldCharType="begin" w:fldLock="1"/>
      </w:r>
      <w:r w:rsidRPr="00526E3F">
        <w:instrText>ADDIN CSL_CITATION {"citationItems":[{"id":"ITEM-1","itemData":{"DOI":"10.4103/0019-5545.82565","ISSN":"0019-5545","author":[{"dropping-particle":"","family":"Ravi","given":"Samuel","non-dropping-particle":"","parse-names":false,"suffix":""}],"container-title":"Indian Journal of Psychiatry","id":"ITEM-1","issue":"2","issued":{"date-parts":[["2011"]]},"page":"178","title":"Dementia mortality: Estimates of survival after the onset of dementia range from 4 to 12 years","type":"article-journal","volume":"53"},"uris":["http://www.mendeley.com/documents/?uuid=23db3362-5c68-46d7-b95f-dbf811e2d506"]}],"mendeley":{"formattedCitation":"(Ravi, 2011)","manualFormatting":"(e.g. Ravi, 2011)","plainTextFormattedCitation":"(Ravi, 2011)","previouslyFormattedCitation":"(Ravi, 2011)"},"properties":{"noteIndex":0},"schema":"https://github.com/citation-style-language/schema/raw/master/csl-citation.json"}</w:instrText>
      </w:r>
      <w:r w:rsidRPr="00526E3F">
        <w:fldChar w:fldCharType="separate"/>
      </w:r>
      <w:r w:rsidRPr="00526E3F">
        <w:rPr>
          <w:noProof/>
        </w:rPr>
        <w:t>(e.g. Ravi, 2011)</w:t>
      </w:r>
      <w:r w:rsidRPr="00526E3F">
        <w:fldChar w:fldCharType="end"/>
      </w:r>
      <w:r w:rsidRPr="00526E3F">
        <w:t>. Cognitively normal age-related death rates in the model (</w:t>
      </w:r>
      <m:oMath>
        <m:r>
          <w:rPr>
            <w:rFonts w:ascii="Cambria Math" w:hAnsi="Cambria Math"/>
          </w:rPr>
          <m:t>rD</m:t>
        </m:r>
      </m:oMath>
      <w:r w:rsidRPr="00526E3F">
        <w:t>) were derived from overall population mortality rate</w:t>
      </w:r>
      <w:r>
        <w:t xml:space="preserve"> </w:t>
      </w:r>
      <w:r>
        <w:fldChar w:fldCharType="begin" w:fldLock="1"/>
      </w:r>
      <w:r>
        <w:instrText>ADDIN CSL_CITATION {"citationItems":[{"id":"ITEM-1","itemData":{"URL":"https://www.ons.gov.uk/file?uri=/peoplepopulationandcommunity/birthsdeathsandmarriages/lifeexpectancies/datasets/nationallifetablesunitedkingdomreferencetables/current/nltuk1315reg.xls","abstract":"Period life expectancy by age and sex. Each national life table is based on population estimates, births and deaths for a period of three consecutive years.","accessed":{"date-parts":[["2018","5","4"]]},"author":[{"dropping-particle":"","family":"ONS","given":"","non-dropping-particle":"","parse-names":false,"suffix":""}],"container-title":"National life tables: United Kingdom","id":"ITEM-1","issued":{"date-parts":[["2014"]]},"note":"https://www.ons.gov.uk/file?uri=/peoplepopulationandcommunity/birthsdeathsandmarriages/lifeexpectancies/datasets/nationallifetablesunitedkingdomreferencetables/current/nltuk1315reg.xls","title":"nltuk1315reg.xls","type":"webpage"},"uris":["http://www.mendeley.com/documents/?uuid=3db866fb-8d41-450b-80c3-89a718a75603"]}],"mendeley":{"formattedCitation":"(ONS, 2014a)","plainTextFormattedCitation":"(ONS, 2014a)","previouslyFormattedCitation":"(ONS, 2014a)"},"properties":{"noteIndex":0},"schema":"https://github.com/citation-style-language/schema/raw/master/csl-citation.json"}</w:instrText>
      </w:r>
      <w:r>
        <w:fldChar w:fldCharType="separate"/>
      </w:r>
      <w:r w:rsidRPr="00E224F9">
        <w:rPr>
          <w:noProof/>
        </w:rPr>
        <w:t>(ONS, 2014a)</w:t>
      </w:r>
      <w:r>
        <w:fldChar w:fldCharType="end"/>
      </w:r>
      <w:r w:rsidRPr="00526E3F">
        <w:t xml:space="preserve">, corrected to account for estimated prevalence </w:t>
      </w:r>
      <w:r w:rsidRPr="00526E3F">
        <w:fldChar w:fldCharType="begin" w:fldLock="1"/>
      </w:r>
      <w:r w:rsidRPr="00526E3F">
        <w:instrText>ADDIN CSL_CITATION {"citationItems":[{"id":"ITEM-1","itemData":{"ISBN":"9781906647315","abstract":"This report presents the findings of research commissioned by Alzheimer’s Society to update the Dementia UK (2007) report. It provides a synthesis of best available evidence for the current cost and prevalence of dementia. It aims to provide an accurate understanding of dementia prevalence and cost in the UK to assist in policy development, influencing, commissioning and service design.","author":[{"dropping-particle":"","family":"Alzheimer’s Society","given":"","non-dropping-particle":"","parse-names":false,"suffix":""}],"id":"ITEM-1","issued":{"date-parts":[["2014"]]},"number-of-pages":"136","publisher-place":"London","title":"Dementia UK: Update","type":"report"},"uris":["http://www.mendeley.com/documents/?uuid=4e6196fa-b828-4d7a-8351-1887c1dec5ab"]}],"mendeley":{"formattedCitation":"(Alzheimer’s Society, 2014)","plainTextFormattedCitation":"(Alzheimer’s Society, 2014)","previouslyFormattedCitation":"(Alzheimer’s Society, 2014)"},"properties":{"noteIndex":0},"schema":"https://github.com/citation-style-language/schema/raw/master/csl-citation.json"}</w:instrText>
      </w:r>
      <w:r w:rsidRPr="00526E3F">
        <w:fldChar w:fldCharType="separate"/>
      </w:r>
      <w:r w:rsidRPr="00526E3F">
        <w:rPr>
          <w:noProof/>
        </w:rPr>
        <w:t>(Alzheimer’s Society, 2014)</w:t>
      </w:r>
      <w:r w:rsidRPr="00526E3F">
        <w:fldChar w:fldCharType="end"/>
      </w:r>
      <w:r w:rsidRPr="00526E3F">
        <w:t xml:space="preserve">, where </w:t>
      </w:r>
      <m:oMath>
        <m:r>
          <w:rPr>
            <w:rFonts w:ascii="Cambria Math" w:hAnsi="Cambria Math"/>
          </w:rPr>
          <m:t>rO</m:t>
        </m:r>
      </m:oMath>
      <w:r w:rsidRPr="00526E3F">
        <w:t xml:space="preserve"> is the overall population mortality rate and </w:t>
      </w:r>
      <m:oMath>
        <m:r>
          <w:rPr>
            <w:rFonts w:ascii="Cambria Math" w:hAnsi="Cambria Math"/>
          </w:rPr>
          <m:t>prev</m:t>
        </m:r>
      </m:oMath>
      <w:r w:rsidRPr="00526E3F">
        <w:rPr>
          <w:rFonts w:eastAsiaTheme="minorEastAsia"/>
        </w:rPr>
        <w:t xml:space="preserve"> is the </w:t>
      </w:r>
      <w:r w:rsidRPr="00526E3F">
        <w:t>prevalence.</w:t>
      </w:r>
    </w:p>
    <w:p w14:paraId="0C47EC92" w14:textId="062D6F44" w:rsidR="00E25548" w:rsidRPr="00E359A8" w:rsidRDefault="00E25548" w:rsidP="00E25548">
      <w:pPr>
        <w:tabs>
          <w:tab w:val="center" w:pos="4253"/>
          <w:tab w:val="right" w:pos="8789"/>
        </w:tabs>
      </w:pPr>
      <w:r>
        <w:rPr>
          <w:rFonts w:eastAsiaTheme="minorEastAsia"/>
        </w:rPr>
        <w:tab/>
      </w:r>
      <m:oMath>
        <m:r>
          <w:rPr>
            <w:rFonts w:ascii="Cambria Math" w:hAnsi="Cambria Math"/>
          </w:rPr>
          <m:t>rD</m:t>
        </m:r>
        <m:r>
          <m:rPr>
            <m:sty m:val="p"/>
          </m:rPr>
          <w:rPr>
            <w:rFonts w:ascii="Cambria Math" w:hAnsi="Cambria Math"/>
          </w:rPr>
          <m:t xml:space="preserve"> =</m:t>
        </m:r>
        <m:f>
          <m:fPr>
            <m:ctrlPr>
              <w:rPr>
                <w:rFonts w:ascii="Cambria Math" w:hAnsi="Cambria Math"/>
              </w:rPr>
            </m:ctrlPr>
          </m:fPr>
          <m:num>
            <m:r>
              <w:rPr>
                <w:rFonts w:ascii="Cambria Math" w:hAnsi="Cambria Math"/>
              </w:rPr>
              <m:t>rO</m:t>
            </m:r>
          </m:num>
          <m:den>
            <m:r>
              <m:rPr>
                <m:sty m:val="p"/>
              </m:rPr>
              <w:rPr>
                <w:rFonts w:ascii="Cambria Math" w:hAnsi="Cambria Math"/>
              </w:rPr>
              <m:t>1-</m:t>
            </m:r>
            <m:r>
              <w:rPr>
                <w:rFonts w:ascii="Cambria Math" w:hAnsi="Cambria Math"/>
              </w:rPr>
              <m:t>prev</m:t>
            </m:r>
          </m:den>
        </m:f>
        <m:r>
          <m:rPr>
            <m:sty m:val="p"/>
          </m:rPr>
          <w:rPr>
            <w:rFonts w:ascii="Cambria Math" w:hAnsi="Cambria Math"/>
          </w:rPr>
          <m:t xml:space="preserve">– </m:t>
        </m:r>
        <m:r>
          <w:rPr>
            <w:rFonts w:ascii="Cambria Math" w:hAnsi="Cambria Math"/>
          </w:rPr>
          <m:t>rM</m:t>
        </m:r>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prev</m:t>
                </m:r>
              </m:num>
              <m:den>
                <m:r>
                  <m:rPr>
                    <m:sty m:val="p"/>
                  </m:rPr>
                  <w:rPr>
                    <w:rFonts w:ascii="Cambria Math" w:hAnsi="Cambria Math"/>
                  </w:rPr>
                  <m:t>1-</m:t>
                </m:r>
                <m:r>
                  <w:rPr>
                    <w:rFonts w:ascii="Cambria Math" w:hAnsi="Cambria Math"/>
                  </w:rPr>
                  <m:t>prev</m:t>
                </m:r>
              </m:den>
            </m:f>
          </m:e>
        </m:d>
      </m:oMath>
      <w:r w:rsidR="009E3711">
        <w:rPr>
          <w:rFonts w:eastAsiaTheme="minorEastAsia"/>
        </w:rPr>
        <w:tab/>
      </w:r>
    </w:p>
    <w:p w14:paraId="3E4B57B5" w14:textId="6487D293" w:rsidR="00E25548" w:rsidRPr="00526E3F" w:rsidRDefault="00E25548" w:rsidP="00E25548">
      <w:r w:rsidRPr="00526E3F">
        <w:fldChar w:fldCharType="begin"/>
      </w:r>
      <w:r w:rsidRPr="00526E3F">
        <w:instrText xml:space="preserve"> REF _Ref7511823 \h </w:instrText>
      </w:r>
      <w:r w:rsidRPr="00526E3F">
        <w:fldChar w:fldCharType="separate"/>
      </w:r>
      <w:r w:rsidR="0020511F" w:rsidRPr="00526E3F">
        <w:t xml:space="preserve">Table </w:t>
      </w:r>
      <w:r w:rsidR="0020511F">
        <w:t>A3</w:t>
      </w:r>
      <w:r w:rsidRPr="00526E3F">
        <w:fldChar w:fldCharType="end"/>
      </w:r>
      <w:r w:rsidRPr="00526E3F">
        <w:t xml:space="preserve"> presents </w:t>
      </w:r>
      <w:r>
        <w:t xml:space="preserve">the </w:t>
      </w:r>
      <w:r w:rsidRPr="00526E3F">
        <w:t xml:space="preserve">population parameters </w:t>
      </w:r>
      <w:r>
        <w:t xml:space="preserve">used </w:t>
      </w:r>
      <w:r w:rsidRPr="00526E3F">
        <w:t>for a mixed population. The model may also be run with values specific to female and male populations.</w:t>
      </w:r>
    </w:p>
    <w:p w14:paraId="6B709D35" w14:textId="7B681806" w:rsidR="00E25548" w:rsidRPr="00526E3F" w:rsidRDefault="00E25548" w:rsidP="00E25548">
      <w:pPr>
        <w:pStyle w:val="Caption"/>
      </w:pPr>
      <w:bookmarkStart w:id="17" w:name="_Ref7511823"/>
      <w:r w:rsidRPr="00526E3F">
        <w:t xml:space="preserve">Table </w:t>
      </w:r>
      <w:r w:rsidR="009E3711">
        <w:t>A3</w:t>
      </w:r>
      <w:bookmarkEnd w:id="17"/>
      <w:r w:rsidR="00061BD6">
        <w:t xml:space="preserve">   </w:t>
      </w:r>
      <w:r w:rsidRPr="00526E3F">
        <w:t>SD flow parameter values</w:t>
      </w:r>
    </w:p>
    <w:tbl>
      <w:tblPr>
        <w:tblStyle w:val="TableGrid"/>
        <w:tblW w:w="694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984"/>
        <w:gridCol w:w="1559"/>
        <w:gridCol w:w="1984"/>
        <w:gridCol w:w="9"/>
      </w:tblGrid>
      <w:tr w:rsidR="00E25548" w:rsidRPr="00526E3F" w14:paraId="2241843E" w14:textId="77777777" w:rsidTr="00E25548">
        <w:trPr>
          <w:gridAfter w:val="1"/>
          <w:wAfter w:w="9" w:type="dxa"/>
          <w:cantSplit/>
          <w:jc w:val="center"/>
        </w:trPr>
        <w:tc>
          <w:tcPr>
            <w:tcW w:w="1413" w:type="dxa"/>
            <w:vMerge w:val="restart"/>
          </w:tcPr>
          <w:p w14:paraId="5A4BEE04" w14:textId="77777777" w:rsidR="00E25548" w:rsidRPr="007B2BA5" w:rsidRDefault="00E25548" w:rsidP="00E25548">
            <w:pPr>
              <w:spacing w:line="240" w:lineRule="auto"/>
              <w:rPr>
                <w:b/>
              </w:rPr>
            </w:pPr>
            <w:r w:rsidRPr="007B2BA5">
              <w:rPr>
                <w:b/>
              </w:rPr>
              <w:t>Age group</w:t>
            </w:r>
          </w:p>
        </w:tc>
        <w:tc>
          <w:tcPr>
            <w:tcW w:w="1984" w:type="dxa"/>
          </w:tcPr>
          <w:p w14:paraId="2DF701B8" w14:textId="77777777" w:rsidR="00E25548" w:rsidRPr="007B2BA5" w:rsidRDefault="00E25548" w:rsidP="00E25548">
            <w:pPr>
              <w:spacing w:line="240" w:lineRule="auto"/>
              <w:rPr>
                <w:b/>
              </w:rPr>
            </w:pPr>
            <w:r w:rsidRPr="007B2BA5">
              <w:rPr>
                <w:b/>
              </w:rPr>
              <w:t>CN mortality rate</w:t>
            </w:r>
          </w:p>
        </w:tc>
        <w:tc>
          <w:tcPr>
            <w:tcW w:w="1559" w:type="dxa"/>
          </w:tcPr>
          <w:p w14:paraId="7809C9C1" w14:textId="77777777" w:rsidR="00E25548" w:rsidRPr="007B2BA5" w:rsidRDefault="00E25548" w:rsidP="00E25548">
            <w:pPr>
              <w:spacing w:line="240" w:lineRule="auto"/>
              <w:rPr>
                <w:b/>
              </w:rPr>
            </w:pPr>
            <w:r w:rsidRPr="007B2BA5">
              <w:rPr>
                <w:b/>
              </w:rPr>
              <w:t>Incidence rate</w:t>
            </w:r>
          </w:p>
        </w:tc>
        <w:tc>
          <w:tcPr>
            <w:tcW w:w="1984" w:type="dxa"/>
          </w:tcPr>
          <w:p w14:paraId="2A8DF01E" w14:textId="77777777" w:rsidR="00E25548" w:rsidRPr="007B2BA5" w:rsidRDefault="00E25548" w:rsidP="00E25548">
            <w:pPr>
              <w:spacing w:line="240" w:lineRule="auto"/>
              <w:rPr>
                <w:b/>
              </w:rPr>
            </w:pPr>
            <w:r w:rsidRPr="007B2BA5">
              <w:rPr>
                <w:b/>
              </w:rPr>
              <w:t>PWD mortality rate</w:t>
            </w:r>
          </w:p>
        </w:tc>
      </w:tr>
      <w:tr w:rsidR="00E25548" w:rsidRPr="00526E3F" w14:paraId="7E2CC31F" w14:textId="77777777" w:rsidTr="00E25548">
        <w:trPr>
          <w:cantSplit/>
          <w:jc w:val="center"/>
        </w:trPr>
        <w:tc>
          <w:tcPr>
            <w:tcW w:w="1413" w:type="dxa"/>
            <w:vMerge/>
          </w:tcPr>
          <w:p w14:paraId="467B1417" w14:textId="77777777" w:rsidR="00E25548" w:rsidRPr="007B2BA5" w:rsidRDefault="00E25548" w:rsidP="00E25548">
            <w:pPr>
              <w:spacing w:line="240" w:lineRule="auto"/>
              <w:rPr>
                <w:b/>
              </w:rPr>
            </w:pPr>
          </w:p>
        </w:tc>
        <w:tc>
          <w:tcPr>
            <w:tcW w:w="5536" w:type="dxa"/>
            <w:gridSpan w:val="4"/>
          </w:tcPr>
          <w:p w14:paraId="7ABEA0D3" w14:textId="77777777" w:rsidR="00E25548" w:rsidRPr="007B2BA5" w:rsidRDefault="00E25548" w:rsidP="00E25548">
            <w:pPr>
              <w:spacing w:line="240" w:lineRule="auto"/>
              <w:jc w:val="center"/>
            </w:pPr>
            <w:r w:rsidRPr="007B2BA5">
              <w:t>cases per 1000 person-years</w:t>
            </w:r>
          </w:p>
        </w:tc>
      </w:tr>
      <w:tr w:rsidR="00E25548" w:rsidRPr="00526E3F" w14:paraId="7EDCAF9E" w14:textId="77777777" w:rsidTr="00E25548">
        <w:trPr>
          <w:gridAfter w:val="1"/>
          <w:wAfter w:w="9" w:type="dxa"/>
          <w:cantSplit/>
          <w:jc w:val="center"/>
        </w:trPr>
        <w:tc>
          <w:tcPr>
            <w:tcW w:w="1413" w:type="dxa"/>
          </w:tcPr>
          <w:p w14:paraId="164681DD" w14:textId="77777777" w:rsidR="00E25548" w:rsidRPr="00526E3F" w:rsidRDefault="00E25548" w:rsidP="00E25548">
            <w:pPr>
              <w:spacing w:line="240" w:lineRule="auto"/>
            </w:pPr>
            <w:r w:rsidRPr="00526E3F">
              <w:t>60-65</w:t>
            </w:r>
          </w:p>
        </w:tc>
        <w:tc>
          <w:tcPr>
            <w:tcW w:w="1984" w:type="dxa"/>
          </w:tcPr>
          <w:p w14:paraId="29F0A9AB" w14:textId="77777777" w:rsidR="00E25548" w:rsidRPr="00526E3F" w:rsidRDefault="00E25548" w:rsidP="00E25548">
            <w:pPr>
              <w:spacing w:line="240" w:lineRule="auto"/>
            </w:pPr>
            <w:r w:rsidRPr="00526E3F">
              <w:t>8</w:t>
            </w:r>
          </w:p>
        </w:tc>
        <w:tc>
          <w:tcPr>
            <w:tcW w:w="1559" w:type="dxa"/>
          </w:tcPr>
          <w:p w14:paraId="10A9C94F" w14:textId="77777777" w:rsidR="00E25548" w:rsidRPr="00526E3F" w:rsidRDefault="00E25548" w:rsidP="00E25548">
            <w:pPr>
              <w:spacing w:line="240" w:lineRule="auto"/>
            </w:pPr>
            <w:r w:rsidRPr="00526E3F">
              <w:t>-</w:t>
            </w:r>
          </w:p>
        </w:tc>
        <w:tc>
          <w:tcPr>
            <w:tcW w:w="1984" w:type="dxa"/>
          </w:tcPr>
          <w:p w14:paraId="5C9C9A6A" w14:textId="77777777" w:rsidR="00E25548" w:rsidRPr="00526E3F" w:rsidRDefault="00E25548" w:rsidP="00E25548">
            <w:pPr>
              <w:spacing w:line="240" w:lineRule="auto"/>
            </w:pPr>
            <w:r w:rsidRPr="00526E3F">
              <w:t>-</w:t>
            </w:r>
          </w:p>
        </w:tc>
      </w:tr>
      <w:tr w:rsidR="00E25548" w:rsidRPr="00526E3F" w14:paraId="398DFBE8" w14:textId="77777777" w:rsidTr="00E25548">
        <w:trPr>
          <w:gridAfter w:val="1"/>
          <w:wAfter w:w="9" w:type="dxa"/>
          <w:cantSplit/>
          <w:jc w:val="center"/>
        </w:trPr>
        <w:tc>
          <w:tcPr>
            <w:tcW w:w="1413" w:type="dxa"/>
          </w:tcPr>
          <w:p w14:paraId="734A3BCD" w14:textId="77777777" w:rsidR="00E25548" w:rsidRPr="00526E3F" w:rsidRDefault="00E25548" w:rsidP="00E25548">
            <w:pPr>
              <w:spacing w:line="240" w:lineRule="auto"/>
            </w:pPr>
            <w:r w:rsidRPr="00526E3F">
              <w:t>65-70</w:t>
            </w:r>
          </w:p>
        </w:tc>
        <w:tc>
          <w:tcPr>
            <w:tcW w:w="1984" w:type="dxa"/>
          </w:tcPr>
          <w:p w14:paraId="01E52DF9" w14:textId="77777777" w:rsidR="00E25548" w:rsidRPr="00526E3F" w:rsidRDefault="00E25548" w:rsidP="00E25548">
            <w:pPr>
              <w:spacing w:line="240" w:lineRule="auto"/>
            </w:pPr>
            <w:r w:rsidRPr="00526E3F">
              <w:t>12</w:t>
            </w:r>
          </w:p>
        </w:tc>
        <w:tc>
          <w:tcPr>
            <w:tcW w:w="1559" w:type="dxa"/>
          </w:tcPr>
          <w:p w14:paraId="50215EBB" w14:textId="77777777" w:rsidR="00E25548" w:rsidRPr="00526E3F" w:rsidRDefault="00E25548" w:rsidP="00E25548">
            <w:pPr>
              <w:spacing w:line="240" w:lineRule="auto"/>
            </w:pPr>
            <w:r w:rsidRPr="00526E3F">
              <w:t>5</w:t>
            </w:r>
          </w:p>
        </w:tc>
        <w:tc>
          <w:tcPr>
            <w:tcW w:w="1984" w:type="dxa"/>
          </w:tcPr>
          <w:p w14:paraId="2B3C0B65" w14:textId="77777777" w:rsidR="00E25548" w:rsidRPr="00526E3F" w:rsidRDefault="00E25548" w:rsidP="00E25548">
            <w:pPr>
              <w:spacing w:line="240" w:lineRule="auto"/>
            </w:pPr>
            <w:r w:rsidRPr="00526E3F">
              <w:t>18</w:t>
            </w:r>
          </w:p>
        </w:tc>
      </w:tr>
      <w:tr w:rsidR="00E25548" w:rsidRPr="00526E3F" w14:paraId="52F50071" w14:textId="77777777" w:rsidTr="00E25548">
        <w:trPr>
          <w:gridAfter w:val="1"/>
          <w:wAfter w:w="9" w:type="dxa"/>
          <w:cantSplit/>
          <w:jc w:val="center"/>
        </w:trPr>
        <w:tc>
          <w:tcPr>
            <w:tcW w:w="1413" w:type="dxa"/>
          </w:tcPr>
          <w:p w14:paraId="1705C16F" w14:textId="77777777" w:rsidR="00E25548" w:rsidRPr="00526E3F" w:rsidRDefault="00E25548" w:rsidP="00E25548">
            <w:pPr>
              <w:spacing w:line="240" w:lineRule="auto"/>
            </w:pPr>
            <w:r w:rsidRPr="00526E3F">
              <w:t>70-75</w:t>
            </w:r>
          </w:p>
        </w:tc>
        <w:tc>
          <w:tcPr>
            <w:tcW w:w="1984" w:type="dxa"/>
          </w:tcPr>
          <w:p w14:paraId="52DA841C" w14:textId="77777777" w:rsidR="00E25548" w:rsidRPr="00526E3F" w:rsidRDefault="00E25548" w:rsidP="00E25548">
            <w:pPr>
              <w:spacing w:line="240" w:lineRule="auto"/>
            </w:pPr>
            <w:r w:rsidRPr="00526E3F">
              <w:t>20</w:t>
            </w:r>
          </w:p>
        </w:tc>
        <w:tc>
          <w:tcPr>
            <w:tcW w:w="1559" w:type="dxa"/>
          </w:tcPr>
          <w:p w14:paraId="240AF646" w14:textId="77777777" w:rsidR="00E25548" w:rsidRPr="00526E3F" w:rsidRDefault="00E25548" w:rsidP="00E25548">
            <w:pPr>
              <w:spacing w:line="240" w:lineRule="auto"/>
            </w:pPr>
            <w:r w:rsidRPr="00526E3F">
              <w:t>8</w:t>
            </w:r>
          </w:p>
        </w:tc>
        <w:tc>
          <w:tcPr>
            <w:tcW w:w="1984" w:type="dxa"/>
          </w:tcPr>
          <w:p w14:paraId="53969593" w14:textId="77777777" w:rsidR="00E25548" w:rsidRPr="00526E3F" w:rsidRDefault="00E25548" w:rsidP="00E25548">
            <w:pPr>
              <w:spacing w:line="240" w:lineRule="auto"/>
            </w:pPr>
            <w:r w:rsidRPr="00526E3F">
              <w:t>30</w:t>
            </w:r>
          </w:p>
        </w:tc>
      </w:tr>
      <w:tr w:rsidR="00E25548" w:rsidRPr="00526E3F" w14:paraId="12624AA7" w14:textId="77777777" w:rsidTr="00E25548">
        <w:trPr>
          <w:gridAfter w:val="1"/>
          <w:wAfter w:w="9" w:type="dxa"/>
          <w:cantSplit/>
          <w:jc w:val="center"/>
        </w:trPr>
        <w:tc>
          <w:tcPr>
            <w:tcW w:w="1413" w:type="dxa"/>
          </w:tcPr>
          <w:p w14:paraId="1C1ED94D" w14:textId="77777777" w:rsidR="00E25548" w:rsidRPr="00526E3F" w:rsidRDefault="00E25548" w:rsidP="00E25548">
            <w:pPr>
              <w:spacing w:line="240" w:lineRule="auto"/>
            </w:pPr>
            <w:r w:rsidRPr="00526E3F">
              <w:t>75-80</w:t>
            </w:r>
          </w:p>
        </w:tc>
        <w:tc>
          <w:tcPr>
            <w:tcW w:w="1984" w:type="dxa"/>
          </w:tcPr>
          <w:p w14:paraId="6683282D" w14:textId="77777777" w:rsidR="00E25548" w:rsidRPr="00526E3F" w:rsidRDefault="00E25548" w:rsidP="00E25548">
            <w:pPr>
              <w:spacing w:line="240" w:lineRule="auto"/>
            </w:pPr>
            <w:r w:rsidRPr="00526E3F">
              <w:t>34</w:t>
            </w:r>
          </w:p>
        </w:tc>
        <w:tc>
          <w:tcPr>
            <w:tcW w:w="1559" w:type="dxa"/>
          </w:tcPr>
          <w:p w14:paraId="50A931F2" w14:textId="77777777" w:rsidR="00E25548" w:rsidRPr="00526E3F" w:rsidRDefault="00E25548" w:rsidP="00E25548">
            <w:pPr>
              <w:spacing w:line="240" w:lineRule="auto"/>
            </w:pPr>
            <w:r w:rsidRPr="00526E3F">
              <w:t>16</w:t>
            </w:r>
          </w:p>
        </w:tc>
        <w:tc>
          <w:tcPr>
            <w:tcW w:w="1984" w:type="dxa"/>
          </w:tcPr>
          <w:p w14:paraId="05EDE477" w14:textId="77777777" w:rsidR="00E25548" w:rsidRPr="00526E3F" w:rsidRDefault="00E25548" w:rsidP="00E25548">
            <w:pPr>
              <w:spacing w:line="240" w:lineRule="auto"/>
            </w:pPr>
            <w:r w:rsidRPr="00526E3F">
              <w:t>51</w:t>
            </w:r>
          </w:p>
        </w:tc>
      </w:tr>
      <w:tr w:rsidR="00E25548" w:rsidRPr="00526E3F" w14:paraId="6E41B81E" w14:textId="77777777" w:rsidTr="00E25548">
        <w:trPr>
          <w:gridAfter w:val="1"/>
          <w:wAfter w:w="9" w:type="dxa"/>
          <w:cantSplit/>
          <w:jc w:val="center"/>
        </w:trPr>
        <w:tc>
          <w:tcPr>
            <w:tcW w:w="1413" w:type="dxa"/>
          </w:tcPr>
          <w:p w14:paraId="5FD69C97" w14:textId="77777777" w:rsidR="00E25548" w:rsidRPr="00526E3F" w:rsidRDefault="00E25548" w:rsidP="00E25548">
            <w:pPr>
              <w:spacing w:line="240" w:lineRule="auto"/>
            </w:pPr>
            <w:r w:rsidRPr="00526E3F">
              <w:t>80-85</w:t>
            </w:r>
          </w:p>
        </w:tc>
        <w:tc>
          <w:tcPr>
            <w:tcW w:w="1984" w:type="dxa"/>
          </w:tcPr>
          <w:p w14:paraId="47424856" w14:textId="77777777" w:rsidR="00E25548" w:rsidRPr="00526E3F" w:rsidRDefault="00E25548" w:rsidP="00E25548">
            <w:pPr>
              <w:spacing w:line="240" w:lineRule="auto"/>
            </w:pPr>
            <w:r w:rsidRPr="00526E3F">
              <w:t>62</w:t>
            </w:r>
          </w:p>
        </w:tc>
        <w:tc>
          <w:tcPr>
            <w:tcW w:w="1559" w:type="dxa"/>
          </w:tcPr>
          <w:p w14:paraId="54DDF245" w14:textId="77777777" w:rsidR="00E25548" w:rsidRPr="00526E3F" w:rsidRDefault="00E25548" w:rsidP="00E25548">
            <w:pPr>
              <w:spacing w:line="240" w:lineRule="auto"/>
            </w:pPr>
            <w:r w:rsidRPr="00526E3F">
              <w:t>25</w:t>
            </w:r>
          </w:p>
        </w:tc>
        <w:tc>
          <w:tcPr>
            <w:tcW w:w="1984" w:type="dxa"/>
          </w:tcPr>
          <w:p w14:paraId="61A4118A" w14:textId="77777777" w:rsidR="00E25548" w:rsidRPr="00526E3F" w:rsidRDefault="00E25548" w:rsidP="00E25548">
            <w:pPr>
              <w:spacing w:line="240" w:lineRule="auto"/>
            </w:pPr>
            <w:r w:rsidRPr="00526E3F">
              <w:t>93</w:t>
            </w:r>
          </w:p>
        </w:tc>
      </w:tr>
      <w:tr w:rsidR="00E25548" w:rsidRPr="00526E3F" w14:paraId="4C1C5598" w14:textId="77777777" w:rsidTr="00E25548">
        <w:trPr>
          <w:gridAfter w:val="1"/>
          <w:wAfter w:w="9" w:type="dxa"/>
          <w:cantSplit/>
          <w:jc w:val="center"/>
        </w:trPr>
        <w:tc>
          <w:tcPr>
            <w:tcW w:w="1413" w:type="dxa"/>
          </w:tcPr>
          <w:p w14:paraId="6A4140B2" w14:textId="77777777" w:rsidR="00E25548" w:rsidRPr="00526E3F" w:rsidRDefault="00E25548" w:rsidP="00E25548">
            <w:pPr>
              <w:spacing w:line="240" w:lineRule="auto"/>
            </w:pPr>
            <w:r w:rsidRPr="00526E3F">
              <w:t>85-90</w:t>
            </w:r>
          </w:p>
        </w:tc>
        <w:tc>
          <w:tcPr>
            <w:tcW w:w="1984" w:type="dxa"/>
          </w:tcPr>
          <w:p w14:paraId="645BD8C9" w14:textId="77777777" w:rsidR="00E25548" w:rsidRPr="00526E3F" w:rsidRDefault="00E25548" w:rsidP="00E25548">
            <w:pPr>
              <w:spacing w:line="240" w:lineRule="auto"/>
            </w:pPr>
            <w:r w:rsidRPr="00526E3F">
              <w:t>112</w:t>
            </w:r>
          </w:p>
        </w:tc>
        <w:tc>
          <w:tcPr>
            <w:tcW w:w="1559" w:type="dxa"/>
          </w:tcPr>
          <w:p w14:paraId="329874FB" w14:textId="77777777" w:rsidR="00E25548" w:rsidRPr="00526E3F" w:rsidRDefault="00E25548" w:rsidP="00E25548">
            <w:pPr>
              <w:spacing w:line="240" w:lineRule="auto"/>
            </w:pPr>
            <w:r w:rsidRPr="00526E3F">
              <w:t>39</w:t>
            </w:r>
          </w:p>
        </w:tc>
        <w:tc>
          <w:tcPr>
            <w:tcW w:w="1984" w:type="dxa"/>
          </w:tcPr>
          <w:p w14:paraId="1DCC927C" w14:textId="77777777" w:rsidR="00E25548" w:rsidRPr="00526E3F" w:rsidRDefault="00E25548" w:rsidP="00E25548">
            <w:pPr>
              <w:spacing w:line="240" w:lineRule="auto"/>
            </w:pPr>
            <w:r w:rsidRPr="00526E3F">
              <w:t>168</w:t>
            </w:r>
          </w:p>
        </w:tc>
      </w:tr>
      <w:tr w:rsidR="00E25548" w:rsidRPr="00526E3F" w14:paraId="32304E02" w14:textId="77777777" w:rsidTr="00E25548">
        <w:trPr>
          <w:gridAfter w:val="1"/>
          <w:wAfter w:w="9" w:type="dxa"/>
          <w:cantSplit/>
          <w:jc w:val="center"/>
        </w:trPr>
        <w:tc>
          <w:tcPr>
            <w:tcW w:w="1413" w:type="dxa"/>
          </w:tcPr>
          <w:p w14:paraId="760C8B0C" w14:textId="77777777" w:rsidR="00E25548" w:rsidRPr="00526E3F" w:rsidRDefault="00E25548" w:rsidP="00E25548">
            <w:pPr>
              <w:spacing w:line="240" w:lineRule="auto"/>
            </w:pPr>
            <w:r w:rsidRPr="00526E3F">
              <w:t>90-95</w:t>
            </w:r>
          </w:p>
        </w:tc>
        <w:tc>
          <w:tcPr>
            <w:tcW w:w="1984" w:type="dxa"/>
          </w:tcPr>
          <w:p w14:paraId="5A3F3B9A" w14:textId="77777777" w:rsidR="00E25548" w:rsidRPr="00526E3F" w:rsidRDefault="00E25548" w:rsidP="00E25548">
            <w:pPr>
              <w:spacing w:line="240" w:lineRule="auto"/>
            </w:pPr>
            <w:r w:rsidRPr="00526E3F">
              <w:t>191</w:t>
            </w:r>
          </w:p>
        </w:tc>
        <w:tc>
          <w:tcPr>
            <w:tcW w:w="1559" w:type="dxa"/>
          </w:tcPr>
          <w:p w14:paraId="46DE60AE" w14:textId="77777777" w:rsidR="00E25548" w:rsidRPr="00526E3F" w:rsidRDefault="00E25548" w:rsidP="00E25548">
            <w:pPr>
              <w:spacing w:line="240" w:lineRule="auto"/>
            </w:pPr>
            <w:r w:rsidRPr="00526E3F">
              <w:t>63</w:t>
            </w:r>
          </w:p>
        </w:tc>
        <w:tc>
          <w:tcPr>
            <w:tcW w:w="1984" w:type="dxa"/>
          </w:tcPr>
          <w:p w14:paraId="5C2FD5F7" w14:textId="77777777" w:rsidR="00E25548" w:rsidRPr="00526E3F" w:rsidRDefault="00E25548" w:rsidP="00E25548">
            <w:pPr>
              <w:spacing w:line="240" w:lineRule="auto"/>
            </w:pPr>
            <w:r w:rsidRPr="00526E3F">
              <w:t>287</w:t>
            </w:r>
          </w:p>
        </w:tc>
      </w:tr>
      <w:tr w:rsidR="00E25548" w:rsidRPr="00526E3F" w14:paraId="20F16932" w14:textId="77777777" w:rsidTr="00E25548">
        <w:trPr>
          <w:gridAfter w:val="1"/>
          <w:wAfter w:w="9" w:type="dxa"/>
          <w:cantSplit/>
          <w:trHeight w:val="96"/>
          <w:jc w:val="center"/>
        </w:trPr>
        <w:tc>
          <w:tcPr>
            <w:tcW w:w="1413" w:type="dxa"/>
          </w:tcPr>
          <w:p w14:paraId="022D5E13" w14:textId="77777777" w:rsidR="00E25548" w:rsidRPr="00526E3F" w:rsidRDefault="00E25548" w:rsidP="00E25548">
            <w:pPr>
              <w:spacing w:line="240" w:lineRule="auto"/>
            </w:pPr>
            <w:r w:rsidRPr="00526E3F">
              <w:t>95-100</w:t>
            </w:r>
          </w:p>
        </w:tc>
        <w:tc>
          <w:tcPr>
            <w:tcW w:w="1984" w:type="dxa"/>
          </w:tcPr>
          <w:p w14:paraId="217EACFC" w14:textId="77777777" w:rsidR="00E25548" w:rsidRPr="00526E3F" w:rsidRDefault="00E25548" w:rsidP="00E25548">
            <w:pPr>
              <w:spacing w:line="240" w:lineRule="auto"/>
            </w:pPr>
            <w:r w:rsidRPr="00526E3F">
              <w:t>308</w:t>
            </w:r>
          </w:p>
        </w:tc>
        <w:tc>
          <w:tcPr>
            <w:tcW w:w="1559" w:type="dxa"/>
          </w:tcPr>
          <w:p w14:paraId="13BF0E3A" w14:textId="77777777" w:rsidR="00E25548" w:rsidRPr="00526E3F" w:rsidRDefault="00E25548" w:rsidP="00E25548">
            <w:pPr>
              <w:spacing w:line="240" w:lineRule="auto"/>
            </w:pPr>
            <w:r w:rsidRPr="00526E3F">
              <w:t>110</w:t>
            </w:r>
          </w:p>
        </w:tc>
        <w:tc>
          <w:tcPr>
            <w:tcW w:w="1984" w:type="dxa"/>
          </w:tcPr>
          <w:p w14:paraId="239186E9" w14:textId="77777777" w:rsidR="00E25548" w:rsidRPr="00526E3F" w:rsidRDefault="00E25548" w:rsidP="00E25548">
            <w:pPr>
              <w:spacing w:line="240" w:lineRule="auto"/>
            </w:pPr>
            <w:r w:rsidRPr="00526E3F">
              <w:t>462</w:t>
            </w:r>
          </w:p>
        </w:tc>
      </w:tr>
      <w:tr w:rsidR="00E25548" w:rsidRPr="00526E3F" w14:paraId="67B59967" w14:textId="77777777" w:rsidTr="00E25548">
        <w:trPr>
          <w:gridAfter w:val="1"/>
          <w:wAfter w:w="9" w:type="dxa"/>
          <w:cantSplit/>
          <w:jc w:val="center"/>
        </w:trPr>
        <w:tc>
          <w:tcPr>
            <w:tcW w:w="1413" w:type="dxa"/>
          </w:tcPr>
          <w:p w14:paraId="685D60C1" w14:textId="77777777" w:rsidR="00E25548" w:rsidRPr="00526E3F" w:rsidRDefault="00E25548" w:rsidP="00E25548">
            <w:pPr>
              <w:spacing w:line="240" w:lineRule="auto"/>
            </w:pPr>
            <w:r w:rsidRPr="00526E3F">
              <w:t>100-105</w:t>
            </w:r>
          </w:p>
        </w:tc>
        <w:tc>
          <w:tcPr>
            <w:tcW w:w="1984" w:type="dxa"/>
          </w:tcPr>
          <w:p w14:paraId="6155B1CA" w14:textId="77777777" w:rsidR="00E25548" w:rsidRPr="00526E3F" w:rsidRDefault="00E25548" w:rsidP="00E25548">
            <w:pPr>
              <w:spacing w:line="240" w:lineRule="auto"/>
            </w:pPr>
            <w:r w:rsidRPr="00526E3F">
              <w:t>308</w:t>
            </w:r>
          </w:p>
        </w:tc>
        <w:tc>
          <w:tcPr>
            <w:tcW w:w="1559" w:type="dxa"/>
          </w:tcPr>
          <w:p w14:paraId="2F927EE1" w14:textId="77777777" w:rsidR="00E25548" w:rsidRPr="00526E3F" w:rsidRDefault="00E25548" w:rsidP="00E25548">
            <w:pPr>
              <w:spacing w:line="240" w:lineRule="auto"/>
            </w:pPr>
            <w:r w:rsidRPr="00526E3F">
              <w:t>150</w:t>
            </w:r>
          </w:p>
        </w:tc>
        <w:tc>
          <w:tcPr>
            <w:tcW w:w="1984" w:type="dxa"/>
          </w:tcPr>
          <w:p w14:paraId="221A582E" w14:textId="77777777" w:rsidR="00E25548" w:rsidRPr="00526E3F" w:rsidRDefault="00E25548" w:rsidP="00E25548">
            <w:pPr>
              <w:spacing w:line="240" w:lineRule="auto"/>
            </w:pPr>
            <w:r w:rsidRPr="00526E3F">
              <w:t>462</w:t>
            </w:r>
          </w:p>
        </w:tc>
      </w:tr>
    </w:tbl>
    <w:p w14:paraId="3CCAE334" w14:textId="77777777" w:rsidR="00E25548" w:rsidRPr="00526E3F" w:rsidRDefault="00E25548" w:rsidP="00E25548">
      <w:pPr>
        <w:pStyle w:val="Heading2"/>
      </w:pPr>
    </w:p>
    <w:p w14:paraId="4E7B131D" w14:textId="118EF768" w:rsidR="00E25548" w:rsidRPr="00FF4E01" w:rsidRDefault="00E25548" w:rsidP="00FF4E01">
      <w:pPr>
        <w:pStyle w:val="AppendixSubheading"/>
      </w:pPr>
      <w:r w:rsidRPr="00FF4E01">
        <w:t>Agent based model –</w:t>
      </w:r>
      <w:r w:rsidR="003F042E" w:rsidRPr="00FF4E01">
        <w:t xml:space="preserve"> dementia progression</w:t>
      </w:r>
      <w:r w:rsidRPr="00FF4E01">
        <w:t xml:space="preserve"> parameter values</w:t>
      </w:r>
    </w:p>
    <w:p w14:paraId="6299157A" w14:textId="77777777" w:rsidR="00E25548" w:rsidRDefault="00E25548" w:rsidP="00E25548">
      <w:r w:rsidRPr="00526E3F">
        <w:t xml:space="preserve">A key set of parameters were the severity progression rates for the three progression types. Cognitive and functional assessments results for 1736 patients </w:t>
      </w:r>
      <w:r w:rsidRPr="00526E3F">
        <w:fldChar w:fldCharType="begin" w:fldLock="1"/>
      </w:r>
      <w:r w:rsidRPr="00526E3F">
        <w:instrText>ADDIN CSL_CITATION {"citationItems":[{"id":"ITEM-1","itemData":{"URL":"http://adni.loni.usc.edu/","abstract":"Data used in the preparation of this article were obtained from the Alzheimer’s Disease Neuroimaging Initiative (ADNI) database (adni.loni.usc.edu). The ADNI was launched in 2003 as a public-private partnership, led by Principal Investigator Michael W. Weiner, MD. The primary goal of ADNI has been to test whether serial magnetic resonance imaging (MRI), positron emission tomography (PET), other biological markers, and clinical and neuropsychological assessment can be combined to measure the progression of mild cognitive impairment (MCI) and early Alzheimer’s disease (AD).","accessed":{"date-parts":[["2017","2","1"]]},"author":[{"dropping-particle":"","family":"ADNI","given":"","non-dropping-particle":"","parse-names":false,"suffix":""}],"id":"ITEM-1","issued":{"date-parts":[["2016"]]},"title":"Alzheimer’s Disease Neuroimaging Initiative","type":"webpage"},"uris":["http://www.mendeley.com/documents/?uuid=833aff0e-ab50-4d0d-9dfb-11b2b7cbe8c6"]}],"mendeley":{"formattedCitation":"(ADNI, 2016)","plainTextFormattedCitation":"(ADNI, 2016)","previouslyFormattedCitation":"(ADNI, 2016)"},"properties":{"noteIndex":0},"schema":"https://github.com/citation-style-language/schema/raw/master/csl-citation.json"}</w:instrText>
      </w:r>
      <w:r w:rsidRPr="00526E3F">
        <w:fldChar w:fldCharType="separate"/>
      </w:r>
      <w:r w:rsidRPr="00526E3F">
        <w:rPr>
          <w:noProof/>
        </w:rPr>
        <w:t>(ADNI, 2016)</w:t>
      </w:r>
      <w:r w:rsidRPr="00526E3F">
        <w:fldChar w:fldCharType="end"/>
      </w:r>
      <w:r>
        <w:t xml:space="preserve">, </w:t>
      </w:r>
      <w:r w:rsidRPr="00D34A24">
        <w:t>obtained from the Alzheimer’s Disease Neuroimaging Initiative (AD</w:t>
      </w:r>
      <w:r>
        <w:t>NI) database</w:t>
      </w:r>
      <w:r w:rsidRPr="00D34A24">
        <w:t>.</w:t>
      </w:r>
    </w:p>
    <w:p w14:paraId="25D9D046" w14:textId="77777777" w:rsidR="00E25548" w:rsidRDefault="00E25548" w:rsidP="00E25548">
      <w:r w:rsidRPr="00526E3F">
        <w:t xml:space="preserve">were partitioned using a longitudinal clustering method to identify progression type membership </w:t>
      </w:r>
      <w:r w:rsidRPr="00526E3F">
        <w:fldChar w:fldCharType="begin" w:fldLock="1"/>
      </w:r>
      <w:r w:rsidRPr="00526E3F">
        <w:instrText>ADDIN CSL_CITATION {"citationItems":[{"id":"ITEM-1","itemData":{"ISBN":"9781420065213","ISSN":"1548-7660","abstract":"Longitudinal studies are essential tools in medical research. In these studies, variables are not restricted to single measurements but can be seen as variable-trajectories, either single or joint. Thus, an important question concerns the identification of homogeneous patient trajectories. kml and kml3d are R packages providing an implementation of k-means designed to work specifically on trajectories (kml) or on joint trajectories (kml3d). They provide various tools to work on longitudinal data: imputation methods for trajectories (nine classic and one original), methods to define starting conditions in k-means (four classic and three original) and quality criteria to choose the best number of clusters (four classic and one original). In addition, they offer graphic facilities to “visualize” the trajectories, either in 2D (single trajectory) or 3D (joint-trajectories). The 3D graph representing the mean joint-trajectories of each cluster can be exported through L ATEX in a 3D dynamic rotating PDF graph (Figures 1 and 9).","author":[{"dropping-particle":"","family":"Genolini","given":"C","non-dropping-particle":"","parse-names":false,"suffix":""},{"dropping-particle":"","family":"Alacoque","given":"X","non-dropping-particle":"","parse-names":false,"suffix":""},{"dropping-particle":"","family":"Sentenac","given":"M","non-dropping-particle":"","parse-names":false,"suffix":""},{"dropping-particle":"","family":"Arnaud","given":"C","non-dropping-particle":"","parse-names":false,"suffix":""}],"container-title":"Journal of Statistical Software","id":"ITEM-1","issue":"4","issued":{"date-parts":[["2015"]]},"page":"1-34","title":"kml and kml3d: R Packages to Cluster Longitudinal Data","type":"article-journal","volume":"65"},"uris":["http://www.mendeley.com/documents/?uuid=cb8f80df-893a-4a2b-ac7f-94ba0fd65dd4"]},{"id":"ITEM-2","itemData":{"DOI":"10.1016/j.cmpb.2012.08.016","ISBN":"0169-2607","ISSN":"01692607","PMID":"23127283","abstract":"In cohort studies, variables are measured repeatedly and can be considered as trajectories. A classic way to work with trajectories is to cluster them in order to detect the existence of homogeneous patterns of evolution.Since cohort studies usually measure a large number of variables, it might be interesting to study the joint evolution of several variables (also called joint-variable trajectories). To date, the only way to cluster joint-trajectories is to cluster each trajectory independently, then to cross the partitions obtained. This approach is unsatisfactory because it does not take into account a possible co-evolution of variable-trajectories.KmL3D is an R package that implements a version of k-means dedicated to clustering joint-trajectories. It provides facilities for the management of missing values, offers several quality criteria and its graphic interface helps the user to select the best partition. KmL3D can work with any number of joint-variable trajectories. In the restricted case of two joint trajectories, it proposes 3D tools to visualize the partitioning and then export 3D dynamic rotating-graphs to PDF format. © 2012 Elsevier Ireland Ltd.","author":[{"dropping-particle":"","family":"Genolini","given":"C.","non-dropping-particle":"","parse-names":false,"suffix":""},{"dropping-particle":"","family":"Pingault","given":"J. B.","non-dropping-particle":"","parse-names":false,"suffix":""},{"dropping-particle":"","family":"Driss","given":"T.","non-dropping-particle":"","parse-names":false,"suffix":""},{"dropping-particle":"","family":"Côté","given":"S.","non-dropping-particle":"","parse-names":false,"suffix":""},{"dropping-particle":"","family":"Tremblay","given":"R. E.","non-dropping-particle":"","parse-names":false,"suffix":""},{"dropping-particle":"","family":"Vitaro","given":"F.","non-dropping-particle":"","parse-names":false,"suffix":""},{"dropping-particle":"","family":"Arnaud","given":"C.","non-dropping-particle":"","parse-names":false,"suffix":""},{"dropping-particle":"","family":"Falissard","given":"B.","non-dropping-particle":"","parse-names":false,"suffix":""}],"container-title":"Computer Methods and Programs in Biomedicine","id":"ITEM-2","issue":"1","issued":{"date-parts":[["2013"]]},"page":"104-111","title":"KmL3D: A non-parametric algorithm for clustering joint trajectories","type":"article-journal","volume":"109"},"uris":["http://www.mendeley.com/documents/?uuid=f31951bb-e212-434c-8f56-2788671c6d23"]}],"mendeley":{"formattedCitation":"(Genolini et al., 2015; Genolini et al., 2013)","plainTextFormattedCitation":"(Genolini et al., 2015; Genolini et al., 2013)","previouslyFormattedCitation":"(Genolini et al., 2015; Genolini et al., 2013)"},"properties":{"noteIndex":0},"schema":"https://github.com/citation-style-language/schema/raw/master/csl-citation.json"}</w:instrText>
      </w:r>
      <w:r w:rsidRPr="00526E3F">
        <w:fldChar w:fldCharType="separate"/>
      </w:r>
      <w:r w:rsidRPr="00526E3F">
        <w:rPr>
          <w:noProof/>
        </w:rPr>
        <w:t>(Genolini et al., 2015; Genolini et al., 2013)</w:t>
      </w:r>
      <w:r w:rsidRPr="00526E3F">
        <w:fldChar w:fldCharType="end"/>
      </w:r>
      <w:r w:rsidRPr="00526E3F">
        <w:t xml:space="preserve">, and then mixed-effects regression was used to estimate fixed and random </w:t>
      </w:r>
      <w:r>
        <w:t xml:space="preserve">effects progression </w:t>
      </w:r>
      <w:r w:rsidRPr="00526E3F">
        <w:t xml:space="preserve">coefficients. These were used to parameterise individual agent-based cognitive decline. </w:t>
      </w:r>
    </w:p>
    <w:p w14:paraId="3017D6F0" w14:textId="77777777" w:rsidR="00E25548" w:rsidRPr="00526E3F" w:rsidRDefault="00E25548" w:rsidP="00E25548">
      <w:r w:rsidRPr="00526E3F">
        <w:t>The mathematical formulation of the mixed-effects regression model is:-</w:t>
      </w:r>
    </w:p>
    <w:p w14:paraId="1D9D6FEF" w14:textId="0E93A195" w:rsidR="00E25548" w:rsidRPr="00526E3F" w:rsidRDefault="00E25548" w:rsidP="00E25548">
      <w:pPr>
        <w:tabs>
          <w:tab w:val="right" w:pos="8789"/>
        </w:tabs>
      </w:pPr>
      <m:oMath>
        <m:r>
          <w:rPr>
            <w:rFonts w:ascii="Cambria Math" w:hAnsi="Cambria Math"/>
          </w:rPr>
          <m:t>MMS</m:t>
        </m:r>
        <m:sSub>
          <m:sSubPr>
            <m:ctrlPr>
              <w:rPr>
                <w:rFonts w:ascii="Cambria Math" w:hAnsi="Cambria Math"/>
              </w:rPr>
            </m:ctrlPr>
          </m:sSubPr>
          <m:e>
            <m:r>
              <w:rPr>
                <w:rFonts w:ascii="Cambria Math" w:hAnsi="Cambria Math"/>
              </w:rPr>
              <m:t>E</m:t>
            </m:r>
          </m:e>
          <m:sub>
            <m:r>
              <w:rPr>
                <w:rFonts w:ascii="Cambria Math" w:hAnsi="Cambria Math"/>
              </w:rPr>
              <m:t>ij</m:t>
            </m:r>
          </m:sub>
        </m:sSub>
        <m:r>
          <m:rPr>
            <m:sty m:val="p"/>
          </m:rPr>
          <w:rPr>
            <w:rFonts w:ascii="Cambria Math" w:hAnsi="Cambria Math"/>
          </w:rPr>
          <m:t>(</m:t>
        </m:r>
        <m:r>
          <w:rPr>
            <w:rFonts w:ascii="Cambria Math" w:hAnsi="Cambria Math"/>
          </w:rPr>
          <m:t>month</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μ</m:t>
                </m:r>
              </m:e>
              <m:sub>
                <m:r>
                  <m:rPr>
                    <m:sty m:val="p"/>
                  </m:rPr>
                  <w:rPr>
                    <w:rFonts w:ascii="Cambria Math" w:hAnsi="Cambria Math"/>
                  </w:rPr>
                  <m:t>0,</m:t>
                </m:r>
                <m:r>
                  <w:rPr>
                    <w:rFonts w:ascii="Cambria Math" w:hAnsi="Cambria Math"/>
                  </w:rPr>
                  <m:t>i</m:t>
                </m:r>
              </m:sub>
            </m:sSub>
            <m:r>
              <m:rPr>
                <m:sty m:val="p"/>
              </m:rPr>
              <w:rPr>
                <w:rFonts w:ascii="Cambria Math" w:hAnsi="Cambria Math"/>
              </w:rPr>
              <m:t xml:space="preserve">+ </m:t>
            </m:r>
            <m:r>
              <w:rPr>
                <w:rFonts w:ascii="Cambria Math" w:hAnsi="Cambria Math"/>
              </w:rPr>
              <m:t>N</m:t>
            </m:r>
            <m:d>
              <m:dPr>
                <m:ctrlPr>
                  <w:rPr>
                    <w:rFonts w:ascii="Cambria Math" w:hAnsi="Cambria Math"/>
                  </w:rPr>
                </m:ctrlPr>
              </m:dPr>
              <m:e>
                <m:r>
                  <m:rPr>
                    <m:sty m:val="p"/>
                  </m:rPr>
                  <w:rPr>
                    <w:rFonts w:ascii="Cambria Math" w:hAnsi="Cambria Math"/>
                  </w:rPr>
                  <m:t>0,</m:t>
                </m:r>
                <m:sSubSup>
                  <m:sSubSupPr>
                    <m:ctrlPr>
                      <w:rPr>
                        <w:rFonts w:ascii="Cambria Math" w:hAnsi="Cambria Math"/>
                      </w:rPr>
                    </m:ctrlPr>
                  </m:sSubSupPr>
                  <m:e>
                    <m:r>
                      <w:rPr>
                        <w:rFonts w:ascii="Cambria Math" w:hAnsi="Cambria Math"/>
                      </w:rPr>
                      <m:t>σ</m:t>
                    </m:r>
                  </m:e>
                  <m:sub>
                    <m:r>
                      <m:rPr>
                        <m:sty m:val="p"/>
                      </m:rPr>
                      <w:rPr>
                        <w:rFonts w:ascii="Cambria Math" w:hAnsi="Cambria Math"/>
                      </w:rPr>
                      <m:t>0,</m:t>
                    </m:r>
                    <m:r>
                      <w:rPr>
                        <w:rFonts w:ascii="Cambria Math" w:hAnsi="Cambria Math"/>
                      </w:rPr>
                      <m:t>i</m:t>
                    </m:r>
                    <m:r>
                      <m:rPr>
                        <m:sty m:val="p"/>
                      </m:rPr>
                      <w:rPr>
                        <w:rFonts w:ascii="Cambria Math" w:hAnsi="Cambria Math"/>
                      </w:rPr>
                      <m:t>,</m:t>
                    </m:r>
                    <m:r>
                      <w:rPr>
                        <w:rFonts w:ascii="Cambria Math" w:hAnsi="Cambria Math"/>
                      </w:rPr>
                      <m:t>j</m:t>
                    </m:r>
                  </m:sub>
                  <m:sup>
                    <m:r>
                      <m:rPr>
                        <m:sty m:val="p"/>
                      </m:rPr>
                      <w:rPr>
                        <w:rFonts w:ascii="Cambria Math" w:hAnsi="Cambria Math"/>
                      </w:rPr>
                      <m:t>2</m:t>
                    </m:r>
                  </m:sup>
                </m:sSubSup>
              </m:e>
            </m:d>
          </m:e>
        </m:d>
        <m:r>
          <m:rPr>
            <m:sty m:val="p"/>
          </m:rPr>
          <w:rPr>
            <w:rFonts w:ascii="Cambria Math" w:hAnsi="Cambria Math"/>
          </w:rPr>
          <m:t xml:space="preserve"> +[</m:t>
        </m:r>
        <m:sSub>
          <m:sSubPr>
            <m:ctrlPr>
              <w:rPr>
                <w:rFonts w:ascii="Cambria Math" w:hAnsi="Cambria Math"/>
              </w:rPr>
            </m:ctrlPr>
          </m:sSubPr>
          <m:e>
            <m:r>
              <w:rPr>
                <w:rFonts w:ascii="Cambria Math" w:hAnsi="Cambria Math"/>
              </w:rPr>
              <m:t>μ</m:t>
            </m:r>
          </m:e>
          <m:sub>
            <m:r>
              <m:rPr>
                <m:sty m:val="p"/>
              </m:rPr>
              <w:rPr>
                <w:rFonts w:ascii="Cambria Math" w:hAnsi="Cambria Math"/>
              </w:rPr>
              <m:t>1,</m:t>
            </m:r>
            <m:r>
              <w:rPr>
                <w:rFonts w:ascii="Cambria Math" w:hAnsi="Cambria Math"/>
              </w:rPr>
              <m:t>i</m:t>
            </m:r>
          </m:sub>
        </m:sSub>
        <m:r>
          <m:rPr>
            <m:sty m:val="p"/>
          </m:rPr>
          <w:rPr>
            <w:rFonts w:ascii="Cambria Math" w:hAnsi="Cambria Math"/>
          </w:rPr>
          <m:t>+</m:t>
        </m:r>
        <m:r>
          <w:rPr>
            <w:rFonts w:ascii="Cambria Math" w:hAnsi="Cambria Math"/>
          </w:rPr>
          <m:t>N</m:t>
        </m:r>
        <m:d>
          <m:dPr>
            <m:ctrlPr>
              <w:rPr>
                <w:rFonts w:ascii="Cambria Math" w:hAnsi="Cambria Math"/>
              </w:rPr>
            </m:ctrlPr>
          </m:dPr>
          <m:e>
            <m:r>
              <m:rPr>
                <m:sty m:val="p"/>
              </m:rPr>
              <w:rPr>
                <w:rFonts w:ascii="Cambria Math" w:hAnsi="Cambria Math"/>
              </w:rPr>
              <m:t>0,</m:t>
            </m:r>
            <m:sSubSup>
              <m:sSubSupPr>
                <m:ctrlPr>
                  <w:rPr>
                    <w:rFonts w:ascii="Cambria Math" w:hAnsi="Cambria Math"/>
                  </w:rPr>
                </m:ctrlPr>
              </m:sSubSupPr>
              <m:e>
                <m:r>
                  <w:rPr>
                    <w:rFonts w:ascii="Cambria Math" w:hAnsi="Cambria Math"/>
                  </w:rPr>
                  <m:t>σ</m:t>
                </m:r>
              </m:e>
              <m:sub>
                <m:r>
                  <m:rPr>
                    <m:sty m:val="p"/>
                  </m:rPr>
                  <w:rPr>
                    <w:rFonts w:ascii="Cambria Math" w:hAnsi="Cambria Math"/>
                  </w:rPr>
                  <m:t>1,</m:t>
                </m:r>
                <m:r>
                  <w:rPr>
                    <w:rFonts w:ascii="Cambria Math" w:hAnsi="Cambria Math"/>
                  </w:rPr>
                  <m:t>i</m:t>
                </m:r>
                <m:r>
                  <m:rPr>
                    <m:sty m:val="p"/>
                  </m:rPr>
                  <w:rPr>
                    <w:rFonts w:ascii="Cambria Math" w:hAnsi="Cambria Math"/>
                  </w:rPr>
                  <m:t>,</m:t>
                </m:r>
                <m:r>
                  <w:rPr>
                    <w:rFonts w:ascii="Cambria Math" w:hAnsi="Cambria Math"/>
                  </w:rPr>
                  <m:t>j</m:t>
                </m:r>
              </m:sub>
              <m:sup>
                <m:r>
                  <m:rPr>
                    <m:sty m:val="p"/>
                  </m:rPr>
                  <w:rPr>
                    <w:rFonts w:ascii="Cambria Math" w:hAnsi="Cambria Math"/>
                  </w:rPr>
                  <m:t>2</m:t>
                </m:r>
              </m:sup>
            </m:sSubSup>
          </m:e>
        </m:d>
        <m:r>
          <m:rPr>
            <m:sty m:val="p"/>
          </m:rPr>
          <w:rPr>
            <w:rFonts w:ascii="Cambria Math" w:hAnsi="Cambria Math"/>
          </w:rPr>
          <m:t>].</m:t>
        </m:r>
        <m:r>
          <w:rPr>
            <w:rFonts w:ascii="Cambria Math" w:hAnsi="Cambria Math"/>
          </w:rPr>
          <m:t>month</m:t>
        </m:r>
        <m:r>
          <m:rPr>
            <m:sty m:val="p"/>
          </m:rPr>
          <w:rPr>
            <w:rFonts w:ascii="Cambria Math" w:hAnsi="Cambria Math"/>
          </w:rPr>
          <m:t>+</m:t>
        </m:r>
        <m:sSub>
          <m:sSubPr>
            <m:ctrlPr>
              <w:rPr>
                <w:rFonts w:ascii="Cambria Math" w:hAnsi="Cambria Math"/>
              </w:rPr>
            </m:ctrlPr>
          </m:sSubPr>
          <m:e>
            <m:r>
              <w:rPr>
                <w:rFonts w:ascii="Cambria Math" w:hAnsi="Cambria Math"/>
              </w:rPr>
              <m:t>μ</m:t>
            </m:r>
          </m:e>
          <m:sub>
            <m:r>
              <m:rPr>
                <m:sty m:val="p"/>
              </m:rPr>
              <w:rPr>
                <w:rFonts w:ascii="Cambria Math" w:hAnsi="Cambria Math"/>
              </w:rPr>
              <m:t>2,</m:t>
            </m:r>
            <m:r>
              <w:rPr>
                <w:rFonts w:ascii="Cambria Math" w:hAnsi="Cambria Math"/>
              </w:rPr>
              <m:t>i</m:t>
            </m:r>
          </m:sub>
        </m:sSub>
        <m:r>
          <m:rPr>
            <m:sty m:val="p"/>
          </m:rPr>
          <w:rPr>
            <w:rFonts w:ascii="Cambria Math" w:hAnsi="Cambria Math"/>
          </w:rPr>
          <m:t>.</m:t>
        </m:r>
        <m:r>
          <w:rPr>
            <w:rFonts w:ascii="Cambria Math" w:hAnsi="Cambria Math"/>
          </w:rPr>
          <m:t>mont</m:t>
        </m:r>
        <m:sSup>
          <m:sSupPr>
            <m:ctrlPr>
              <w:rPr>
                <w:rFonts w:ascii="Cambria Math" w:hAnsi="Cambria Math"/>
              </w:rPr>
            </m:ctrlPr>
          </m:sSupPr>
          <m:e>
            <m:r>
              <w:rPr>
                <w:rFonts w:ascii="Cambria Math" w:hAnsi="Cambria Math"/>
              </w:rPr>
              <m:t>h</m:t>
            </m:r>
          </m:e>
          <m:sup>
            <m:r>
              <m:rPr>
                <m:sty m:val="p"/>
              </m:rPr>
              <w:rPr>
                <w:rFonts w:ascii="Cambria Math" w:hAnsi="Cambria Math"/>
              </w:rPr>
              <m:t>2</m:t>
            </m:r>
          </m:sup>
        </m:sSup>
        <m:r>
          <m:rPr>
            <m:sty m:val="p"/>
          </m:rPr>
          <w:rPr>
            <w:rFonts w:ascii="Cambria Math" w:hAnsi="Cambria Math"/>
          </w:rPr>
          <m:t xml:space="preserve"> </m:t>
        </m:r>
      </m:oMath>
      <w:r w:rsidR="009E3711">
        <w:tab/>
      </w:r>
    </w:p>
    <w:p w14:paraId="3BDBE6E3" w14:textId="77777777" w:rsidR="00E25548" w:rsidRDefault="00E25548" w:rsidP="00E25548">
      <w:pPr>
        <w:rPr>
          <w:rFonts w:eastAsia="Calibri"/>
          <w:kern w:val="32"/>
          <w:szCs w:val="26"/>
        </w:rPr>
      </w:pPr>
      <w:r w:rsidRPr="00526E3F">
        <w:rPr>
          <w:rFonts w:eastAsia="Calibri"/>
          <w:kern w:val="32"/>
          <w:szCs w:val="26"/>
        </w:rPr>
        <w:lastRenderedPageBreak/>
        <w:t xml:space="preserve">Where </w:t>
      </w:r>
      <m:oMath>
        <m:r>
          <w:rPr>
            <w:rFonts w:ascii="Cambria Math" w:hAnsi="Cambria Math"/>
          </w:rPr>
          <m:t>N</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0,i,j</m:t>
                </m:r>
              </m:sub>
              <m:sup>
                <m:r>
                  <w:rPr>
                    <w:rFonts w:ascii="Cambria Math" w:hAnsi="Cambria Math"/>
                  </w:rPr>
                  <m:t>2</m:t>
                </m:r>
              </m:sup>
            </m:sSubSup>
          </m:e>
        </m:d>
      </m:oMath>
      <w:r w:rsidRPr="00526E3F">
        <w:rPr>
          <w:rFonts w:eastAsia="Calibri"/>
          <w:kern w:val="32"/>
          <w:szCs w:val="26"/>
        </w:rPr>
        <w:t xml:space="preserve"> and </w:t>
      </w:r>
      <m:oMath>
        <m:r>
          <w:rPr>
            <w:rFonts w:ascii="Cambria Math" w:hAnsi="Cambria Math"/>
          </w:rPr>
          <m:t>N</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1,i,j</m:t>
                </m:r>
              </m:sub>
              <m:sup>
                <m:r>
                  <w:rPr>
                    <w:rFonts w:ascii="Cambria Math" w:hAnsi="Cambria Math"/>
                  </w:rPr>
                  <m:t>2</m:t>
                </m:r>
              </m:sup>
            </m:sSubSup>
          </m:e>
        </m:d>
        <m:r>
          <w:rPr>
            <w:rFonts w:ascii="Cambria Math" w:hAnsi="Cambria Math"/>
          </w:rPr>
          <m:t>]</m:t>
        </m:r>
      </m:oMath>
      <w:r w:rsidRPr="00526E3F">
        <w:rPr>
          <w:rFonts w:eastAsia="Calibri"/>
          <w:kern w:val="32"/>
          <w:szCs w:val="26"/>
        </w:rPr>
        <w:t xml:space="preserve"> are normally distributed adjustments </w:t>
      </w:r>
      <w:r w:rsidRPr="00526E3F">
        <w:rPr>
          <w:rFonts w:eastAsia="Calibri"/>
        </w:rPr>
        <w:t xml:space="preserve">to take account of individual variability for the </w:t>
      </w:r>
      <m:oMath>
        <m:sSup>
          <m:sSupPr>
            <m:ctrlPr>
              <w:rPr>
                <w:rFonts w:ascii="Cambria Math" w:hAnsi="Cambria Math"/>
              </w:rPr>
            </m:ctrlPr>
          </m:sSupPr>
          <m:e>
            <m:r>
              <w:rPr>
                <w:rFonts w:ascii="Cambria Math" w:eastAsia="Calibri" w:hAnsi="Cambria Math"/>
              </w:rPr>
              <m:t>j</m:t>
            </m:r>
          </m:e>
          <m:sup>
            <m:r>
              <w:rPr>
                <w:rFonts w:ascii="Cambria Math" w:eastAsia="Calibri" w:hAnsi="Cambria Math"/>
              </w:rPr>
              <m:t>th</m:t>
            </m:r>
          </m:sup>
        </m:sSup>
      </m:oMath>
      <w:r w:rsidRPr="00526E3F">
        <w:rPr>
          <w:rFonts w:eastAsia="Calibri"/>
        </w:rPr>
        <w:t>agent</w:t>
      </w:r>
      <w:r w:rsidRPr="00526E3F">
        <w:rPr>
          <w:rFonts w:eastAsia="Calibri"/>
          <w:kern w:val="32"/>
          <w:szCs w:val="26"/>
        </w:rPr>
        <w:t xml:space="preserve"> </w:t>
      </w:r>
      <w:r w:rsidRPr="00526E3F">
        <w:rPr>
          <w:rFonts w:eastAsia="Calibri"/>
        </w:rPr>
        <w:t xml:space="preserve">in the </w:t>
      </w:r>
      <m:oMath>
        <m:sSup>
          <m:sSupPr>
            <m:ctrlPr>
              <w:rPr>
                <w:rFonts w:ascii="Cambria Math" w:hAnsi="Cambria Math"/>
              </w:rPr>
            </m:ctrlPr>
          </m:sSupPr>
          <m:e>
            <m:r>
              <w:rPr>
                <w:rFonts w:ascii="Cambria Math" w:eastAsia="Calibri" w:hAnsi="Cambria Math"/>
              </w:rPr>
              <m:t>i</m:t>
            </m:r>
          </m:e>
          <m:sup>
            <m:r>
              <w:rPr>
                <w:rFonts w:ascii="Cambria Math" w:eastAsia="Calibri" w:hAnsi="Cambria Math"/>
              </w:rPr>
              <m:t>th</m:t>
            </m:r>
          </m:sup>
        </m:sSup>
      </m:oMath>
      <w:r w:rsidRPr="00526E3F">
        <w:rPr>
          <w:rFonts w:eastAsia="Calibri"/>
        </w:rPr>
        <w:t xml:space="preserve"> progression-type group, </w:t>
      </w:r>
      <w:r w:rsidRPr="00526E3F">
        <w:rPr>
          <w:rFonts w:eastAsia="Calibri"/>
          <w:kern w:val="32"/>
          <w:szCs w:val="26"/>
        </w:rPr>
        <w:t xml:space="preserve">to the fixed effect intercept and slope terms </w:t>
      </w:r>
      <m:oMath>
        <m:sSub>
          <m:sSubPr>
            <m:ctrlPr>
              <w:rPr>
                <w:rFonts w:ascii="Cambria Math" w:hAnsi="Cambria Math"/>
                <w:i/>
              </w:rPr>
            </m:ctrlPr>
          </m:sSubPr>
          <m:e>
            <m:r>
              <w:rPr>
                <w:rFonts w:ascii="Cambria Math" w:hAnsi="Cambria Math"/>
              </w:rPr>
              <m:t>μ</m:t>
            </m:r>
          </m:e>
          <m:sub>
            <m:r>
              <w:rPr>
                <w:rFonts w:ascii="Cambria Math" w:hAnsi="Cambria Math"/>
              </w:rPr>
              <m:t>0i</m:t>
            </m:r>
          </m:sub>
        </m:sSub>
      </m:oMath>
      <w:r w:rsidRPr="00526E3F">
        <w:rPr>
          <w:rFonts w:eastAsia="Calibri"/>
          <w:kern w:val="32"/>
          <w:szCs w:val="26"/>
        </w:rPr>
        <w:t xml:space="preserve"> and </w:t>
      </w:r>
      <m:oMath>
        <m:sSub>
          <m:sSubPr>
            <m:ctrlPr>
              <w:rPr>
                <w:rFonts w:ascii="Cambria Math" w:hAnsi="Cambria Math"/>
                <w:i/>
              </w:rPr>
            </m:ctrlPr>
          </m:sSubPr>
          <m:e>
            <m:r>
              <w:rPr>
                <w:rFonts w:ascii="Cambria Math" w:hAnsi="Cambria Math"/>
              </w:rPr>
              <m:t>μ</m:t>
            </m:r>
          </m:e>
          <m:sub>
            <m:r>
              <w:rPr>
                <w:rFonts w:ascii="Cambria Math" w:hAnsi="Cambria Math"/>
              </w:rPr>
              <m:t>1i</m:t>
            </m:r>
          </m:sub>
        </m:sSub>
      </m:oMath>
      <w:r w:rsidRPr="00526E3F">
        <w:rPr>
          <w:rFonts w:eastAsia="Calibri"/>
        </w:rPr>
        <w:t xml:space="preserve">, and </w:t>
      </w:r>
      <m:oMath>
        <m:r>
          <w:rPr>
            <w:rFonts w:ascii="Cambria Math" w:eastAsia="Calibri" w:hAnsi="Cambria Math"/>
          </w:rPr>
          <m:t>j</m:t>
        </m:r>
        <m:r>
          <m:rPr>
            <m:sty m:val="p"/>
          </m:rPr>
          <w:rPr>
            <w:rFonts w:ascii="Cambria Math" w:eastAsia="Calibri" w:hAnsi="Cambria Math"/>
          </w:rPr>
          <m:t>∈{</m:t>
        </m:r>
        <m:r>
          <w:rPr>
            <w:rFonts w:ascii="Cambria Math" w:eastAsia="Calibri" w:hAnsi="Cambria Math"/>
          </w:rPr>
          <m:t>slow</m:t>
        </m:r>
        <m:r>
          <m:rPr>
            <m:sty m:val="p"/>
          </m:rPr>
          <w:rPr>
            <w:rFonts w:ascii="Cambria Math" w:eastAsia="Calibri" w:hAnsi="Cambria Math"/>
          </w:rPr>
          <m:t>,</m:t>
        </m:r>
        <m:r>
          <w:rPr>
            <w:rFonts w:ascii="Cambria Math" w:eastAsia="Calibri" w:hAnsi="Cambria Math"/>
          </w:rPr>
          <m:t>intermediate</m:t>
        </m:r>
        <m:r>
          <m:rPr>
            <m:sty m:val="p"/>
          </m:rPr>
          <w:rPr>
            <w:rFonts w:ascii="Cambria Math" w:eastAsia="Calibri" w:hAnsi="Cambria Math"/>
          </w:rPr>
          <m:t>,</m:t>
        </m:r>
        <m:r>
          <w:rPr>
            <w:rFonts w:ascii="Cambria Math" w:eastAsia="Calibri" w:hAnsi="Cambria Math"/>
          </w:rPr>
          <m:t>fast</m:t>
        </m:r>
        <m:r>
          <m:rPr>
            <m:sty m:val="p"/>
          </m:rPr>
          <w:rPr>
            <w:rFonts w:ascii="Cambria Math" w:eastAsia="Calibri" w:hAnsi="Cambria Math"/>
          </w:rPr>
          <m:t>}</m:t>
        </m:r>
      </m:oMath>
      <w:r w:rsidRPr="00526E3F">
        <w:rPr>
          <w:rFonts w:eastAsia="Calibri"/>
        </w:rPr>
        <w:t>.</w:t>
      </w:r>
      <w:r w:rsidRPr="00526E3F">
        <w:rPr>
          <w:rFonts w:eastAsia="Calibri"/>
          <w:kern w:val="32"/>
          <w:szCs w:val="26"/>
        </w:rPr>
        <w:t xml:space="preserve"> A random effects term was also explored for the quadratic term, but as model fit was not significantly improved this was not included. These values are summarised in the following table.</w:t>
      </w:r>
    </w:p>
    <w:p w14:paraId="600D7A96" w14:textId="5BA142DA" w:rsidR="00E25548" w:rsidRPr="00302455" w:rsidRDefault="00E25548" w:rsidP="00E25548">
      <w:r>
        <w:t>These</w:t>
      </w:r>
      <w:r w:rsidRPr="00526E3F">
        <w:t xml:space="preserve"> values</w:t>
      </w:r>
      <w:r>
        <w:t xml:space="preserve"> are given</w:t>
      </w:r>
      <w:r w:rsidRPr="00526E3F">
        <w:t xml:space="preserve"> in </w:t>
      </w:r>
      <w:r w:rsidRPr="00526E3F">
        <w:fldChar w:fldCharType="begin"/>
      </w:r>
      <w:r w:rsidRPr="00526E3F">
        <w:instrText xml:space="preserve"> REF _Ref5614130 \h </w:instrText>
      </w:r>
      <w:r>
        <w:instrText xml:space="preserve"> \* MERGEFORMAT </w:instrText>
      </w:r>
      <w:r w:rsidRPr="00526E3F">
        <w:fldChar w:fldCharType="separate"/>
      </w:r>
      <w:r w:rsidR="0020511F" w:rsidRPr="00526E3F">
        <w:t xml:space="preserve">Table </w:t>
      </w:r>
      <w:r w:rsidR="0020511F">
        <w:rPr>
          <w:noProof/>
        </w:rPr>
        <w:t>A4</w:t>
      </w:r>
      <w:r w:rsidRPr="00526E3F">
        <w:fldChar w:fldCharType="end"/>
      </w:r>
      <w:r w:rsidRPr="00526E3F">
        <w:t xml:space="preserve"> show</w:t>
      </w:r>
      <w:r>
        <w:t>ing</w:t>
      </w:r>
      <w:r w:rsidRPr="00526E3F">
        <w:t xml:space="preserve"> cognitive decline as MMSE points per month, implemented with normally distributed random effects shown as </w:t>
      </w:r>
      <m:oMath>
        <m:r>
          <w:rPr>
            <w:rFonts w:ascii="Cambria Math" w:hAnsi="Cambria Math"/>
          </w:rPr>
          <m:t>N(</m:t>
        </m:r>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oMath>
      <w:r w:rsidRPr="00526E3F">
        <w:t xml:space="preserve"> Non-linear slope coefficient values are mean changes per month</w:t>
      </w:r>
      <w:r>
        <w:t xml:space="preserve"> squared</w:t>
      </w:r>
      <w:r w:rsidRPr="00526E3F">
        <w:t>.</w:t>
      </w:r>
      <w:r w:rsidR="002C6180">
        <w:t xml:space="preserve"> </w:t>
      </w:r>
      <w:r w:rsidRPr="00526E3F">
        <w:t xml:space="preserve">For example, an agent simulating intermediate progression of dementia symptoms would start with a mean MMSE score of 25.2, declining on average </w:t>
      </w:r>
      <w:r>
        <w:t>by</w:t>
      </w:r>
      <w:r w:rsidRPr="00526E3F">
        <w:t xml:space="preserve"> 10.1 MMSE point</w:t>
      </w:r>
      <w:r w:rsidR="002C6180">
        <w:t>s after 5 years</w:t>
      </w:r>
      <w:r w:rsidRPr="00526E3F">
        <w:t xml:space="preserve">, but with random effects of </w:t>
      </w:r>
      <m:oMath>
        <m:sSub>
          <m:sSubPr>
            <m:ctrlPr>
              <w:rPr>
                <w:rFonts w:ascii="Cambria Math" w:hAnsi="Cambria Math"/>
                <w:i/>
              </w:rPr>
            </m:ctrlPr>
          </m:sSubPr>
          <m:e>
            <m:r>
              <w:rPr>
                <w:rFonts w:ascii="Cambria Math" w:hAnsi="Cambria Math"/>
              </w:rPr>
              <m:t>σ</m:t>
            </m:r>
          </m:e>
          <m:sub>
            <m:r>
              <w:rPr>
                <w:rFonts w:ascii="Cambria Math" w:hAnsi="Cambria Math"/>
              </w:rPr>
              <m:t>0</m:t>
            </m:r>
          </m:sub>
        </m:sSub>
        <m:r>
          <w:rPr>
            <w:rFonts w:ascii="Cambria Math" w:hAnsi="Cambria Math"/>
          </w:rPr>
          <m:t>=1.57</m:t>
        </m:r>
      </m:oMath>
      <w:r w:rsidRPr="00526E3F">
        <w:t xml:space="preserve"> and </w:t>
      </w:r>
      <m:oMath>
        <m:sSub>
          <m:sSubPr>
            <m:ctrlPr>
              <w:rPr>
                <w:rFonts w:ascii="Cambria Math" w:hAnsi="Cambria Math"/>
                <w:i/>
              </w:rPr>
            </m:ctrlPr>
          </m:sSubPr>
          <m:e>
            <m:r>
              <w:rPr>
                <w:rFonts w:ascii="Cambria Math" w:hAnsi="Cambria Math"/>
              </w:rPr>
              <m:t>σ</m:t>
            </m:r>
          </m:e>
          <m:sub>
            <m:r>
              <w:rPr>
                <w:rFonts w:ascii="Cambria Math" w:hAnsi="Cambria Math"/>
              </w:rPr>
              <m:t>1</m:t>
            </m:r>
          </m:sub>
        </m:sSub>
        <m:r>
          <w:rPr>
            <w:rFonts w:ascii="Cambria Math" w:hAnsi="Cambria Math"/>
          </w:rPr>
          <m:t>=0.074</m:t>
        </m:r>
      </m:oMath>
      <w:r w:rsidRPr="00526E3F">
        <w:t xml:space="preserve"> to that agent’s intercept and linear slope. </w:t>
      </w:r>
    </w:p>
    <w:p w14:paraId="0024C25C" w14:textId="2EFFE1C5" w:rsidR="00E25548" w:rsidRPr="00F044E2" w:rsidRDefault="00E25548" w:rsidP="00E25548">
      <w:pPr>
        <w:pStyle w:val="Caption"/>
        <w:framePr w:hSpace="180" w:wrap="around" w:vAnchor="text" w:hAnchor="text" w:xAlign="center" w:y="1"/>
        <w:suppressOverlap/>
      </w:pPr>
      <w:bookmarkStart w:id="18" w:name="_Ref5614130"/>
      <w:r w:rsidRPr="00526E3F">
        <w:t xml:space="preserve">Table </w:t>
      </w:r>
      <w:r w:rsidR="009E3711">
        <w:t>A4</w:t>
      </w:r>
      <w:bookmarkEnd w:id="18"/>
      <w:r w:rsidR="00061BD6">
        <w:t xml:space="preserve">   </w:t>
      </w:r>
      <w:r w:rsidRPr="00526E3F">
        <w:t>Severity progression type parameter values</w:t>
      </w:r>
    </w:p>
    <w:tbl>
      <w:tblPr>
        <w:tblStyle w:val="TableGrid"/>
        <w:tblW w:w="736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992"/>
        <w:gridCol w:w="1570"/>
        <w:gridCol w:w="1692"/>
        <w:gridCol w:w="1699"/>
      </w:tblGrid>
      <w:tr w:rsidR="00E25548" w:rsidRPr="00526E3F" w14:paraId="6642373E" w14:textId="77777777" w:rsidTr="00E25548">
        <w:trPr>
          <w:cantSplit/>
          <w:jc w:val="center"/>
        </w:trPr>
        <w:tc>
          <w:tcPr>
            <w:tcW w:w="1413" w:type="dxa"/>
          </w:tcPr>
          <w:p w14:paraId="1D40EC2F" w14:textId="77777777" w:rsidR="00E25548" w:rsidRPr="00E54686" w:rsidRDefault="00E25548" w:rsidP="00E25548">
            <w:pPr>
              <w:pStyle w:val="TableContent"/>
              <w:rPr>
                <w:b/>
              </w:rPr>
            </w:pPr>
            <w:r>
              <w:rPr>
                <w:b/>
              </w:rPr>
              <w:t>T</w:t>
            </w:r>
            <w:r w:rsidRPr="00E54686">
              <w:rPr>
                <w:b/>
              </w:rPr>
              <w:t>ype</w:t>
            </w:r>
          </w:p>
        </w:tc>
        <w:tc>
          <w:tcPr>
            <w:tcW w:w="992" w:type="dxa"/>
          </w:tcPr>
          <w:p w14:paraId="5EB199B8" w14:textId="77777777" w:rsidR="00E25548" w:rsidRPr="00E54686" w:rsidRDefault="00E25548" w:rsidP="00E25548">
            <w:pPr>
              <w:pStyle w:val="TableContent"/>
              <w:rPr>
                <w:b/>
              </w:rPr>
            </w:pPr>
            <w:r>
              <w:rPr>
                <w:b/>
              </w:rPr>
              <w:t>B</w:t>
            </w:r>
            <w:r w:rsidRPr="00E54686">
              <w:rPr>
                <w:b/>
              </w:rPr>
              <w:t xml:space="preserve">aseline </w:t>
            </w:r>
          </w:p>
        </w:tc>
        <w:tc>
          <w:tcPr>
            <w:tcW w:w="1570" w:type="dxa"/>
          </w:tcPr>
          <w:p w14:paraId="5E631D7B" w14:textId="77777777" w:rsidR="00E25548" w:rsidRPr="00E54686" w:rsidRDefault="00E25548" w:rsidP="00E25548">
            <w:pPr>
              <w:pStyle w:val="TableContent"/>
              <w:rPr>
                <w:b/>
              </w:rPr>
            </w:pPr>
            <w:r>
              <w:rPr>
                <w:b/>
              </w:rPr>
              <w:t>I</w:t>
            </w:r>
            <w:r w:rsidRPr="00E54686">
              <w:rPr>
                <w:b/>
              </w:rPr>
              <w:t>ntercept</w:t>
            </w:r>
          </w:p>
        </w:tc>
        <w:tc>
          <w:tcPr>
            <w:tcW w:w="1692" w:type="dxa"/>
          </w:tcPr>
          <w:p w14:paraId="1B6ED845" w14:textId="77777777" w:rsidR="00E25548" w:rsidRPr="00E54686" w:rsidRDefault="00E25548" w:rsidP="00E25548">
            <w:pPr>
              <w:pStyle w:val="TableContent"/>
              <w:rPr>
                <w:b/>
              </w:rPr>
            </w:pPr>
            <w:r>
              <w:rPr>
                <w:b/>
              </w:rPr>
              <w:t>L</w:t>
            </w:r>
            <w:r w:rsidRPr="00E54686">
              <w:rPr>
                <w:b/>
              </w:rPr>
              <w:t xml:space="preserve">inear slope </w:t>
            </w:r>
          </w:p>
        </w:tc>
        <w:tc>
          <w:tcPr>
            <w:tcW w:w="1699" w:type="dxa"/>
          </w:tcPr>
          <w:p w14:paraId="066B87B7" w14:textId="77777777" w:rsidR="00E25548" w:rsidRPr="00E54686" w:rsidRDefault="00E25548" w:rsidP="00E25548">
            <w:pPr>
              <w:pStyle w:val="TableContent"/>
              <w:rPr>
                <w:b/>
              </w:rPr>
            </w:pPr>
            <w:r>
              <w:rPr>
                <w:b/>
              </w:rPr>
              <w:t>Q</w:t>
            </w:r>
            <w:r w:rsidRPr="00E54686">
              <w:rPr>
                <w:b/>
              </w:rPr>
              <w:t>uadratic slope</w:t>
            </w:r>
          </w:p>
        </w:tc>
      </w:tr>
      <w:tr w:rsidR="00E25548" w:rsidRPr="00526E3F" w14:paraId="51C46380" w14:textId="77777777" w:rsidTr="00E25548">
        <w:trPr>
          <w:cantSplit/>
          <w:jc w:val="center"/>
        </w:trPr>
        <w:tc>
          <w:tcPr>
            <w:tcW w:w="1413" w:type="dxa"/>
          </w:tcPr>
          <w:p w14:paraId="154E3578" w14:textId="77777777" w:rsidR="00E25548" w:rsidRPr="00526E3F" w:rsidRDefault="00E25548" w:rsidP="00E25548">
            <w:pPr>
              <w:pStyle w:val="TableContent"/>
            </w:pPr>
            <w:r w:rsidRPr="00526E3F">
              <w:t xml:space="preserve">Slow </w:t>
            </w:r>
          </w:p>
        </w:tc>
        <w:tc>
          <w:tcPr>
            <w:tcW w:w="992" w:type="dxa"/>
          </w:tcPr>
          <w:p w14:paraId="7465FE4E" w14:textId="77777777" w:rsidR="00E25548" w:rsidRPr="00526E3F" w:rsidRDefault="00E25548" w:rsidP="00E25548">
            <w:pPr>
              <w:pStyle w:val="TableContent"/>
              <w:rPr>
                <w:rFonts w:cs="Arial"/>
                <w:iCs/>
              </w:rPr>
            </w:pPr>
            <w:r w:rsidRPr="00526E3F">
              <w:t>60%</w:t>
            </w:r>
          </w:p>
        </w:tc>
        <w:tc>
          <w:tcPr>
            <w:tcW w:w="1570" w:type="dxa"/>
          </w:tcPr>
          <w:p w14:paraId="07D9DBA5" w14:textId="77777777" w:rsidR="00E25548" w:rsidRPr="00526E3F" w:rsidRDefault="00E25548" w:rsidP="00E25548">
            <w:pPr>
              <w:pStyle w:val="TableContent"/>
            </w:pPr>
            <m:oMathPara>
              <m:oMath>
                <m:r>
                  <w:rPr>
                    <w:rFonts w:ascii="Cambria Math" w:hAnsi="Cambria Math"/>
                  </w:rPr>
                  <m:t>N</m:t>
                </m:r>
                <m:r>
                  <m:rPr>
                    <m:sty m:val="p"/>
                  </m:rPr>
                  <w:rPr>
                    <w:rFonts w:ascii="Cambria Math" w:hAnsi="Cambria Math"/>
                  </w:rPr>
                  <m:t xml:space="preserve">(26.9, </m:t>
                </m:r>
                <m:sSup>
                  <m:sSupPr>
                    <m:ctrlPr>
                      <w:rPr>
                        <w:rFonts w:ascii="Cambria Math" w:hAnsi="Cambria Math"/>
                      </w:rPr>
                    </m:ctrlPr>
                  </m:sSupPr>
                  <m:e>
                    <m:r>
                      <m:rPr>
                        <m:sty m:val="p"/>
                      </m:rPr>
                      <w:rPr>
                        <w:rFonts w:ascii="Cambria Math" w:hAnsi="Cambria Math"/>
                      </w:rPr>
                      <m:t>1.39</m:t>
                    </m:r>
                  </m:e>
                  <m:sup>
                    <m:r>
                      <m:rPr>
                        <m:sty m:val="p"/>
                      </m:rPr>
                      <w:rPr>
                        <w:rFonts w:ascii="Cambria Math" w:hAnsi="Cambria Math"/>
                      </w:rPr>
                      <m:t>2</m:t>
                    </m:r>
                  </m:sup>
                </m:sSup>
                <m:r>
                  <m:rPr>
                    <m:sty m:val="p"/>
                  </m:rPr>
                  <w:rPr>
                    <w:rFonts w:ascii="Cambria Math" w:hAnsi="Cambria Math"/>
                  </w:rPr>
                  <m:t>)</m:t>
                </m:r>
              </m:oMath>
            </m:oMathPara>
          </w:p>
        </w:tc>
        <w:tc>
          <w:tcPr>
            <w:tcW w:w="1692" w:type="dxa"/>
          </w:tcPr>
          <w:p w14:paraId="4BCBEC3B" w14:textId="77777777" w:rsidR="00E25548" w:rsidRPr="00526E3F" w:rsidRDefault="00E25548" w:rsidP="00E25548">
            <w:pPr>
              <w:pStyle w:val="TableContent"/>
            </w:pPr>
            <m:oMathPara>
              <m:oMath>
                <m:r>
                  <w:rPr>
                    <w:rFonts w:ascii="Cambria Math" w:hAnsi="Cambria Math"/>
                  </w:rPr>
                  <m:t>N</m:t>
                </m:r>
                <m:r>
                  <m:rPr>
                    <m:sty m:val="p"/>
                  </m:rPr>
                  <w:rPr>
                    <w:rFonts w:ascii="Cambria Math" w:hAnsi="Cambria Math"/>
                  </w:rPr>
                  <m:t xml:space="preserve">(0.03, </m:t>
                </m:r>
                <m:sSup>
                  <m:sSupPr>
                    <m:ctrlPr>
                      <w:rPr>
                        <w:rFonts w:ascii="Cambria Math" w:hAnsi="Cambria Math"/>
                      </w:rPr>
                    </m:ctrlPr>
                  </m:sSupPr>
                  <m:e>
                    <m:r>
                      <m:rPr>
                        <m:sty m:val="p"/>
                      </m:rPr>
                      <w:rPr>
                        <w:rFonts w:ascii="Cambria Math" w:hAnsi="Cambria Math"/>
                      </w:rPr>
                      <m:t>0.044</m:t>
                    </m:r>
                  </m:e>
                  <m:sup>
                    <m:r>
                      <m:rPr>
                        <m:sty m:val="p"/>
                      </m:rPr>
                      <w:rPr>
                        <w:rFonts w:ascii="Cambria Math" w:hAnsi="Cambria Math"/>
                      </w:rPr>
                      <m:t>2</m:t>
                    </m:r>
                  </m:sup>
                </m:sSup>
                <m:r>
                  <m:rPr>
                    <m:sty m:val="p"/>
                  </m:rPr>
                  <w:rPr>
                    <w:rFonts w:ascii="Cambria Math" w:hAnsi="Cambria Math"/>
                  </w:rPr>
                  <m:t>)</m:t>
                </m:r>
              </m:oMath>
            </m:oMathPara>
          </w:p>
        </w:tc>
        <w:tc>
          <w:tcPr>
            <w:tcW w:w="1699" w:type="dxa"/>
          </w:tcPr>
          <w:p w14:paraId="6932827A" w14:textId="77777777" w:rsidR="00E25548" w:rsidRPr="00526E3F" w:rsidRDefault="006909F2" w:rsidP="00E25548">
            <w:pPr>
              <w:pStyle w:val="TableContent"/>
            </w:pPr>
            <m:oMathPara>
              <m:oMath>
                <m:sSub>
                  <m:sSubPr>
                    <m:ctrlPr>
                      <w:rPr>
                        <w:rFonts w:ascii="Cambria Math" w:hAnsi="Cambria Math"/>
                      </w:rPr>
                    </m:ctrlPr>
                  </m:sSubPr>
                  <m:e>
                    <m:r>
                      <w:rPr>
                        <w:rFonts w:ascii="Cambria Math" w:hAnsi="Cambria Math"/>
                      </w:rPr>
                      <m:t>μ</m:t>
                    </m:r>
                  </m:e>
                  <m:sub>
                    <m:r>
                      <m:rPr>
                        <m:sty m:val="p"/>
                      </m:rPr>
                      <w:rPr>
                        <w:rFonts w:ascii="Cambria Math" w:hAnsi="Cambria Math"/>
                      </w:rPr>
                      <m:t>2</m:t>
                    </m:r>
                  </m:sub>
                </m:sSub>
                <m:r>
                  <m:rPr>
                    <m:sty m:val="p"/>
                  </m:rPr>
                  <w:rPr>
                    <w:rFonts w:ascii="Cambria Math" w:hAnsi="Cambria Math"/>
                  </w:rPr>
                  <m:t>=0.00052</m:t>
                </m:r>
              </m:oMath>
            </m:oMathPara>
          </w:p>
        </w:tc>
      </w:tr>
      <w:tr w:rsidR="00E25548" w:rsidRPr="00526E3F" w14:paraId="6171F754" w14:textId="77777777" w:rsidTr="00E25548">
        <w:trPr>
          <w:cantSplit/>
          <w:jc w:val="center"/>
        </w:trPr>
        <w:tc>
          <w:tcPr>
            <w:tcW w:w="1413" w:type="dxa"/>
          </w:tcPr>
          <w:p w14:paraId="762A15E4" w14:textId="77777777" w:rsidR="00E25548" w:rsidRPr="00526E3F" w:rsidRDefault="00E25548" w:rsidP="00E25548">
            <w:pPr>
              <w:pStyle w:val="TableContent"/>
            </w:pPr>
            <w:r w:rsidRPr="00526E3F">
              <w:t xml:space="preserve">Intermediate </w:t>
            </w:r>
          </w:p>
        </w:tc>
        <w:tc>
          <w:tcPr>
            <w:tcW w:w="992" w:type="dxa"/>
          </w:tcPr>
          <w:p w14:paraId="4796B75A" w14:textId="77777777" w:rsidR="00E25548" w:rsidRPr="00526E3F" w:rsidRDefault="00E25548" w:rsidP="00E25548">
            <w:pPr>
              <w:pStyle w:val="TableContent"/>
              <w:rPr>
                <w:rFonts w:cs="Arial"/>
                <w:iCs/>
              </w:rPr>
            </w:pPr>
            <w:r w:rsidRPr="00526E3F">
              <w:t>30%</w:t>
            </w:r>
          </w:p>
        </w:tc>
        <w:tc>
          <w:tcPr>
            <w:tcW w:w="1570" w:type="dxa"/>
          </w:tcPr>
          <w:p w14:paraId="7C04C458" w14:textId="77777777" w:rsidR="00E25548" w:rsidRPr="00526E3F" w:rsidRDefault="00E25548" w:rsidP="00E25548">
            <w:pPr>
              <w:pStyle w:val="TableContent"/>
            </w:pPr>
            <m:oMathPara>
              <m:oMath>
                <m:r>
                  <w:rPr>
                    <w:rFonts w:ascii="Cambria Math" w:hAnsi="Cambria Math"/>
                  </w:rPr>
                  <m:t>N</m:t>
                </m:r>
                <m:r>
                  <m:rPr>
                    <m:sty m:val="p"/>
                  </m:rPr>
                  <w:rPr>
                    <w:rFonts w:ascii="Cambria Math" w:hAnsi="Cambria Math"/>
                  </w:rPr>
                  <m:t xml:space="preserve">(25.2, </m:t>
                </m:r>
                <m:sSup>
                  <m:sSupPr>
                    <m:ctrlPr>
                      <w:rPr>
                        <w:rFonts w:ascii="Cambria Math" w:hAnsi="Cambria Math"/>
                      </w:rPr>
                    </m:ctrlPr>
                  </m:sSupPr>
                  <m:e>
                    <m:r>
                      <m:rPr>
                        <m:sty m:val="p"/>
                      </m:rPr>
                      <w:rPr>
                        <w:rFonts w:ascii="Cambria Math" w:hAnsi="Cambria Math"/>
                      </w:rPr>
                      <m:t>1.57</m:t>
                    </m:r>
                  </m:e>
                  <m:sup>
                    <m:r>
                      <m:rPr>
                        <m:sty m:val="p"/>
                      </m:rPr>
                      <w:rPr>
                        <w:rFonts w:ascii="Cambria Math" w:hAnsi="Cambria Math"/>
                      </w:rPr>
                      <m:t>2</m:t>
                    </m:r>
                  </m:sup>
                </m:sSup>
                <m:r>
                  <m:rPr>
                    <m:sty m:val="p"/>
                  </m:rPr>
                  <w:rPr>
                    <w:rFonts w:ascii="Cambria Math" w:hAnsi="Cambria Math"/>
                  </w:rPr>
                  <m:t>)</m:t>
                </m:r>
              </m:oMath>
            </m:oMathPara>
          </w:p>
        </w:tc>
        <w:tc>
          <w:tcPr>
            <w:tcW w:w="1692" w:type="dxa"/>
          </w:tcPr>
          <w:p w14:paraId="5DED5D34" w14:textId="77777777" w:rsidR="00E25548" w:rsidRPr="00526E3F" w:rsidRDefault="00E25548" w:rsidP="00E25548">
            <w:pPr>
              <w:pStyle w:val="TableContent"/>
            </w:pPr>
            <m:oMathPara>
              <m:oMath>
                <m:r>
                  <w:rPr>
                    <w:rFonts w:ascii="Cambria Math" w:hAnsi="Cambria Math"/>
                  </w:rPr>
                  <m:t>N</m:t>
                </m:r>
                <m:r>
                  <m:rPr>
                    <m:sty m:val="p"/>
                  </m:rPr>
                  <w:rPr>
                    <w:rFonts w:ascii="Cambria Math" w:hAnsi="Cambria Math"/>
                  </w:rPr>
                  <m:t xml:space="preserve">(0.14, </m:t>
                </m:r>
                <m:sSup>
                  <m:sSupPr>
                    <m:ctrlPr>
                      <w:rPr>
                        <w:rFonts w:ascii="Cambria Math" w:hAnsi="Cambria Math"/>
                      </w:rPr>
                    </m:ctrlPr>
                  </m:sSupPr>
                  <m:e>
                    <m:r>
                      <m:rPr>
                        <m:sty m:val="p"/>
                      </m:rPr>
                      <w:rPr>
                        <w:rFonts w:ascii="Cambria Math" w:hAnsi="Cambria Math"/>
                      </w:rPr>
                      <m:t>0.074</m:t>
                    </m:r>
                  </m:e>
                  <m:sup>
                    <m:r>
                      <m:rPr>
                        <m:sty m:val="p"/>
                      </m:rPr>
                      <w:rPr>
                        <w:rFonts w:ascii="Cambria Math" w:hAnsi="Cambria Math"/>
                      </w:rPr>
                      <m:t>2</m:t>
                    </m:r>
                  </m:sup>
                </m:sSup>
                <m:r>
                  <m:rPr>
                    <m:sty m:val="p"/>
                  </m:rPr>
                  <w:rPr>
                    <w:rFonts w:ascii="Cambria Math" w:hAnsi="Cambria Math"/>
                  </w:rPr>
                  <m:t>)</m:t>
                </m:r>
              </m:oMath>
            </m:oMathPara>
          </w:p>
        </w:tc>
        <w:tc>
          <w:tcPr>
            <w:tcW w:w="1699" w:type="dxa"/>
          </w:tcPr>
          <w:p w14:paraId="761D69D5" w14:textId="77777777" w:rsidR="00E25548" w:rsidRPr="00526E3F" w:rsidRDefault="006909F2" w:rsidP="00E25548">
            <w:pPr>
              <w:pStyle w:val="TableContent"/>
            </w:pPr>
            <m:oMathPara>
              <m:oMath>
                <m:sSub>
                  <m:sSubPr>
                    <m:ctrlPr>
                      <w:rPr>
                        <w:rFonts w:ascii="Cambria Math" w:hAnsi="Cambria Math"/>
                      </w:rPr>
                    </m:ctrlPr>
                  </m:sSubPr>
                  <m:e>
                    <m:r>
                      <w:rPr>
                        <w:rFonts w:ascii="Cambria Math" w:hAnsi="Cambria Math"/>
                      </w:rPr>
                      <m:t>μ</m:t>
                    </m:r>
                  </m:e>
                  <m:sub>
                    <m:r>
                      <m:rPr>
                        <m:sty m:val="p"/>
                      </m:rPr>
                      <w:rPr>
                        <w:rFonts w:ascii="Cambria Math" w:hAnsi="Cambria Math"/>
                      </w:rPr>
                      <m:t>2</m:t>
                    </m:r>
                  </m:sub>
                </m:sSub>
                <m:r>
                  <m:rPr>
                    <m:sty m:val="p"/>
                  </m:rPr>
                  <w:rPr>
                    <w:rFonts w:ascii="Cambria Math" w:hAnsi="Cambria Math"/>
                  </w:rPr>
                  <m:t>=0.00047</m:t>
                </m:r>
              </m:oMath>
            </m:oMathPara>
          </w:p>
        </w:tc>
      </w:tr>
      <w:tr w:rsidR="00E25548" w:rsidRPr="00526E3F" w14:paraId="47ECE8F6" w14:textId="77777777" w:rsidTr="00E25548">
        <w:trPr>
          <w:cantSplit/>
          <w:jc w:val="center"/>
        </w:trPr>
        <w:tc>
          <w:tcPr>
            <w:tcW w:w="1413" w:type="dxa"/>
          </w:tcPr>
          <w:p w14:paraId="6C2A4188" w14:textId="77777777" w:rsidR="00E25548" w:rsidRPr="00526E3F" w:rsidRDefault="00E25548" w:rsidP="00E25548">
            <w:pPr>
              <w:pStyle w:val="TableContent"/>
            </w:pPr>
            <w:r w:rsidRPr="00526E3F">
              <w:t xml:space="preserve">Fast </w:t>
            </w:r>
          </w:p>
        </w:tc>
        <w:tc>
          <w:tcPr>
            <w:tcW w:w="992" w:type="dxa"/>
          </w:tcPr>
          <w:p w14:paraId="2C20ED74" w14:textId="77777777" w:rsidR="00E25548" w:rsidRPr="00526E3F" w:rsidRDefault="00E25548" w:rsidP="00E25548">
            <w:pPr>
              <w:pStyle w:val="TableContent"/>
              <w:rPr>
                <w:rFonts w:cs="Arial"/>
                <w:iCs/>
              </w:rPr>
            </w:pPr>
            <w:r w:rsidRPr="00526E3F">
              <w:t>10%</w:t>
            </w:r>
          </w:p>
        </w:tc>
        <w:tc>
          <w:tcPr>
            <w:tcW w:w="1570" w:type="dxa"/>
          </w:tcPr>
          <w:p w14:paraId="0642361D" w14:textId="77777777" w:rsidR="00E25548" w:rsidRPr="00526E3F" w:rsidRDefault="00E25548" w:rsidP="00E25548">
            <w:pPr>
              <w:pStyle w:val="TableContent"/>
            </w:pPr>
            <m:oMathPara>
              <m:oMath>
                <m:r>
                  <w:rPr>
                    <w:rFonts w:ascii="Cambria Math" w:hAnsi="Cambria Math"/>
                  </w:rPr>
                  <m:t>N</m:t>
                </m:r>
                <m:r>
                  <m:rPr>
                    <m:sty m:val="p"/>
                  </m:rPr>
                  <w:rPr>
                    <w:rFonts w:ascii="Cambria Math" w:hAnsi="Cambria Math"/>
                  </w:rPr>
                  <m:t xml:space="preserve">(22.5, </m:t>
                </m:r>
                <m:sSup>
                  <m:sSupPr>
                    <m:ctrlPr>
                      <w:rPr>
                        <w:rFonts w:ascii="Cambria Math" w:hAnsi="Cambria Math"/>
                      </w:rPr>
                    </m:ctrlPr>
                  </m:sSupPr>
                  <m:e>
                    <m:r>
                      <m:rPr>
                        <m:sty m:val="p"/>
                      </m:rPr>
                      <w:rPr>
                        <w:rFonts w:ascii="Cambria Math" w:hAnsi="Cambria Math"/>
                      </w:rPr>
                      <m:t>1.50</m:t>
                    </m:r>
                  </m:e>
                  <m:sup>
                    <m:r>
                      <m:rPr>
                        <m:sty m:val="p"/>
                      </m:rPr>
                      <w:rPr>
                        <w:rFonts w:ascii="Cambria Math" w:hAnsi="Cambria Math"/>
                      </w:rPr>
                      <m:t>2</m:t>
                    </m:r>
                  </m:sup>
                </m:sSup>
                <m:r>
                  <m:rPr>
                    <m:sty m:val="p"/>
                  </m:rPr>
                  <w:rPr>
                    <w:rFonts w:ascii="Cambria Math" w:hAnsi="Cambria Math"/>
                  </w:rPr>
                  <m:t>)</m:t>
                </m:r>
              </m:oMath>
            </m:oMathPara>
          </w:p>
        </w:tc>
        <w:tc>
          <w:tcPr>
            <w:tcW w:w="1692" w:type="dxa"/>
          </w:tcPr>
          <w:p w14:paraId="3522A824" w14:textId="77777777" w:rsidR="00E25548" w:rsidRPr="00526E3F" w:rsidRDefault="00E25548" w:rsidP="00E25548">
            <w:pPr>
              <w:pStyle w:val="TableContent"/>
            </w:pPr>
            <m:oMathPara>
              <m:oMath>
                <m:r>
                  <w:rPr>
                    <w:rFonts w:ascii="Cambria Math" w:hAnsi="Cambria Math"/>
                  </w:rPr>
                  <m:t>N</m:t>
                </m:r>
                <m:r>
                  <m:rPr>
                    <m:sty m:val="p"/>
                  </m:rPr>
                  <w:rPr>
                    <w:rFonts w:ascii="Cambria Math" w:hAnsi="Cambria Math"/>
                  </w:rPr>
                  <m:t xml:space="preserve">(0.38, </m:t>
                </m:r>
                <m:sSup>
                  <m:sSupPr>
                    <m:ctrlPr>
                      <w:rPr>
                        <w:rFonts w:ascii="Cambria Math" w:hAnsi="Cambria Math"/>
                      </w:rPr>
                    </m:ctrlPr>
                  </m:sSupPr>
                  <m:e>
                    <m:r>
                      <m:rPr>
                        <m:sty m:val="p"/>
                      </m:rPr>
                      <w:rPr>
                        <w:rFonts w:ascii="Cambria Math" w:hAnsi="Cambria Math"/>
                      </w:rPr>
                      <m:t>0.201</m:t>
                    </m:r>
                  </m:e>
                  <m:sup>
                    <m:r>
                      <m:rPr>
                        <m:sty m:val="p"/>
                      </m:rPr>
                      <w:rPr>
                        <w:rFonts w:ascii="Cambria Math" w:hAnsi="Cambria Math"/>
                      </w:rPr>
                      <m:t>2</m:t>
                    </m:r>
                  </m:sup>
                </m:sSup>
                <m:r>
                  <m:rPr>
                    <m:sty m:val="p"/>
                  </m:rPr>
                  <w:rPr>
                    <w:rFonts w:ascii="Cambria Math" w:hAnsi="Cambria Math"/>
                  </w:rPr>
                  <m:t>)</m:t>
                </m:r>
              </m:oMath>
            </m:oMathPara>
          </w:p>
        </w:tc>
        <w:tc>
          <w:tcPr>
            <w:tcW w:w="1699" w:type="dxa"/>
          </w:tcPr>
          <w:p w14:paraId="0D992A00" w14:textId="77777777" w:rsidR="00E25548" w:rsidRPr="00526E3F" w:rsidRDefault="006909F2" w:rsidP="00E25548">
            <w:pPr>
              <w:pStyle w:val="TableContent"/>
            </w:pPr>
            <m:oMathPara>
              <m:oMath>
                <m:sSub>
                  <m:sSubPr>
                    <m:ctrlPr>
                      <w:rPr>
                        <w:rFonts w:ascii="Cambria Math" w:hAnsi="Cambria Math"/>
                      </w:rPr>
                    </m:ctrlPr>
                  </m:sSubPr>
                  <m:e>
                    <m:r>
                      <w:rPr>
                        <w:rFonts w:ascii="Cambria Math" w:hAnsi="Cambria Math"/>
                      </w:rPr>
                      <m:t>μ</m:t>
                    </m:r>
                  </m:e>
                  <m:sub>
                    <m:r>
                      <m:rPr>
                        <m:sty m:val="p"/>
                      </m:rPr>
                      <w:rPr>
                        <w:rFonts w:ascii="Cambria Math" w:hAnsi="Cambria Math"/>
                      </w:rPr>
                      <m:t>2</m:t>
                    </m:r>
                  </m:sub>
                </m:sSub>
                <m:r>
                  <m:rPr>
                    <m:sty m:val="p"/>
                  </m:rPr>
                  <w:rPr>
                    <w:rFonts w:ascii="Cambria Math" w:hAnsi="Cambria Math"/>
                  </w:rPr>
                  <m:t>=0.00165</m:t>
                </m:r>
              </m:oMath>
            </m:oMathPara>
          </w:p>
        </w:tc>
      </w:tr>
    </w:tbl>
    <w:p w14:paraId="66B21096" w14:textId="77777777" w:rsidR="00E25548" w:rsidRDefault="00E25548" w:rsidP="00E25548"/>
    <w:p w14:paraId="583347EC" w14:textId="4B517BF3" w:rsidR="00E25548" w:rsidRDefault="00E25548" w:rsidP="00E25548">
      <w:r>
        <w:t>P</w:t>
      </w:r>
      <w:r w:rsidRPr="00526E3F">
        <w:t>ublished studies</w:t>
      </w:r>
      <w:r>
        <w:t xml:space="preserve"> (</w:t>
      </w:r>
      <w:r>
        <w:fldChar w:fldCharType="begin"/>
      </w:r>
      <w:r>
        <w:instrText xml:space="preserve"> REF _Ref10446501 \h  \* MERGEFORMAT </w:instrText>
      </w:r>
      <w:r>
        <w:fldChar w:fldCharType="separate"/>
      </w:r>
      <w:r w:rsidR="0020511F" w:rsidRPr="00526E3F">
        <w:t xml:space="preserve">Table </w:t>
      </w:r>
      <w:r w:rsidR="0020511F">
        <w:rPr>
          <w:noProof/>
        </w:rPr>
        <w:t>A5</w:t>
      </w:r>
      <w:r>
        <w:fldChar w:fldCharType="end"/>
      </w:r>
      <w:r>
        <w:t>)</w:t>
      </w:r>
      <w:r w:rsidRPr="00526E3F">
        <w:t>,</w:t>
      </w:r>
      <w:r>
        <w:t xml:space="preserve"> </w:t>
      </w:r>
      <w:r w:rsidRPr="00526E3F">
        <w:t>which report fixed effect linear slope values</w:t>
      </w:r>
      <w:r>
        <w:t xml:space="preserve">, </w:t>
      </w:r>
      <w:r w:rsidRPr="00526E3F">
        <w:t xml:space="preserve">show </w:t>
      </w:r>
      <w:r>
        <w:t>reasonable</w:t>
      </w:r>
      <w:r w:rsidRPr="00526E3F">
        <w:t xml:space="preserve"> agreement</w:t>
      </w:r>
      <w:r w:rsidR="002C6180">
        <w:t xml:space="preserve"> with our results</w:t>
      </w:r>
      <w:r>
        <w:t>. For example, 0.38 MMSE points per month (</w:t>
      </w:r>
      <w:r w:rsidR="00864BBA">
        <w:t>for f</w:t>
      </w:r>
      <w:r>
        <w:t xml:space="preserve">ast progression types in </w:t>
      </w:r>
      <w:r w:rsidR="00E60987" w:rsidRPr="00526E3F">
        <w:fldChar w:fldCharType="begin"/>
      </w:r>
      <w:r w:rsidR="00E60987" w:rsidRPr="00526E3F">
        <w:instrText xml:space="preserve"> REF _Ref5614130 \h </w:instrText>
      </w:r>
      <w:r w:rsidR="00E60987">
        <w:instrText xml:space="preserve"> \* MERGEFORMAT </w:instrText>
      </w:r>
      <w:r w:rsidR="00E60987" w:rsidRPr="00526E3F">
        <w:fldChar w:fldCharType="separate"/>
      </w:r>
      <w:r w:rsidR="0020511F" w:rsidRPr="00526E3F">
        <w:t xml:space="preserve">Table </w:t>
      </w:r>
      <w:r w:rsidR="0020511F">
        <w:rPr>
          <w:noProof/>
        </w:rPr>
        <w:t>A4</w:t>
      </w:r>
      <w:r w:rsidR="00E60987" w:rsidRPr="00526E3F">
        <w:fldChar w:fldCharType="end"/>
      </w:r>
      <w:r>
        <w:t>) is 4.56 MMSE points per year, comparable with the fast column in</w:t>
      </w:r>
      <w:r w:rsidR="00E60987">
        <w:t xml:space="preserve"> </w:t>
      </w:r>
      <w:r w:rsidR="00E60987">
        <w:fldChar w:fldCharType="begin"/>
      </w:r>
      <w:r w:rsidR="00E60987">
        <w:instrText xml:space="preserve"> REF _Ref10446501 \h  \* MERGEFORMAT </w:instrText>
      </w:r>
      <w:r w:rsidR="00E60987">
        <w:fldChar w:fldCharType="separate"/>
      </w:r>
      <w:r w:rsidR="0020511F" w:rsidRPr="00526E3F">
        <w:t xml:space="preserve">Table </w:t>
      </w:r>
      <w:r w:rsidR="0020511F">
        <w:rPr>
          <w:noProof/>
        </w:rPr>
        <w:t>A5</w:t>
      </w:r>
      <w:r w:rsidR="00E60987">
        <w:fldChar w:fldCharType="end"/>
      </w:r>
      <w:r>
        <w:t>.</w:t>
      </w:r>
    </w:p>
    <w:p w14:paraId="425B051F" w14:textId="1C2C6A1D" w:rsidR="00E25548" w:rsidRPr="00C05E24" w:rsidRDefault="00E25548" w:rsidP="009E3711">
      <w:pPr>
        <w:pStyle w:val="Caption"/>
      </w:pPr>
      <w:bookmarkStart w:id="19" w:name="_Ref10446501"/>
      <w:r w:rsidRPr="00526E3F">
        <w:t xml:space="preserve">Table </w:t>
      </w:r>
      <w:r w:rsidR="009E3711">
        <w:t>A5</w:t>
      </w:r>
      <w:bookmarkEnd w:id="19"/>
      <w:r w:rsidR="00061BD6">
        <w:t xml:space="preserve">   </w:t>
      </w:r>
      <w:r>
        <w:t>Summary of published progression rates</w:t>
      </w:r>
    </w:p>
    <w:tbl>
      <w:tblPr>
        <w:tblStyle w:val="TableGrid"/>
        <w:tblW w:w="76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1701"/>
        <w:gridCol w:w="1835"/>
        <w:gridCol w:w="1709"/>
      </w:tblGrid>
      <w:tr w:rsidR="00BB59B7" w14:paraId="6BEE3DDA" w14:textId="77777777" w:rsidTr="00BB59B7">
        <w:trPr>
          <w:jc w:val="center"/>
        </w:trPr>
        <w:tc>
          <w:tcPr>
            <w:tcW w:w="2405" w:type="dxa"/>
          </w:tcPr>
          <w:p w14:paraId="38E04EAE" w14:textId="77777777" w:rsidR="00BB59B7" w:rsidRPr="00E54686" w:rsidRDefault="00BB59B7" w:rsidP="009E3711">
            <w:pPr>
              <w:pStyle w:val="TableContent"/>
              <w:keepNext/>
              <w:keepLines/>
              <w:rPr>
                <w:b/>
              </w:rPr>
            </w:pPr>
            <w:r w:rsidRPr="00E54686">
              <w:rPr>
                <w:b/>
              </w:rPr>
              <w:t>Source</w:t>
            </w:r>
          </w:p>
        </w:tc>
        <w:tc>
          <w:tcPr>
            <w:tcW w:w="1701" w:type="dxa"/>
          </w:tcPr>
          <w:p w14:paraId="10372994" w14:textId="77777777" w:rsidR="00BB59B7" w:rsidRPr="00E54686" w:rsidRDefault="00BB59B7" w:rsidP="009E3711">
            <w:pPr>
              <w:pStyle w:val="TableContent"/>
              <w:keepNext/>
              <w:keepLines/>
              <w:rPr>
                <w:b/>
              </w:rPr>
            </w:pPr>
            <w:r w:rsidRPr="00E54686">
              <w:rPr>
                <w:b/>
              </w:rPr>
              <w:t>Slow</w:t>
            </w:r>
          </w:p>
        </w:tc>
        <w:tc>
          <w:tcPr>
            <w:tcW w:w="1835" w:type="dxa"/>
          </w:tcPr>
          <w:p w14:paraId="2F42C75E" w14:textId="77777777" w:rsidR="00BB59B7" w:rsidRPr="00E54686" w:rsidRDefault="00BB59B7" w:rsidP="009E3711">
            <w:pPr>
              <w:pStyle w:val="TableContent"/>
              <w:keepNext/>
              <w:keepLines/>
              <w:rPr>
                <w:b/>
              </w:rPr>
            </w:pPr>
            <w:r w:rsidRPr="00E54686">
              <w:rPr>
                <w:b/>
              </w:rPr>
              <w:t xml:space="preserve">Intermediate </w:t>
            </w:r>
          </w:p>
        </w:tc>
        <w:tc>
          <w:tcPr>
            <w:tcW w:w="1709" w:type="dxa"/>
          </w:tcPr>
          <w:p w14:paraId="2FE72842" w14:textId="77777777" w:rsidR="00BB59B7" w:rsidRPr="00E54686" w:rsidRDefault="00BB59B7" w:rsidP="009E3711">
            <w:pPr>
              <w:pStyle w:val="TableContent"/>
              <w:keepNext/>
              <w:keepLines/>
              <w:rPr>
                <w:b/>
              </w:rPr>
            </w:pPr>
            <w:r w:rsidRPr="00E54686">
              <w:rPr>
                <w:b/>
              </w:rPr>
              <w:t xml:space="preserve">Fast </w:t>
            </w:r>
          </w:p>
        </w:tc>
      </w:tr>
      <w:tr w:rsidR="00BB59B7" w14:paraId="0EB53862" w14:textId="77777777" w:rsidTr="00BB59B7">
        <w:trPr>
          <w:jc w:val="center"/>
        </w:trPr>
        <w:tc>
          <w:tcPr>
            <w:tcW w:w="2405" w:type="dxa"/>
          </w:tcPr>
          <w:p w14:paraId="2DC7B7DA" w14:textId="77777777" w:rsidR="00BB59B7" w:rsidRDefault="00BB59B7" w:rsidP="009E3711">
            <w:pPr>
              <w:pStyle w:val="TableContent"/>
              <w:keepNext/>
              <w:keepLines/>
            </w:pPr>
            <w:r w:rsidRPr="00E44D67">
              <w:t xml:space="preserve">Soto 2005* </w:t>
            </w:r>
          </w:p>
          <w:p w14:paraId="61E4F026" w14:textId="77777777" w:rsidR="00BB59B7" w:rsidRPr="00D75B12" w:rsidRDefault="00BB59B7" w:rsidP="009E3711">
            <w:pPr>
              <w:pStyle w:val="TableContent"/>
              <w:keepNext/>
              <w:keepLines/>
            </w:pPr>
            <w:r w:rsidRPr="00E44D67">
              <w:t>Soto 2008*</w:t>
            </w:r>
          </w:p>
        </w:tc>
        <w:tc>
          <w:tcPr>
            <w:tcW w:w="1701" w:type="dxa"/>
          </w:tcPr>
          <w:p w14:paraId="26DDC65C" w14:textId="77777777" w:rsidR="00BB59B7" w:rsidRDefault="00BB59B7" w:rsidP="009E3711">
            <w:pPr>
              <w:pStyle w:val="TableContent"/>
              <w:keepNext/>
              <w:keepLines/>
            </w:pPr>
          </w:p>
        </w:tc>
        <w:tc>
          <w:tcPr>
            <w:tcW w:w="1835" w:type="dxa"/>
          </w:tcPr>
          <w:p w14:paraId="250F881F" w14:textId="77777777" w:rsidR="00BB59B7" w:rsidRDefault="00BB59B7" w:rsidP="009E3711">
            <w:pPr>
              <w:pStyle w:val="TableContent"/>
              <w:keepNext/>
              <w:keepLines/>
            </w:pPr>
          </w:p>
        </w:tc>
        <w:tc>
          <w:tcPr>
            <w:tcW w:w="1709" w:type="dxa"/>
          </w:tcPr>
          <w:p w14:paraId="5FE5D8CA" w14:textId="77777777" w:rsidR="00BB59B7" w:rsidRPr="00E44D67" w:rsidRDefault="00BB59B7" w:rsidP="009E3711">
            <w:pPr>
              <w:pStyle w:val="TableContent"/>
              <w:keepNext/>
              <w:keepLines/>
            </w:pPr>
            <w:r>
              <w:t xml:space="preserve">≥4 pts at ½ </w:t>
            </w:r>
            <w:r w:rsidRPr="00E44D67">
              <w:t>year</w:t>
            </w:r>
          </w:p>
          <w:p w14:paraId="0FBA9AD2" w14:textId="77777777" w:rsidR="00BB59B7" w:rsidRDefault="00BB59B7" w:rsidP="009E3711">
            <w:pPr>
              <w:pStyle w:val="TableContent"/>
              <w:keepNext/>
              <w:keepLines/>
            </w:pPr>
            <w:r>
              <w:t xml:space="preserve">≥5 pts at 1 </w:t>
            </w:r>
            <w:r w:rsidRPr="00E44D67">
              <w:t>year</w:t>
            </w:r>
          </w:p>
        </w:tc>
      </w:tr>
      <w:tr w:rsidR="00BB59B7" w14:paraId="4D380D91" w14:textId="77777777" w:rsidTr="00BB59B7">
        <w:trPr>
          <w:trHeight w:val="257"/>
          <w:jc w:val="center"/>
        </w:trPr>
        <w:tc>
          <w:tcPr>
            <w:tcW w:w="2405" w:type="dxa"/>
          </w:tcPr>
          <w:p w14:paraId="5940C172" w14:textId="77777777" w:rsidR="00BB59B7" w:rsidRDefault="00BB59B7" w:rsidP="009E3711">
            <w:pPr>
              <w:pStyle w:val="TableContent"/>
              <w:keepNext/>
              <w:keepLines/>
            </w:pPr>
            <w:r w:rsidRPr="00E44D67">
              <w:t>Carcaillon 2007*</w:t>
            </w:r>
          </w:p>
        </w:tc>
        <w:tc>
          <w:tcPr>
            <w:tcW w:w="1701" w:type="dxa"/>
          </w:tcPr>
          <w:p w14:paraId="244A14F2" w14:textId="77777777" w:rsidR="00BB59B7" w:rsidRDefault="00BB59B7" w:rsidP="009E3711">
            <w:pPr>
              <w:pStyle w:val="TableContent"/>
              <w:keepNext/>
              <w:keepLines/>
            </w:pPr>
          </w:p>
        </w:tc>
        <w:tc>
          <w:tcPr>
            <w:tcW w:w="1835" w:type="dxa"/>
          </w:tcPr>
          <w:p w14:paraId="49125C48" w14:textId="77777777" w:rsidR="00BB59B7" w:rsidRDefault="00BB59B7" w:rsidP="009E3711">
            <w:pPr>
              <w:pStyle w:val="TableContent"/>
              <w:keepNext/>
              <w:keepLines/>
            </w:pPr>
          </w:p>
        </w:tc>
        <w:tc>
          <w:tcPr>
            <w:tcW w:w="1709" w:type="dxa"/>
          </w:tcPr>
          <w:p w14:paraId="606B2439" w14:textId="77777777" w:rsidR="00BB59B7" w:rsidRDefault="00BB59B7" w:rsidP="009E3711">
            <w:pPr>
              <w:pStyle w:val="TableContent"/>
              <w:keepNext/>
              <w:keepLines/>
            </w:pPr>
            <w:r>
              <w:t xml:space="preserve">≥3 pts / </w:t>
            </w:r>
            <w:r w:rsidRPr="00E44D67">
              <w:t>year</w:t>
            </w:r>
          </w:p>
        </w:tc>
      </w:tr>
      <w:tr w:rsidR="00BB59B7" w14:paraId="0CCCA96A" w14:textId="77777777" w:rsidTr="00BB59B7">
        <w:trPr>
          <w:jc w:val="center"/>
        </w:trPr>
        <w:tc>
          <w:tcPr>
            <w:tcW w:w="2405" w:type="dxa"/>
          </w:tcPr>
          <w:p w14:paraId="7A6D5A53" w14:textId="77777777" w:rsidR="00BB59B7" w:rsidRDefault="00BB59B7" w:rsidP="009E3711">
            <w:pPr>
              <w:pStyle w:val="TableContent"/>
              <w:keepNext/>
              <w:keepLines/>
            </w:pPr>
            <w:r>
              <w:fldChar w:fldCharType="begin" w:fldLock="1"/>
            </w:r>
            <w:r>
              <w:instrText>ADDIN CSL_CITATION {"citationItems":[{"id":"ITEM-1","itemData":{"DOI":"10.1186/alzrt38","ISSN":"1758-9193","author":[{"dropping-particle":"","family":"Doody","given":"Rachelle S","non-dropping-particle":"","parse-names":false,"suffix":""},{"dropping-particle":"","family":"Pavlik","given":"Valory","non-dropping-particle":"","parse-names":false,"suffix":""},{"dropping-particle":"","family":"Massman","given":"Paul","non-dropping-particle":"","parse-names":false,"suffix":""},{"dropping-particle":"","family":"Rountree","given":"Susan","non-dropping-particle":"","parse-names":false,"suffix":""},{"dropping-particle":"","family":"Darby","given":"Eveleen","non-dropping-particle":"","parse-names":false,"suffix":""},{"dropping-particle":"","family":"Chan","given":"Wenyaw","non-dropping-particle":"","parse-names":false,"suffix":""}],"container-title":"Alzheimer's Research &amp; Therapy","id":"ITEM-1","issue":"4","issued":{"date-parts":[["2010"]]},"page":"14","title":"Predicting progression of Alzheimer's disease","type":"article-journal","volume":"2"},"uris":["http://www.mendeley.com/documents/?uuid=37899491-f544-4afd-98a8-6747aace3365"]}],"mendeley":{"formattedCitation":"(Doody et al., 2010)","plainTextFormattedCitation":"(Doody et al., 2010)","previouslyFormattedCitation":"(Doody et al., 2010)"},"properties":{"noteIndex":0},"schema":"https://github.com/citation-style-language/schema/raw/master/csl-citation.json"}</w:instrText>
            </w:r>
            <w:r>
              <w:fldChar w:fldCharType="separate"/>
            </w:r>
            <w:r w:rsidRPr="00DC4D7E">
              <w:rPr>
                <w:noProof/>
              </w:rPr>
              <w:t>(Doody et al., 2010)</w:t>
            </w:r>
            <w:r>
              <w:fldChar w:fldCharType="end"/>
            </w:r>
          </w:p>
        </w:tc>
        <w:tc>
          <w:tcPr>
            <w:tcW w:w="1701" w:type="dxa"/>
          </w:tcPr>
          <w:p w14:paraId="502F1C82" w14:textId="77777777" w:rsidR="00BB59B7" w:rsidRDefault="00BB59B7" w:rsidP="009E3711">
            <w:pPr>
              <w:pStyle w:val="TableContent"/>
              <w:keepNext/>
              <w:keepLines/>
            </w:pPr>
            <w:r>
              <w:t xml:space="preserve">&lt;2 pts / </w:t>
            </w:r>
            <w:r w:rsidRPr="00E44D67">
              <w:t>year</w:t>
            </w:r>
          </w:p>
        </w:tc>
        <w:tc>
          <w:tcPr>
            <w:tcW w:w="1835" w:type="dxa"/>
          </w:tcPr>
          <w:p w14:paraId="3A6598E5" w14:textId="77777777" w:rsidR="00BB59B7" w:rsidRDefault="00BB59B7" w:rsidP="009E3711">
            <w:pPr>
              <w:pStyle w:val="TableContent"/>
              <w:keepNext/>
              <w:keepLines/>
            </w:pPr>
            <w:r>
              <w:t xml:space="preserve">2-5 pts / </w:t>
            </w:r>
            <w:r w:rsidRPr="00E44D67">
              <w:t>year</w:t>
            </w:r>
          </w:p>
        </w:tc>
        <w:tc>
          <w:tcPr>
            <w:tcW w:w="1709" w:type="dxa"/>
          </w:tcPr>
          <w:p w14:paraId="66A751B8" w14:textId="77777777" w:rsidR="00BB59B7" w:rsidRDefault="00BB59B7" w:rsidP="009E3711">
            <w:pPr>
              <w:pStyle w:val="TableContent"/>
              <w:keepNext/>
              <w:keepLines/>
            </w:pPr>
            <w:r>
              <w:t xml:space="preserve">≥5 pts / </w:t>
            </w:r>
            <w:r w:rsidRPr="00E44D67">
              <w:t>year</w:t>
            </w:r>
          </w:p>
        </w:tc>
      </w:tr>
      <w:tr w:rsidR="00BB59B7" w14:paraId="1119DB33" w14:textId="77777777" w:rsidTr="00BB59B7">
        <w:trPr>
          <w:jc w:val="center"/>
        </w:trPr>
        <w:tc>
          <w:tcPr>
            <w:tcW w:w="2405" w:type="dxa"/>
          </w:tcPr>
          <w:p w14:paraId="228C0BEB" w14:textId="77777777" w:rsidR="00BB59B7" w:rsidRDefault="00BB59B7" w:rsidP="009E3711">
            <w:pPr>
              <w:pStyle w:val="TableContent"/>
              <w:keepNext/>
              <w:keepLines/>
            </w:pPr>
            <w:r w:rsidRPr="00E44D67">
              <w:t>Musicco*</w:t>
            </w:r>
          </w:p>
        </w:tc>
        <w:tc>
          <w:tcPr>
            <w:tcW w:w="1701" w:type="dxa"/>
          </w:tcPr>
          <w:p w14:paraId="71B209FD" w14:textId="77777777" w:rsidR="00BB59B7" w:rsidRDefault="00BB59B7" w:rsidP="009E3711">
            <w:pPr>
              <w:pStyle w:val="TableContent"/>
              <w:keepNext/>
              <w:keepLines/>
            </w:pPr>
          </w:p>
        </w:tc>
        <w:tc>
          <w:tcPr>
            <w:tcW w:w="1835" w:type="dxa"/>
          </w:tcPr>
          <w:p w14:paraId="56362406" w14:textId="77777777" w:rsidR="00BB59B7" w:rsidRDefault="00BB59B7" w:rsidP="009E3711">
            <w:pPr>
              <w:pStyle w:val="TableContent"/>
              <w:keepNext/>
              <w:keepLines/>
            </w:pPr>
          </w:p>
        </w:tc>
        <w:tc>
          <w:tcPr>
            <w:tcW w:w="1709" w:type="dxa"/>
          </w:tcPr>
          <w:p w14:paraId="7610D06B" w14:textId="77777777" w:rsidR="00BB59B7" w:rsidRDefault="00BB59B7" w:rsidP="009E3711">
            <w:pPr>
              <w:pStyle w:val="TableContent"/>
              <w:keepNext/>
              <w:keepLines/>
            </w:pPr>
            <w:r w:rsidRPr="00E44D67">
              <w:t>5 p</w:t>
            </w:r>
            <w:r>
              <w:t xml:space="preserve">ts at </w:t>
            </w:r>
            <w:r w:rsidRPr="00E44D67">
              <w:t>2 years</w:t>
            </w:r>
          </w:p>
        </w:tc>
      </w:tr>
      <w:tr w:rsidR="00BB59B7" w14:paraId="5F660090" w14:textId="77777777" w:rsidTr="00BB59B7">
        <w:trPr>
          <w:jc w:val="center"/>
        </w:trPr>
        <w:tc>
          <w:tcPr>
            <w:tcW w:w="2405" w:type="dxa"/>
          </w:tcPr>
          <w:p w14:paraId="27FAFDC8" w14:textId="77777777" w:rsidR="00BB59B7" w:rsidRDefault="00BB59B7" w:rsidP="009E3711">
            <w:pPr>
              <w:pStyle w:val="TableContent"/>
              <w:keepNext/>
              <w:keepLines/>
            </w:pPr>
            <w:r>
              <w:fldChar w:fldCharType="begin" w:fldLock="1"/>
            </w:r>
            <w:r>
              <w:instrText>ADDIN CSL_CITATION {"citationItems":[{"id":"ITEM-1","itemData":{"DOI":"10.3233/JAD-161264","ISSN":"1875-8908","PMID":"28304306","abstract":"BACKGROUND The rate of cognitive and functional decline in Alzheimer's disease (AD) changes across individuals. OBJECTIVES Our purpose was to assess whether the concept of \"fast decline\" really fits its definition and whether cognitive and functional variables at onset can predict the progression of AD. METHODS 324 AD patients were included. We retrospectively examined their Mini-Mental State Examination (MMSE) total score and sub-items, Activities of Daily Living (ADL), and Instrumental Activities of Daily Living (IADL) at baseline and every six months for a 4-year follow-up. Patients were divided into \"fast decliners\" (n = 62), defined by a loss ≥5 points on the MMSE score within the first year from the baseline; \"intermediate decliners\" (n = 37), by a loss ≥5 points after the first year and before the 18th month; or \"slow decliners\" (n = 225), composed of the remaining patients. RESULTS At baseline, the groups did not differ on demographic, clinical, and cognitive variables. The decline at the end of the 4-year follow-up period seems to be similar among the different decline clusters. Predictors of disease progression have not been identified; only the MMSE total score at 12 months &lt;14/30 was indicative of a poor prognosis. CONCLUSIONS Even with the limitation due to the small sample size, the lack of differences in the disease progression in time in the different clusters suggest the inconsistency of the so-called \"fast decliners\". This study was unable to show any significant difference among clusters of AD progression within a 4-year time interval. Further studies should better clarify whether a more consistent distinction exists between slow and fast decliners.","author":[{"dropping-particle":"","family":"Barocco","given":"Federica","non-dropping-particle":"","parse-names":false,"suffix":""},{"dropping-particle":"","family":"Spallazzi","given":"Marco","non-dropping-particle":"","parse-names":false,"suffix":""},{"dropping-particle":"","family":"Concari","given":"Letizia","non-dropping-particle":"","parse-names":false,"suffix":""},{"dropping-particle":"","family":"Gardini","given":"Simona","non-dropping-particle":"","parse-names":false,"suffix":""},{"dropping-particle":"","family":"Pelosi","given":"Annalisa","non-dropping-particle":"","parse-names":false,"suffix":""},{"dropping-particle":"","family":"Caffarra","given":"Paolo","non-dropping-particle":"","parse-names":false,"suffix":""}],"container-title":"Journal of Alzheimer's Disease","id":"ITEM-1","issue":"3","issued":{"date-parts":[["2017"]]},"page":"775-786","publisher":"IOS Press","title":"The Progression of Alzheimer's Disease: Are Fast Decliners Really Fast? A Four-Year Follow-Up.","type":"article-journal","volume":"57"},"uris":["http://www.mendeley.com/documents/?uuid=8825530d-d03f-32ad-adf5-1546bbe27d64"]}],"mendeley":{"formattedCitation":"(Barocco et al., 2017)","plainTextFormattedCitation":"(Barocco et al., 2017)","previouslyFormattedCitation":"(Barocco et al., 2017)"},"properties":{"noteIndex":0},"schema":"https://github.com/citation-style-language/schema/raw/master/csl-citation.json"}</w:instrText>
            </w:r>
            <w:r>
              <w:fldChar w:fldCharType="separate"/>
            </w:r>
            <w:r w:rsidRPr="002B7B14">
              <w:rPr>
                <w:noProof/>
              </w:rPr>
              <w:t xml:space="preserve">(Barocco </w:t>
            </w:r>
            <w:r w:rsidRPr="004C3E4E">
              <w:rPr>
                <w:i/>
                <w:noProof/>
              </w:rPr>
              <w:t>et al</w:t>
            </w:r>
            <w:r w:rsidRPr="002B7B14">
              <w:rPr>
                <w:noProof/>
              </w:rPr>
              <w:t>., 2017)</w:t>
            </w:r>
            <w:r>
              <w:fldChar w:fldCharType="end"/>
            </w:r>
          </w:p>
        </w:tc>
        <w:tc>
          <w:tcPr>
            <w:tcW w:w="1701" w:type="dxa"/>
          </w:tcPr>
          <w:p w14:paraId="62E6BBB8" w14:textId="77777777" w:rsidR="00BB59B7" w:rsidRDefault="00BB59B7" w:rsidP="009E3711">
            <w:pPr>
              <w:pStyle w:val="TableContent"/>
              <w:keepNext/>
              <w:keepLines/>
            </w:pPr>
          </w:p>
        </w:tc>
        <w:tc>
          <w:tcPr>
            <w:tcW w:w="1835" w:type="dxa"/>
          </w:tcPr>
          <w:p w14:paraId="48BC686C" w14:textId="77777777" w:rsidR="00BB59B7" w:rsidRPr="00C11CC0" w:rsidRDefault="00BB59B7" w:rsidP="009E3711">
            <w:pPr>
              <w:keepNext/>
              <w:keepLines/>
              <w:spacing w:line="259" w:lineRule="auto"/>
              <w:rPr>
                <w:rFonts w:eastAsia="Calibri"/>
              </w:rPr>
            </w:pPr>
            <w:r>
              <w:rPr>
                <w:rFonts w:eastAsia="Calibri"/>
              </w:rPr>
              <w:t xml:space="preserve">≥5 pts </w:t>
            </w:r>
            <w:r>
              <w:t>at 1.5 years</w:t>
            </w:r>
          </w:p>
        </w:tc>
        <w:tc>
          <w:tcPr>
            <w:tcW w:w="1709" w:type="dxa"/>
          </w:tcPr>
          <w:p w14:paraId="7EFEC442" w14:textId="77777777" w:rsidR="00BB59B7" w:rsidRDefault="00BB59B7" w:rsidP="009E3711">
            <w:pPr>
              <w:keepNext/>
              <w:keepLines/>
              <w:spacing w:line="259" w:lineRule="auto"/>
            </w:pPr>
            <w:r>
              <w:rPr>
                <w:rFonts w:eastAsia="Calibri"/>
              </w:rPr>
              <w:t xml:space="preserve">≥5 pts </w:t>
            </w:r>
            <w:r>
              <w:t>at 1 year</w:t>
            </w:r>
          </w:p>
        </w:tc>
      </w:tr>
      <w:tr w:rsidR="00BB59B7" w14:paraId="7E568A19" w14:textId="77777777" w:rsidTr="00BB59B7">
        <w:trPr>
          <w:jc w:val="center"/>
        </w:trPr>
        <w:tc>
          <w:tcPr>
            <w:tcW w:w="2405" w:type="dxa"/>
          </w:tcPr>
          <w:p w14:paraId="6730762B" w14:textId="77777777" w:rsidR="00BB59B7" w:rsidRDefault="00BB59B7" w:rsidP="009E3711">
            <w:pPr>
              <w:pStyle w:val="TableContent"/>
              <w:keepNext/>
              <w:keepLines/>
            </w:pPr>
            <w:r>
              <w:fldChar w:fldCharType="begin" w:fldLock="1"/>
            </w:r>
            <w:r>
              <w:instrText>ADDIN CSL_CITATION {"citationItems":[{"id":"ITEM-1","itemData":{"author":[{"dropping-particle":"","family":"Grootoonk","given":"Sylke","non-dropping-particle":"","parse-names":false,"suffix":""},{"dropping-particle":"","family":"Wolz","given":"Robin","non-dropping-particle":"","parse-names":false,"suffix":""},{"dropping-particle":"","family":"Hall","given":"John","non-dropping-particle":"","parse-names":false,"suffix":""},{"dropping-particle":"","family":"Hill","given":"Derek L.","non-dropping-particle":"","parse-names":false,"suffix":""}],"container-title":"AAIC 2016","id":"ITEM-1","issued":{"date-parts":[["2016"]]},"publisher":"Elsevier","title":"Understanding the Costs of Dementia Diagnosis and Care and the Financial Benefits Arising From Identifying Rapid Progressors","type":"paper-conference","volume":"O2-11-06"},"uris":["http://www.mendeley.com/documents/?uuid=4119ccc6-96dd-4016-b205-732d5ccc59a4"]}],"mendeley":{"formattedCitation":"(Grootoonk et al., 2016)","plainTextFormattedCitation":"(Grootoonk et al., 2016)","previouslyFormattedCitation":"(Grootoonk et al., 2016)"},"properties":{"noteIndex":0},"schema":"https://github.com/citation-style-language/schema/raw/master/csl-citation.json"}</w:instrText>
            </w:r>
            <w:r>
              <w:fldChar w:fldCharType="separate"/>
            </w:r>
            <w:r w:rsidRPr="00FB5652">
              <w:rPr>
                <w:noProof/>
              </w:rPr>
              <w:t xml:space="preserve">(Grootoonk </w:t>
            </w:r>
            <w:r w:rsidRPr="00675721">
              <w:rPr>
                <w:i/>
                <w:noProof/>
              </w:rPr>
              <w:t>et al</w:t>
            </w:r>
            <w:r w:rsidRPr="00FB5652">
              <w:rPr>
                <w:noProof/>
              </w:rPr>
              <w:t>., 2016)</w:t>
            </w:r>
            <w:r>
              <w:fldChar w:fldCharType="end"/>
            </w:r>
          </w:p>
        </w:tc>
        <w:tc>
          <w:tcPr>
            <w:tcW w:w="1701" w:type="dxa"/>
          </w:tcPr>
          <w:p w14:paraId="49323200" w14:textId="77777777" w:rsidR="00BB59B7" w:rsidRDefault="00BB59B7" w:rsidP="009E3711">
            <w:pPr>
              <w:keepNext/>
              <w:keepLines/>
              <w:spacing w:line="259" w:lineRule="auto"/>
            </w:pPr>
            <w:r>
              <w:rPr>
                <w:rFonts w:eastAsia="Calibri"/>
              </w:rPr>
              <w:t xml:space="preserve">≤3 pts at </w:t>
            </w:r>
            <w:r w:rsidRPr="00E44D67">
              <w:rPr>
                <w:rFonts w:eastAsia="Calibri"/>
              </w:rPr>
              <w:t>2 years</w:t>
            </w:r>
          </w:p>
        </w:tc>
        <w:tc>
          <w:tcPr>
            <w:tcW w:w="1835" w:type="dxa"/>
          </w:tcPr>
          <w:p w14:paraId="25B516CC" w14:textId="77777777" w:rsidR="00BB59B7" w:rsidRDefault="00BB59B7" w:rsidP="009E3711">
            <w:pPr>
              <w:pStyle w:val="TableContent"/>
              <w:keepNext/>
              <w:keepLines/>
            </w:pPr>
            <w:r>
              <w:t xml:space="preserve">3-6 pts at </w:t>
            </w:r>
            <w:r w:rsidRPr="00E44D67">
              <w:t>2 years</w:t>
            </w:r>
          </w:p>
        </w:tc>
        <w:tc>
          <w:tcPr>
            <w:tcW w:w="1709" w:type="dxa"/>
          </w:tcPr>
          <w:p w14:paraId="2F38600F" w14:textId="77777777" w:rsidR="00BB59B7" w:rsidRPr="00C11CC0" w:rsidRDefault="00BB59B7" w:rsidP="009E3711">
            <w:pPr>
              <w:keepNext/>
              <w:keepLines/>
              <w:spacing w:line="259" w:lineRule="auto"/>
              <w:rPr>
                <w:rFonts w:eastAsia="Calibri"/>
              </w:rPr>
            </w:pPr>
            <w:r>
              <w:rPr>
                <w:rFonts w:eastAsia="Calibri"/>
              </w:rPr>
              <w:t xml:space="preserve">≥6 pts at </w:t>
            </w:r>
            <w:r w:rsidRPr="00E44D67">
              <w:rPr>
                <w:rFonts w:eastAsia="Calibri"/>
              </w:rPr>
              <w:t>2 years</w:t>
            </w:r>
          </w:p>
        </w:tc>
      </w:tr>
      <w:tr w:rsidR="00BB59B7" w14:paraId="477C79F9" w14:textId="77777777" w:rsidTr="00BB59B7">
        <w:trPr>
          <w:jc w:val="center"/>
        </w:trPr>
        <w:tc>
          <w:tcPr>
            <w:tcW w:w="7650" w:type="dxa"/>
            <w:gridSpan w:val="4"/>
          </w:tcPr>
          <w:p w14:paraId="20954C89" w14:textId="77777777" w:rsidR="00BB59B7" w:rsidRDefault="00BB59B7" w:rsidP="00BB59B7">
            <w:pPr>
              <w:keepNext/>
              <w:keepLines/>
              <w:spacing w:line="259" w:lineRule="auto"/>
            </w:pPr>
            <w:r>
              <w:t>Table summarises points on the MMSE scale</w:t>
            </w:r>
          </w:p>
          <w:p w14:paraId="3A5844BD" w14:textId="6FA824B6" w:rsidR="00BB59B7" w:rsidRDefault="00BB59B7" w:rsidP="00BB59B7">
            <w:pPr>
              <w:keepNext/>
              <w:keepLines/>
              <w:spacing w:line="259" w:lineRule="auto"/>
              <w:rPr>
                <w:rFonts w:eastAsia="Calibri"/>
              </w:rPr>
            </w:pPr>
            <w:r w:rsidRPr="006D519D">
              <w:rPr>
                <w:i/>
              </w:rPr>
              <w:t xml:space="preserve"> * </w:t>
            </w:r>
            <w:r w:rsidRPr="006D519D">
              <w:t xml:space="preserve">indicates a secondary reference cited in Sona </w:t>
            </w:r>
            <w:r w:rsidRPr="00675721">
              <w:rPr>
                <w:i/>
              </w:rPr>
              <w:t>et al</w:t>
            </w:r>
            <w:r w:rsidRPr="006D519D">
              <w:rPr>
                <w:i/>
              </w:rPr>
              <w:t>.</w:t>
            </w:r>
            <w:r>
              <w:t xml:space="preserve"> (2013).</w:t>
            </w:r>
          </w:p>
        </w:tc>
      </w:tr>
    </w:tbl>
    <w:p w14:paraId="21CC520F" w14:textId="77777777" w:rsidR="001B72EB" w:rsidRDefault="001B72EB" w:rsidP="001B72EB">
      <w:pPr>
        <w:pStyle w:val="NewNorm"/>
        <w:rPr>
          <w:i/>
        </w:rPr>
      </w:pPr>
      <w:r w:rsidRPr="00906472">
        <w:rPr>
          <w:i/>
        </w:rPr>
        <w:t>Data collection and sharing for this project was funded by the Alzheimer's Disease Neuroimaging Initiative (ADNI) (National Institutes of Health Grant U01 AG024904) and DOD ADNI (Department of Defense award number W81XWH-12-2-0012). ADNI is funded by the National Institute on Aging, the National Institute of Biomedical Imaging and Bioengineering, and through generous contributions from several agencies. ADNI data are disseminated by the Laboratory for Neuro Imaging at the University of Southern California.</w:t>
      </w:r>
    </w:p>
    <w:p w14:paraId="56C9BCE0" w14:textId="09312E6E" w:rsidR="00864BBA" w:rsidRDefault="00864BBA" w:rsidP="00864BBA">
      <w:pPr>
        <w:pStyle w:val="AppendixSubheading"/>
      </w:pPr>
      <w:r w:rsidRPr="00FF4E01">
        <w:lastRenderedPageBreak/>
        <w:t>Agent based model –</w:t>
      </w:r>
      <w:r>
        <w:t xml:space="preserve"> care costs and QALYs </w:t>
      </w:r>
    </w:p>
    <w:p w14:paraId="56F6BCBD" w14:textId="69A40873" w:rsidR="00E25548" w:rsidRDefault="00E25548" w:rsidP="00E25548">
      <w:r>
        <w:t>Monthly costs were calculated using the following equation based on a fit to the care cost references stated in</w:t>
      </w:r>
      <w:r w:rsidR="009E3711">
        <w:t xml:space="preserve"> </w:t>
      </w:r>
      <w:r w:rsidR="006E0495">
        <w:t>Table A1</w:t>
      </w:r>
      <w:r>
        <w:t xml:space="preserve">. For example, a moderate severity MMSE level = 17 equates to a £3,389 monthly care cost or £40,668 per year. This compares with £2,983 per month </w:t>
      </w:r>
      <w:r>
        <w:fldChar w:fldCharType="begin" w:fldLock="1"/>
      </w:r>
      <w:r w:rsidR="00234CBA">
        <w:instrText>ADDIN CSL_CITATION {"citationItems":[{"id":"ITEM-1","itemData":{"DOI":"10.1007/s10198-014-0620-6","ISSN":"1618-7598","abstract":"BACKGROUND: Dementia is the most common cause of functional decline among elderly people and is associated with high costs of national healthcare in European countries. With increasing functional and cognitive decline, it is likely that many people suffering from dementia will receive institutional care in their lifetime. To delay entry to institutional care, many European countries invest in home and community based care services.\\n\\nOBJECTIVES: This study aimed to compare costs for people with dementia (PwD) at risk for institutionalization receiving professional home care (HC) with cost for PwD recently admitted to institutional long-term nursing care (ILTC) in eight European countries. Special emphasis was placed on differences in cost patterns across settings and countries, on the main predictors of costs and on a comprehensive assessment of costs from a societal perspective.\\n\\nMETHODS: Interviews using structured questionnaires were conducted with 2,014 people with dementia and their primary informal caregivers living at home or in an ILTC facility. Costs of care were assessed with the resource utilization in dementia instrument. Dementia severity was measured with the standardized mini mental state examination. ADL dependence was assessed using the Katz index, neuropsychiatric symptoms using the neuropsychiatric inventory (NPI) and comorbidities using the Charlson. Descriptive analysis and multivariate regression models were used to estimate mean costs in both settings. A log link generalized linear model assuming gamma distributed costs was applied to identify the most important cost drivers of dementia care.\\n\\nRESULTS: In all countries costs for PwD in the HC setting were significantly lower in comparison to ILTC costs. On average ILTC costs amounted to 4,491 Euro per month and were 1.8 fold higher than HC costs (2,491 Euro). The relation of costs between settings ranged from 2.4 (Sweden) to 1.4 (UK). Costs in the ILTC setting were dominated by nursing home costs (on average 94 %). In the HC setting, informal care giving was the most important cost contributor (on average 52 %). In all countries costs in the HC setting increased strongly with disease severity. The most important predictor of cost was ADL independence in all countries, except Spain and France where NPI severity was the most important cost driver. A standard deviation increase in ADL independence translated on average into a cost decrease of about 22 %.\\n\\nCONCLUSION: Transitio…","author":[{"dropping-particle":"","family":"Wübker","given":"Ansgar","non-dropping-particle":"","parse-names":false,"suffix":""},{"dropping-particle":"","family":"Zwakhalen","given":"Sandra M. G.","non-dropping-particle":"","parse-names":false,"suffix":""},{"dropping-particle":"","family":"Challis","given":"David","non-dropping-particle":"","parse-names":false,"suffix":""},{"dropping-particle":"","family":"Suhonen","given":"Riitta","non-dropping-particle":"","parse-names":false,"suffix":""},{"dropping-particle":"","family":"Karlsson","given":"Staffan","non-dropping-particle":"","parse-names":false,"suffix":""},{"dropping-particle":"","family":"Zabalegui","given":"Adelaida","non-dropping-particle":"","parse-names":false,"suffix":""},{"dropping-particle":"","family":"Soto","given":"Maria","non-dropping-particle":"","parse-names":false,"suffix":""},{"dropping-particle":"","family":"Saks","given":"Kai","non-dropping-particle":"","parse-names":false,"suffix":""},{"dropping-particle":"","family":"Sauerland","given":"Dirk","non-dropping-particle":"","parse-names":false,"suffix":""}],"container-title":"The European Journal of Health Economics","id":"ITEM-1","issue":"7","issued":{"date-parts":[["2015","9","29"]]},"page":"689-707","title":"Costs of care for people with dementia just before and after nursing home placement: primary data from eight European countries","type":"article-journal","volume":"16"},"uris":["http://www.mendeley.com/documents/?uuid=46b26ef4-2a46-4247-8d58-57655e167580"]}],"mendeley":{"formattedCitation":"(Wübker et al., 2015)","plainTextFormattedCitation":"(Wübker et al., 2015)","previouslyFormattedCitation":"(Wübker et al., 2015)"},"properties":{"noteIndex":0},"schema":"https://github.com/citation-style-language/schema/raw/master/csl-citation.json"}</w:instrText>
      </w:r>
      <w:r>
        <w:fldChar w:fldCharType="separate"/>
      </w:r>
      <w:r w:rsidRPr="000C0AA3">
        <w:rPr>
          <w:noProof/>
        </w:rPr>
        <w:t>(Wübker et al., 2015)</w:t>
      </w:r>
      <w:r>
        <w:fldChar w:fldCharType="end"/>
      </w:r>
      <w:r w:rsidR="009E3711">
        <w:t xml:space="preserve"> and £39,294 per year</w:t>
      </w:r>
      <w:r>
        <w:t xml:space="preserve"> for moderate dementia </w:t>
      </w:r>
      <w:r>
        <w:fldChar w:fldCharType="begin" w:fldLock="1"/>
      </w:r>
      <w:r>
        <w:instrText>ADDIN CSL_CITATION {"citationItems":[{"id":"ITEM-1","itemData":{"ISBN":"9781906647315","abstract":"This report presents the findings of research commissioned by Alzheimer’s Society to update the Dementia UK (2007) report. It provides a synthesis of best available evidence for the current cost and prevalence of dementia. It aims to provide an accurate understanding of dementia prevalence and cost in the UK to assist in policy development, influencing, commissioning and service design.","author":[{"dropping-particle":"","family":"Alzheimer’s Society","given":"","non-dropping-particle":"","parse-names":false,"suffix":""}],"id":"ITEM-1","issued":{"date-parts":[["2014"]]},"number-of-pages":"136","publisher-place":"London","title":"Dementia UK: Update","type":"report"},"uris":["http://www.mendeley.com/documents/?uuid=4e6196fa-b828-4d7a-8351-1887c1dec5ab"]}],"mendeley":{"formattedCitation":"(Alzheimer’s Society, 2014)","plainTextFormattedCitation":"(Alzheimer’s Society, 2014)","previouslyFormattedCitation":"(Alzheimer’s Society, 2014)"},"properties":{"noteIndex":0},"schema":"https://github.com/citation-style-language/schema/raw/master/csl-citation.json"}</w:instrText>
      </w:r>
      <w:r>
        <w:fldChar w:fldCharType="separate"/>
      </w:r>
      <w:r w:rsidRPr="00777F26">
        <w:rPr>
          <w:noProof/>
        </w:rPr>
        <w:t>(Alzheimer’s Society, 2014)</w:t>
      </w:r>
      <w:r>
        <w:fldChar w:fldCharType="end"/>
      </w:r>
      <w:r>
        <w:t xml:space="preserve">. </w:t>
      </w:r>
    </w:p>
    <w:p w14:paraId="52B3713B" w14:textId="36F353E6" w:rsidR="00E25548" w:rsidRDefault="00E25548" w:rsidP="00E25548">
      <w:pPr>
        <w:tabs>
          <w:tab w:val="center" w:pos="4253"/>
          <w:tab w:val="right" w:pos="8789"/>
        </w:tabs>
      </w:pPr>
      <w:r>
        <w:rPr>
          <w:rFonts w:eastAsia="Times New Roman"/>
          <w:iCs/>
        </w:rPr>
        <w:tab/>
      </w:r>
      <m:oMath>
        <m:r>
          <w:rPr>
            <w:rFonts w:ascii="Cambria Math" w:hAnsi="Cambria Math"/>
          </w:rPr>
          <m:t>Costs</m:t>
        </m:r>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e>
        </m:d>
        <m:r>
          <m:rPr>
            <m:sty m:val="p"/>
          </m:rPr>
          <w:rPr>
            <w:rFonts w:ascii="Cambria Math" w:hAnsi="Cambria Math"/>
          </w:rPr>
          <m:t>= 6568.4-187.85</m:t>
        </m:r>
        <m:r>
          <w:rPr>
            <w:rFonts w:ascii="Cambria Math" w:hAnsi="Cambria Math"/>
          </w:rPr>
          <m:t>MMSE</m:t>
        </m:r>
      </m:oMath>
      <w:r w:rsidR="009E3711">
        <w:rPr>
          <w:iCs/>
        </w:rPr>
        <w:tab/>
      </w:r>
    </w:p>
    <w:p w14:paraId="490BC4B7" w14:textId="77777777" w:rsidR="00E25548" w:rsidRDefault="00E25548" w:rsidP="00E25548">
      <w:pPr>
        <w:rPr>
          <w:rFonts w:eastAsia="Calibri"/>
        </w:rPr>
      </w:pPr>
      <w:r w:rsidRPr="00707BBC">
        <w:t xml:space="preserve">To calculate </w:t>
      </w:r>
      <w:r w:rsidRPr="00707BBC">
        <w:rPr>
          <w:rFonts w:eastAsia="Calibri"/>
        </w:rPr>
        <w:t xml:space="preserve">QALYs, </w:t>
      </w:r>
      <w:r w:rsidRPr="00707BBC">
        <w:t>firstly health utility scores were c</w:t>
      </w:r>
      <w:r w:rsidRPr="00707BBC">
        <w:rPr>
          <w:rFonts w:ascii="Calibri" w:eastAsia="Calibri" w:hAnsi="Calibri" w:cs="Times New Roman"/>
        </w:rPr>
        <w:t xml:space="preserve">alculated using the following equation based on the AHEAD modelling equations </w:t>
      </w:r>
      <w:r w:rsidRPr="00707BBC">
        <w:rPr>
          <w:rFonts w:ascii="Calibri" w:eastAsia="Calibri" w:hAnsi="Calibri" w:cs="Times New Roman"/>
        </w:rPr>
        <w:fldChar w:fldCharType="begin" w:fldLock="1"/>
      </w:r>
      <w:r w:rsidRPr="00707BBC">
        <w:rPr>
          <w:rFonts w:ascii="Calibri" w:eastAsia="Calibri" w:hAnsi="Calibri" w:cs="Times New Roman"/>
        </w:rPr>
        <w:instrText>ADDIN CSL_CITATION {"citationItems":[{"id":"ITEM-1","itemData":{"DOI":"10.2165/11531870-000000000-00000","ISBN":"1179-2027","ISSN":"1170-7690","PMID":"20402542","abstract":"Recommendations in the UK suggest restricting treatment of Alzheimer's disease with cholinesterase inhibitors, on cost-effectiveness grounds, to patients with moderate cognitive decline. As the economic analyses that informed these recommendations have been the subject of debate, we sought to address the potential limitations of existing models and produce estimates of donepezil treatment cost effectiveness in the UK using the most recent available data and simulation techniques. A discrete-event simulation was developed that predicts progression of Alzheimer's disease through correlated changes in cognition, behavioural disturbance and function. Patient-level data from seven randomized, placebo-controlled donepezil trials and a 7-year follow-up registry provided the basis for modeling longitudinal outcomes. Individuals in the simulation were assigned unique demographic and clinical characteristics and then followed for 10 years, with severity of disease tracked on continuous scales. Patient mix and costs were developed from UK-specific literature. Analyses were run for severity subgroups to evaluate outcomes for sub-populations with disease of mild versus moderate severity from both a healthcare payer and societal perspective. All costs are reported in pound, year 2007 values, and all outcomes are discounted at 3.5% per annum. Over 10 years, treatment of all patients with mild to moderate disease reduces overall direct medical costs by an average of over pound2300 per patient. When unpaid caregiver time is also taken into consideration, savings increase to over pound4700 per patient. Compared with untreated patients, patients receiving donepezil experience a discounted gain in QALYs averaging 0.11, with their caregivers gaining, on average, 0.01 QALYs. For the subset of patients starting treatment with more severe disease, savings are more modest, averaging about pound1600 and pound3750 from healthcare and societal perspectives, respectively. In probabilistic sensitivity analyses, donepezil dominated no treatment between 57% and 62% of replications when only medical costs were considered, and between 74% and 79% of replications when indirect costs were included, with results more favourable for treatment initiation in the mild versus moderate severity stages of the disease. Although the simulation results are not definitive, they suggest that donepezil leads to health benefits and cost savings when used to treat mild to moderately severe Alzheimer's di…","author":[{"dropping-particle":"","family":"Getsios","given":"Denis","non-dropping-particle":"","parse-names":false,"suffix":""},{"dropping-particle":"","family":"Blume","given":"Steve","non-dropping-particle":"","parse-names":false,"suffix":""},{"dropping-particle":"","family":"Ishak","given":"K. Jack","non-dropping-particle":"","parse-names":false,"suffix":""},{"dropping-particle":"","family":"Maclaine","given":"Grant D.H.","non-dropping-particle":"","parse-names":false,"suffix":""}],"container-title":"PharmacoEconomics","id":"ITEM-1","issue":"5","issued":{"date-parts":[["2010","5"]]},"note":"From Duplicate 1 (Cost Effectiveness of Donepezil in the Treatment of Mild to Moderate Alzheimerʼs Disease - Getsios, Denis; Blume, Steve; Ishak, K. Jack; Maclaine, Grant D.H.)\n\nFrom Duplicate 2 (Cost Effectiveness of Donepezil in the Treatment of Mild to Moderate Alzheimerʼs Disease - Getsios, Denis; Blume, Steve; Ishak, K. Jack; Maclaine, Grant D.H.)\n\n11 \nGetsios \nBlume \nIshak \nMaclaine \nPharmaco-economics  \n  \n  \nQ1 \nImpact 3.338 \n  \nCited 21 \nYes \n2010 \nDES \n(Arena as 7, 8) \n  \nLit search for parameters (details later) \nPatient trials data \n7-year follow-up \nLongitudinal outcomes \nDemographics \nClinical mix \n  \nSensitivity analysis Simulated control group \nAD \nSeverity groups \nPx trajectories (DES) \n  \nregression models: \nMMSE, NPI, I/ADLs \nCaregiver time, costs, utility \nHealth utility \n  \nUK \nDonezepil (CI inhibitor) \nHealth benefits \nCost savings \n  \nContradicts NIHCE \n  \nFunded: Eisai","page":"411-427","title":"Cost Effectiveness of Donepezil in the Treatment of Mild to Moderate Alzheimerʼs Disease","type":"article-journal","volume":"28"},"uris":["http://www.mendeley.com/documents/?uuid=54d5ccd1-088b-4ecd-9bb6-6261281e577e"]}],"mendeley":{"formattedCitation":"(Getsios et al., 2010)","manualFormatting":"(Getsios, et al., 2010, Equation 6)","plainTextFormattedCitation":"(Getsios et al., 2010)","previouslyFormattedCitation":"(Getsios et al., 2010)"},"properties":{"noteIndex":0},"schema":"https://github.com/citation-style-language/schema/raw/master/csl-citation.json"}</w:instrText>
      </w:r>
      <w:r w:rsidRPr="00707BBC">
        <w:rPr>
          <w:rFonts w:ascii="Calibri" w:eastAsia="Calibri" w:hAnsi="Calibri" w:cs="Times New Roman"/>
        </w:rPr>
        <w:fldChar w:fldCharType="separate"/>
      </w:r>
      <w:r w:rsidRPr="00707BBC">
        <w:rPr>
          <w:rFonts w:ascii="Calibri" w:eastAsia="Calibri" w:hAnsi="Calibri" w:cs="Times New Roman"/>
          <w:noProof/>
        </w:rPr>
        <w:t xml:space="preserve">(Getsios, </w:t>
      </w:r>
      <w:r w:rsidRPr="00707BBC">
        <w:rPr>
          <w:rFonts w:ascii="Calibri" w:eastAsia="Calibri" w:hAnsi="Calibri" w:cs="Times New Roman"/>
          <w:i/>
          <w:noProof/>
        </w:rPr>
        <w:t>et al</w:t>
      </w:r>
      <w:r w:rsidRPr="00707BBC">
        <w:rPr>
          <w:rFonts w:ascii="Calibri" w:eastAsia="Calibri" w:hAnsi="Calibri" w:cs="Times New Roman"/>
          <w:noProof/>
        </w:rPr>
        <w:t>., 2010, Equation 6)</w:t>
      </w:r>
      <w:r w:rsidRPr="00707BBC">
        <w:rPr>
          <w:rFonts w:ascii="Calibri" w:eastAsia="Calibri" w:hAnsi="Calibri" w:cs="Times New Roman"/>
        </w:rPr>
        <w:fldChar w:fldCharType="end"/>
      </w:r>
      <w:r w:rsidRPr="00707BBC">
        <w:rPr>
          <w:rFonts w:ascii="Calibri" w:eastAsia="Calibri" w:hAnsi="Calibri" w:cs="Times New Roman"/>
        </w:rPr>
        <w:t xml:space="preserve"> with the same simplification used by </w:t>
      </w:r>
      <w:r w:rsidRPr="00707BBC">
        <w:rPr>
          <w:rFonts w:ascii="Calibri" w:eastAsia="Calibri" w:hAnsi="Calibri" w:cs="Times New Roman"/>
        </w:rPr>
        <w:fldChar w:fldCharType="begin" w:fldLock="1"/>
      </w:r>
      <w:r w:rsidRPr="00707BBC">
        <w:rPr>
          <w:rFonts w:ascii="Calibri" w:eastAsia="Calibri" w:hAnsi="Calibri" w:cs="Times New Roman"/>
        </w:rPr>
        <w:instrText>ADDIN CSL_CITATION {"citationItems":[{"id":"ITEM-1","itemData":{"DOI":"10.1186/1471-2377-14-101","ISBN":"1471-2377","ISSN":"1471-2377","PMID":"24885474","author":[{"dropping-particle":"","family":"Barnett","given":"Jennifer H","non-dropping-particle":"","parse-names":false,"suffix":""},{"dropping-particle":"","family":"Lewis","given":"Lily","non-dropping-particle":"","parse-names":false,"suffix":""},{"dropping-particle":"","family":"Blackwell","given":"Andrew D","non-dropping-particle":"","parse-names":false,"suffix":""},{"dropping-particle":"","family":"Taylor","given":"Matthew","non-dropping-particle":"","parse-names":false,"suffix":""}],"container-title":"BMC neurology","id":"ITEM-1","issue":"1","issued":{"date-parts":[["2014","5","7"]]},"page":"1-9","publisher":"BioMed Central","title":"Early intervention in Alzheimer's disease: a health economic study of the effects of diagnostic timing.","type":"article-journal","volume":"14"},"uris":["http://www.mendeley.com/documents/?uuid=b531ab6e-3dff-4508-9bbc-87aa0359ca92"]}],"mendeley":{"formattedCitation":"(Barnett et al., 2014)","manualFormatting":"Barnett et al., (2014, page 3)","plainTextFormattedCitation":"(Barnett et al., 2014)","previouslyFormattedCitation":"(Barnett et al., 2014)"},"properties":{"noteIndex":0},"schema":"https://github.com/citation-style-language/schema/raw/master/csl-citation.json"}</w:instrText>
      </w:r>
      <w:r w:rsidRPr="00707BBC">
        <w:rPr>
          <w:rFonts w:ascii="Calibri" w:eastAsia="Calibri" w:hAnsi="Calibri" w:cs="Times New Roman"/>
        </w:rPr>
        <w:fldChar w:fldCharType="separate"/>
      </w:r>
      <w:r w:rsidRPr="00707BBC">
        <w:rPr>
          <w:rFonts w:ascii="Calibri" w:eastAsia="Calibri" w:hAnsi="Calibri" w:cs="Times New Roman"/>
          <w:noProof/>
        </w:rPr>
        <w:t xml:space="preserve">Barnett </w:t>
      </w:r>
      <w:r w:rsidRPr="00707BBC">
        <w:rPr>
          <w:rFonts w:ascii="Calibri" w:eastAsia="Calibri" w:hAnsi="Calibri" w:cs="Times New Roman"/>
          <w:i/>
          <w:noProof/>
        </w:rPr>
        <w:t>et al</w:t>
      </w:r>
      <w:r w:rsidRPr="00707BBC">
        <w:rPr>
          <w:rFonts w:ascii="Calibri" w:eastAsia="Calibri" w:hAnsi="Calibri" w:cs="Times New Roman"/>
          <w:noProof/>
        </w:rPr>
        <w:t>., (2014, page 3)</w:t>
      </w:r>
      <w:r w:rsidRPr="00707BBC">
        <w:rPr>
          <w:rFonts w:ascii="Calibri" w:eastAsia="Calibri" w:hAnsi="Calibri" w:cs="Times New Roman"/>
        </w:rPr>
        <w:fldChar w:fldCharType="end"/>
      </w:r>
      <w:r w:rsidRPr="00707BBC">
        <w:rPr>
          <w:rFonts w:eastAsia="Calibri"/>
        </w:rPr>
        <w:t>,</w:t>
      </w:r>
      <w:r w:rsidRPr="00707BBC">
        <w:rPr>
          <w:rFonts w:ascii="Calibri" w:eastAsia="Calibri" w:hAnsi="Calibri" w:cs="Times New Roman"/>
        </w:rPr>
        <w:t xml:space="preserve"> so that:</w:t>
      </w:r>
      <w:r>
        <w:rPr>
          <w:rFonts w:eastAsia="Calibri"/>
        </w:rPr>
        <w:t xml:space="preserve"> </w:t>
      </w:r>
    </w:p>
    <w:p w14:paraId="638689FA" w14:textId="34F3AB67" w:rsidR="00E25548" w:rsidRPr="00707BBC" w:rsidRDefault="00E25548" w:rsidP="00E25548">
      <w:pPr>
        <w:tabs>
          <w:tab w:val="center" w:pos="4253"/>
          <w:tab w:val="right" w:pos="8789"/>
        </w:tabs>
        <w:rPr>
          <w:rFonts w:ascii="Calibri" w:hAnsi="Calibri"/>
        </w:rPr>
      </w:pPr>
      <w:r>
        <w:rPr>
          <w:rFonts w:eastAsia="Calibri"/>
          <w:iCs/>
        </w:rPr>
        <w:tab/>
      </w:r>
      <m:oMath>
        <m:r>
          <w:rPr>
            <w:rStyle w:val="TableContentChar"/>
            <w:rFonts w:ascii="Cambria Math" w:hAnsi="Cambria Math"/>
          </w:rPr>
          <m:t>Utility</m:t>
        </m:r>
        <m:r>
          <m:rPr>
            <m:sty m:val="p"/>
          </m:rPr>
          <w:rPr>
            <w:rStyle w:val="TableContentChar"/>
            <w:rFonts w:ascii="Cambria Math" w:hAnsi="Cambria Math"/>
          </w:rPr>
          <m:t xml:space="preserve"> = 0.408+0.01</m:t>
        </m:r>
        <m:r>
          <w:rPr>
            <w:rStyle w:val="TableContentChar"/>
            <w:rFonts w:ascii="Cambria Math" w:hAnsi="Cambria Math"/>
          </w:rPr>
          <m:t>MMSE</m:t>
        </m:r>
      </m:oMath>
    </w:p>
    <w:p w14:paraId="3B68326F" w14:textId="77777777" w:rsidR="00E25548" w:rsidRDefault="00E25548" w:rsidP="00E25548">
      <w:pPr>
        <w:rPr>
          <w:rFonts w:ascii="Calibri" w:eastAsia="Calibri" w:hAnsi="Calibri" w:cs="Times New Roman"/>
        </w:rPr>
      </w:pPr>
      <w:r w:rsidRPr="00707BBC">
        <w:rPr>
          <w:rFonts w:ascii="Calibri" w:eastAsia="Calibri" w:hAnsi="Calibri" w:cs="Times New Roman"/>
        </w:rPr>
        <w:t>Health utility was calculated monthly, so that the QALY result is the summation of health utility values over the years with dementia (YWD):</w:t>
      </w:r>
    </w:p>
    <w:p w14:paraId="27639468" w14:textId="33704CE9" w:rsidR="00E25548" w:rsidRDefault="00E25548" w:rsidP="00E25548">
      <w:pPr>
        <w:tabs>
          <w:tab w:val="center" w:pos="4253"/>
          <w:tab w:val="right" w:pos="8789"/>
        </w:tabs>
        <w:rPr>
          <w:rFonts w:ascii="Calibri" w:eastAsia="Calibri" w:hAnsi="Calibri" w:cs="Times New Roman"/>
        </w:rPr>
      </w:pPr>
      <w:r>
        <w:rPr>
          <w:rFonts w:ascii="Calibri" w:eastAsia="Calibri" w:hAnsi="Calibri" w:cs="Times New Roman"/>
          <w:iCs/>
        </w:rPr>
        <w:tab/>
      </w:r>
      <m:oMath>
        <m:r>
          <w:rPr>
            <w:rStyle w:val="TableContentChar"/>
            <w:rFonts w:ascii="Cambria Math" w:hAnsi="Cambria Math"/>
          </w:rPr>
          <m:t>QALY</m:t>
        </m:r>
        <m:r>
          <m:rPr>
            <m:sty m:val="p"/>
          </m:rPr>
          <w:rPr>
            <w:rStyle w:val="TableContentChar"/>
            <w:rFonts w:ascii="Cambria Math" w:hAnsi="Cambria Math"/>
          </w:rPr>
          <m:t xml:space="preserve"> = </m:t>
        </m:r>
        <m:nary>
          <m:naryPr>
            <m:chr m:val="∑"/>
            <m:limLoc m:val="undOvr"/>
            <m:supHide m:val="1"/>
            <m:ctrlPr>
              <w:rPr>
                <w:rStyle w:val="TableContentChar"/>
                <w:rFonts w:ascii="Cambria Math" w:hAnsi="Cambria Math"/>
              </w:rPr>
            </m:ctrlPr>
          </m:naryPr>
          <m:sub>
            <m:r>
              <w:rPr>
                <w:rStyle w:val="TableContentChar"/>
                <w:rFonts w:ascii="Cambria Math" w:hAnsi="Cambria Math"/>
              </w:rPr>
              <m:t>YWD</m:t>
            </m:r>
          </m:sub>
          <m:sup/>
          <m:e>
            <m:r>
              <w:rPr>
                <w:rStyle w:val="TableContentChar"/>
                <w:rFonts w:ascii="Cambria Math" w:hAnsi="Cambria Math"/>
              </w:rPr>
              <m:t>Utility</m:t>
            </m:r>
            <m:r>
              <m:rPr>
                <m:sty m:val="p"/>
              </m:rPr>
              <w:rPr>
                <w:rStyle w:val="TableContentChar"/>
                <w:rFonts w:ascii="Cambria Math" w:hAnsi="Cambria Math"/>
              </w:rPr>
              <m:t>/12</m:t>
            </m:r>
          </m:e>
        </m:nary>
      </m:oMath>
      <w:r w:rsidR="009E3711">
        <w:rPr>
          <w:rFonts w:ascii="Calibri" w:eastAsia="Calibri" w:hAnsi="Calibri" w:cs="Times New Roman"/>
        </w:rPr>
        <w:tab/>
      </w:r>
    </w:p>
    <w:p w14:paraId="07726801" w14:textId="77777777" w:rsidR="002564E5" w:rsidRPr="00015712" w:rsidRDefault="002564E5" w:rsidP="00E54686">
      <w:pPr>
        <w:tabs>
          <w:tab w:val="center" w:pos="4253"/>
          <w:tab w:val="right" w:pos="8789"/>
        </w:tabs>
        <w:rPr>
          <w:rFonts w:ascii="Calibri" w:eastAsia="Calibri" w:hAnsi="Calibri" w:cs="Times New Roman"/>
        </w:rPr>
      </w:pPr>
    </w:p>
    <w:sectPr w:rsidR="002564E5" w:rsidRPr="0001571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F5606" w14:textId="77777777" w:rsidR="006909F2" w:rsidRDefault="006909F2" w:rsidP="00681079">
      <w:pPr>
        <w:spacing w:after="0" w:line="240" w:lineRule="auto"/>
      </w:pPr>
      <w:r>
        <w:separator/>
      </w:r>
    </w:p>
  </w:endnote>
  <w:endnote w:type="continuationSeparator" w:id="0">
    <w:p w14:paraId="2D6D4597" w14:textId="77777777" w:rsidR="006909F2" w:rsidRDefault="006909F2" w:rsidP="00681079">
      <w:pPr>
        <w:spacing w:after="0" w:line="240" w:lineRule="auto"/>
      </w:pPr>
      <w:r>
        <w:continuationSeparator/>
      </w:r>
    </w:p>
  </w:endnote>
  <w:endnote w:type="continuationNotice" w:id="1">
    <w:p w14:paraId="0B9E2BF4" w14:textId="77777777" w:rsidR="006909F2" w:rsidRDefault="00690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D08CE" w14:textId="77777777" w:rsidR="00D649DD" w:rsidRDefault="00D64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700D4" w14:textId="77777777" w:rsidR="00D649DD" w:rsidRDefault="00D64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3F51" w14:textId="77777777" w:rsidR="00D649DD" w:rsidRDefault="00D64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42C1D" w14:textId="77777777" w:rsidR="006909F2" w:rsidRDefault="006909F2" w:rsidP="00681079">
      <w:pPr>
        <w:spacing w:after="0" w:line="240" w:lineRule="auto"/>
      </w:pPr>
      <w:r>
        <w:separator/>
      </w:r>
    </w:p>
  </w:footnote>
  <w:footnote w:type="continuationSeparator" w:id="0">
    <w:p w14:paraId="74212D0F" w14:textId="77777777" w:rsidR="006909F2" w:rsidRDefault="006909F2" w:rsidP="00681079">
      <w:pPr>
        <w:spacing w:after="0" w:line="240" w:lineRule="auto"/>
      </w:pPr>
      <w:r>
        <w:continuationSeparator/>
      </w:r>
    </w:p>
  </w:footnote>
  <w:footnote w:type="continuationNotice" w:id="1">
    <w:p w14:paraId="7285B96B" w14:textId="77777777" w:rsidR="006909F2" w:rsidRDefault="006909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7426" w14:textId="77777777" w:rsidR="00D649DD" w:rsidRDefault="00D64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33764" w14:textId="77777777" w:rsidR="00D649DD" w:rsidRDefault="00D64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2F7DA" w14:textId="77777777" w:rsidR="00D649DD" w:rsidRDefault="00D64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50AB4"/>
    <w:multiLevelType w:val="hybridMultilevel"/>
    <w:tmpl w:val="990288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B275DB"/>
    <w:multiLevelType w:val="hybridMultilevel"/>
    <w:tmpl w:val="62A24A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E4B16"/>
    <w:multiLevelType w:val="hybridMultilevel"/>
    <w:tmpl w:val="111A8F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E63D36"/>
    <w:multiLevelType w:val="hybridMultilevel"/>
    <w:tmpl w:val="1F0A40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431A4B"/>
    <w:multiLevelType w:val="multilevel"/>
    <w:tmpl w:val="186649BA"/>
    <w:lvl w:ilvl="0">
      <w:start w:val="1"/>
      <w:numFmt w:val="upperLetter"/>
      <w:pStyle w:val="AppendixMain"/>
      <w:lvlText w:val="Appendix %1"/>
      <w:lvlJc w:val="left"/>
      <w:pPr>
        <w:ind w:left="566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Subheading"/>
      <w:lvlText w:val="%1.%2"/>
      <w:lvlJc w:val="left"/>
      <w:pPr>
        <w:ind w:left="1059" w:hanging="720"/>
      </w:pPr>
      <w:rPr>
        <w:rFonts w:hint="default"/>
      </w:rPr>
    </w:lvl>
    <w:lvl w:ilvl="2">
      <w:start w:val="1"/>
      <w:numFmt w:val="decimal"/>
      <w:pStyle w:val="AppendixThird"/>
      <w:lvlText w:val="%1.%2.%3"/>
      <w:lvlJc w:val="left"/>
      <w:pPr>
        <w:ind w:left="1419" w:hanging="1080"/>
      </w:pPr>
      <w:rPr>
        <w:rFonts w:hint="default"/>
      </w:rPr>
    </w:lvl>
    <w:lvl w:ilvl="3">
      <w:start w:val="1"/>
      <w:numFmt w:val="decimal"/>
      <w:lvlText w:val="(%4)"/>
      <w:lvlJc w:val="left"/>
      <w:pPr>
        <w:ind w:left="1779" w:hanging="360"/>
      </w:pPr>
      <w:rPr>
        <w:rFonts w:hint="default"/>
      </w:rPr>
    </w:lvl>
    <w:lvl w:ilvl="4">
      <w:start w:val="1"/>
      <w:numFmt w:val="lowerLetter"/>
      <w:lvlText w:val="(%5)"/>
      <w:lvlJc w:val="left"/>
      <w:pPr>
        <w:ind w:left="2139" w:hanging="360"/>
      </w:pPr>
      <w:rPr>
        <w:rFonts w:hint="default"/>
      </w:rPr>
    </w:lvl>
    <w:lvl w:ilvl="5">
      <w:start w:val="1"/>
      <w:numFmt w:val="lowerRoman"/>
      <w:lvlText w:val="(%6)"/>
      <w:lvlJc w:val="left"/>
      <w:pPr>
        <w:ind w:left="2499" w:hanging="360"/>
      </w:pPr>
      <w:rPr>
        <w:rFonts w:hint="default"/>
      </w:rPr>
    </w:lvl>
    <w:lvl w:ilvl="6">
      <w:start w:val="1"/>
      <w:numFmt w:val="decimal"/>
      <w:lvlText w:val="%7."/>
      <w:lvlJc w:val="left"/>
      <w:pPr>
        <w:ind w:left="2859" w:hanging="360"/>
      </w:pPr>
      <w:rPr>
        <w:rFonts w:hint="default"/>
      </w:rPr>
    </w:lvl>
    <w:lvl w:ilvl="7">
      <w:start w:val="1"/>
      <w:numFmt w:val="lowerLetter"/>
      <w:lvlText w:val="%8."/>
      <w:lvlJc w:val="left"/>
      <w:pPr>
        <w:ind w:left="3219" w:hanging="360"/>
      </w:pPr>
      <w:rPr>
        <w:rFonts w:hint="default"/>
      </w:rPr>
    </w:lvl>
    <w:lvl w:ilvl="8">
      <w:start w:val="1"/>
      <w:numFmt w:val="lowerRoman"/>
      <w:lvlText w:val="%9."/>
      <w:lvlJc w:val="left"/>
      <w:pPr>
        <w:ind w:left="3579" w:hanging="360"/>
      </w:pPr>
      <w:rPr>
        <w:rFonts w:hint="default"/>
      </w:rPr>
    </w:lvl>
  </w:abstractNum>
  <w:abstractNum w:abstractNumId="5" w15:restartNumberingAfterBreak="0">
    <w:nsid w:val="56D036B3"/>
    <w:multiLevelType w:val="hybridMultilevel"/>
    <w:tmpl w:val="FE5A63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220531"/>
    <w:multiLevelType w:val="hybridMultilevel"/>
    <w:tmpl w:val="BC56A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232A45"/>
    <w:multiLevelType w:val="hybridMultilevel"/>
    <w:tmpl w:val="A3FC7D62"/>
    <w:lvl w:ilvl="0" w:tplc="54443F30">
      <w:start w:val="1"/>
      <w:numFmt w:val="lowerLetter"/>
      <w:lvlText w:val="%1)"/>
      <w:lvlJc w:val="left"/>
      <w:pPr>
        <w:ind w:left="525" w:hanging="1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DA"/>
    <w:rsid w:val="00000DA7"/>
    <w:rsid w:val="00001596"/>
    <w:rsid w:val="00003DDA"/>
    <w:rsid w:val="0000539B"/>
    <w:rsid w:val="000066D4"/>
    <w:rsid w:val="00007450"/>
    <w:rsid w:val="00007F1D"/>
    <w:rsid w:val="00007F97"/>
    <w:rsid w:val="00010140"/>
    <w:rsid w:val="00011650"/>
    <w:rsid w:val="00011729"/>
    <w:rsid w:val="000117A3"/>
    <w:rsid w:val="00011AF2"/>
    <w:rsid w:val="00011F03"/>
    <w:rsid w:val="0001217F"/>
    <w:rsid w:val="00013215"/>
    <w:rsid w:val="00013354"/>
    <w:rsid w:val="00013E10"/>
    <w:rsid w:val="0001501F"/>
    <w:rsid w:val="00015712"/>
    <w:rsid w:val="00015811"/>
    <w:rsid w:val="000165F6"/>
    <w:rsid w:val="00023D36"/>
    <w:rsid w:val="000243BD"/>
    <w:rsid w:val="00025BC8"/>
    <w:rsid w:val="000267D2"/>
    <w:rsid w:val="00026B0A"/>
    <w:rsid w:val="0002725F"/>
    <w:rsid w:val="00031129"/>
    <w:rsid w:val="000374CA"/>
    <w:rsid w:val="00037565"/>
    <w:rsid w:val="000379A3"/>
    <w:rsid w:val="00037ACB"/>
    <w:rsid w:val="00037CBD"/>
    <w:rsid w:val="000401F3"/>
    <w:rsid w:val="00040279"/>
    <w:rsid w:val="000406BC"/>
    <w:rsid w:val="00040DAB"/>
    <w:rsid w:val="00040E92"/>
    <w:rsid w:val="00041DE2"/>
    <w:rsid w:val="00041F9D"/>
    <w:rsid w:val="00042316"/>
    <w:rsid w:val="00043510"/>
    <w:rsid w:val="00043B51"/>
    <w:rsid w:val="00046285"/>
    <w:rsid w:val="00047057"/>
    <w:rsid w:val="0004799B"/>
    <w:rsid w:val="0005191B"/>
    <w:rsid w:val="00054472"/>
    <w:rsid w:val="0005459C"/>
    <w:rsid w:val="000574ED"/>
    <w:rsid w:val="00057AA7"/>
    <w:rsid w:val="00057D28"/>
    <w:rsid w:val="00061BD6"/>
    <w:rsid w:val="0006288C"/>
    <w:rsid w:val="00062940"/>
    <w:rsid w:val="000630DC"/>
    <w:rsid w:val="0006337E"/>
    <w:rsid w:val="00063FF2"/>
    <w:rsid w:val="00066D57"/>
    <w:rsid w:val="00070271"/>
    <w:rsid w:val="0007227B"/>
    <w:rsid w:val="000723B4"/>
    <w:rsid w:val="000729AE"/>
    <w:rsid w:val="0007307C"/>
    <w:rsid w:val="00080702"/>
    <w:rsid w:val="00080FBF"/>
    <w:rsid w:val="0008101D"/>
    <w:rsid w:val="00082277"/>
    <w:rsid w:val="000849F4"/>
    <w:rsid w:val="00084F66"/>
    <w:rsid w:val="00085FC5"/>
    <w:rsid w:val="00090E79"/>
    <w:rsid w:val="00092701"/>
    <w:rsid w:val="000952A7"/>
    <w:rsid w:val="00095F91"/>
    <w:rsid w:val="000963DC"/>
    <w:rsid w:val="0009705B"/>
    <w:rsid w:val="000A0645"/>
    <w:rsid w:val="000A2AF5"/>
    <w:rsid w:val="000A3F2E"/>
    <w:rsid w:val="000A3FA9"/>
    <w:rsid w:val="000A43BC"/>
    <w:rsid w:val="000A4FC8"/>
    <w:rsid w:val="000A6202"/>
    <w:rsid w:val="000B0D0D"/>
    <w:rsid w:val="000B162E"/>
    <w:rsid w:val="000B1F06"/>
    <w:rsid w:val="000B255D"/>
    <w:rsid w:val="000B313E"/>
    <w:rsid w:val="000B3EF4"/>
    <w:rsid w:val="000B67BD"/>
    <w:rsid w:val="000C0AA3"/>
    <w:rsid w:val="000C21D0"/>
    <w:rsid w:val="000C5D17"/>
    <w:rsid w:val="000C6F84"/>
    <w:rsid w:val="000C7008"/>
    <w:rsid w:val="000C7AED"/>
    <w:rsid w:val="000C7B22"/>
    <w:rsid w:val="000D0EFE"/>
    <w:rsid w:val="000D4561"/>
    <w:rsid w:val="000D523C"/>
    <w:rsid w:val="000E12E2"/>
    <w:rsid w:val="000E26D9"/>
    <w:rsid w:val="000E3366"/>
    <w:rsid w:val="000E4BFD"/>
    <w:rsid w:val="000E621C"/>
    <w:rsid w:val="000E7804"/>
    <w:rsid w:val="000F1CAB"/>
    <w:rsid w:val="000F3615"/>
    <w:rsid w:val="000F36CB"/>
    <w:rsid w:val="000F49F9"/>
    <w:rsid w:val="000F609A"/>
    <w:rsid w:val="000F6997"/>
    <w:rsid w:val="0010173A"/>
    <w:rsid w:val="0010279E"/>
    <w:rsid w:val="00102D9C"/>
    <w:rsid w:val="0010502F"/>
    <w:rsid w:val="001052B7"/>
    <w:rsid w:val="00105A1D"/>
    <w:rsid w:val="001061ED"/>
    <w:rsid w:val="001117F7"/>
    <w:rsid w:val="001129E3"/>
    <w:rsid w:val="00112AFB"/>
    <w:rsid w:val="001133EB"/>
    <w:rsid w:val="00117936"/>
    <w:rsid w:val="001202CD"/>
    <w:rsid w:val="0012044A"/>
    <w:rsid w:val="00120CE5"/>
    <w:rsid w:val="00121697"/>
    <w:rsid w:val="00121FCC"/>
    <w:rsid w:val="0012385C"/>
    <w:rsid w:val="00125B8B"/>
    <w:rsid w:val="001271FD"/>
    <w:rsid w:val="001300D9"/>
    <w:rsid w:val="00131432"/>
    <w:rsid w:val="001335C9"/>
    <w:rsid w:val="001340F6"/>
    <w:rsid w:val="00134C80"/>
    <w:rsid w:val="00134F6B"/>
    <w:rsid w:val="00141F2D"/>
    <w:rsid w:val="00143786"/>
    <w:rsid w:val="001461A8"/>
    <w:rsid w:val="00146D49"/>
    <w:rsid w:val="00146F3A"/>
    <w:rsid w:val="00150391"/>
    <w:rsid w:val="00152885"/>
    <w:rsid w:val="00152973"/>
    <w:rsid w:val="00156D4A"/>
    <w:rsid w:val="001603EB"/>
    <w:rsid w:val="001613FA"/>
    <w:rsid w:val="00161402"/>
    <w:rsid w:val="00161BDA"/>
    <w:rsid w:val="00161F26"/>
    <w:rsid w:val="00163A90"/>
    <w:rsid w:val="001648E3"/>
    <w:rsid w:val="00170F70"/>
    <w:rsid w:val="00174C7F"/>
    <w:rsid w:val="001807AD"/>
    <w:rsid w:val="00182D20"/>
    <w:rsid w:val="00183EE5"/>
    <w:rsid w:val="001861AF"/>
    <w:rsid w:val="00190938"/>
    <w:rsid w:val="00190E16"/>
    <w:rsid w:val="00197F20"/>
    <w:rsid w:val="001A0E2B"/>
    <w:rsid w:val="001A1BEF"/>
    <w:rsid w:val="001A2D27"/>
    <w:rsid w:val="001A2FDD"/>
    <w:rsid w:val="001A6055"/>
    <w:rsid w:val="001A70F2"/>
    <w:rsid w:val="001B07E1"/>
    <w:rsid w:val="001B2444"/>
    <w:rsid w:val="001B2E8B"/>
    <w:rsid w:val="001B3949"/>
    <w:rsid w:val="001B43EE"/>
    <w:rsid w:val="001B4703"/>
    <w:rsid w:val="001B4717"/>
    <w:rsid w:val="001B54A6"/>
    <w:rsid w:val="001B72EB"/>
    <w:rsid w:val="001B7780"/>
    <w:rsid w:val="001C0968"/>
    <w:rsid w:val="001C10FF"/>
    <w:rsid w:val="001C2499"/>
    <w:rsid w:val="001C39BA"/>
    <w:rsid w:val="001C410A"/>
    <w:rsid w:val="001C4BE5"/>
    <w:rsid w:val="001C6A20"/>
    <w:rsid w:val="001D00A9"/>
    <w:rsid w:val="001D182E"/>
    <w:rsid w:val="001D4355"/>
    <w:rsid w:val="001D47D0"/>
    <w:rsid w:val="001D70AC"/>
    <w:rsid w:val="001D7574"/>
    <w:rsid w:val="001D7575"/>
    <w:rsid w:val="001E0C22"/>
    <w:rsid w:val="001E1446"/>
    <w:rsid w:val="001E2A29"/>
    <w:rsid w:val="001E4ED8"/>
    <w:rsid w:val="001F03FA"/>
    <w:rsid w:val="001F0C18"/>
    <w:rsid w:val="001F2D63"/>
    <w:rsid w:val="001F2FD1"/>
    <w:rsid w:val="001F7332"/>
    <w:rsid w:val="001F7440"/>
    <w:rsid w:val="001F7C69"/>
    <w:rsid w:val="001F7D10"/>
    <w:rsid w:val="00203378"/>
    <w:rsid w:val="0020511F"/>
    <w:rsid w:val="00210784"/>
    <w:rsid w:val="002131E5"/>
    <w:rsid w:val="00213C35"/>
    <w:rsid w:val="00214783"/>
    <w:rsid w:val="002167EF"/>
    <w:rsid w:val="0021792A"/>
    <w:rsid w:val="00221C3B"/>
    <w:rsid w:val="00222A5F"/>
    <w:rsid w:val="00222D34"/>
    <w:rsid w:val="00225BFE"/>
    <w:rsid w:val="002265AA"/>
    <w:rsid w:val="0022695B"/>
    <w:rsid w:val="002273FA"/>
    <w:rsid w:val="002275B2"/>
    <w:rsid w:val="0023010E"/>
    <w:rsid w:val="00230898"/>
    <w:rsid w:val="00230E81"/>
    <w:rsid w:val="002312E5"/>
    <w:rsid w:val="00234CBA"/>
    <w:rsid w:val="00237243"/>
    <w:rsid w:val="00237A97"/>
    <w:rsid w:val="002405C1"/>
    <w:rsid w:val="00242B51"/>
    <w:rsid w:val="00244025"/>
    <w:rsid w:val="002456CD"/>
    <w:rsid w:val="00252648"/>
    <w:rsid w:val="00254166"/>
    <w:rsid w:val="002564E5"/>
    <w:rsid w:val="00256C56"/>
    <w:rsid w:val="00257AE9"/>
    <w:rsid w:val="0026150C"/>
    <w:rsid w:val="0026249C"/>
    <w:rsid w:val="0026276B"/>
    <w:rsid w:val="00262CD0"/>
    <w:rsid w:val="0026354A"/>
    <w:rsid w:val="002640D0"/>
    <w:rsid w:val="00264729"/>
    <w:rsid w:val="00264DAB"/>
    <w:rsid w:val="002669E9"/>
    <w:rsid w:val="00266B70"/>
    <w:rsid w:val="00267708"/>
    <w:rsid w:val="00271FFC"/>
    <w:rsid w:val="00273E51"/>
    <w:rsid w:val="002744AE"/>
    <w:rsid w:val="002746E7"/>
    <w:rsid w:val="00274BA7"/>
    <w:rsid w:val="00274E65"/>
    <w:rsid w:val="00275FD4"/>
    <w:rsid w:val="00276926"/>
    <w:rsid w:val="00276D7F"/>
    <w:rsid w:val="00276E9C"/>
    <w:rsid w:val="002800D5"/>
    <w:rsid w:val="00281EDB"/>
    <w:rsid w:val="002820C0"/>
    <w:rsid w:val="00282193"/>
    <w:rsid w:val="00283AD3"/>
    <w:rsid w:val="002850B6"/>
    <w:rsid w:val="0028600A"/>
    <w:rsid w:val="00287242"/>
    <w:rsid w:val="002909B5"/>
    <w:rsid w:val="00290A56"/>
    <w:rsid w:val="00292718"/>
    <w:rsid w:val="00292B73"/>
    <w:rsid w:val="00292D63"/>
    <w:rsid w:val="00293FCF"/>
    <w:rsid w:val="002954EC"/>
    <w:rsid w:val="00297406"/>
    <w:rsid w:val="002A16FA"/>
    <w:rsid w:val="002A2794"/>
    <w:rsid w:val="002A285F"/>
    <w:rsid w:val="002A57AD"/>
    <w:rsid w:val="002A5F79"/>
    <w:rsid w:val="002A6828"/>
    <w:rsid w:val="002A6D6A"/>
    <w:rsid w:val="002A78F0"/>
    <w:rsid w:val="002B4CBE"/>
    <w:rsid w:val="002B520C"/>
    <w:rsid w:val="002B5B10"/>
    <w:rsid w:val="002B5E89"/>
    <w:rsid w:val="002C0C8B"/>
    <w:rsid w:val="002C2366"/>
    <w:rsid w:val="002C4FB0"/>
    <w:rsid w:val="002C5B09"/>
    <w:rsid w:val="002C6180"/>
    <w:rsid w:val="002C7DCF"/>
    <w:rsid w:val="002D1FE0"/>
    <w:rsid w:val="002D208F"/>
    <w:rsid w:val="002D3150"/>
    <w:rsid w:val="002D5494"/>
    <w:rsid w:val="002D568E"/>
    <w:rsid w:val="002D756C"/>
    <w:rsid w:val="002E3807"/>
    <w:rsid w:val="002E38FD"/>
    <w:rsid w:val="002E5F84"/>
    <w:rsid w:val="002E79B1"/>
    <w:rsid w:val="002F1918"/>
    <w:rsid w:val="002F5EA1"/>
    <w:rsid w:val="002F64BF"/>
    <w:rsid w:val="002F75AD"/>
    <w:rsid w:val="00301596"/>
    <w:rsid w:val="00302455"/>
    <w:rsid w:val="00302CBD"/>
    <w:rsid w:val="00303BE6"/>
    <w:rsid w:val="003044C2"/>
    <w:rsid w:val="00305367"/>
    <w:rsid w:val="00307E48"/>
    <w:rsid w:val="00310890"/>
    <w:rsid w:val="0031120D"/>
    <w:rsid w:val="00313601"/>
    <w:rsid w:val="00313D13"/>
    <w:rsid w:val="00313E47"/>
    <w:rsid w:val="0031509A"/>
    <w:rsid w:val="00316BD6"/>
    <w:rsid w:val="003174A3"/>
    <w:rsid w:val="0031780E"/>
    <w:rsid w:val="003178D6"/>
    <w:rsid w:val="00320704"/>
    <w:rsid w:val="0032078E"/>
    <w:rsid w:val="003215D9"/>
    <w:rsid w:val="00323A04"/>
    <w:rsid w:val="00323B4E"/>
    <w:rsid w:val="00323B50"/>
    <w:rsid w:val="00325219"/>
    <w:rsid w:val="00326226"/>
    <w:rsid w:val="00326761"/>
    <w:rsid w:val="00326DE3"/>
    <w:rsid w:val="00327AB1"/>
    <w:rsid w:val="00330C6C"/>
    <w:rsid w:val="003321CC"/>
    <w:rsid w:val="00332ECE"/>
    <w:rsid w:val="00333168"/>
    <w:rsid w:val="00333542"/>
    <w:rsid w:val="00334D1A"/>
    <w:rsid w:val="003361E4"/>
    <w:rsid w:val="003363D0"/>
    <w:rsid w:val="00336DF9"/>
    <w:rsid w:val="0033763A"/>
    <w:rsid w:val="00340039"/>
    <w:rsid w:val="00340779"/>
    <w:rsid w:val="003414F7"/>
    <w:rsid w:val="00341AC1"/>
    <w:rsid w:val="00342CE8"/>
    <w:rsid w:val="00344E9E"/>
    <w:rsid w:val="0034606E"/>
    <w:rsid w:val="00346AE0"/>
    <w:rsid w:val="00347B1E"/>
    <w:rsid w:val="00351A06"/>
    <w:rsid w:val="00351B28"/>
    <w:rsid w:val="00353997"/>
    <w:rsid w:val="00353FDC"/>
    <w:rsid w:val="00354B34"/>
    <w:rsid w:val="00355B3C"/>
    <w:rsid w:val="0036056D"/>
    <w:rsid w:val="0036105D"/>
    <w:rsid w:val="00361061"/>
    <w:rsid w:val="00364689"/>
    <w:rsid w:val="00365001"/>
    <w:rsid w:val="003661D6"/>
    <w:rsid w:val="00366DD4"/>
    <w:rsid w:val="00367049"/>
    <w:rsid w:val="0037055B"/>
    <w:rsid w:val="00371EBE"/>
    <w:rsid w:val="00372D2E"/>
    <w:rsid w:val="003730D0"/>
    <w:rsid w:val="003733B1"/>
    <w:rsid w:val="00373425"/>
    <w:rsid w:val="00373E10"/>
    <w:rsid w:val="0037401F"/>
    <w:rsid w:val="00380E9F"/>
    <w:rsid w:val="00381443"/>
    <w:rsid w:val="003827F4"/>
    <w:rsid w:val="00382866"/>
    <w:rsid w:val="003833DC"/>
    <w:rsid w:val="003843E4"/>
    <w:rsid w:val="0038548A"/>
    <w:rsid w:val="0039161C"/>
    <w:rsid w:val="00391922"/>
    <w:rsid w:val="00392CC2"/>
    <w:rsid w:val="00393E5C"/>
    <w:rsid w:val="00395568"/>
    <w:rsid w:val="00397F18"/>
    <w:rsid w:val="003A24A6"/>
    <w:rsid w:val="003A2B74"/>
    <w:rsid w:val="003A3411"/>
    <w:rsid w:val="003A39EF"/>
    <w:rsid w:val="003A5839"/>
    <w:rsid w:val="003B0728"/>
    <w:rsid w:val="003B3837"/>
    <w:rsid w:val="003B4E00"/>
    <w:rsid w:val="003B6BD7"/>
    <w:rsid w:val="003C005F"/>
    <w:rsid w:val="003C0358"/>
    <w:rsid w:val="003C06DD"/>
    <w:rsid w:val="003C1ABB"/>
    <w:rsid w:val="003C2C84"/>
    <w:rsid w:val="003C44D8"/>
    <w:rsid w:val="003C5EB4"/>
    <w:rsid w:val="003C65B8"/>
    <w:rsid w:val="003C7555"/>
    <w:rsid w:val="003D09B5"/>
    <w:rsid w:val="003D145B"/>
    <w:rsid w:val="003D2697"/>
    <w:rsid w:val="003D326A"/>
    <w:rsid w:val="003D440A"/>
    <w:rsid w:val="003D5FA4"/>
    <w:rsid w:val="003D6389"/>
    <w:rsid w:val="003E2659"/>
    <w:rsid w:val="003E34FF"/>
    <w:rsid w:val="003E46E5"/>
    <w:rsid w:val="003E5EE4"/>
    <w:rsid w:val="003E5F61"/>
    <w:rsid w:val="003E63EE"/>
    <w:rsid w:val="003F042E"/>
    <w:rsid w:val="003F0E50"/>
    <w:rsid w:val="003F0FDD"/>
    <w:rsid w:val="003F2FBC"/>
    <w:rsid w:val="003F3699"/>
    <w:rsid w:val="003F38AC"/>
    <w:rsid w:val="003F4A4B"/>
    <w:rsid w:val="003F606F"/>
    <w:rsid w:val="003F68F0"/>
    <w:rsid w:val="003F7D74"/>
    <w:rsid w:val="00401CF1"/>
    <w:rsid w:val="00401F01"/>
    <w:rsid w:val="00406964"/>
    <w:rsid w:val="00407CB5"/>
    <w:rsid w:val="004110A4"/>
    <w:rsid w:val="004125A5"/>
    <w:rsid w:val="00413CE2"/>
    <w:rsid w:val="00415A24"/>
    <w:rsid w:val="00417C46"/>
    <w:rsid w:val="0042036B"/>
    <w:rsid w:val="00423485"/>
    <w:rsid w:val="004245CE"/>
    <w:rsid w:val="00424965"/>
    <w:rsid w:val="00425066"/>
    <w:rsid w:val="00425B38"/>
    <w:rsid w:val="004278E5"/>
    <w:rsid w:val="00427E2F"/>
    <w:rsid w:val="0043086A"/>
    <w:rsid w:val="00430DC6"/>
    <w:rsid w:val="00430FEA"/>
    <w:rsid w:val="004313F3"/>
    <w:rsid w:val="00432669"/>
    <w:rsid w:val="00433A32"/>
    <w:rsid w:val="004344E3"/>
    <w:rsid w:val="00434AEC"/>
    <w:rsid w:val="0043707B"/>
    <w:rsid w:val="004377AF"/>
    <w:rsid w:val="004403B3"/>
    <w:rsid w:val="00441D74"/>
    <w:rsid w:val="00445FB4"/>
    <w:rsid w:val="00450CA5"/>
    <w:rsid w:val="00451D2F"/>
    <w:rsid w:val="00451E8D"/>
    <w:rsid w:val="0045260C"/>
    <w:rsid w:val="00452811"/>
    <w:rsid w:val="004602C1"/>
    <w:rsid w:val="004617BC"/>
    <w:rsid w:val="00461F4A"/>
    <w:rsid w:val="0046209E"/>
    <w:rsid w:val="004655B1"/>
    <w:rsid w:val="00470F24"/>
    <w:rsid w:val="00471504"/>
    <w:rsid w:val="0047258E"/>
    <w:rsid w:val="004758A2"/>
    <w:rsid w:val="004758DB"/>
    <w:rsid w:val="00475E54"/>
    <w:rsid w:val="004766D0"/>
    <w:rsid w:val="004804CB"/>
    <w:rsid w:val="0048059F"/>
    <w:rsid w:val="00480B4A"/>
    <w:rsid w:val="004827A9"/>
    <w:rsid w:val="0048295D"/>
    <w:rsid w:val="00483054"/>
    <w:rsid w:val="004840B9"/>
    <w:rsid w:val="00484251"/>
    <w:rsid w:val="00486209"/>
    <w:rsid w:val="00487005"/>
    <w:rsid w:val="00490BB4"/>
    <w:rsid w:val="00490D95"/>
    <w:rsid w:val="004925FE"/>
    <w:rsid w:val="004935A8"/>
    <w:rsid w:val="00494295"/>
    <w:rsid w:val="004944F7"/>
    <w:rsid w:val="004A657F"/>
    <w:rsid w:val="004A658C"/>
    <w:rsid w:val="004B0E97"/>
    <w:rsid w:val="004B4F1B"/>
    <w:rsid w:val="004B5A4F"/>
    <w:rsid w:val="004B6632"/>
    <w:rsid w:val="004B6D42"/>
    <w:rsid w:val="004B74A1"/>
    <w:rsid w:val="004C0F1A"/>
    <w:rsid w:val="004C2E0E"/>
    <w:rsid w:val="004C3D3B"/>
    <w:rsid w:val="004C4079"/>
    <w:rsid w:val="004C451F"/>
    <w:rsid w:val="004C4DCB"/>
    <w:rsid w:val="004C64A2"/>
    <w:rsid w:val="004D0B3B"/>
    <w:rsid w:val="004D155D"/>
    <w:rsid w:val="004D1973"/>
    <w:rsid w:val="004D19ED"/>
    <w:rsid w:val="004D2E6B"/>
    <w:rsid w:val="004D2FD4"/>
    <w:rsid w:val="004D3852"/>
    <w:rsid w:val="004D43C0"/>
    <w:rsid w:val="004D5FC8"/>
    <w:rsid w:val="004D72BD"/>
    <w:rsid w:val="004D7A1F"/>
    <w:rsid w:val="004E25ED"/>
    <w:rsid w:val="004E5A1E"/>
    <w:rsid w:val="004E5F0A"/>
    <w:rsid w:val="004E63CA"/>
    <w:rsid w:val="004F00A2"/>
    <w:rsid w:val="004F0245"/>
    <w:rsid w:val="004F1860"/>
    <w:rsid w:val="004F2231"/>
    <w:rsid w:val="004F2F16"/>
    <w:rsid w:val="004F3681"/>
    <w:rsid w:val="004F3CCE"/>
    <w:rsid w:val="004F46A4"/>
    <w:rsid w:val="004F713B"/>
    <w:rsid w:val="004F7A67"/>
    <w:rsid w:val="005012CF"/>
    <w:rsid w:val="005025B1"/>
    <w:rsid w:val="0050334D"/>
    <w:rsid w:val="005051F8"/>
    <w:rsid w:val="0050525C"/>
    <w:rsid w:val="005054A9"/>
    <w:rsid w:val="005064FF"/>
    <w:rsid w:val="00507611"/>
    <w:rsid w:val="00507954"/>
    <w:rsid w:val="00507CEE"/>
    <w:rsid w:val="00507DE7"/>
    <w:rsid w:val="00512B5B"/>
    <w:rsid w:val="00514AA4"/>
    <w:rsid w:val="00515653"/>
    <w:rsid w:val="0052099B"/>
    <w:rsid w:val="00523BFA"/>
    <w:rsid w:val="00524462"/>
    <w:rsid w:val="00524F4C"/>
    <w:rsid w:val="005250F3"/>
    <w:rsid w:val="00526D04"/>
    <w:rsid w:val="00526E3F"/>
    <w:rsid w:val="0053163B"/>
    <w:rsid w:val="00533D1D"/>
    <w:rsid w:val="00535F39"/>
    <w:rsid w:val="0053712B"/>
    <w:rsid w:val="00537428"/>
    <w:rsid w:val="005377F4"/>
    <w:rsid w:val="005412B7"/>
    <w:rsid w:val="005432EA"/>
    <w:rsid w:val="005446AE"/>
    <w:rsid w:val="0054757C"/>
    <w:rsid w:val="00550513"/>
    <w:rsid w:val="00550928"/>
    <w:rsid w:val="00550F77"/>
    <w:rsid w:val="00551C41"/>
    <w:rsid w:val="00553027"/>
    <w:rsid w:val="005549F2"/>
    <w:rsid w:val="00557A8F"/>
    <w:rsid w:val="0056392E"/>
    <w:rsid w:val="00563B86"/>
    <w:rsid w:val="005643B1"/>
    <w:rsid w:val="00565B41"/>
    <w:rsid w:val="00566089"/>
    <w:rsid w:val="00566BB5"/>
    <w:rsid w:val="00570290"/>
    <w:rsid w:val="00571E54"/>
    <w:rsid w:val="0057324A"/>
    <w:rsid w:val="0057480C"/>
    <w:rsid w:val="00575082"/>
    <w:rsid w:val="00576AC6"/>
    <w:rsid w:val="00577443"/>
    <w:rsid w:val="005825CC"/>
    <w:rsid w:val="00584C8D"/>
    <w:rsid w:val="00584D03"/>
    <w:rsid w:val="00587558"/>
    <w:rsid w:val="005902F1"/>
    <w:rsid w:val="005923DB"/>
    <w:rsid w:val="005932A7"/>
    <w:rsid w:val="005932AB"/>
    <w:rsid w:val="00593344"/>
    <w:rsid w:val="00596422"/>
    <w:rsid w:val="00596D9D"/>
    <w:rsid w:val="00597650"/>
    <w:rsid w:val="00597AF3"/>
    <w:rsid w:val="005A15C6"/>
    <w:rsid w:val="005A56D4"/>
    <w:rsid w:val="005A5D39"/>
    <w:rsid w:val="005A605D"/>
    <w:rsid w:val="005A62A0"/>
    <w:rsid w:val="005A6D01"/>
    <w:rsid w:val="005A6D72"/>
    <w:rsid w:val="005A7B72"/>
    <w:rsid w:val="005B2EC6"/>
    <w:rsid w:val="005B6083"/>
    <w:rsid w:val="005C0D89"/>
    <w:rsid w:val="005C1344"/>
    <w:rsid w:val="005C2B37"/>
    <w:rsid w:val="005C3DDA"/>
    <w:rsid w:val="005C3EAC"/>
    <w:rsid w:val="005C4903"/>
    <w:rsid w:val="005C52BA"/>
    <w:rsid w:val="005C550A"/>
    <w:rsid w:val="005C607B"/>
    <w:rsid w:val="005C7869"/>
    <w:rsid w:val="005C7D44"/>
    <w:rsid w:val="005C7EDE"/>
    <w:rsid w:val="005D054E"/>
    <w:rsid w:val="005D09D3"/>
    <w:rsid w:val="005D2643"/>
    <w:rsid w:val="005D3680"/>
    <w:rsid w:val="005D4133"/>
    <w:rsid w:val="005D5EC1"/>
    <w:rsid w:val="005E3714"/>
    <w:rsid w:val="005E61F4"/>
    <w:rsid w:val="005E6588"/>
    <w:rsid w:val="005E6BE2"/>
    <w:rsid w:val="005E7FB5"/>
    <w:rsid w:val="005F071D"/>
    <w:rsid w:val="005F145F"/>
    <w:rsid w:val="005F36D2"/>
    <w:rsid w:val="005F3D2A"/>
    <w:rsid w:val="005F47A6"/>
    <w:rsid w:val="005F5B95"/>
    <w:rsid w:val="005F7504"/>
    <w:rsid w:val="00601D53"/>
    <w:rsid w:val="006039EA"/>
    <w:rsid w:val="00603CC0"/>
    <w:rsid w:val="006056D0"/>
    <w:rsid w:val="00606BE3"/>
    <w:rsid w:val="00610F74"/>
    <w:rsid w:val="006115E0"/>
    <w:rsid w:val="006126F0"/>
    <w:rsid w:val="00616D98"/>
    <w:rsid w:val="006175EC"/>
    <w:rsid w:val="00623C65"/>
    <w:rsid w:val="0062429C"/>
    <w:rsid w:val="00625DA1"/>
    <w:rsid w:val="0062669E"/>
    <w:rsid w:val="00630635"/>
    <w:rsid w:val="00630BED"/>
    <w:rsid w:val="0063141B"/>
    <w:rsid w:val="00631E7D"/>
    <w:rsid w:val="00633F49"/>
    <w:rsid w:val="00637FCC"/>
    <w:rsid w:val="00641A69"/>
    <w:rsid w:val="0064361C"/>
    <w:rsid w:val="00644462"/>
    <w:rsid w:val="00644BD3"/>
    <w:rsid w:val="00645189"/>
    <w:rsid w:val="006454A0"/>
    <w:rsid w:val="00645603"/>
    <w:rsid w:val="006466ED"/>
    <w:rsid w:val="00651992"/>
    <w:rsid w:val="0065284C"/>
    <w:rsid w:val="006541D0"/>
    <w:rsid w:val="00655273"/>
    <w:rsid w:val="00655810"/>
    <w:rsid w:val="0065588C"/>
    <w:rsid w:val="0065637C"/>
    <w:rsid w:val="006568CC"/>
    <w:rsid w:val="00660BE3"/>
    <w:rsid w:val="00664289"/>
    <w:rsid w:val="006668F6"/>
    <w:rsid w:val="0066782C"/>
    <w:rsid w:val="00667D3C"/>
    <w:rsid w:val="00673887"/>
    <w:rsid w:val="00676D57"/>
    <w:rsid w:val="00677638"/>
    <w:rsid w:val="00677A61"/>
    <w:rsid w:val="00681079"/>
    <w:rsid w:val="006824D7"/>
    <w:rsid w:val="00682E61"/>
    <w:rsid w:val="0069072E"/>
    <w:rsid w:val="006909F2"/>
    <w:rsid w:val="00692389"/>
    <w:rsid w:val="006937EA"/>
    <w:rsid w:val="00694282"/>
    <w:rsid w:val="006947D8"/>
    <w:rsid w:val="00696CCF"/>
    <w:rsid w:val="006973F0"/>
    <w:rsid w:val="00697493"/>
    <w:rsid w:val="006A1BCA"/>
    <w:rsid w:val="006A3F4C"/>
    <w:rsid w:val="006A7AC4"/>
    <w:rsid w:val="006B0D56"/>
    <w:rsid w:val="006B0FCF"/>
    <w:rsid w:val="006B2916"/>
    <w:rsid w:val="006B2C77"/>
    <w:rsid w:val="006B65A2"/>
    <w:rsid w:val="006B7888"/>
    <w:rsid w:val="006B789C"/>
    <w:rsid w:val="006B7C74"/>
    <w:rsid w:val="006C03C1"/>
    <w:rsid w:val="006C0A02"/>
    <w:rsid w:val="006C2D0E"/>
    <w:rsid w:val="006C37D1"/>
    <w:rsid w:val="006C4053"/>
    <w:rsid w:val="006C42EE"/>
    <w:rsid w:val="006C4C63"/>
    <w:rsid w:val="006C6EF0"/>
    <w:rsid w:val="006D0AC8"/>
    <w:rsid w:val="006D14CD"/>
    <w:rsid w:val="006D19E7"/>
    <w:rsid w:val="006D1F8F"/>
    <w:rsid w:val="006D3E8D"/>
    <w:rsid w:val="006D4129"/>
    <w:rsid w:val="006D5DBC"/>
    <w:rsid w:val="006D7392"/>
    <w:rsid w:val="006E0495"/>
    <w:rsid w:val="006E0EB7"/>
    <w:rsid w:val="006E4300"/>
    <w:rsid w:val="006E7E4E"/>
    <w:rsid w:val="006F01A3"/>
    <w:rsid w:val="006F1045"/>
    <w:rsid w:val="006F2B25"/>
    <w:rsid w:val="006F3062"/>
    <w:rsid w:val="006F4C8A"/>
    <w:rsid w:val="006F6E9A"/>
    <w:rsid w:val="006F7396"/>
    <w:rsid w:val="00701509"/>
    <w:rsid w:val="00704428"/>
    <w:rsid w:val="007050DD"/>
    <w:rsid w:val="00705840"/>
    <w:rsid w:val="007064F9"/>
    <w:rsid w:val="00707BBC"/>
    <w:rsid w:val="00710315"/>
    <w:rsid w:val="00710FB7"/>
    <w:rsid w:val="00711A8C"/>
    <w:rsid w:val="00711D3B"/>
    <w:rsid w:val="007140E5"/>
    <w:rsid w:val="007142F7"/>
    <w:rsid w:val="00714ED8"/>
    <w:rsid w:val="0071751E"/>
    <w:rsid w:val="00720868"/>
    <w:rsid w:val="007228EF"/>
    <w:rsid w:val="00723195"/>
    <w:rsid w:val="00724C1B"/>
    <w:rsid w:val="00725E99"/>
    <w:rsid w:val="00727466"/>
    <w:rsid w:val="0072747C"/>
    <w:rsid w:val="00730EF9"/>
    <w:rsid w:val="00732449"/>
    <w:rsid w:val="0073276A"/>
    <w:rsid w:val="007344F7"/>
    <w:rsid w:val="00734896"/>
    <w:rsid w:val="0073565D"/>
    <w:rsid w:val="00735E15"/>
    <w:rsid w:val="00740424"/>
    <w:rsid w:val="00743A4B"/>
    <w:rsid w:val="0074505F"/>
    <w:rsid w:val="00745268"/>
    <w:rsid w:val="00750991"/>
    <w:rsid w:val="00751595"/>
    <w:rsid w:val="00756485"/>
    <w:rsid w:val="007569A6"/>
    <w:rsid w:val="00761B84"/>
    <w:rsid w:val="00761E2A"/>
    <w:rsid w:val="0076276E"/>
    <w:rsid w:val="00762C8F"/>
    <w:rsid w:val="00762EF5"/>
    <w:rsid w:val="007633FD"/>
    <w:rsid w:val="0076393E"/>
    <w:rsid w:val="0076712E"/>
    <w:rsid w:val="00773CB2"/>
    <w:rsid w:val="0077425C"/>
    <w:rsid w:val="00774AFB"/>
    <w:rsid w:val="00774DA7"/>
    <w:rsid w:val="00775A5F"/>
    <w:rsid w:val="0077748B"/>
    <w:rsid w:val="00777779"/>
    <w:rsid w:val="00777E4D"/>
    <w:rsid w:val="00777F1A"/>
    <w:rsid w:val="00777F26"/>
    <w:rsid w:val="00780330"/>
    <w:rsid w:val="00781A0D"/>
    <w:rsid w:val="00783644"/>
    <w:rsid w:val="00784238"/>
    <w:rsid w:val="00787BEA"/>
    <w:rsid w:val="00791749"/>
    <w:rsid w:val="007938CF"/>
    <w:rsid w:val="0079476B"/>
    <w:rsid w:val="007956DB"/>
    <w:rsid w:val="00795940"/>
    <w:rsid w:val="00795953"/>
    <w:rsid w:val="00796A0D"/>
    <w:rsid w:val="00796CF9"/>
    <w:rsid w:val="00797B91"/>
    <w:rsid w:val="007A2780"/>
    <w:rsid w:val="007A4210"/>
    <w:rsid w:val="007A47AC"/>
    <w:rsid w:val="007A56AD"/>
    <w:rsid w:val="007A5B19"/>
    <w:rsid w:val="007A751E"/>
    <w:rsid w:val="007B01FC"/>
    <w:rsid w:val="007B0F95"/>
    <w:rsid w:val="007B2BA5"/>
    <w:rsid w:val="007B2D26"/>
    <w:rsid w:val="007B5001"/>
    <w:rsid w:val="007B55F7"/>
    <w:rsid w:val="007B6F28"/>
    <w:rsid w:val="007C1AD4"/>
    <w:rsid w:val="007C27CA"/>
    <w:rsid w:val="007C404A"/>
    <w:rsid w:val="007C486D"/>
    <w:rsid w:val="007C51F8"/>
    <w:rsid w:val="007C564D"/>
    <w:rsid w:val="007C5836"/>
    <w:rsid w:val="007C5D5D"/>
    <w:rsid w:val="007C5E4B"/>
    <w:rsid w:val="007C714A"/>
    <w:rsid w:val="007C7327"/>
    <w:rsid w:val="007C73FD"/>
    <w:rsid w:val="007C7AA5"/>
    <w:rsid w:val="007D0740"/>
    <w:rsid w:val="007D1BF4"/>
    <w:rsid w:val="007D2201"/>
    <w:rsid w:val="007D3B6A"/>
    <w:rsid w:val="007D42EF"/>
    <w:rsid w:val="007D55F9"/>
    <w:rsid w:val="007D6C81"/>
    <w:rsid w:val="007E070E"/>
    <w:rsid w:val="007E126E"/>
    <w:rsid w:val="007E1749"/>
    <w:rsid w:val="007E2B5F"/>
    <w:rsid w:val="007E3615"/>
    <w:rsid w:val="007E4EAF"/>
    <w:rsid w:val="007E50FD"/>
    <w:rsid w:val="007E578E"/>
    <w:rsid w:val="007E677F"/>
    <w:rsid w:val="007E6D34"/>
    <w:rsid w:val="007E6E76"/>
    <w:rsid w:val="007E75A1"/>
    <w:rsid w:val="007F0F8A"/>
    <w:rsid w:val="007F3EFC"/>
    <w:rsid w:val="007F405F"/>
    <w:rsid w:val="007F468D"/>
    <w:rsid w:val="007F68C2"/>
    <w:rsid w:val="007F7417"/>
    <w:rsid w:val="007F747C"/>
    <w:rsid w:val="007F7642"/>
    <w:rsid w:val="00800486"/>
    <w:rsid w:val="00800A93"/>
    <w:rsid w:val="008011B4"/>
    <w:rsid w:val="00802B21"/>
    <w:rsid w:val="0080360E"/>
    <w:rsid w:val="00804A4A"/>
    <w:rsid w:val="0080646A"/>
    <w:rsid w:val="008069A4"/>
    <w:rsid w:val="00806CCF"/>
    <w:rsid w:val="00810617"/>
    <w:rsid w:val="00810BCB"/>
    <w:rsid w:val="00810C31"/>
    <w:rsid w:val="0081139C"/>
    <w:rsid w:val="00811F88"/>
    <w:rsid w:val="00813417"/>
    <w:rsid w:val="008135B4"/>
    <w:rsid w:val="008141FB"/>
    <w:rsid w:val="00815BEA"/>
    <w:rsid w:val="008167DB"/>
    <w:rsid w:val="0081795E"/>
    <w:rsid w:val="008209A3"/>
    <w:rsid w:val="00820F92"/>
    <w:rsid w:val="00822DA8"/>
    <w:rsid w:val="0082336E"/>
    <w:rsid w:val="008234F1"/>
    <w:rsid w:val="00823CC3"/>
    <w:rsid w:val="00823F7D"/>
    <w:rsid w:val="00824E3D"/>
    <w:rsid w:val="00826F8C"/>
    <w:rsid w:val="00830369"/>
    <w:rsid w:val="008309BF"/>
    <w:rsid w:val="00833AC2"/>
    <w:rsid w:val="00835976"/>
    <w:rsid w:val="00836242"/>
    <w:rsid w:val="0084097F"/>
    <w:rsid w:val="00841788"/>
    <w:rsid w:val="008426A7"/>
    <w:rsid w:val="008449A0"/>
    <w:rsid w:val="00845701"/>
    <w:rsid w:val="00846B44"/>
    <w:rsid w:val="0085179F"/>
    <w:rsid w:val="008519BB"/>
    <w:rsid w:val="00852B9E"/>
    <w:rsid w:val="00854D4B"/>
    <w:rsid w:val="008606D1"/>
    <w:rsid w:val="0086183B"/>
    <w:rsid w:val="0086214A"/>
    <w:rsid w:val="0086257F"/>
    <w:rsid w:val="00862C95"/>
    <w:rsid w:val="00863094"/>
    <w:rsid w:val="00863CC6"/>
    <w:rsid w:val="00864BBA"/>
    <w:rsid w:val="008674C3"/>
    <w:rsid w:val="00873F63"/>
    <w:rsid w:val="00873FA4"/>
    <w:rsid w:val="00874566"/>
    <w:rsid w:val="00876274"/>
    <w:rsid w:val="008762A9"/>
    <w:rsid w:val="0087649B"/>
    <w:rsid w:val="00876FFD"/>
    <w:rsid w:val="008773EF"/>
    <w:rsid w:val="008800FB"/>
    <w:rsid w:val="008823E1"/>
    <w:rsid w:val="008846AF"/>
    <w:rsid w:val="0089046B"/>
    <w:rsid w:val="008905E7"/>
    <w:rsid w:val="0089125B"/>
    <w:rsid w:val="0089411D"/>
    <w:rsid w:val="00895751"/>
    <w:rsid w:val="008959D6"/>
    <w:rsid w:val="00896FCB"/>
    <w:rsid w:val="00897CC9"/>
    <w:rsid w:val="008A07AB"/>
    <w:rsid w:val="008A107E"/>
    <w:rsid w:val="008A209E"/>
    <w:rsid w:val="008A5ADC"/>
    <w:rsid w:val="008B0530"/>
    <w:rsid w:val="008B22D0"/>
    <w:rsid w:val="008B2319"/>
    <w:rsid w:val="008B3974"/>
    <w:rsid w:val="008B4D1A"/>
    <w:rsid w:val="008B5242"/>
    <w:rsid w:val="008B61A5"/>
    <w:rsid w:val="008B6450"/>
    <w:rsid w:val="008B740C"/>
    <w:rsid w:val="008B7DC3"/>
    <w:rsid w:val="008C4502"/>
    <w:rsid w:val="008C52D2"/>
    <w:rsid w:val="008D08D0"/>
    <w:rsid w:val="008D1451"/>
    <w:rsid w:val="008D2A23"/>
    <w:rsid w:val="008D4C7A"/>
    <w:rsid w:val="008D56B8"/>
    <w:rsid w:val="008D587B"/>
    <w:rsid w:val="008D662E"/>
    <w:rsid w:val="008D71D0"/>
    <w:rsid w:val="008E03C7"/>
    <w:rsid w:val="008E2ECF"/>
    <w:rsid w:val="008E49F0"/>
    <w:rsid w:val="008E5064"/>
    <w:rsid w:val="008E5DC3"/>
    <w:rsid w:val="008E5EB2"/>
    <w:rsid w:val="008E7013"/>
    <w:rsid w:val="008E7999"/>
    <w:rsid w:val="008F41EA"/>
    <w:rsid w:val="008F615D"/>
    <w:rsid w:val="008F62F3"/>
    <w:rsid w:val="008F62F9"/>
    <w:rsid w:val="008F6481"/>
    <w:rsid w:val="00900260"/>
    <w:rsid w:val="00900D20"/>
    <w:rsid w:val="00901088"/>
    <w:rsid w:val="00902677"/>
    <w:rsid w:val="00902E8B"/>
    <w:rsid w:val="009036C2"/>
    <w:rsid w:val="00904506"/>
    <w:rsid w:val="00905B32"/>
    <w:rsid w:val="00906472"/>
    <w:rsid w:val="009067AC"/>
    <w:rsid w:val="00910F7F"/>
    <w:rsid w:val="009176F8"/>
    <w:rsid w:val="009217B0"/>
    <w:rsid w:val="00921925"/>
    <w:rsid w:val="00923E56"/>
    <w:rsid w:val="0092484B"/>
    <w:rsid w:val="009272FA"/>
    <w:rsid w:val="00927A97"/>
    <w:rsid w:val="0093004A"/>
    <w:rsid w:val="0093265D"/>
    <w:rsid w:val="0093354B"/>
    <w:rsid w:val="009337AE"/>
    <w:rsid w:val="00933E94"/>
    <w:rsid w:val="00933EF7"/>
    <w:rsid w:val="00934841"/>
    <w:rsid w:val="00934F3A"/>
    <w:rsid w:val="00935B1E"/>
    <w:rsid w:val="00935CCB"/>
    <w:rsid w:val="00937AC5"/>
    <w:rsid w:val="00941DA1"/>
    <w:rsid w:val="009426E7"/>
    <w:rsid w:val="00943074"/>
    <w:rsid w:val="00943353"/>
    <w:rsid w:val="00944706"/>
    <w:rsid w:val="00945720"/>
    <w:rsid w:val="0094600B"/>
    <w:rsid w:val="009462AE"/>
    <w:rsid w:val="00946E4C"/>
    <w:rsid w:val="0095030E"/>
    <w:rsid w:val="00950832"/>
    <w:rsid w:val="00951E27"/>
    <w:rsid w:val="00952D0B"/>
    <w:rsid w:val="009579FD"/>
    <w:rsid w:val="00960E1C"/>
    <w:rsid w:val="00962990"/>
    <w:rsid w:val="00963078"/>
    <w:rsid w:val="00963AE0"/>
    <w:rsid w:val="00964592"/>
    <w:rsid w:val="009705FC"/>
    <w:rsid w:val="00970725"/>
    <w:rsid w:val="009728BB"/>
    <w:rsid w:val="00972DD8"/>
    <w:rsid w:val="00972EC4"/>
    <w:rsid w:val="00974204"/>
    <w:rsid w:val="00977BE0"/>
    <w:rsid w:val="009829EE"/>
    <w:rsid w:val="00982B4A"/>
    <w:rsid w:val="00983582"/>
    <w:rsid w:val="009849FC"/>
    <w:rsid w:val="00984E49"/>
    <w:rsid w:val="009876F6"/>
    <w:rsid w:val="00987793"/>
    <w:rsid w:val="009A182C"/>
    <w:rsid w:val="009A3327"/>
    <w:rsid w:val="009A3E34"/>
    <w:rsid w:val="009A49FE"/>
    <w:rsid w:val="009A5370"/>
    <w:rsid w:val="009B0637"/>
    <w:rsid w:val="009B0897"/>
    <w:rsid w:val="009B0BBB"/>
    <w:rsid w:val="009B28A3"/>
    <w:rsid w:val="009B3CE8"/>
    <w:rsid w:val="009B4006"/>
    <w:rsid w:val="009B4774"/>
    <w:rsid w:val="009B6DAA"/>
    <w:rsid w:val="009C47C6"/>
    <w:rsid w:val="009C49D8"/>
    <w:rsid w:val="009C7360"/>
    <w:rsid w:val="009C7830"/>
    <w:rsid w:val="009D04FC"/>
    <w:rsid w:val="009D0BA0"/>
    <w:rsid w:val="009D14EC"/>
    <w:rsid w:val="009D17A8"/>
    <w:rsid w:val="009D2475"/>
    <w:rsid w:val="009D285F"/>
    <w:rsid w:val="009D32A7"/>
    <w:rsid w:val="009D68C5"/>
    <w:rsid w:val="009D6BBB"/>
    <w:rsid w:val="009D72F5"/>
    <w:rsid w:val="009E1A41"/>
    <w:rsid w:val="009E1FCA"/>
    <w:rsid w:val="009E2546"/>
    <w:rsid w:val="009E2ED3"/>
    <w:rsid w:val="009E3711"/>
    <w:rsid w:val="009E546B"/>
    <w:rsid w:val="009E55B3"/>
    <w:rsid w:val="009F001C"/>
    <w:rsid w:val="009F10CF"/>
    <w:rsid w:val="009F11B0"/>
    <w:rsid w:val="009F669E"/>
    <w:rsid w:val="009F68C3"/>
    <w:rsid w:val="009F6CAC"/>
    <w:rsid w:val="009F7297"/>
    <w:rsid w:val="009F7FD5"/>
    <w:rsid w:val="00A01DFF"/>
    <w:rsid w:val="00A028C7"/>
    <w:rsid w:val="00A02AB9"/>
    <w:rsid w:val="00A02CC3"/>
    <w:rsid w:val="00A03417"/>
    <w:rsid w:val="00A040B0"/>
    <w:rsid w:val="00A046BE"/>
    <w:rsid w:val="00A04930"/>
    <w:rsid w:val="00A054F3"/>
    <w:rsid w:val="00A05BF4"/>
    <w:rsid w:val="00A061BE"/>
    <w:rsid w:val="00A0661D"/>
    <w:rsid w:val="00A072C7"/>
    <w:rsid w:val="00A10E04"/>
    <w:rsid w:val="00A1206E"/>
    <w:rsid w:val="00A142BE"/>
    <w:rsid w:val="00A14808"/>
    <w:rsid w:val="00A14A95"/>
    <w:rsid w:val="00A15A55"/>
    <w:rsid w:val="00A15F30"/>
    <w:rsid w:val="00A20109"/>
    <w:rsid w:val="00A204EA"/>
    <w:rsid w:val="00A20D91"/>
    <w:rsid w:val="00A23CA1"/>
    <w:rsid w:val="00A242AC"/>
    <w:rsid w:val="00A25631"/>
    <w:rsid w:val="00A30213"/>
    <w:rsid w:val="00A31FAA"/>
    <w:rsid w:val="00A358A1"/>
    <w:rsid w:val="00A365C2"/>
    <w:rsid w:val="00A367B5"/>
    <w:rsid w:val="00A37414"/>
    <w:rsid w:val="00A404B5"/>
    <w:rsid w:val="00A4148A"/>
    <w:rsid w:val="00A42133"/>
    <w:rsid w:val="00A4428D"/>
    <w:rsid w:val="00A44DD9"/>
    <w:rsid w:val="00A44FC0"/>
    <w:rsid w:val="00A45908"/>
    <w:rsid w:val="00A46C93"/>
    <w:rsid w:val="00A50B36"/>
    <w:rsid w:val="00A516F6"/>
    <w:rsid w:val="00A52411"/>
    <w:rsid w:val="00A53B6D"/>
    <w:rsid w:val="00A53F28"/>
    <w:rsid w:val="00A565B9"/>
    <w:rsid w:val="00A56CB8"/>
    <w:rsid w:val="00A57045"/>
    <w:rsid w:val="00A60B97"/>
    <w:rsid w:val="00A60F33"/>
    <w:rsid w:val="00A63838"/>
    <w:rsid w:val="00A6738F"/>
    <w:rsid w:val="00A678A9"/>
    <w:rsid w:val="00A70C0C"/>
    <w:rsid w:val="00A712C7"/>
    <w:rsid w:val="00A71418"/>
    <w:rsid w:val="00A71C92"/>
    <w:rsid w:val="00A72D10"/>
    <w:rsid w:val="00A72EBC"/>
    <w:rsid w:val="00A756C9"/>
    <w:rsid w:val="00A758CC"/>
    <w:rsid w:val="00A76D3A"/>
    <w:rsid w:val="00A77655"/>
    <w:rsid w:val="00A777B2"/>
    <w:rsid w:val="00A77962"/>
    <w:rsid w:val="00A82548"/>
    <w:rsid w:val="00A83CF8"/>
    <w:rsid w:val="00A842C7"/>
    <w:rsid w:val="00A845D2"/>
    <w:rsid w:val="00A84723"/>
    <w:rsid w:val="00A84FB9"/>
    <w:rsid w:val="00A85A60"/>
    <w:rsid w:val="00A85F7E"/>
    <w:rsid w:val="00A87B7E"/>
    <w:rsid w:val="00A9055F"/>
    <w:rsid w:val="00A90FDF"/>
    <w:rsid w:val="00A92771"/>
    <w:rsid w:val="00A92913"/>
    <w:rsid w:val="00A94143"/>
    <w:rsid w:val="00A94719"/>
    <w:rsid w:val="00A9550E"/>
    <w:rsid w:val="00A95868"/>
    <w:rsid w:val="00A95BE5"/>
    <w:rsid w:val="00A96933"/>
    <w:rsid w:val="00A9776F"/>
    <w:rsid w:val="00AA018E"/>
    <w:rsid w:val="00AA0908"/>
    <w:rsid w:val="00AA22A2"/>
    <w:rsid w:val="00AA3BDE"/>
    <w:rsid w:val="00AA432E"/>
    <w:rsid w:val="00AA5E40"/>
    <w:rsid w:val="00AA7438"/>
    <w:rsid w:val="00AA7909"/>
    <w:rsid w:val="00AB073E"/>
    <w:rsid w:val="00AB2FE1"/>
    <w:rsid w:val="00AB3401"/>
    <w:rsid w:val="00AB7325"/>
    <w:rsid w:val="00AB7E63"/>
    <w:rsid w:val="00AC0205"/>
    <w:rsid w:val="00AC1AB7"/>
    <w:rsid w:val="00AC4203"/>
    <w:rsid w:val="00AD3A45"/>
    <w:rsid w:val="00AD3F6F"/>
    <w:rsid w:val="00AD4DBE"/>
    <w:rsid w:val="00AD52E7"/>
    <w:rsid w:val="00AE1970"/>
    <w:rsid w:val="00AE5B12"/>
    <w:rsid w:val="00AE746B"/>
    <w:rsid w:val="00AF4221"/>
    <w:rsid w:val="00AF7580"/>
    <w:rsid w:val="00AF7C31"/>
    <w:rsid w:val="00B0335E"/>
    <w:rsid w:val="00B03C7F"/>
    <w:rsid w:val="00B04A54"/>
    <w:rsid w:val="00B055DE"/>
    <w:rsid w:val="00B0560B"/>
    <w:rsid w:val="00B05C32"/>
    <w:rsid w:val="00B05DED"/>
    <w:rsid w:val="00B07715"/>
    <w:rsid w:val="00B10042"/>
    <w:rsid w:val="00B1035F"/>
    <w:rsid w:val="00B12C38"/>
    <w:rsid w:val="00B13166"/>
    <w:rsid w:val="00B1350D"/>
    <w:rsid w:val="00B13684"/>
    <w:rsid w:val="00B141DD"/>
    <w:rsid w:val="00B16234"/>
    <w:rsid w:val="00B1627F"/>
    <w:rsid w:val="00B173B9"/>
    <w:rsid w:val="00B20183"/>
    <w:rsid w:val="00B22F00"/>
    <w:rsid w:val="00B2467D"/>
    <w:rsid w:val="00B26163"/>
    <w:rsid w:val="00B2675D"/>
    <w:rsid w:val="00B26EB5"/>
    <w:rsid w:val="00B3308F"/>
    <w:rsid w:val="00B3347B"/>
    <w:rsid w:val="00B35129"/>
    <w:rsid w:val="00B35BC6"/>
    <w:rsid w:val="00B3619C"/>
    <w:rsid w:val="00B37A4E"/>
    <w:rsid w:val="00B403E3"/>
    <w:rsid w:val="00B4093B"/>
    <w:rsid w:val="00B43590"/>
    <w:rsid w:val="00B4424C"/>
    <w:rsid w:val="00B450C7"/>
    <w:rsid w:val="00B45253"/>
    <w:rsid w:val="00B50189"/>
    <w:rsid w:val="00B508FD"/>
    <w:rsid w:val="00B51095"/>
    <w:rsid w:val="00B52A0D"/>
    <w:rsid w:val="00B52DFC"/>
    <w:rsid w:val="00B52E0C"/>
    <w:rsid w:val="00B5375A"/>
    <w:rsid w:val="00B56ACB"/>
    <w:rsid w:val="00B5731C"/>
    <w:rsid w:val="00B61885"/>
    <w:rsid w:val="00B656CB"/>
    <w:rsid w:val="00B67654"/>
    <w:rsid w:val="00B7101B"/>
    <w:rsid w:val="00B7263E"/>
    <w:rsid w:val="00B7377D"/>
    <w:rsid w:val="00B765AA"/>
    <w:rsid w:val="00B7782D"/>
    <w:rsid w:val="00B77D07"/>
    <w:rsid w:val="00B811B2"/>
    <w:rsid w:val="00B81FA1"/>
    <w:rsid w:val="00B826A1"/>
    <w:rsid w:val="00B82C94"/>
    <w:rsid w:val="00B8434E"/>
    <w:rsid w:val="00B84786"/>
    <w:rsid w:val="00B85360"/>
    <w:rsid w:val="00B85617"/>
    <w:rsid w:val="00B86FEB"/>
    <w:rsid w:val="00B90BB9"/>
    <w:rsid w:val="00B91315"/>
    <w:rsid w:val="00B91B06"/>
    <w:rsid w:val="00B91DF6"/>
    <w:rsid w:val="00B92AA1"/>
    <w:rsid w:val="00B94836"/>
    <w:rsid w:val="00B94E8D"/>
    <w:rsid w:val="00B94F2B"/>
    <w:rsid w:val="00B958C5"/>
    <w:rsid w:val="00B97349"/>
    <w:rsid w:val="00BA1BA9"/>
    <w:rsid w:val="00BA1FD1"/>
    <w:rsid w:val="00BA227F"/>
    <w:rsid w:val="00BA2FBC"/>
    <w:rsid w:val="00BA457F"/>
    <w:rsid w:val="00BA6837"/>
    <w:rsid w:val="00BA7BDC"/>
    <w:rsid w:val="00BB01BE"/>
    <w:rsid w:val="00BB053E"/>
    <w:rsid w:val="00BB0B18"/>
    <w:rsid w:val="00BB0FF5"/>
    <w:rsid w:val="00BB1BB7"/>
    <w:rsid w:val="00BB1C0E"/>
    <w:rsid w:val="00BB307D"/>
    <w:rsid w:val="00BB5358"/>
    <w:rsid w:val="00BB59B7"/>
    <w:rsid w:val="00BB5B2D"/>
    <w:rsid w:val="00BB7EBC"/>
    <w:rsid w:val="00BC1032"/>
    <w:rsid w:val="00BC2AC5"/>
    <w:rsid w:val="00BC3FAD"/>
    <w:rsid w:val="00BC48A3"/>
    <w:rsid w:val="00BC53A4"/>
    <w:rsid w:val="00BC74E1"/>
    <w:rsid w:val="00BC7F8D"/>
    <w:rsid w:val="00BD291C"/>
    <w:rsid w:val="00BD3C2E"/>
    <w:rsid w:val="00BD48F1"/>
    <w:rsid w:val="00BD5F45"/>
    <w:rsid w:val="00BD6041"/>
    <w:rsid w:val="00BD6DCA"/>
    <w:rsid w:val="00BE1361"/>
    <w:rsid w:val="00BE13E8"/>
    <w:rsid w:val="00BE2340"/>
    <w:rsid w:val="00BE386C"/>
    <w:rsid w:val="00BE389A"/>
    <w:rsid w:val="00BE39DC"/>
    <w:rsid w:val="00BE3CA4"/>
    <w:rsid w:val="00BE6A06"/>
    <w:rsid w:val="00BE6C97"/>
    <w:rsid w:val="00BF09C9"/>
    <w:rsid w:val="00BF233B"/>
    <w:rsid w:val="00BF381F"/>
    <w:rsid w:val="00BF3E2B"/>
    <w:rsid w:val="00BF5460"/>
    <w:rsid w:val="00BF5CD3"/>
    <w:rsid w:val="00BF5E3B"/>
    <w:rsid w:val="00BF638F"/>
    <w:rsid w:val="00BF6869"/>
    <w:rsid w:val="00BF6C4C"/>
    <w:rsid w:val="00C01EF8"/>
    <w:rsid w:val="00C021FF"/>
    <w:rsid w:val="00C0246D"/>
    <w:rsid w:val="00C02D66"/>
    <w:rsid w:val="00C03EF8"/>
    <w:rsid w:val="00C0573A"/>
    <w:rsid w:val="00C05B44"/>
    <w:rsid w:val="00C05E24"/>
    <w:rsid w:val="00C06268"/>
    <w:rsid w:val="00C078AB"/>
    <w:rsid w:val="00C10F45"/>
    <w:rsid w:val="00C116C6"/>
    <w:rsid w:val="00C11CC0"/>
    <w:rsid w:val="00C12AE7"/>
    <w:rsid w:val="00C1424D"/>
    <w:rsid w:val="00C147F5"/>
    <w:rsid w:val="00C16094"/>
    <w:rsid w:val="00C16BE0"/>
    <w:rsid w:val="00C17962"/>
    <w:rsid w:val="00C20C0C"/>
    <w:rsid w:val="00C211DA"/>
    <w:rsid w:val="00C225AB"/>
    <w:rsid w:val="00C2302B"/>
    <w:rsid w:val="00C23B4B"/>
    <w:rsid w:val="00C23C41"/>
    <w:rsid w:val="00C26DAE"/>
    <w:rsid w:val="00C303DF"/>
    <w:rsid w:val="00C30961"/>
    <w:rsid w:val="00C31666"/>
    <w:rsid w:val="00C32FAF"/>
    <w:rsid w:val="00C360FB"/>
    <w:rsid w:val="00C41D72"/>
    <w:rsid w:val="00C42BF2"/>
    <w:rsid w:val="00C4490F"/>
    <w:rsid w:val="00C44F99"/>
    <w:rsid w:val="00C45643"/>
    <w:rsid w:val="00C4565D"/>
    <w:rsid w:val="00C460B0"/>
    <w:rsid w:val="00C54AC3"/>
    <w:rsid w:val="00C555CC"/>
    <w:rsid w:val="00C55DA0"/>
    <w:rsid w:val="00C56A25"/>
    <w:rsid w:val="00C6053F"/>
    <w:rsid w:val="00C6196E"/>
    <w:rsid w:val="00C627D0"/>
    <w:rsid w:val="00C6312F"/>
    <w:rsid w:val="00C63178"/>
    <w:rsid w:val="00C63502"/>
    <w:rsid w:val="00C6394C"/>
    <w:rsid w:val="00C63B38"/>
    <w:rsid w:val="00C648E6"/>
    <w:rsid w:val="00C64E02"/>
    <w:rsid w:val="00C656EC"/>
    <w:rsid w:val="00C65D5D"/>
    <w:rsid w:val="00C65E52"/>
    <w:rsid w:val="00C66907"/>
    <w:rsid w:val="00C66B42"/>
    <w:rsid w:val="00C67C7D"/>
    <w:rsid w:val="00C70015"/>
    <w:rsid w:val="00C71CE7"/>
    <w:rsid w:val="00C72355"/>
    <w:rsid w:val="00C73EEF"/>
    <w:rsid w:val="00C749B5"/>
    <w:rsid w:val="00C75B42"/>
    <w:rsid w:val="00C77618"/>
    <w:rsid w:val="00C77C0A"/>
    <w:rsid w:val="00C77CDF"/>
    <w:rsid w:val="00C8111E"/>
    <w:rsid w:val="00C82266"/>
    <w:rsid w:val="00C82BC8"/>
    <w:rsid w:val="00C83937"/>
    <w:rsid w:val="00C8490D"/>
    <w:rsid w:val="00C850B8"/>
    <w:rsid w:val="00C864AD"/>
    <w:rsid w:val="00C870F6"/>
    <w:rsid w:val="00C87754"/>
    <w:rsid w:val="00C91EB8"/>
    <w:rsid w:val="00C92AE0"/>
    <w:rsid w:val="00C931D0"/>
    <w:rsid w:val="00C93F7D"/>
    <w:rsid w:val="00C9479B"/>
    <w:rsid w:val="00C96AE4"/>
    <w:rsid w:val="00C97D0A"/>
    <w:rsid w:val="00C97DA2"/>
    <w:rsid w:val="00CA000C"/>
    <w:rsid w:val="00CA0679"/>
    <w:rsid w:val="00CA296C"/>
    <w:rsid w:val="00CA45D4"/>
    <w:rsid w:val="00CA6099"/>
    <w:rsid w:val="00CA64C8"/>
    <w:rsid w:val="00CB003B"/>
    <w:rsid w:val="00CB2A3E"/>
    <w:rsid w:val="00CB421B"/>
    <w:rsid w:val="00CB5412"/>
    <w:rsid w:val="00CB6A68"/>
    <w:rsid w:val="00CC355A"/>
    <w:rsid w:val="00CC3633"/>
    <w:rsid w:val="00CC39F5"/>
    <w:rsid w:val="00CC3FD7"/>
    <w:rsid w:val="00CC43CC"/>
    <w:rsid w:val="00CC4CAC"/>
    <w:rsid w:val="00CC75C4"/>
    <w:rsid w:val="00CC7C88"/>
    <w:rsid w:val="00CD052D"/>
    <w:rsid w:val="00CD1422"/>
    <w:rsid w:val="00CD1B25"/>
    <w:rsid w:val="00CD1CC9"/>
    <w:rsid w:val="00CD3643"/>
    <w:rsid w:val="00CD4746"/>
    <w:rsid w:val="00CD7E69"/>
    <w:rsid w:val="00CE1035"/>
    <w:rsid w:val="00CE1401"/>
    <w:rsid w:val="00CE1DBB"/>
    <w:rsid w:val="00CE2C7A"/>
    <w:rsid w:val="00CE32B4"/>
    <w:rsid w:val="00CE343C"/>
    <w:rsid w:val="00CE3FB8"/>
    <w:rsid w:val="00CE4099"/>
    <w:rsid w:val="00CE40C2"/>
    <w:rsid w:val="00CE5E1E"/>
    <w:rsid w:val="00CE62DF"/>
    <w:rsid w:val="00CE746C"/>
    <w:rsid w:val="00CE7880"/>
    <w:rsid w:val="00CF16DC"/>
    <w:rsid w:val="00CF3D4E"/>
    <w:rsid w:val="00CF507D"/>
    <w:rsid w:val="00CF5144"/>
    <w:rsid w:val="00CF6ECD"/>
    <w:rsid w:val="00D0050C"/>
    <w:rsid w:val="00D041A0"/>
    <w:rsid w:val="00D04E9B"/>
    <w:rsid w:val="00D069C8"/>
    <w:rsid w:val="00D07824"/>
    <w:rsid w:val="00D07881"/>
    <w:rsid w:val="00D136EE"/>
    <w:rsid w:val="00D137E7"/>
    <w:rsid w:val="00D13942"/>
    <w:rsid w:val="00D13AFA"/>
    <w:rsid w:val="00D13EE0"/>
    <w:rsid w:val="00D144D4"/>
    <w:rsid w:val="00D205EE"/>
    <w:rsid w:val="00D20AAB"/>
    <w:rsid w:val="00D2265D"/>
    <w:rsid w:val="00D252BF"/>
    <w:rsid w:val="00D256DB"/>
    <w:rsid w:val="00D2743C"/>
    <w:rsid w:val="00D3012A"/>
    <w:rsid w:val="00D31D7B"/>
    <w:rsid w:val="00D34A24"/>
    <w:rsid w:val="00D35ECD"/>
    <w:rsid w:val="00D40439"/>
    <w:rsid w:val="00D41407"/>
    <w:rsid w:val="00D41696"/>
    <w:rsid w:val="00D42459"/>
    <w:rsid w:val="00D4502A"/>
    <w:rsid w:val="00D46A8F"/>
    <w:rsid w:val="00D5092F"/>
    <w:rsid w:val="00D536F1"/>
    <w:rsid w:val="00D61427"/>
    <w:rsid w:val="00D634C2"/>
    <w:rsid w:val="00D64208"/>
    <w:rsid w:val="00D649DD"/>
    <w:rsid w:val="00D65072"/>
    <w:rsid w:val="00D67C29"/>
    <w:rsid w:val="00D67C6C"/>
    <w:rsid w:val="00D70069"/>
    <w:rsid w:val="00D701C2"/>
    <w:rsid w:val="00D72E49"/>
    <w:rsid w:val="00D7480C"/>
    <w:rsid w:val="00D75B12"/>
    <w:rsid w:val="00D75F1E"/>
    <w:rsid w:val="00D77F34"/>
    <w:rsid w:val="00D8329B"/>
    <w:rsid w:val="00D83716"/>
    <w:rsid w:val="00D86805"/>
    <w:rsid w:val="00D86C7A"/>
    <w:rsid w:val="00D87CDD"/>
    <w:rsid w:val="00D902CF"/>
    <w:rsid w:val="00D90966"/>
    <w:rsid w:val="00D9119A"/>
    <w:rsid w:val="00D919CA"/>
    <w:rsid w:val="00D932E2"/>
    <w:rsid w:val="00D94541"/>
    <w:rsid w:val="00DA0F26"/>
    <w:rsid w:val="00DA267E"/>
    <w:rsid w:val="00DA2715"/>
    <w:rsid w:val="00DA6D6E"/>
    <w:rsid w:val="00DA73F9"/>
    <w:rsid w:val="00DB00AB"/>
    <w:rsid w:val="00DB0176"/>
    <w:rsid w:val="00DB130B"/>
    <w:rsid w:val="00DB4D8A"/>
    <w:rsid w:val="00DC2715"/>
    <w:rsid w:val="00DC365B"/>
    <w:rsid w:val="00DC402A"/>
    <w:rsid w:val="00DC4A0B"/>
    <w:rsid w:val="00DC4D7E"/>
    <w:rsid w:val="00DD0566"/>
    <w:rsid w:val="00DD20AF"/>
    <w:rsid w:val="00DD25B2"/>
    <w:rsid w:val="00DD3D9C"/>
    <w:rsid w:val="00DD4010"/>
    <w:rsid w:val="00DD4BB8"/>
    <w:rsid w:val="00DE0CAA"/>
    <w:rsid w:val="00DE172F"/>
    <w:rsid w:val="00DE1A41"/>
    <w:rsid w:val="00DE25BA"/>
    <w:rsid w:val="00DE3068"/>
    <w:rsid w:val="00DE3603"/>
    <w:rsid w:val="00DE60BB"/>
    <w:rsid w:val="00DF06B3"/>
    <w:rsid w:val="00DF145D"/>
    <w:rsid w:val="00DF2580"/>
    <w:rsid w:val="00DF3D42"/>
    <w:rsid w:val="00DF632A"/>
    <w:rsid w:val="00E004FC"/>
    <w:rsid w:val="00E0409E"/>
    <w:rsid w:val="00E04420"/>
    <w:rsid w:val="00E06663"/>
    <w:rsid w:val="00E06815"/>
    <w:rsid w:val="00E06C20"/>
    <w:rsid w:val="00E071B5"/>
    <w:rsid w:val="00E07909"/>
    <w:rsid w:val="00E101E4"/>
    <w:rsid w:val="00E10765"/>
    <w:rsid w:val="00E11AA1"/>
    <w:rsid w:val="00E11C40"/>
    <w:rsid w:val="00E126E9"/>
    <w:rsid w:val="00E12AEB"/>
    <w:rsid w:val="00E12E3A"/>
    <w:rsid w:val="00E13F31"/>
    <w:rsid w:val="00E140D7"/>
    <w:rsid w:val="00E1466D"/>
    <w:rsid w:val="00E14AE6"/>
    <w:rsid w:val="00E14C5A"/>
    <w:rsid w:val="00E15BF0"/>
    <w:rsid w:val="00E16A7F"/>
    <w:rsid w:val="00E20023"/>
    <w:rsid w:val="00E20FD8"/>
    <w:rsid w:val="00E21B28"/>
    <w:rsid w:val="00E224F9"/>
    <w:rsid w:val="00E25548"/>
    <w:rsid w:val="00E307D7"/>
    <w:rsid w:val="00E31CBD"/>
    <w:rsid w:val="00E327B3"/>
    <w:rsid w:val="00E32C79"/>
    <w:rsid w:val="00E32E60"/>
    <w:rsid w:val="00E32E97"/>
    <w:rsid w:val="00E3561D"/>
    <w:rsid w:val="00E35882"/>
    <w:rsid w:val="00E359A8"/>
    <w:rsid w:val="00E36704"/>
    <w:rsid w:val="00E36961"/>
    <w:rsid w:val="00E37D6D"/>
    <w:rsid w:val="00E42541"/>
    <w:rsid w:val="00E4453A"/>
    <w:rsid w:val="00E477CB"/>
    <w:rsid w:val="00E50AF1"/>
    <w:rsid w:val="00E510C6"/>
    <w:rsid w:val="00E531EB"/>
    <w:rsid w:val="00E54686"/>
    <w:rsid w:val="00E54D97"/>
    <w:rsid w:val="00E56749"/>
    <w:rsid w:val="00E57290"/>
    <w:rsid w:val="00E6081A"/>
    <w:rsid w:val="00E60987"/>
    <w:rsid w:val="00E62371"/>
    <w:rsid w:val="00E6370B"/>
    <w:rsid w:val="00E64820"/>
    <w:rsid w:val="00E651A3"/>
    <w:rsid w:val="00E6688E"/>
    <w:rsid w:val="00E66F58"/>
    <w:rsid w:val="00E67010"/>
    <w:rsid w:val="00E670F9"/>
    <w:rsid w:val="00E71FE8"/>
    <w:rsid w:val="00E7275A"/>
    <w:rsid w:val="00E74E88"/>
    <w:rsid w:val="00E765CA"/>
    <w:rsid w:val="00E8150F"/>
    <w:rsid w:val="00E81B8E"/>
    <w:rsid w:val="00E839AE"/>
    <w:rsid w:val="00E83D1C"/>
    <w:rsid w:val="00E87DC3"/>
    <w:rsid w:val="00E901F6"/>
    <w:rsid w:val="00E90595"/>
    <w:rsid w:val="00E926D9"/>
    <w:rsid w:val="00E92CCB"/>
    <w:rsid w:val="00EA050C"/>
    <w:rsid w:val="00EA09F4"/>
    <w:rsid w:val="00EA0E79"/>
    <w:rsid w:val="00EA37CF"/>
    <w:rsid w:val="00EA38BA"/>
    <w:rsid w:val="00EA6FA5"/>
    <w:rsid w:val="00EB1562"/>
    <w:rsid w:val="00EB2A11"/>
    <w:rsid w:val="00EB2BE6"/>
    <w:rsid w:val="00EB38CF"/>
    <w:rsid w:val="00EB5702"/>
    <w:rsid w:val="00EB5F27"/>
    <w:rsid w:val="00EB6935"/>
    <w:rsid w:val="00EB70DE"/>
    <w:rsid w:val="00EC033D"/>
    <w:rsid w:val="00EC0BF8"/>
    <w:rsid w:val="00EC144A"/>
    <w:rsid w:val="00EC1784"/>
    <w:rsid w:val="00EC1BB4"/>
    <w:rsid w:val="00EC2912"/>
    <w:rsid w:val="00EC527F"/>
    <w:rsid w:val="00EC6069"/>
    <w:rsid w:val="00EC6806"/>
    <w:rsid w:val="00ED085E"/>
    <w:rsid w:val="00ED098B"/>
    <w:rsid w:val="00ED2B6D"/>
    <w:rsid w:val="00ED34B0"/>
    <w:rsid w:val="00EE0066"/>
    <w:rsid w:val="00EE039F"/>
    <w:rsid w:val="00EE08A8"/>
    <w:rsid w:val="00EE0938"/>
    <w:rsid w:val="00EE0F6A"/>
    <w:rsid w:val="00EE1B4D"/>
    <w:rsid w:val="00EE3543"/>
    <w:rsid w:val="00EE53D0"/>
    <w:rsid w:val="00EE5B2C"/>
    <w:rsid w:val="00EE60FD"/>
    <w:rsid w:val="00EF06CC"/>
    <w:rsid w:val="00EF0773"/>
    <w:rsid w:val="00EF1032"/>
    <w:rsid w:val="00EF12F7"/>
    <w:rsid w:val="00EF1F90"/>
    <w:rsid w:val="00EF4A83"/>
    <w:rsid w:val="00EF5323"/>
    <w:rsid w:val="00EF6810"/>
    <w:rsid w:val="00EF690D"/>
    <w:rsid w:val="00F00C17"/>
    <w:rsid w:val="00F02BB5"/>
    <w:rsid w:val="00F02E0A"/>
    <w:rsid w:val="00F037A3"/>
    <w:rsid w:val="00F044E2"/>
    <w:rsid w:val="00F07F05"/>
    <w:rsid w:val="00F07F2F"/>
    <w:rsid w:val="00F1032A"/>
    <w:rsid w:val="00F11431"/>
    <w:rsid w:val="00F1224D"/>
    <w:rsid w:val="00F12B9F"/>
    <w:rsid w:val="00F13113"/>
    <w:rsid w:val="00F15B69"/>
    <w:rsid w:val="00F20054"/>
    <w:rsid w:val="00F2308F"/>
    <w:rsid w:val="00F235A6"/>
    <w:rsid w:val="00F24267"/>
    <w:rsid w:val="00F252BE"/>
    <w:rsid w:val="00F2535E"/>
    <w:rsid w:val="00F25FAE"/>
    <w:rsid w:val="00F26291"/>
    <w:rsid w:val="00F26AEA"/>
    <w:rsid w:val="00F26ED3"/>
    <w:rsid w:val="00F26F71"/>
    <w:rsid w:val="00F32E26"/>
    <w:rsid w:val="00F33B30"/>
    <w:rsid w:val="00F34C66"/>
    <w:rsid w:val="00F35425"/>
    <w:rsid w:val="00F35B9D"/>
    <w:rsid w:val="00F36180"/>
    <w:rsid w:val="00F37E93"/>
    <w:rsid w:val="00F41CF7"/>
    <w:rsid w:val="00F420D4"/>
    <w:rsid w:val="00F423DB"/>
    <w:rsid w:val="00F426B9"/>
    <w:rsid w:val="00F43845"/>
    <w:rsid w:val="00F44653"/>
    <w:rsid w:val="00F51109"/>
    <w:rsid w:val="00F51CC3"/>
    <w:rsid w:val="00F5270D"/>
    <w:rsid w:val="00F527BB"/>
    <w:rsid w:val="00F52DBF"/>
    <w:rsid w:val="00F5379D"/>
    <w:rsid w:val="00F54A9E"/>
    <w:rsid w:val="00F54B80"/>
    <w:rsid w:val="00F55477"/>
    <w:rsid w:val="00F56F49"/>
    <w:rsid w:val="00F5758F"/>
    <w:rsid w:val="00F57920"/>
    <w:rsid w:val="00F625E0"/>
    <w:rsid w:val="00F6280D"/>
    <w:rsid w:val="00F650AD"/>
    <w:rsid w:val="00F65EC0"/>
    <w:rsid w:val="00F7105F"/>
    <w:rsid w:val="00F76D2F"/>
    <w:rsid w:val="00F77E8B"/>
    <w:rsid w:val="00F81E21"/>
    <w:rsid w:val="00F83E7A"/>
    <w:rsid w:val="00F846C8"/>
    <w:rsid w:val="00F84C97"/>
    <w:rsid w:val="00F84F40"/>
    <w:rsid w:val="00F85EF4"/>
    <w:rsid w:val="00F862E8"/>
    <w:rsid w:val="00F90408"/>
    <w:rsid w:val="00F90754"/>
    <w:rsid w:val="00F90EB4"/>
    <w:rsid w:val="00F934E5"/>
    <w:rsid w:val="00F93D96"/>
    <w:rsid w:val="00F93F07"/>
    <w:rsid w:val="00F9516B"/>
    <w:rsid w:val="00F952E6"/>
    <w:rsid w:val="00F95A48"/>
    <w:rsid w:val="00F96A60"/>
    <w:rsid w:val="00F97AF5"/>
    <w:rsid w:val="00FA00D0"/>
    <w:rsid w:val="00FA03D3"/>
    <w:rsid w:val="00FA24E5"/>
    <w:rsid w:val="00FA6A5B"/>
    <w:rsid w:val="00FA7826"/>
    <w:rsid w:val="00FB20DE"/>
    <w:rsid w:val="00FB306A"/>
    <w:rsid w:val="00FB364D"/>
    <w:rsid w:val="00FC0162"/>
    <w:rsid w:val="00FC240D"/>
    <w:rsid w:val="00FC3923"/>
    <w:rsid w:val="00FC4831"/>
    <w:rsid w:val="00FC49C2"/>
    <w:rsid w:val="00FC4AD2"/>
    <w:rsid w:val="00FC6205"/>
    <w:rsid w:val="00FD023B"/>
    <w:rsid w:val="00FD0A72"/>
    <w:rsid w:val="00FD2439"/>
    <w:rsid w:val="00FD2661"/>
    <w:rsid w:val="00FD2CBB"/>
    <w:rsid w:val="00FD31D4"/>
    <w:rsid w:val="00FD42D7"/>
    <w:rsid w:val="00FD4F8D"/>
    <w:rsid w:val="00FD6098"/>
    <w:rsid w:val="00FD6234"/>
    <w:rsid w:val="00FD741C"/>
    <w:rsid w:val="00FD7B1F"/>
    <w:rsid w:val="00FE1740"/>
    <w:rsid w:val="00FE2199"/>
    <w:rsid w:val="00FE220A"/>
    <w:rsid w:val="00FE2F98"/>
    <w:rsid w:val="00FE3C72"/>
    <w:rsid w:val="00FE5007"/>
    <w:rsid w:val="00FE5C9A"/>
    <w:rsid w:val="00FF0391"/>
    <w:rsid w:val="00FF040F"/>
    <w:rsid w:val="00FF16D0"/>
    <w:rsid w:val="00FF1F34"/>
    <w:rsid w:val="00FF3F9B"/>
    <w:rsid w:val="00FF4E01"/>
    <w:rsid w:val="00FF7062"/>
    <w:rsid w:val="0D173C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DEAF67"/>
  <w15:chartTrackingRefBased/>
  <w15:docId w15:val="{5F34942C-DBB5-418F-B12B-BD6F6488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4E1"/>
    <w:pPr>
      <w:spacing w:line="360" w:lineRule="auto"/>
      <w:jc w:val="both"/>
    </w:pPr>
  </w:style>
  <w:style w:type="paragraph" w:styleId="Heading1">
    <w:name w:val="heading 1"/>
    <w:basedOn w:val="Normal"/>
    <w:next w:val="Normal"/>
    <w:link w:val="Heading1Char"/>
    <w:uiPriority w:val="9"/>
    <w:qFormat/>
    <w:rsid w:val="00BC74E1"/>
    <w:pPr>
      <w:keepNext/>
      <w:keepLines/>
      <w:spacing w:before="240" w:after="0"/>
      <w:outlineLvl w:val="0"/>
    </w:pPr>
    <w:rPr>
      <w:rFonts w:asciiTheme="majorHAnsi" w:eastAsiaTheme="majorEastAsia" w:hAnsiTheme="majorHAnsi" w:cstheme="majorBidi"/>
      <w:color w:val="2E74B5" w:themeColor="accent1" w:themeShade="BF"/>
      <w:sz w:val="28"/>
      <w:szCs w:val="28"/>
      <w:u w:val="single"/>
    </w:rPr>
  </w:style>
  <w:style w:type="paragraph" w:styleId="Heading2">
    <w:name w:val="heading 2"/>
    <w:basedOn w:val="Heading3"/>
    <w:next w:val="Normal"/>
    <w:link w:val="Heading2Char"/>
    <w:uiPriority w:val="9"/>
    <w:unhideWhenUsed/>
    <w:qFormat/>
    <w:rsid w:val="00CF16DC"/>
    <w:pPr>
      <w:outlineLvl w:val="1"/>
    </w:pPr>
    <w:rPr>
      <w:color w:val="2E74B5" w:themeColor="accent1" w:themeShade="BF"/>
    </w:rPr>
  </w:style>
  <w:style w:type="paragraph" w:styleId="Heading3">
    <w:name w:val="heading 3"/>
    <w:basedOn w:val="Normal"/>
    <w:next w:val="Normal"/>
    <w:link w:val="Heading3Char"/>
    <w:uiPriority w:val="9"/>
    <w:unhideWhenUsed/>
    <w:qFormat/>
    <w:rsid w:val="006947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42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F31"/>
    <w:pPr>
      <w:ind w:left="720"/>
      <w:contextualSpacing/>
    </w:pPr>
  </w:style>
  <w:style w:type="character" w:styleId="Hyperlink">
    <w:name w:val="Hyperlink"/>
    <w:basedOn w:val="DefaultParagraphFont"/>
    <w:uiPriority w:val="99"/>
    <w:unhideWhenUsed/>
    <w:rsid w:val="00D46A8F"/>
    <w:rPr>
      <w:color w:val="0563C1" w:themeColor="hyperlink"/>
      <w:u w:val="single"/>
    </w:rPr>
  </w:style>
  <w:style w:type="character" w:styleId="PlaceholderText">
    <w:name w:val="Placeholder Text"/>
    <w:basedOn w:val="DefaultParagraphFont"/>
    <w:uiPriority w:val="99"/>
    <w:semiHidden/>
    <w:rsid w:val="001300D9"/>
    <w:rPr>
      <w:color w:val="808080"/>
    </w:rPr>
  </w:style>
  <w:style w:type="table" w:styleId="TableGrid">
    <w:name w:val="Table Grid"/>
    <w:basedOn w:val="TableNormal"/>
    <w:uiPriority w:val="39"/>
    <w:rsid w:val="00F62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16DC"/>
    <w:rPr>
      <w:rFonts w:asciiTheme="majorHAnsi" w:eastAsiaTheme="majorEastAsia" w:hAnsiTheme="majorHAnsi" w:cstheme="majorBidi"/>
      <w:color w:val="2E74B5" w:themeColor="accent1" w:themeShade="BF"/>
      <w:sz w:val="24"/>
      <w:szCs w:val="24"/>
    </w:rPr>
  </w:style>
  <w:style w:type="character" w:customStyle="1" w:styleId="Heading1Char">
    <w:name w:val="Heading 1 Char"/>
    <w:basedOn w:val="DefaultParagraphFont"/>
    <w:link w:val="Heading1"/>
    <w:uiPriority w:val="9"/>
    <w:rsid w:val="00BC74E1"/>
    <w:rPr>
      <w:rFonts w:asciiTheme="majorHAnsi" w:eastAsiaTheme="majorEastAsia" w:hAnsiTheme="majorHAnsi" w:cstheme="majorBidi"/>
      <w:color w:val="2E74B5" w:themeColor="accent1" w:themeShade="BF"/>
      <w:sz w:val="28"/>
      <w:szCs w:val="28"/>
      <w:u w:val="single"/>
    </w:rPr>
  </w:style>
  <w:style w:type="character" w:customStyle="1" w:styleId="Heading3Char">
    <w:name w:val="Heading 3 Char"/>
    <w:basedOn w:val="DefaultParagraphFont"/>
    <w:link w:val="Heading3"/>
    <w:uiPriority w:val="9"/>
    <w:rsid w:val="006947D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142F7"/>
    <w:rPr>
      <w:rFonts w:asciiTheme="majorHAnsi" w:eastAsiaTheme="majorEastAsia" w:hAnsiTheme="majorHAnsi" w:cstheme="majorBidi"/>
      <w:i/>
      <w:iCs/>
      <w:color w:val="2E74B5" w:themeColor="accent1" w:themeShade="BF"/>
    </w:rPr>
  </w:style>
  <w:style w:type="paragraph" w:styleId="Caption">
    <w:name w:val="caption"/>
    <w:basedOn w:val="Normal"/>
    <w:next w:val="Normal"/>
    <w:link w:val="CaptionChar"/>
    <w:qFormat/>
    <w:rsid w:val="006115E0"/>
    <w:pPr>
      <w:keepNext/>
      <w:keepLines/>
      <w:spacing w:after="0" w:line="240" w:lineRule="auto"/>
      <w:ind w:left="425"/>
      <w:jc w:val="center"/>
    </w:pPr>
    <w:rPr>
      <w:rFonts w:ascii="Calibri" w:eastAsia="Calibri" w:hAnsi="Calibri" w:cs="Times New Roman"/>
      <w:b/>
      <w:bCs/>
    </w:rPr>
  </w:style>
  <w:style w:type="paragraph" w:customStyle="1" w:styleId="Picture">
    <w:name w:val="Picture"/>
    <w:basedOn w:val="Normal"/>
    <w:link w:val="PictureChar"/>
    <w:qFormat/>
    <w:rsid w:val="00D20AAB"/>
    <w:pPr>
      <w:spacing w:after="0" w:line="240" w:lineRule="auto"/>
      <w:jc w:val="center"/>
    </w:pPr>
    <w:rPr>
      <w:rFonts w:ascii="Calibri" w:eastAsia="Calibri" w:hAnsi="Calibri" w:cs="Times New Roman"/>
      <w:noProof/>
      <w:lang w:eastAsia="en-GB"/>
    </w:rPr>
  </w:style>
  <w:style w:type="character" w:customStyle="1" w:styleId="PictureChar">
    <w:name w:val="Picture Char"/>
    <w:link w:val="Picture"/>
    <w:rsid w:val="00D20AAB"/>
    <w:rPr>
      <w:rFonts w:ascii="Calibri" w:eastAsia="Calibri" w:hAnsi="Calibri" w:cs="Times New Roman"/>
      <w:noProof/>
      <w:lang w:eastAsia="en-GB"/>
    </w:rPr>
  </w:style>
  <w:style w:type="character" w:customStyle="1" w:styleId="CaptionChar">
    <w:name w:val="Caption Char"/>
    <w:link w:val="Caption"/>
    <w:rsid w:val="006115E0"/>
    <w:rPr>
      <w:rFonts w:ascii="Calibri" w:eastAsia="Calibri" w:hAnsi="Calibri" w:cs="Times New Roman"/>
      <w:b/>
      <w:bCs/>
    </w:rPr>
  </w:style>
  <w:style w:type="paragraph" w:customStyle="1" w:styleId="NewNorm">
    <w:name w:val="NewNorm"/>
    <w:basedOn w:val="Normal"/>
    <w:link w:val="NewNormChar"/>
    <w:qFormat/>
    <w:rsid w:val="009E2ED3"/>
    <w:pPr>
      <w:spacing w:before="200" w:after="0"/>
    </w:pPr>
    <w:rPr>
      <w:rFonts w:ascii="Calibri" w:eastAsia="Times New Roman" w:hAnsi="Calibri" w:cs="Times New Roman"/>
    </w:rPr>
  </w:style>
  <w:style w:type="character" w:customStyle="1" w:styleId="NewNormChar">
    <w:name w:val="NewNorm Char"/>
    <w:link w:val="NewNorm"/>
    <w:rsid w:val="009E2ED3"/>
    <w:rPr>
      <w:rFonts w:ascii="Calibri" w:eastAsia="Times New Roman" w:hAnsi="Calibri" w:cs="Times New Roman"/>
    </w:rPr>
  </w:style>
  <w:style w:type="paragraph" w:styleId="Title">
    <w:name w:val="Title"/>
    <w:basedOn w:val="Normal"/>
    <w:next w:val="Normal"/>
    <w:link w:val="TitleChar"/>
    <w:uiPriority w:val="10"/>
    <w:qFormat/>
    <w:rsid w:val="00EB6935"/>
    <w:rPr>
      <w:b/>
    </w:rPr>
  </w:style>
  <w:style w:type="character" w:customStyle="1" w:styleId="TitleChar">
    <w:name w:val="Title Char"/>
    <w:basedOn w:val="DefaultParagraphFont"/>
    <w:link w:val="Title"/>
    <w:uiPriority w:val="10"/>
    <w:rsid w:val="00EB6935"/>
    <w:rPr>
      <w:b/>
    </w:rPr>
  </w:style>
  <w:style w:type="paragraph" w:customStyle="1" w:styleId="TableContent">
    <w:name w:val="TableContent"/>
    <w:basedOn w:val="Normal"/>
    <w:link w:val="TableContentChar"/>
    <w:qFormat/>
    <w:rsid w:val="006E7E4E"/>
    <w:pPr>
      <w:adjustRightInd w:val="0"/>
      <w:spacing w:after="0" w:line="240" w:lineRule="auto"/>
      <w:jc w:val="left"/>
    </w:pPr>
    <w:rPr>
      <w:rFonts w:ascii="Calibri" w:eastAsia="Calibri" w:hAnsi="Calibri" w:cs="Times New Roman"/>
    </w:rPr>
  </w:style>
  <w:style w:type="character" w:customStyle="1" w:styleId="TableContentChar">
    <w:name w:val="TableContent Char"/>
    <w:link w:val="TableContent"/>
    <w:rsid w:val="006E7E4E"/>
    <w:rPr>
      <w:rFonts w:ascii="Calibri" w:eastAsia="Calibri" w:hAnsi="Calibri" w:cs="Times New Roman"/>
    </w:rPr>
  </w:style>
  <w:style w:type="paragraph" w:styleId="BalloonText">
    <w:name w:val="Balloon Text"/>
    <w:basedOn w:val="Normal"/>
    <w:link w:val="BalloonTextChar"/>
    <w:uiPriority w:val="99"/>
    <w:semiHidden/>
    <w:unhideWhenUsed/>
    <w:rsid w:val="00282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193"/>
    <w:rPr>
      <w:rFonts w:ascii="Segoe UI" w:hAnsi="Segoe UI" w:cs="Segoe UI"/>
      <w:sz w:val="18"/>
      <w:szCs w:val="18"/>
    </w:rPr>
  </w:style>
  <w:style w:type="character" w:styleId="CommentReference">
    <w:name w:val="annotation reference"/>
    <w:basedOn w:val="DefaultParagraphFont"/>
    <w:uiPriority w:val="99"/>
    <w:semiHidden/>
    <w:unhideWhenUsed/>
    <w:rsid w:val="009E1FCA"/>
    <w:rPr>
      <w:sz w:val="16"/>
      <w:szCs w:val="16"/>
    </w:rPr>
  </w:style>
  <w:style w:type="paragraph" w:styleId="CommentText">
    <w:name w:val="annotation text"/>
    <w:basedOn w:val="Normal"/>
    <w:link w:val="CommentTextChar"/>
    <w:uiPriority w:val="99"/>
    <w:unhideWhenUsed/>
    <w:rsid w:val="009E1FCA"/>
    <w:pPr>
      <w:spacing w:line="240" w:lineRule="auto"/>
    </w:pPr>
    <w:rPr>
      <w:sz w:val="20"/>
      <w:szCs w:val="20"/>
    </w:rPr>
  </w:style>
  <w:style w:type="character" w:customStyle="1" w:styleId="CommentTextChar">
    <w:name w:val="Comment Text Char"/>
    <w:basedOn w:val="DefaultParagraphFont"/>
    <w:link w:val="CommentText"/>
    <w:uiPriority w:val="99"/>
    <w:rsid w:val="009E1FCA"/>
    <w:rPr>
      <w:sz w:val="20"/>
      <w:szCs w:val="20"/>
    </w:rPr>
  </w:style>
  <w:style w:type="paragraph" w:styleId="CommentSubject">
    <w:name w:val="annotation subject"/>
    <w:basedOn w:val="CommentText"/>
    <w:next w:val="CommentText"/>
    <w:link w:val="CommentSubjectChar"/>
    <w:uiPriority w:val="99"/>
    <w:semiHidden/>
    <w:unhideWhenUsed/>
    <w:rsid w:val="009E1FCA"/>
    <w:rPr>
      <w:b/>
      <w:bCs/>
    </w:rPr>
  </w:style>
  <w:style w:type="character" w:customStyle="1" w:styleId="CommentSubjectChar">
    <w:name w:val="Comment Subject Char"/>
    <w:basedOn w:val="CommentTextChar"/>
    <w:link w:val="CommentSubject"/>
    <w:uiPriority w:val="99"/>
    <w:semiHidden/>
    <w:rsid w:val="009E1FCA"/>
    <w:rPr>
      <w:b/>
      <w:bCs/>
      <w:sz w:val="20"/>
      <w:szCs w:val="20"/>
    </w:rPr>
  </w:style>
  <w:style w:type="character" w:customStyle="1" w:styleId="resultoftext5">
    <w:name w:val="resultoftext5"/>
    <w:basedOn w:val="DefaultParagraphFont"/>
    <w:rsid w:val="00C77618"/>
    <w:rPr>
      <w:color w:val="000000"/>
      <w:shd w:val="clear" w:color="auto" w:fill="FFFF66"/>
    </w:rPr>
  </w:style>
  <w:style w:type="paragraph" w:styleId="Revision">
    <w:name w:val="Revision"/>
    <w:hidden/>
    <w:uiPriority w:val="99"/>
    <w:semiHidden/>
    <w:rsid w:val="00445FB4"/>
    <w:pPr>
      <w:spacing w:after="0" w:line="240" w:lineRule="auto"/>
    </w:pPr>
  </w:style>
  <w:style w:type="paragraph" w:styleId="Header">
    <w:name w:val="header"/>
    <w:basedOn w:val="Normal"/>
    <w:link w:val="HeaderChar"/>
    <w:uiPriority w:val="99"/>
    <w:unhideWhenUsed/>
    <w:rsid w:val="00681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079"/>
  </w:style>
  <w:style w:type="paragraph" w:styleId="Footer">
    <w:name w:val="footer"/>
    <w:basedOn w:val="Normal"/>
    <w:link w:val="FooterChar"/>
    <w:uiPriority w:val="99"/>
    <w:unhideWhenUsed/>
    <w:rsid w:val="00681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079"/>
  </w:style>
  <w:style w:type="paragraph" w:customStyle="1" w:styleId="Quotation">
    <w:name w:val="Quotation"/>
    <w:basedOn w:val="Normal"/>
    <w:rsid w:val="00DC4A0B"/>
    <w:pPr>
      <w:spacing w:before="200" w:after="0"/>
      <w:ind w:left="425" w:right="425"/>
      <w:jc w:val="left"/>
    </w:pPr>
    <w:rPr>
      <w:rFonts w:ascii="Calibri" w:eastAsia="Times New Roman" w:hAnsi="Calibri" w:cs="Times New Roman"/>
      <w:iCs/>
      <w:szCs w:val="24"/>
    </w:rPr>
  </w:style>
  <w:style w:type="paragraph" w:customStyle="1" w:styleId="AppendixMain">
    <w:name w:val="Appendix Main"/>
    <w:basedOn w:val="Normal"/>
    <w:next w:val="Normal"/>
    <w:qFormat/>
    <w:rsid w:val="003F042E"/>
    <w:pPr>
      <w:keepNext/>
      <w:numPr>
        <w:numId w:val="7"/>
      </w:numPr>
      <w:spacing w:before="200" w:after="0"/>
      <w:ind w:left="432" w:hanging="432"/>
      <w:jc w:val="left"/>
      <w:outlineLvl w:val="5"/>
    </w:pPr>
    <w:rPr>
      <w:rFonts w:asciiTheme="majorHAnsi" w:eastAsia="Times New Roman" w:hAnsiTheme="majorHAnsi" w:cstheme="majorHAnsi"/>
      <w:b/>
      <w:bCs/>
      <w:color w:val="0070C0"/>
      <w:kern w:val="32"/>
      <w:sz w:val="28"/>
      <w:szCs w:val="32"/>
    </w:rPr>
  </w:style>
  <w:style w:type="paragraph" w:customStyle="1" w:styleId="AppendixSubheading">
    <w:name w:val="Appendix Subheading"/>
    <w:basedOn w:val="Normal"/>
    <w:next w:val="Normal"/>
    <w:qFormat/>
    <w:rsid w:val="00FF4E01"/>
    <w:pPr>
      <w:keepNext/>
      <w:numPr>
        <w:ilvl w:val="1"/>
        <w:numId w:val="7"/>
      </w:numPr>
      <w:spacing w:before="120" w:after="120"/>
      <w:ind w:left="709"/>
      <w:jc w:val="left"/>
      <w:outlineLvl w:val="1"/>
    </w:pPr>
    <w:rPr>
      <w:rFonts w:asciiTheme="majorHAnsi" w:eastAsia="Times New Roman" w:hAnsiTheme="majorHAnsi" w:cstheme="majorHAnsi"/>
      <w:bCs/>
      <w:color w:val="0070C0"/>
      <w:kern w:val="32"/>
      <w:sz w:val="24"/>
      <w:szCs w:val="32"/>
    </w:rPr>
  </w:style>
  <w:style w:type="paragraph" w:customStyle="1" w:styleId="AppendixThird">
    <w:name w:val="Appendix Third"/>
    <w:basedOn w:val="Normal"/>
    <w:next w:val="Normal"/>
    <w:qFormat/>
    <w:rsid w:val="00EE1B4D"/>
    <w:pPr>
      <w:keepNext/>
      <w:numPr>
        <w:ilvl w:val="2"/>
        <w:numId w:val="7"/>
      </w:numPr>
      <w:spacing w:before="200" w:after="0"/>
      <w:ind w:left="1134" w:hanging="1134"/>
      <w:jc w:val="left"/>
      <w:outlineLvl w:val="2"/>
    </w:pPr>
    <w:rPr>
      <w:rFonts w:ascii="Calibri" w:eastAsia="Times New Roman"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81383">
      <w:bodyDiv w:val="1"/>
      <w:marLeft w:val="0"/>
      <w:marRight w:val="0"/>
      <w:marTop w:val="0"/>
      <w:marBottom w:val="0"/>
      <w:divBdr>
        <w:top w:val="none" w:sz="0" w:space="0" w:color="auto"/>
        <w:left w:val="none" w:sz="0" w:space="0" w:color="auto"/>
        <w:bottom w:val="none" w:sz="0" w:space="0" w:color="auto"/>
        <w:right w:val="none" w:sz="0" w:space="0" w:color="auto"/>
      </w:divBdr>
    </w:div>
    <w:div w:id="407654122">
      <w:bodyDiv w:val="1"/>
      <w:marLeft w:val="0"/>
      <w:marRight w:val="0"/>
      <w:marTop w:val="0"/>
      <w:marBottom w:val="0"/>
      <w:divBdr>
        <w:top w:val="none" w:sz="0" w:space="0" w:color="auto"/>
        <w:left w:val="none" w:sz="0" w:space="0" w:color="auto"/>
        <w:bottom w:val="none" w:sz="0" w:space="0" w:color="auto"/>
        <w:right w:val="none" w:sz="0" w:space="0" w:color="auto"/>
      </w:divBdr>
    </w:div>
    <w:div w:id="669336690">
      <w:bodyDiv w:val="1"/>
      <w:marLeft w:val="0"/>
      <w:marRight w:val="0"/>
      <w:marTop w:val="0"/>
      <w:marBottom w:val="0"/>
      <w:divBdr>
        <w:top w:val="none" w:sz="0" w:space="0" w:color="auto"/>
        <w:left w:val="none" w:sz="0" w:space="0" w:color="auto"/>
        <w:bottom w:val="none" w:sz="0" w:space="0" w:color="auto"/>
        <w:right w:val="none" w:sz="0" w:space="0" w:color="auto"/>
      </w:divBdr>
    </w:div>
    <w:div w:id="1071808332">
      <w:bodyDiv w:val="1"/>
      <w:marLeft w:val="0"/>
      <w:marRight w:val="0"/>
      <w:marTop w:val="0"/>
      <w:marBottom w:val="0"/>
      <w:divBdr>
        <w:top w:val="none" w:sz="0" w:space="0" w:color="auto"/>
        <w:left w:val="none" w:sz="0" w:space="0" w:color="auto"/>
        <w:bottom w:val="none" w:sz="0" w:space="0" w:color="auto"/>
        <w:right w:val="none" w:sz="0" w:space="0" w:color="auto"/>
      </w:divBdr>
      <w:divsChild>
        <w:div w:id="84035824">
          <w:marLeft w:val="0"/>
          <w:marRight w:val="0"/>
          <w:marTop w:val="0"/>
          <w:marBottom w:val="0"/>
          <w:divBdr>
            <w:top w:val="none" w:sz="0" w:space="0" w:color="auto"/>
            <w:left w:val="none" w:sz="0" w:space="0" w:color="auto"/>
            <w:bottom w:val="none" w:sz="0" w:space="0" w:color="auto"/>
            <w:right w:val="none" w:sz="0" w:space="0" w:color="auto"/>
          </w:divBdr>
          <w:divsChild>
            <w:div w:id="3079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ve.evenden@soton.ac.uk"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dni.loni.usc.edu/wp-content/uploads/how_to_apply/ADNI_Acknowledgement_List.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6A9E486B8AB14DA44E840CBD222BE2" ma:contentTypeVersion="10" ma:contentTypeDescription="Create a new document." ma:contentTypeScope="" ma:versionID="95e8a01ec2b529f3555203b86a119cf0">
  <xsd:schema xmlns:xsd="http://www.w3.org/2001/XMLSchema" xmlns:xs="http://www.w3.org/2001/XMLSchema" xmlns:p="http://schemas.microsoft.com/office/2006/metadata/properties" xmlns:ns3="4fa50c32-6332-4783-9bbe-ceee0ab06e10" xmlns:ns4="368a7908-83e5-4d3c-aad7-b7d94f188792" targetNamespace="http://schemas.microsoft.com/office/2006/metadata/properties" ma:root="true" ma:fieldsID="dc8ecfd972a7a45a1f08640521e6d801" ns3:_="" ns4:_="">
    <xsd:import namespace="4fa50c32-6332-4783-9bbe-ceee0ab06e10"/>
    <xsd:import namespace="368a7908-83e5-4d3c-aad7-b7d94f1887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50c32-6332-4783-9bbe-ceee0ab06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a7908-83e5-4d3c-aad7-b7d94f188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27E26-7770-4820-803C-336D822FFD3B}">
  <ds:schemaRefs>
    <ds:schemaRef ds:uri="http://schemas.microsoft.com/sharepoint/v3/contenttype/forms"/>
  </ds:schemaRefs>
</ds:datastoreItem>
</file>

<file path=customXml/itemProps2.xml><?xml version="1.0" encoding="utf-8"?>
<ds:datastoreItem xmlns:ds="http://schemas.openxmlformats.org/officeDocument/2006/customXml" ds:itemID="{D183F0AB-61D7-4EAB-84F3-05B8BC24C26E}">
  <ds:schemaRefs>
    <ds:schemaRef ds:uri="http://purl.org/dc/terms/"/>
    <ds:schemaRef ds:uri="http://schemas.openxmlformats.org/package/2006/metadata/core-properties"/>
    <ds:schemaRef ds:uri="368a7908-83e5-4d3c-aad7-b7d94f188792"/>
    <ds:schemaRef ds:uri="http://schemas.microsoft.com/office/2006/documentManagement/types"/>
    <ds:schemaRef ds:uri="http://schemas.microsoft.com/office/infopath/2007/PartnerControls"/>
    <ds:schemaRef ds:uri="4fa50c32-6332-4783-9bbe-ceee0ab06e1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1189310-7E5B-4638-9628-534B4493D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50c32-6332-4783-9bbe-ceee0ab06e10"/>
    <ds:schemaRef ds:uri="368a7908-83e5-4d3c-aad7-b7d94f188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72F86-F354-469C-98AA-CBB1765D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40678</Words>
  <Characters>231870</Characters>
  <Application>Microsoft Office Word</Application>
  <DocSecurity>0</DocSecurity>
  <Lines>1932</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Evenden D.C.</dc:creator>
  <cp:keywords/>
  <dc:description/>
  <cp:lastModifiedBy>Evenden D.C.</cp:lastModifiedBy>
  <cp:revision>8</cp:revision>
  <cp:lastPrinted>2020-01-08T10:32:00Z</cp:lastPrinted>
  <dcterms:created xsi:type="dcterms:W3CDTF">2020-01-15T09:35:00Z</dcterms:created>
  <dcterms:modified xsi:type="dcterms:W3CDTF">2020-01-15T09:50:00Z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http://csl.mendeley.com/styles/460549661/harvardSotonAnd</vt:lpwstr>
  </property>
  <property fmtid="{D5CDD505-2E9C-101B-9397-08002B2CF9AE}" pid="11" name="Mendeley Recent Style Name 4_1">
    <vt:lpwstr>Harvard Reference format Soton (author-date-And)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9b249f49-b417-341d-8ac2-9578b2ee2031</vt:lpwstr>
  </property>
  <property fmtid="{D5CDD505-2E9C-101B-9397-08002B2CF9AE}" pid="24" name="Mendeley Citation Style_1">
    <vt:lpwstr>http://csl.mendeley.com/styles/460549661/harvardSotonAnd</vt:lpwstr>
  </property>
  <property fmtid="{D5CDD505-2E9C-101B-9397-08002B2CF9AE}" pid="25" name="ContentTypeId">
    <vt:lpwstr>0x010100206A9E486B8AB14DA44E840CBD222BE2</vt:lpwstr>
  </property>
</Properties>
</file>