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0365A" w14:textId="77777777" w:rsidR="00AF0E6E" w:rsidRDefault="00AF0E6E" w:rsidP="00C86A32">
      <w:pPr>
        <w:spacing w:line="360" w:lineRule="auto"/>
        <w:rPr>
          <w:b/>
        </w:rPr>
      </w:pPr>
    </w:p>
    <w:p w14:paraId="1882088B" w14:textId="77777777" w:rsidR="00AF0E6E" w:rsidRDefault="00AF0E6E" w:rsidP="00C86A32">
      <w:pPr>
        <w:spacing w:line="360" w:lineRule="auto"/>
        <w:rPr>
          <w:b/>
        </w:rPr>
      </w:pPr>
    </w:p>
    <w:p w14:paraId="4F8E7AE9" w14:textId="77777777" w:rsidR="00AF0E6E" w:rsidRDefault="00AF0E6E" w:rsidP="00C86A32">
      <w:pPr>
        <w:spacing w:line="360" w:lineRule="auto"/>
        <w:rPr>
          <w:b/>
        </w:rPr>
      </w:pPr>
    </w:p>
    <w:p w14:paraId="280E2240" w14:textId="77777777" w:rsidR="00AF0E6E" w:rsidRDefault="00AF0E6E" w:rsidP="00C86A32">
      <w:pPr>
        <w:spacing w:line="360" w:lineRule="auto"/>
        <w:rPr>
          <w:b/>
        </w:rPr>
      </w:pPr>
    </w:p>
    <w:p w14:paraId="4144B06A" w14:textId="77777777" w:rsidR="00AF0E6E" w:rsidRDefault="00AF0E6E" w:rsidP="00C86A32">
      <w:pPr>
        <w:spacing w:line="360" w:lineRule="auto"/>
        <w:rPr>
          <w:b/>
        </w:rPr>
      </w:pPr>
    </w:p>
    <w:p w14:paraId="0330B112" w14:textId="77777777" w:rsidR="00AF0E6E" w:rsidRDefault="00AF0E6E" w:rsidP="00C86A32">
      <w:pPr>
        <w:spacing w:line="360" w:lineRule="auto"/>
        <w:rPr>
          <w:b/>
        </w:rPr>
      </w:pPr>
    </w:p>
    <w:p w14:paraId="7E05BBDA" w14:textId="77777777" w:rsidR="00AF0E6E" w:rsidRDefault="00AF0E6E" w:rsidP="00C86A32">
      <w:pPr>
        <w:spacing w:line="360" w:lineRule="auto"/>
        <w:rPr>
          <w:b/>
        </w:rPr>
      </w:pPr>
    </w:p>
    <w:p w14:paraId="3D04A2DE" w14:textId="77777777" w:rsidR="00AF0E6E" w:rsidRDefault="00AF0E6E" w:rsidP="00C86A32">
      <w:pPr>
        <w:spacing w:line="360" w:lineRule="auto"/>
        <w:rPr>
          <w:b/>
        </w:rPr>
      </w:pPr>
    </w:p>
    <w:p w14:paraId="75E8F530" w14:textId="77777777" w:rsidR="00AF0E6E" w:rsidRDefault="00AF0E6E" w:rsidP="00C86A32">
      <w:pPr>
        <w:spacing w:line="360" w:lineRule="auto"/>
        <w:rPr>
          <w:b/>
        </w:rPr>
      </w:pPr>
    </w:p>
    <w:p w14:paraId="05132AC7" w14:textId="77777777" w:rsidR="00AF0E6E" w:rsidRDefault="00AF0E6E" w:rsidP="00C86A32">
      <w:pPr>
        <w:spacing w:line="360" w:lineRule="auto"/>
        <w:rPr>
          <w:b/>
        </w:rPr>
      </w:pPr>
    </w:p>
    <w:p w14:paraId="4B5CBCFB" w14:textId="77777777" w:rsidR="00AF0E6E" w:rsidRDefault="00AF0E6E" w:rsidP="00C86A32">
      <w:pPr>
        <w:spacing w:line="360" w:lineRule="auto"/>
        <w:rPr>
          <w:b/>
        </w:rPr>
      </w:pPr>
    </w:p>
    <w:p w14:paraId="3FCAB4DD" w14:textId="77777777" w:rsidR="00AF0E6E" w:rsidRDefault="00AF0E6E" w:rsidP="00C86A32">
      <w:pPr>
        <w:spacing w:line="360" w:lineRule="auto"/>
        <w:rPr>
          <w:b/>
        </w:rPr>
      </w:pPr>
    </w:p>
    <w:p w14:paraId="565B7D2F" w14:textId="77777777" w:rsidR="00AF0E6E" w:rsidRDefault="00C86A32" w:rsidP="00AF0E6E">
      <w:pPr>
        <w:spacing w:line="360" w:lineRule="auto"/>
        <w:jc w:val="center"/>
        <w:rPr>
          <w:b/>
        </w:rPr>
      </w:pPr>
      <w:r w:rsidRPr="001E4C66">
        <w:rPr>
          <w:b/>
        </w:rPr>
        <w:t>Factors Associated with Cessation or Reduction of Methamphetamine Use Among Gay, Bisexual</w:t>
      </w:r>
      <w:r>
        <w:rPr>
          <w:b/>
        </w:rPr>
        <w:t>,</w:t>
      </w:r>
      <w:r w:rsidRPr="001E4C66">
        <w:rPr>
          <w:b/>
        </w:rPr>
        <w:t xml:space="preserve"> and other Men Who Have Sex with Men (gbMSM) in Vancouver, Canada</w:t>
      </w:r>
    </w:p>
    <w:p w14:paraId="02F7AD4F" w14:textId="77777777" w:rsidR="00DD072D" w:rsidRDefault="00DD072D" w:rsidP="00AF0E6E">
      <w:pPr>
        <w:spacing w:line="360" w:lineRule="auto"/>
        <w:jc w:val="center"/>
        <w:rPr>
          <w:b/>
        </w:rPr>
      </w:pPr>
    </w:p>
    <w:p w14:paraId="2881592F" w14:textId="72C056E2" w:rsidR="00DD072D" w:rsidRDefault="00DD072D" w:rsidP="00AF0E6E">
      <w:pPr>
        <w:spacing w:line="360" w:lineRule="auto"/>
        <w:jc w:val="center"/>
        <w:rPr>
          <w:b/>
        </w:rPr>
        <w:sectPr w:rsidR="00DD072D">
          <w:headerReference w:type="even" r:id="rId8"/>
          <w:headerReference w:type="default" r:id="rId9"/>
          <w:footerReference w:type="even" r:id="rId10"/>
          <w:footerReference w:type="default" r:id="rId11"/>
          <w:pgSz w:w="12240" w:h="15840"/>
          <w:pgMar w:top="1440" w:right="1440" w:bottom="1440" w:left="1440" w:header="708" w:footer="708" w:gutter="0"/>
          <w:cols w:space="708"/>
          <w:docGrid w:linePitch="360"/>
        </w:sectPr>
      </w:pPr>
      <w:r w:rsidRPr="001612F9">
        <w:rPr>
          <w:color w:val="000000" w:themeColor="text1"/>
        </w:rPr>
        <w:t xml:space="preserve">Cheng, B. Sang, J., Cui, Z., </w:t>
      </w:r>
      <w:proofErr w:type="spellStart"/>
      <w:r w:rsidRPr="001612F9">
        <w:rPr>
          <w:color w:val="000000" w:themeColor="text1"/>
        </w:rPr>
        <w:t>Bacani</w:t>
      </w:r>
      <w:proofErr w:type="spellEnd"/>
      <w:r w:rsidRPr="001612F9">
        <w:rPr>
          <w:color w:val="000000" w:themeColor="text1"/>
        </w:rPr>
        <w:t xml:space="preserve">, N., </w:t>
      </w:r>
      <w:r w:rsidRPr="00DD072D">
        <w:rPr>
          <w:color w:val="000000" w:themeColor="text1"/>
        </w:rPr>
        <w:t>Armstrong, H. L.,</w:t>
      </w:r>
      <w:r w:rsidRPr="001612F9">
        <w:rPr>
          <w:b/>
          <w:color w:val="000000" w:themeColor="text1"/>
        </w:rPr>
        <w:t xml:space="preserve"> </w:t>
      </w:r>
      <w:r w:rsidRPr="001612F9">
        <w:rPr>
          <w:color w:val="000000" w:themeColor="text1"/>
        </w:rPr>
        <w:t xml:space="preserve">Zhu, J., </w:t>
      </w:r>
      <w:proofErr w:type="spellStart"/>
      <w:r w:rsidRPr="001612F9">
        <w:rPr>
          <w:color w:val="000000" w:themeColor="text1"/>
        </w:rPr>
        <w:t>Elefante</w:t>
      </w:r>
      <w:proofErr w:type="spellEnd"/>
      <w:r w:rsidRPr="001612F9">
        <w:rPr>
          <w:color w:val="000000" w:themeColor="text1"/>
        </w:rPr>
        <w:t xml:space="preserve">, J., </w:t>
      </w:r>
      <w:proofErr w:type="spellStart"/>
      <w:r w:rsidRPr="001612F9">
        <w:rPr>
          <w:color w:val="000000" w:themeColor="text1"/>
        </w:rPr>
        <w:t>Olarewaju</w:t>
      </w:r>
      <w:proofErr w:type="spellEnd"/>
      <w:r w:rsidRPr="001612F9">
        <w:rPr>
          <w:color w:val="000000" w:themeColor="text1"/>
        </w:rPr>
        <w:t xml:space="preserve">, G., Card, K. G., Blackwell, E., </w:t>
      </w:r>
      <w:proofErr w:type="spellStart"/>
      <w:r w:rsidRPr="001612F9">
        <w:rPr>
          <w:color w:val="000000" w:themeColor="text1"/>
        </w:rPr>
        <w:t>Lachowsky</w:t>
      </w:r>
      <w:proofErr w:type="spellEnd"/>
      <w:r w:rsidRPr="001612F9">
        <w:rPr>
          <w:color w:val="000000" w:themeColor="text1"/>
        </w:rPr>
        <w:t>, N. J., Hogg, R. S., Roth, E. A., &amp; Moore, D. M.</w:t>
      </w:r>
    </w:p>
    <w:p w14:paraId="41FE5C59" w14:textId="7C9400D4" w:rsidR="00AF0E6E" w:rsidRPr="001E4C66" w:rsidRDefault="00AF0E6E" w:rsidP="00AF0E6E">
      <w:pPr>
        <w:spacing w:line="360" w:lineRule="auto"/>
      </w:pPr>
      <w:r w:rsidRPr="001E4C66">
        <w:rPr>
          <w:b/>
        </w:rPr>
        <w:lastRenderedPageBreak/>
        <w:t>Background:</w:t>
      </w:r>
      <w:r w:rsidRPr="001E4C66">
        <w:t xml:space="preserve"> Methamphetamine (MA) use among gay, bisexual</w:t>
      </w:r>
      <w:r>
        <w:t>,</w:t>
      </w:r>
      <w:r w:rsidRPr="001E4C66">
        <w:t xml:space="preserve"> and other men who have sex with men (gbMSM) is</w:t>
      </w:r>
      <w:r w:rsidR="00057A49">
        <w:t xml:space="preserve"> a pervasive issue,</w:t>
      </w:r>
      <w:r w:rsidRPr="001E4C66">
        <w:t xml:space="preserve"> associated with </w:t>
      </w:r>
      <w:r w:rsidR="00057A49">
        <w:t>detrimental</w:t>
      </w:r>
      <w:r w:rsidRPr="001E4C66">
        <w:t xml:space="preserve"> health outcomes</w:t>
      </w:r>
      <w:r w:rsidR="0003210F">
        <w:t>.</w:t>
      </w:r>
      <w:r w:rsidRPr="001E4C66">
        <w:t xml:space="preserve"> We identif</w:t>
      </w:r>
      <w:r w:rsidR="000C4E67">
        <w:t>ied</w:t>
      </w:r>
      <w:r w:rsidRPr="001E4C66">
        <w:t xml:space="preserve"> factors associated with discontinuation or reduction </w:t>
      </w:r>
      <w:r>
        <w:t xml:space="preserve">in </w:t>
      </w:r>
      <w:r w:rsidRPr="001E4C66">
        <w:t>MA</w:t>
      </w:r>
      <w:r>
        <w:t xml:space="preserve"> among a subset of gbMSM reporting frequent (at least weekly) use</w:t>
      </w:r>
      <w:r w:rsidR="0003210F">
        <w:t>, with a specific focus on symptoms of anxiety and depression</w:t>
      </w:r>
      <w:r>
        <w:t>.</w:t>
      </w:r>
      <w:r w:rsidRPr="001E4C66">
        <w:t xml:space="preserve"> </w:t>
      </w:r>
    </w:p>
    <w:p w14:paraId="5629ABC1" w14:textId="03F2EB74" w:rsidR="00AF0E6E" w:rsidRPr="001E4C66" w:rsidRDefault="00AF0E6E" w:rsidP="00AF0E6E">
      <w:pPr>
        <w:spacing w:line="360" w:lineRule="auto"/>
      </w:pPr>
      <w:r w:rsidRPr="001E4C66">
        <w:rPr>
          <w:b/>
        </w:rPr>
        <w:t>Methods:</w:t>
      </w:r>
      <w:r w:rsidRPr="001E4C66">
        <w:t xml:space="preserve"> We recruited sexually-active gbMSM aged ≥16 years in Vancouver, Canada into a prospective</w:t>
      </w:r>
      <w:r w:rsidR="00057A49">
        <w:t>-</w:t>
      </w:r>
      <w:r w:rsidRPr="001E4C66">
        <w:t>cohort study using respondent-driven sampling. Participants completed study visits once every six months. We used generalized linear mixed models to identify factors associated with reductions in MA use following a visit w</w:t>
      </w:r>
      <w:r>
        <w:t>h</w:t>
      </w:r>
      <w:r w:rsidRPr="001E4C66">
        <w:t>ere participants previously reported using MA at least weekly.</w:t>
      </w:r>
    </w:p>
    <w:p w14:paraId="17AEFAC2" w14:textId="2FB94EBB" w:rsidR="00AF0E6E" w:rsidRPr="001E4C66" w:rsidRDefault="00AF0E6E" w:rsidP="00AF0E6E">
      <w:pPr>
        <w:spacing w:line="360" w:lineRule="auto"/>
      </w:pPr>
      <w:r w:rsidRPr="001E4C66">
        <w:rPr>
          <w:b/>
        </w:rPr>
        <w:t>Results:</w:t>
      </w:r>
      <w:r w:rsidRPr="001E4C66">
        <w:t xml:space="preserve"> Of </w:t>
      </w:r>
      <w:r w:rsidRPr="00532346">
        <w:t>584</w:t>
      </w:r>
      <w:r w:rsidRPr="00A20BF3">
        <w:t xml:space="preserve"> </w:t>
      </w:r>
      <w:r w:rsidRPr="001E4C66">
        <w:t xml:space="preserve">cohort participants with at least one follow-up visit, 67 (11.5%) reported frequent MA use at baseline or </w:t>
      </w:r>
      <w:r>
        <w:t xml:space="preserve">in </w:t>
      </w:r>
      <w:r w:rsidRPr="001E4C66">
        <w:t>follow-up visits</w:t>
      </w:r>
      <w:r>
        <w:t>.</w:t>
      </w:r>
      <w:r w:rsidRPr="001E4C66">
        <w:t xml:space="preserve"> </w:t>
      </w:r>
      <w:r>
        <w:t>O</w:t>
      </w:r>
      <w:r w:rsidRPr="001E4C66">
        <w:t>f these</w:t>
      </w:r>
      <w:r>
        <w:t>,</w:t>
      </w:r>
      <w:r w:rsidRPr="001E4C66">
        <w:t xml:space="preserve"> 46 (68.7%) had at least one subsequent study visit where they transitioned to less frequent </w:t>
      </w:r>
      <w:r>
        <w:t xml:space="preserve">(monthly or less) </w:t>
      </w:r>
      <w:r w:rsidRPr="001E4C66">
        <w:t>or no MA use.</w:t>
      </w:r>
      <w:r>
        <w:t xml:space="preserve"> </w:t>
      </w:r>
      <w:r w:rsidRPr="001E4C66">
        <w:t>In multivariable models, reduced MA use was less likely for those who spent &gt;50% of social time with other gbMSM</w:t>
      </w:r>
      <w:r>
        <w:t xml:space="preserve"> </w:t>
      </w:r>
      <w:r w:rsidRPr="001E4C66">
        <w:t>(</w:t>
      </w:r>
      <w:proofErr w:type="spellStart"/>
      <w:r w:rsidRPr="001E4C66">
        <w:t>a</w:t>
      </w:r>
      <w:r>
        <w:t>RR</w:t>
      </w:r>
      <w:proofErr w:type="spellEnd"/>
      <w:r>
        <w:t>=0.49, 95%CI:0.28-0.85</w:t>
      </w:r>
      <w:r w:rsidRPr="001E4C66">
        <w:t>), gave</w:t>
      </w:r>
      <w:r>
        <w:t xml:space="preserve"> or received </w:t>
      </w:r>
      <w:r w:rsidRPr="001E4C66">
        <w:t>drugs in exchange for sex</w:t>
      </w:r>
      <w:r>
        <w:t xml:space="preserve"> </w:t>
      </w:r>
      <w:r w:rsidRPr="001E4C66">
        <w:t>(</w:t>
      </w:r>
      <w:proofErr w:type="spellStart"/>
      <w:r w:rsidRPr="001E4C66">
        <w:t>a</w:t>
      </w:r>
      <w:r>
        <w:t>RR</w:t>
      </w:r>
      <w:proofErr w:type="spellEnd"/>
      <w:r>
        <w:t>=0.34, 95%CI:0.13</w:t>
      </w:r>
      <w:r w:rsidRPr="001E4C66">
        <w:t>-0.8</w:t>
      </w:r>
      <w:r>
        <w:t>7</w:t>
      </w:r>
      <w:r w:rsidRPr="001E4C66">
        <w:t>), injected drugs</w:t>
      </w:r>
      <w:r w:rsidRPr="003D2189">
        <w:t xml:space="preserve"> </w:t>
      </w:r>
      <w:r>
        <w:t>(</w:t>
      </w:r>
      <w:proofErr w:type="spellStart"/>
      <w:r w:rsidRPr="001E4C66">
        <w:t>aRR</w:t>
      </w:r>
      <w:proofErr w:type="spellEnd"/>
      <w:r w:rsidRPr="001E4C66">
        <w:t>=</w:t>
      </w:r>
      <w:r>
        <w:t>0.35, 95%CI:0.18-0.68</w:t>
      </w:r>
      <w:r w:rsidRPr="001E4C66">
        <w:t xml:space="preserve">), </w:t>
      </w:r>
      <w:r w:rsidR="00793DA6">
        <w:t>or</w:t>
      </w:r>
      <w:r w:rsidRPr="001E4C66">
        <w:t xml:space="preserve"> used </w:t>
      </w:r>
      <w:r>
        <w:t>gamma-hydroxybutyrate (</w:t>
      </w:r>
      <w:r w:rsidRPr="001E4C66">
        <w:t>GHB</w:t>
      </w:r>
      <w:r>
        <w:t>)</w:t>
      </w:r>
      <w:r w:rsidRPr="003D2189">
        <w:t xml:space="preserve"> </w:t>
      </w:r>
      <w:r>
        <w:t>(</w:t>
      </w:r>
      <w:proofErr w:type="spellStart"/>
      <w:r>
        <w:t>aRR</w:t>
      </w:r>
      <w:proofErr w:type="spellEnd"/>
      <w:r>
        <w:t>=0.41, 95%CI:0.21</w:t>
      </w:r>
      <w:r w:rsidRPr="001E4C66">
        <w:t xml:space="preserve">-0.78). </w:t>
      </w:r>
      <w:r w:rsidR="0003210F">
        <w:t>Symptoms of anxiety or depression were not associated with reductions in MA</w:t>
      </w:r>
      <w:r w:rsidR="009F6A9F">
        <w:t xml:space="preserve"> </w:t>
      </w:r>
      <w:r w:rsidR="0003210F">
        <w:t>use.</w:t>
      </w:r>
    </w:p>
    <w:p w14:paraId="2ED6B0AE" w14:textId="1A756E28" w:rsidR="00AF0E6E" w:rsidRPr="001E4C66" w:rsidRDefault="00AF0E6E" w:rsidP="00AF0E6E">
      <w:pPr>
        <w:spacing w:line="360" w:lineRule="auto"/>
      </w:pPr>
      <w:r w:rsidRPr="001E4C66">
        <w:rPr>
          <w:b/>
        </w:rPr>
        <w:t>Conclusions</w:t>
      </w:r>
      <w:r w:rsidRPr="001B746C">
        <w:rPr>
          <w:b/>
        </w:rPr>
        <w:t>:</w:t>
      </w:r>
      <w:r w:rsidRPr="001B746C">
        <w:t xml:space="preserve"> </w:t>
      </w:r>
      <w:r>
        <w:t>Social</w:t>
      </w:r>
      <w:r w:rsidR="000D1639">
        <w:t xml:space="preserve"> </w:t>
      </w:r>
      <w:r w:rsidR="005C1DC6">
        <w:t>connection</w:t>
      </w:r>
      <w:r>
        <w:t xml:space="preserve"> </w:t>
      </w:r>
      <w:r w:rsidR="000D1639">
        <w:t xml:space="preserve">and drug-related factors surrounding MA use </w:t>
      </w:r>
      <w:r>
        <w:t>were associated with reductions</w:t>
      </w:r>
      <w:r w:rsidR="0003210F">
        <w:t xml:space="preserve">, but </w:t>
      </w:r>
      <w:r w:rsidR="009F6A9F">
        <w:t>anxiety and depressive</w:t>
      </w:r>
      <w:r w:rsidR="0003210F">
        <w:t xml:space="preserve"> symptomatology were not. </w:t>
      </w:r>
      <w:r w:rsidR="009F6A9F">
        <w:t>Incorporating</w:t>
      </w:r>
      <w:r w:rsidR="00FC1E0C">
        <w:t xml:space="preserve"> social</w:t>
      </w:r>
      <w:r w:rsidR="000C4E67">
        <w:t>ization</w:t>
      </w:r>
      <w:r w:rsidR="00FC1E0C">
        <w:t xml:space="preserve"> and </w:t>
      </w:r>
      <w:r w:rsidR="009F6A9F">
        <w:t>polysubstance</w:t>
      </w:r>
      <w:r w:rsidR="00FC1E0C">
        <w:t xml:space="preserve">-related </w:t>
      </w:r>
      <w:r w:rsidR="009F6A9F">
        <w:t>components</w:t>
      </w:r>
      <w:r w:rsidR="00FC1E0C">
        <w:t xml:space="preserve"> </w:t>
      </w:r>
      <w:r w:rsidR="009F6A9F">
        <w:t xml:space="preserve">with </w:t>
      </w:r>
      <w:r w:rsidR="00FC1E0C">
        <w:t>MA reduction</w:t>
      </w:r>
      <w:r w:rsidR="009F6A9F">
        <w:t xml:space="preserve"> </w:t>
      </w:r>
      <w:r w:rsidR="005719B5">
        <w:t xml:space="preserve">may help </w:t>
      </w:r>
      <w:r w:rsidR="009F6A9F">
        <w:t>in developing efficacious interventions</w:t>
      </w:r>
      <w:r w:rsidR="000C4E67">
        <w:t xml:space="preserve"> towards reducing MA use</w:t>
      </w:r>
      <w:r w:rsidR="009F6A9F">
        <w:t xml:space="preserve"> for gbMSM</w:t>
      </w:r>
      <w:r w:rsidR="00833E2C">
        <w:t>.</w:t>
      </w:r>
    </w:p>
    <w:p w14:paraId="68C02AB0" w14:textId="77777777" w:rsidR="00833E2C" w:rsidRPr="009F6A9F" w:rsidRDefault="00833E2C" w:rsidP="00AF0E6E">
      <w:pPr>
        <w:pStyle w:val="EndNoteBibliography"/>
        <w:rPr>
          <w:szCs w:val="24"/>
        </w:rPr>
      </w:pPr>
    </w:p>
    <w:p w14:paraId="54517F5F" w14:textId="77777777" w:rsidR="00AF0E6E" w:rsidRPr="003501C9" w:rsidRDefault="00AF0E6E" w:rsidP="00AF0E6E">
      <w:pPr>
        <w:pStyle w:val="EndNoteBibliography"/>
        <w:rPr>
          <w:szCs w:val="24"/>
        </w:rPr>
      </w:pPr>
      <w:r w:rsidRPr="003501C9">
        <w:rPr>
          <w:b/>
          <w:szCs w:val="24"/>
        </w:rPr>
        <w:t xml:space="preserve">Keywords: </w:t>
      </w:r>
      <w:r>
        <w:rPr>
          <w:szCs w:val="24"/>
        </w:rPr>
        <w:t>Methamphetamines; gay, bisexual and other men who have sex with men (gbMSM); substance use reduction; anxiety; depression</w:t>
      </w:r>
    </w:p>
    <w:p w14:paraId="59AD27C3" w14:textId="77777777" w:rsidR="00632ADC" w:rsidRPr="00AF0E6E" w:rsidRDefault="00632ADC" w:rsidP="00AF0E6E">
      <w:pPr>
        <w:rPr>
          <w:b/>
          <w:bCs/>
          <w:color w:val="000000"/>
          <w:lang w:eastAsia="en-CA"/>
        </w:rPr>
        <w:sectPr w:rsidR="00632ADC" w:rsidRPr="00AF0E6E">
          <w:pgSz w:w="12240" w:h="15840"/>
          <w:pgMar w:top="1440" w:right="1440" w:bottom="1440" w:left="1440" w:header="708" w:footer="708" w:gutter="0"/>
          <w:cols w:space="708"/>
          <w:docGrid w:linePitch="360"/>
        </w:sectPr>
      </w:pPr>
    </w:p>
    <w:p w14:paraId="20A70CDB" w14:textId="1C2ADFD1" w:rsidR="00053061" w:rsidRPr="00C265C3" w:rsidRDefault="00053061" w:rsidP="00281BC8">
      <w:pPr>
        <w:jc w:val="center"/>
        <w:rPr>
          <w:b/>
          <w:bCs/>
          <w:color w:val="000000"/>
          <w:lang w:eastAsia="en-CA"/>
        </w:rPr>
      </w:pPr>
      <w:r w:rsidRPr="00C265C3">
        <w:rPr>
          <w:b/>
          <w:bCs/>
          <w:color w:val="000000"/>
          <w:lang w:eastAsia="en-CA"/>
        </w:rPr>
        <w:lastRenderedPageBreak/>
        <w:t>I</w:t>
      </w:r>
      <w:r w:rsidR="00DD4561" w:rsidRPr="00C265C3">
        <w:rPr>
          <w:b/>
          <w:bCs/>
          <w:color w:val="000000"/>
          <w:lang w:eastAsia="en-CA"/>
        </w:rPr>
        <w:t>ntroduction</w:t>
      </w:r>
    </w:p>
    <w:p w14:paraId="43A4F5F0" w14:textId="77777777" w:rsidR="00053061" w:rsidRPr="00C265C3" w:rsidRDefault="00053061" w:rsidP="00053061">
      <w:pPr>
        <w:pStyle w:val="ListParagraph"/>
        <w:spacing w:after="0" w:line="240" w:lineRule="auto"/>
        <w:rPr>
          <w:rFonts w:ascii="Times New Roman" w:eastAsia="Times New Roman" w:hAnsi="Times New Roman" w:cs="Times New Roman"/>
          <w:b/>
          <w:bCs/>
          <w:color w:val="000000"/>
          <w:sz w:val="24"/>
          <w:szCs w:val="24"/>
          <w:lang w:eastAsia="en-CA"/>
        </w:rPr>
      </w:pPr>
    </w:p>
    <w:p w14:paraId="02D01C31" w14:textId="01EFCD17" w:rsidR="00181CBF" w:rsidRPr="00C265C3" w:rsidRDefault="00053061" w:rsidP="00053061">
      <w:pPr>
        <w:spacing w:line="480" w:lineRule="auto"/>
        <w:rPr>
          <w:bCs/>
          <w:color w:val="000000"/>
          <w:lang w:eastAsia="en-CA"/>
        </w:rPr>
      </w:pPr>
      <w:bookmarkStart w:id="0" w:name="_Hlk11236310"/>
      <w:r w:rsidRPr="00C265C3">
        <w:rPr>
          <w:bCs/>
          <w:color w:val="000000"/>
          <w:lang w:eastAsia="en-CA"/>
        </w:rPr>
        <w:t xml:space="preserve">Prevalence of methamphetamine (MA) use in gay, bisexual, and other men who have sex with men </w:t>
      </w:r>
      <w:r w:rsidRPr="00C265C3">
        <w:rPr>
          <w:color w:val="000000"/>
          <w:lang w:eastAsia="en-CA"/>
        </w:rPr>
        <w:t xml:space="preserve">(gbMSM) </w:t>
      </w:r>
      <w:r w:rsidRPr="00C265C3">
        <w:rPr>
          <w:bCs/>
          <w:color w:val="000000"/>
          <w:lang w:eastAsia="en-CA"/>
        </w:rPr>
        <w:t>ha</w:t>
      </w:r>
      <w:r w:rsidR="00A66D92" w:rsidRPr="00C265C3">
        <w:rPr>
          <w:bCs/>
          <w:color w:val="000000"/>
          <w:lang w:eastAsia="en-CA"/>
        </w:rPr>
        <w:t>s</w:t>
      </w:r>
      <w:r w:rsidRPr="00C265C3">
        <w:rPr>
          <w:bCs/>
          <w:color w:val="000000"/>
          <w:lang w:eastAsia="en-CA"/>
        </w:rPr>
        <w:t xml:space="preserve"> been estimated to be more than ten to twenty times greater than that of the general population </w:t>
      </w:r>
      <w:r w:rsidRPr="00C265C3">
        <w:rPr>
          <w:bCs/>
          <w:color w:val="000000"/>
          <w:lang w:eastAsia="en-CA"/>
        </w:rPr>
        <w:fldChar w:fldCharType="begin" w:fldLock="1"/>
      </w:r>
      <w:r w:rsidR="004849CC">
        <w:rPr>
          <w:bCs/>
          <w:color w:val="000000"/>
          <w:lang w:eastAsia="en-CA"/>
        </w:rPr>
        <w:instrText>ADDIN CSL_CITATION {"citationItems":[{"id":"ITEM-1","itemData":{"DOI":"10.1097/QCO.0000000000000234","author":[{"dropping-particle":"","family":"Melendez-Torres","given":"G.J.","non-dropping-particle":"","parse-names":false,"suffix":""},{"dropping-particle":"","family":"Bourne","given":"Adam","non-dropping-particle":"","parse-names":false,"suffix":""}],"container-title":"Current Opinion in Infectious Diseases","id":"ITEM-1","issue":"1","issued":{"date-parts":[["2016","2"]]},"page":"58-63","title":"Illicit drug use and its association with sexual risk behaviour among MSM: more questions than answers?","type":"article-journal","volume":"29"},"uris":["http://www.mendeley.com/documents/?uuid=1d5a5fc5-4d95-3a38-8d85-22b26212607f"]},{"id":"ITEM-2","itemData":{"DOI":"10.1186/s12889-018-5856-0","ISSN":"1471-2458","PMID":"30045702","abstract":"BACKGROUND In the United States, problematic stimulant use is a prevalent and difficult to treat problem among men who have sex with men (MSM), as well as a major driver of HIV transmission through the large number of sexual partners and concomitant condomless anal sex (CAS). Evidence-based behavioral studies that address problematic stimulant use in MSM at risk for HIV infection are also lacking. In this paper, we describe the design of a behavioral intervention trial to reduce sexual risk behavior and stimulant use in HIV-uninfected MSM. METHODS This study, funded by the National Institute on Drug Abuse (NIDA), is a randomized controlled trial (RCT) testing an integrated HIV risk reduction and behavioral activation counseling intervention (IMPACT) for HIV-uninfected, stimulant using MSM in Boston, MA, and Miami, FL. Participants are randomized (2:2:1) to either (1) the IMPACT intervention; (2) a relaxation condition, an active therapy time- and intensity-matched control; or (3) a standard of care risk reduction counseling comparison. At enrollment, all participants receive an HIV test and pre- and post-test counseling. The primary outcome is the difference in the rate of change in the number of self-reported condomless anal sex acts without the protection of consistent Pre-Exposure Prophylaxis (PrEP) use, as well as reductions in stimulant use during the prior 4-months. Major assessments are conducted at baseline, 4-, 8-, and 12-month follow-up visits. DISCUSSION Effective and sustainable behavioral interventions are sorely needed to reduce HIV acquisition in stimulant using MSM at risk for HIV infection. In this study, we will evaluate the evidence of efficacy of the IMPACT intervention to reduce HIV acquisition in HIV-uninfected, stimulant-using MSM. If found effective, the intervention tested here holds promise for being readily integrated into real-world clinical settings. TRIAL REGISTRATION ClinicalTrials.gov number NCT03175159 , registered June 5, 2017.","author":[{"dropping-particle":"","family":"Mimiaga","given":"Matthew J","non-dropping-particle":"","parse-names":false,"suffix":""},{"dropping-particle":"","family":"Pantalone","given":"David W","non-dropping-particle":"","parse-names":false,"suffix":""},{"dropping-particle":"","family":"Biello","given":"Katie B","non-dropping-particle":"","parse-names":false,"suffix":""},{"dropping-particle":"","family":"Glynn","given":"Tiffany Rose","non-dropping-particle":"","parse-names":false,"suffix":""},{"dropping-particle":"","family":"Santostefano","given":"Christopher M","non-dropping-particle":"","parse-names":false,"suffix":""},{"dropping-particle":"","family":"Olson","given":"Jennifer","non-dropping-particle":"","parse-names":false,"suffix":""},{"dropping-particle":"","family":"Pardee","given":"Dana J","non-dropping-particle":"","parse-names":false,"suffix":""},{"dropping-particle":"","family":"Hughto","given":"Jaclyn M W","non-dropping-particle":"","parse-names":false,"suffix":""},{"dropping-particle":"","family":"Garcia Valles","given":"Josibel","non-dropping-particle":"","parse-names":false,"suffix":""},{"dropping-particle":"","family":"Carrico","given":"Adam W","non-dropping-particle":"","parse-names":false,"suffix":""},{"dropping-particle":"","family":"Mayer","given":"Kenneth H","non-dropping-particle":"","parse-names":false,"suffix":""},{"dropping-particle":"","family":"Safren","given":"Steven A","non-dropping-particle":"","parse-names":false,"suffix":""}],"container-title":"BMC public health","id":"ITEM-2","issue":"1","issued":{"date-parts":[["2018","7","25"]]},"page":"914","publisher":"BioMed Central","title":"A randomized controlled efficacy trial of behavioral activation for concurrent stimulant use and sexual risk for HIV acquisition among MSM: project IMPACT study protocol.","type":"article-journal","volume":"18"},"uris":["http://www.mendeley.com/documents/?uuid=d4c5909c-1e49-3bdc-9c5b-aac33144b443"]},{"id":"ITEM-3","itemData":{"DOI":"10.1007/s11904-005-0016-4","ISSN":"15483568","PMID":"16343378","abstract":"Methamphetamine and related amphetamine compounds are among the most commonly used illicit drugs, with over 35 million users worldwide. In the United States, admissions for methamphetamine treatment have increased dramatically over the past 10 years. Methamphetamine use is prevalent among persons with HIV infection and persons at risk for HIV, particularly among men who have sex with men. In addition to being associated with increased sexual risk behavior, methamphetamine causes significant medical morbidity, including neurologic deficits, cardiovascular compromise, dental decay, and skin infections, all of which may be worsened in the presence of HIV/AIDS. Methamphetamine use may also result in decreased medication adherence, particularly during \"binging\" episodes. Behavioral counseling remains the standard of treatment for methamphetamine dependence, although the effectiveness of most counseling interventions has not been rigorously tested. Pharmacologic and structural interventions may prove valuable additional interventions to reduce methamphetamine use.","author":[{"dropping-particle":"","family":"Colfax","given":"Grant","non-dropping-particle":"","parse-names":false,"suffix":""},{"dropping-particle":"","family":"Shoptaw","given":"Steven","non-dropping-particle":"","parse-names":false,"suffix":""}],"container-title":"Current HIV/AIDS reports","id":"ITEM-3","issue":"4","issued":{"date-parts":[["2005"]]},"page":"194-199","publisher":"Curr HIV/AIDS Rep","title":"The methamphetamine epidemic: implications for HIV prevention and treatment.","type":"article","volume":"2"},"uris":["http://www.mendeley.com/documents/?uuid=ba6af357-eb00-3ef2-9261-b3d45f4cd538"]}],"mendeley":{"formattedCitation":"(Colfax &amp; Shoptaw, 2005; Melendez-Torres &amp; Bourne, 2016; Mimiaga et al., 2018)","plainTextFormattedCitation":"(Colfax &amp; Shoptaw, 2005; Melendez-Torres &amp; Bourne, 2016; Mimiaga et al., 2018)","previouslyFormattedCitation":"(Colfax &amp; Shoptaw, 2005; Melendez-Torres &amp; Bourne, 2016; Mimiaga et al., 2018)"},"properties":{"noteIndex":0},"schema":"https://github.com/citation-style-language/schema/raw/master/csl-citation.json"}</w:instrText>
      </w:r>
      <w:r w:rsidRPr="00C265C3">
        <w:rPr>
          <w:bCs/>
          <w:color w:val="000000"/>
          <w:lang w:eastAsia="en-CA"/>
        </w:rPr>
        <w:fldChar w:fldCharType="separate"/>
      </w:r>
      <w:r w:rsidR="005A00BA" w:rsidRPr="00C265C3">
        <w:rPr>
          <w:bCs/>
          <w:noProof/>
          <w:color w:val="000000"/>
          <w:lang w:eastAsia="en-CA"/>
        </w:rPr>
        <w:t>(Colfax &amp; Shoptaw, 2005; Melendez-Torres &amp; Bourne, 2016; Mimiaga et al., 2018)</w:t>
      </w:r>
      <w:r w:rsidRPr="00C265C3">
        <w:rPr>
          <w:bCs/>
          <w:color w:val="000000"/>
          <w:lang w:eastAsia="en-CA"/>
        </w:rPr>
        <w:fldChar w:fldCharType="end"/>
      </w:r>
      <w:r w:rsidRPr="00C265C3">
        <w:rPr>
          <w:bCs/>
          <w:color w:val="000000"/>
          <w:lang w:eastAsia="en-CA"/>
        </w:rPr>
        <w:t>.</w:t>
      </w:r>
      <w:r w:rsidRPr="00C265C3">
        <w:rPr>
          <w:lang w:eastAsia="en-CA"/>
        </w:rPr>
        <w:t xml:space="preserve"> Previous literature has identified </w:t>
      </w:r>
      <w:r w:rsidRPr="00C265C3">
        <w:rPr>
          <w:bCs/>
          <w:color w:val="000000"/>
          <w:lang w:eastAsia="en-CA"/>
        </w:rPr>
        <w:t>MA use among gbMSM as a dual epidemic with HIV</w:t>
      </w:r>
      <w:r w:rsidR="00A66D92" w:rsidRPr="00C265C3">
        <w:rPr>
          <w:bCs/>
          <w:color w:val="000000"/>
          <w:lang w:eastAsia="en-CA"/>
        </w:rPr>
        <w:t>,</w:t>
      </w:r>
      <w:r w:rsidRPr="00C265C3">
        <w:rPr>
          <w:bCs/>
          <w:color w:val="000000"/>
          <w:lang w:eastAsia="en-CA"/>
        </w:rPr>
        <w:t xml:space="preserve"> as these public health concerns are closely intertwined </w:t>
      </w:r>
      <w:r w:rsidRPr="00C265C3">
        <w:rPr>
          <w:bCs/>
          <w:color w:val="000000"/>
          <w:lang w:eastAsia="en-CA"/>
        </w:rPr>
        <w:fldChar w:fldCharType="begin" w:fldLock="1"/>
      </w:r>
      <w:r w:rsidRPr="00C265C3">
        <w:rPr>
          <w:bCs/>
          <w:color w:val="000000"/>
          <w:lang w:eastAsia="en-CA"/>
        </w:rPr>
        <w:instrText>ADDIN CSL_CITATION {"citationItems":[{"id":"ITEM-1","itemData":{"DOI":"10.14745/ccdr.v44i12a03","abstract":"Background: Human immunodeficiency virus (HIV) is a global public health issue with an estimated 1.8 million people newly infected in 2017.","author":[{"dropping-particle":"","family":"Haddad","given":"N","non-dropping-particle":"","parse-names":false,"suffix":""},{"dropping-particle":"","family":"Li","given":"J S","non-dropping-particle":"","parse-names":false,"suffix":""},{"dropping-particle":"","family":"Totten","given":"S","non-dropping-particle":"","parse-names":false,"suffix":""},{"dropping-particle":"","family":"Mcguire","given":"M","non-dropping-particle":"","parse-names":false,"suffix":""}],"id":"ITEM-1","issued":{"date-parts":[["2018"]]},"page":"12","title":"SURVEILLANCE HIV in Canada-Surveillance Report, 2017","type":"article-journal","volume":"6"},"uris":["http://www.mendeley.com/documents/?uuid=cda0c25b-0e3d-360c-9b62-735e40fd6524"]}],"mendeley":{"formattedCitation":"(Haddad et al., 2018)","plainTextFormattedCitation":"(Haddad et al., 2018)","previouslyFormattedCitation":"(Haddad et al., 2018)"},"properties":{"noteIndex":0},"schema":"https://github.com/citation-style-language/schema/raw/master/csl-citation.json"}</w:instrText>
      </w:r>
      <w:r w:rsidRPr="00C265C3">
        <w:rPr>
          <w:bCs/>
          <w:color w:val="000000"/>
          <w:lang w:eastAsia="en-CA"/>
        </w:rPr>
        <w:fldChar w:fldCharType="separate"/>
      </w:r>
      <w:r w:rsidRPr="00C265C3">
        <w:rPr>
          <w:bCs/>
          <w:noProof/>
          <w:color w:val="000000"/>
          <w:lang w:eastAsia="en-CA"/>
        </w:rPr>
        <w:t>(Haddad et al., 2018)</w:t>
      </w:r>
      <w:r w:rsidRPr="00C265C3">
        <w:rPr>
          <w:bCs/>
          <w:color w:val="000000"/>
          <w:lang w:eastAsia="en-CA"/>
        </w:rPr>
        <w:fldChar w:fldCharType="end"/>
      </w:r>
      <w:r w:rsidRPr="00C265C3">
        <w:rPr>
          <w:bCs/>
          <w:color w:val="000000"/>
          <w:lang w:eastAsia="en-CA"/>
        </w:rPr>
        <w:t>.</w:t>
      </w:r>
    </w:p>
    <w:p w14:paraId="2A7BE3DC" w14:textId="584BA180" w:rsidR="00053061" w:rsidRPr="00C265C3" w:rsidRDefault="00053061" w:rsidP="00057A49">
      <w:pPr>
        <w:spacing w:line="480" w:lineRule="auto"/>
        <w:ind w:firstLine="720"/>
        <w:rPr>
          <w:color w:val="000000"/>
          <w:lang w:eastAsia="en-CA"/>
        </w:rPr>
      </w:pPr>
      <w:r w:rsidRPr="00C265C3">
        <w:rPr>
          <w:bCs/>
          <w:color w:val="000000"/>
          <w:lang w:eastAsia="en-CA"/>
        </w:rPr>
        <w:t xml:space="preserve"> MA is known to enhance </w:t>
      </w:r>
      <w:r w:rsidRPr="00C265C3">
        <w:rPr>
          <w:color w:val="000000"/>
          <w:lang w:eastAsia="en-CA"/>
        </w:rPr>
        <w:t xml:space="preserve">sexual confidence, endurance and intimacy </w:t>
      </w:r>
      <w:r w:rsidRPr="00C265C3">
        <w:rPr>
          <w:color w:val="000000"/>
          <w:lang w:eastAsia="en-CA"/>
        </w:rPr>
        <w:fldChar w:fldCharType="begin" w:fldLock="1"/>
      </w:r>
      <w:r w:rsidRPr="00C265C3">
        <w:rPr>
          <w:color w:val="000000"/>
          <w:lang w:eastAsia="en-CA"/>
        </w:rPr>
        <w:instrText>ADDIN CSL_CITATION {"citationItems":[{"id":"ITEM-1","itemData":{"DOI":"10.1371/journal.pone.0172560","ISSN":"1932-6203","PMID":"28207902","abstract":"Gay and bisexual men (GBM) report higher rates of methamphetamine use compared to heterosexual men, and thus have a heightened risk of developing problems from their use. We examined treatment outcomes among GBM clients receiving outpatient counseling at a lesbian, gay, bisexual, transgender and intersex (LGBTI)-specific, harm reduction treatment service in Sydney, Australia. GBM receiving treatment for methamphetamine use from ACON's Substance Support Service between 2012-15 (n = 101) were interviewed at treatment commencement, and after 4 sessions (n = 60; follow-up 1) and 8 sessions (n = 32; follow-up 2). At each interview, clients completed measures of methamphetamine use and dependence, other substance use, injecting risk practices, psychological distress and quality of life. The median age of participants was 41 years and 56.4% identified as HIV-positive. Participants attended a median of 5 sessions and attended treatment for a median of 112 days. There was a significant reduction in the median days of methamphetamine use in the previous 4 weeks between baseline (4 days), follow-up 1 (2 days) and follow-up 2 (2 days; p = .001). There was a significant reduction in the proportion of participants reporting methamphetamine dependence between baseline (92.1%), follow-up 1 (78.3%) and follow-up 2 (71.9%, p &lt; .001). There were also significant reductions in psychological distress (p &lt; .001), and significant improvements in quality of life (p &lt; .001). Clients showed reductions in methamphetamine use and improved psychosocial functioning over time, demonstrating the potential effectiveness of a LGBTI-specific treatment service.","author":[{"dropping-particle":"","family":"Lea","given":"Toby","non-dropping-particle":"","parse-names":false,"suffix":""},{"dropping-particle":"","family":"Kolstee","given":"Johann","non-dropping-particle":"","parse-names":false,"suffix":""},{"dropping-particle":"","family":"Lambert","given":"Sarah","non-dropping-particle":"","parse-names":false,"suffix":""},{"dropping-particle":"","family":"Ness","given":"Ross","non-dropping-particle":"","parse-names":false,"suffix":""},{"dropping-particle":"","family":"Hannan","given":"Siobhan","non-dropping-particle":"","parse-names":false,"suffix":""},{"dropping-particle":"","family":"Holt","given":"Martin","non-dropping-particle":"","parse-names":false,"suffix":""}],"container-title":"PloS one","editor":[{"dropping-particle":"","family":"Pendyala","given":"Gurudutt","non-dropping-particle":"","parse-names":false,"suffix":""}],"id":"ITEM-1","issue":"2","issued":{"date-parts":[["2017","2","16"]]},"page":"e0172560","title":"Methamphetamine treatment outcomes among gay men attending a LGBTI-specific treatment service in Sydney, Australia.","type":"article-journal","volume":"12"},"uris":["http://www.mendeley.com/documents/?uuid=12477fef-37f6-342f-828c-4088a7a166ec"]}],"mendeley":{"formattedCitation":"(Lea et al., 2017)","plainTextFormattedCitation":"(Lea et al., 2017)","previouslyFormattedCitation":"(Lea et al., 2017)"},"properties":{"noteIndex":0},"schema":"https://github.com/citation-style-language/schema/raw/master/csl-citation.json"}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(Lea et al., 2017)</w:t>
      </w:r>
      <w:r w:rsidRPr="00C265C3">
        <w:rPr>
          <w:color w:val="000000"/>
          <w:lang w:eastAsia="en-CA"/>
        </w:rPr>
        <w:fldChar w:fldCharType="end"/>
      </w:r>
      <w:r w:rsidRPr="00C265C3">
        <w:rPr>
          <w:color w:val="000000"/>
          <w:lang w:eastAsia="en-CA"/>
        </w:rPr>
        <w:t xml:space="preserve">, </w:t>
      </w:r>
      <w:r w:rsidRPr="00C265C3">
        <w:rPr>
          <w:bCs/>
          <w:color w:val="000000"/>
          <w:lang w:eastAsia="en-CA"/>
        </w:rPr>
        <w:t xml:space="preserve">which may increase the likelihood of engaging in sexual risk-taking behaviours such as condomless anal intercourse </w:t>
      </w:r>
      <w:r w:rsidRPr="00C265C3">
        <w:rPr>
          <w:bCs/>
          <w:color w:val="000000"/>
          <w:lang w:eastAsia="en-CA"/>
        </w:rPr>
        <w:fldChar w:fldCharType="begin" w:fldLock="1"/>
      </w:r>
      <w:r w:rsidRPr="00C265C3">
        <w:rPr>
          <w:bCs/>
          <w:color w:val="000000"/>
          <w:lang w:eastAsia="en-CA"/>
        </w:rPr>
        <w:instrText>ADDIN CSL_CITATION {"citationItems":[{"id":"ITEM-1","itemData":{"DOI":"10.1007/s40429-014-0023-x","author":[{"dropping-particle":"","family":"Halkitis","given":"Perry N.","non-dropping-particle":"","parse-names":false,"suffix":""},{"dropping-particle":"","family":"Levy","given":"Michael D.","non-dropping-particle":"","parse-names":false,"suffix":""},{"dropping-particle":"","family":"Moreira","given":"Alvaro D.","non-dropping-particle":"","parse-names":false,"suffix":""},{"dropping-particle":"","family":"Ferrusi","given":"Charles N.","non-dropping-particle":"","parse-names":false,"suffix":""}],"container-title":"Current Addiction Reports","id":"ITEM-1","issue":"3","issued":{"date-parts":[["2014","9"]]},"page":"206-213","publisher":"Springer Nature","title":"Crystal Methamphetamine Use and HIV Transmission Among Gay and Bisexual Men","type":"article-journal","volume":"1"},"uris":["http://www.mendeley.com/documents/?uuid=7d77cb14-75ef-36be-bccc-c66b87e7a25f"]},{"id":"ITEM-2","itemData":{"DOI":"10.1007/s11524-009-9422-z","ISSN":"10993460","abstract":"Using data collected through venue-based sampling in South Florida from 2004 to 2005 as part of the Centers for Disease Control and Prevention-funded National HIV Behavioral Surveillance Among Men Who Have Sex with Men, we estimate the prevalence of crystal methamphetamine use and its association with high-risk sexual behaviors among a large and diverse sample of men who have sex with men (MSM) residing in South Florida. We also examine how these associations differ between HIV-positive and HIV-negative men. Bivariate analyses were used to assess the characteristics of study participants and their sexual risk behaviors by drug use and self-reported HIV status group. Of 946 MSM participants in South Florida, 18% reported crystal methamphetamine use in the past 12 months. Regardless of self-reported HIV status, crystal methamphetamine users were more likely to report high-risk sexual behaviors, an increased number of non-main sex partners, and being high on drugs and/or alcohol at last sex act with a non-main partner. Our findings indicate that crystal methamphetamine use is prevalent among the MSM population in South Florida, and this prevalence rate is similar, if not higher, than that found in US cities that have been long recognized for having a high rate of crystal methamphetamine use among their MSM populations. Notably, the use of crystal methamphetamine among both HIV-positive and HIV-negative MSM is associated with increased HIV-related risk behaviors.","author":[{"dropping-particle":"","family":"Forrest","given":"David W.","non-dropping-particle":"","parse-names":false,"suffix":""},{"dropping-particle":"","family":"Metsch","given":"Lisa R.","non-dropping-particle":"","parse-names":false,"suffix":""},{"dropping-particle":"","family":"LaLota","given":"Marlene","non-dropping-particle":"","parse-names":false,"suffix":""},{"dropping-particle":"","family":"Cardenas","given":"Gabriel","non-dropping-particle":"","parse-names":false,"suffix":""},{"dropping-particle":"","family":"Beck","given":"Dano W.","non-dropping-particle":"","parse-names":false,"suffix":""},{"dropping-particle":"","family":"Jeanty","given":"Yves","non-dropping-particle":"","parse-names":false,"suffix":""}],"container-title":"Journal of Urban Health","id":"ITEM-2","issue":"3","issued":{"date-parts":[["2010","5"]]},"page":"480-485","title":"Crystal methamphetamine use and sexual risk behaviors among HIV-positive and HIV-negative men who have sex with men in South Florida","type":"article-journal","volume":"87"},"uris":["http://www.mendeley.com/documents/?uuid=9f998294-48c3-3066-846b-0d46647ffd4f"]}],"mendeley":{"formattedCitation":"(Forrest et al., 2010; Halkitis et al., 2014)","plainTextFormattedCitation":"(Forrest et al., 2010; Halkitis et al., 2014)","previouslyFormattedCitation":"(Forrest et al., 2010; Halkitis et al., 2014)"},"properties":{"noteIndex":0},"schema":"https://github.com/citation-style-language/schema/raw/master/csl-citation.json"}</w:instrText>
      </w:r>
      <w:r w:rsidRPr="00C265C3">
        <w:rPr>
          <w:bCs/>
          <w:color w:val="000000"/>
          <w:lang w:eastAsia="en-CA"/>
        </w:rPr>
        <w:fldChar w:fldCharType="separate"/>
      </w:r>
      <w:r w:rsidRPr="00C265C3">
        <w:rPr>
          <w:bCs/>
          <w:noProof/>
          <w:color w:val="000000"/>
          <w:lang w:eastAsia="en-CA"/>
        </w:rPr>
        <w:t>(Forrest et al., 2010; Halkitis et al., 2014)</w:t>
      </w:r>
      <w:r w:rsidRPr="00C265C3">
        <w:rPr>
          <w:bCs/>
          <w:color w:val="000000"/>
          <w:lang w:eastAsia="en-CA"/>
        </w:rPr>
        <w:fldChar w:fldCharType="end"/>
      </w:r>
      <w:r w:rsidRPr="00C265C3">
        <w:rPr>
          <w:bCs/>
          <w:color w:val="000000"/>
          <w:lang w:eastAsia="en-CA"/>
        </w:rPr>
        <w:t xml:space="preserve">, injection drug needle-sharing </w:t>
      </w:r>
      <w:r w:rsidRPr="00C265C3">
        <w:rPr>
          <w:bCs/>
          <w:color w:val="000000"/>
          <w:lang w:eastAsia="en-CA"/>
        </w:rPr>
        <w:fldChar w:fldCharType="begin" w:fldLock="1"/>
      </w:r>
      <w:r w:rsidRPr="00C265C3">
        <w:rPr>
          <w:bCs/>
          <w:color w:val="000000"/>
          <w:lang w:eastAsia="en-CA"/>
        </w:rPr>
        <w:instrText>ADDIN CSL_CITATION {"citationItems":[{"id":"ITEM-1","itemData":{"DOI":"10.1016/j.drugpo.2014.10.013","ISSN":"09553959","PMID":"25480395","author":[{"dropping-particle":"","family":"Hopwood","given":"Max","non-dropping-particle":"","parse-names":false,"suffix":""},{"dropping-particle":"","family":"Lea","given":"Toby","non-dropping-particle":"","parse-names":false,"suffix":""},{"dropping-particle":"","family":"Aggleton","given":"Peter","non-dropping-particle":"","parse-names":false,"suffix":""}],"container-title":"International Journal of Drug Policy","id":"ITEM-1","issue":"2","issued":{"date-parts":[["2015","2"]]},"page":"210-213","title":"Drug, sex and sociality: Factors associated with the recent sharing of injecting equipment among gay and bisexual men in Australia","type":"article-journal","volume":"26"},"uris":["http://www.mendeley.com/documents/?uuid=00c110be-d4c0-3555-97fb-adbe7775efad"]}],"mendeley":{"formattedCitation":"(Hopwood et al., 2015)","plainTextFormattedCitation":"(Hopwood et al., 2015)","previouslyFormattedCitation":"(Hopwood et al., 2015)"},"properties":{"noteIndex":0},"schema":"https://github.com/citation-style-language/schema/raw/master/csl-citation.json"}</w:instrText>
      </w:r>
      <w:r w:rsidRPr="00C265C3">
        <w:rPr>
          <w:bCs/>
          <w:color w:val="000000"/>
          <w:lang w:eastAsia="en-CA"/>
        </w:rPr>
        <w:fldChar w:fldCharType="separate"/>
      </w:r>
      <w:r w:rsidRPr="00C265C3">
        <w:rPr>
          <w:bCs/>
          <w:noProof/>
          <w:color w:val="000000"/>
          <w:lang w:eastAsia="en-CA"/>
        </w:rPr>
        <w:t>(Hopwood et al., 2015)</w:t>
      </w:r>
      <w:r w:rsidRPr="00C265C3">
        <w:rPr>
          <w:bCs/>
          <w:color w:val="000000"/>
          <w:lang w:eastAsia="en-CA"/>
        </w:rPr>
        <w:fldChar w:fldCharType="end"/>
      </w:r>
      <w:r w:rsidRPr="00C265C3">
        <w:rPr>
          <w:bCs/>
          <w:color w:val="000000"/>
          <w:lang w:eastAsia="en-CA"/>
        </w:rPr>
        <w:t xml:space="preserve">, and having higher numbers of sexual partners </w:t>
      </w:r>
      <w:r w:rsidRPr="00C265C3">
        <w:rPr>
          <w:bCs/>
          <w:color w:val="000000"/>
          <w:lang w:eastAsia="en-CA"/>
        </w:rPr>
        <w:fldChar w:fldCharType="begin" w:fldLock="1"/>
      </w:r>
      <w:r w:rsidRPr="00C265C3">
        <w:rPr>
          <w:bCs/>
          <w:color w:val="000000"/>
          <w:lang w:eastAsia="en-CA"/>
        </w:rPr>
        <w:instrText>ADDIN CSL_CITATION {"citationItems":[{"id":"ITEM-1","itemData":{"DOI":"10.1007/s11524-009-9422-z","ISSN":"10993460","abstract":"Using data collected through venue-based sampling in South Florida from 2004 to 2005 as part of the Centers for Disease Control and Prevention-funded National HIV Behavioral Surveillance Among Men Who Have Sex with Men, we estimate the prevalence of crystal methamphetamine use and its association with high-risk sexual behaviors among a large and diverse sample of men who have sex with men (MSM) residing in South Florida. We also examine how these associations differ between HIV-positive and HIV-negative men. Bivariate analyses were used to assess the characteristics of study participants and their sexual risk behaviors by drug use and self-reported HIV status group. Of 946 MSM participants in South Florida, 18% reported crystal methamphetamine use in the past 12 months. Regardless of self-reported HIV status, crystal methamphetamine users were more likely to report high-risk sexual behaviors, an increased number of non-main sex partners, and being high on drugs and/or alcohol at last sex act with a non-main partner. Our findings indicate that crystal methamphetamine use is prevalent among the MSM population in South Florida, and this prevalence rate is similar, if not higher, than that found in US cities that have been long recognized for having a high rate of crystal methamphetamine use among their MSM populations. Notably, the use of crystal methamphetamine among both HIV-positive and HIV-negative MSM is associated with increased HIV-related risk behaviors.","author":[{"dropping-particle":"","family":"Forrest","given":"David W.","non-dropping-particle":"","parse-names":false,"suffix":""},{"dropping-particle":"","family":"Metsch","given":"Lisa R.","non-dropping-particle":"","parse-names":false,"suffix":""},{"dropping-particle":"","family":"LaLota","given":"Marlene","non-dropping-particle":"","parse-names":false,"suffix":""},{"dropping-particle":"","family":"Cardenas","given":"Gabriel","non-dropping-particle":"","parse-names":false,"suffix":""},{"dropping-particle":"","family":"Beck","given":"Dano W.","non-dropping-particle":"","parse-names":false,"suffix":""},{"dropping-particle":"","family":"Jeanty","given":"Yves","non-dropping-particle":"","parse-names":false,"suffix":""}],"container-title":"Journal of Urban Health","id":"ITEM-1","issue":"3","issued":{"date-parts":[["2010","5"]]},"page":"480-485","title":"Crystal methamphetamine use and sexual risk behaviors among HIV-positive and HIV-negative men who have sex with men in South Florida","type":"article-journal","volume":"87"},"uris":["http://www.mendeley.com/documents/?uuid=9f998294-48c3-3066-846b-0d46647ffd4f"]}],"mendeley":{"formattedCitation":"(Forrest et al., 2010)","plainTextFormattedCitation":"(Forrest et al., 2010)","previouslyFormattedCitation":"(Forrest et al., 2010)"},"properties":{"noteIndex":0},"schema":"https://github.com/citation-style-language/schema/raw/master/csl-citation.json"}</w:instrText>
      </w:r>
      <w:r w:rsidRPr="00C265C3">
        <w:rPr>
          <w:bCs/>
          <w:color w:val="000000"/>
          <w:lang w:eastAsia="en-CA"/>
        </w:rPr>
        <w:fldChar w:fldCharType="separate"/>
      </w:r>
      <w:r w:rsidRPr="00C265C3">
        <w:rPr>
          <w:bCs/>
          <w:noProof/>
          <w:color w:val="000000"/>
          <w:lang w:eastAsia="en-CA"/>
        </w:rPr>
        <w:t>(Forrest et al., 2010)</w:t>
      </w:r>
      <w:r w:rsidRPr="00C265C3">
        <w:rPr>
          <w:bCs/>
          <w:color w:val="000000"/>
          <w:lang w:eastAsia="en-CA"/>
        </w:rPr>
        <w:fldChar w:fldCharType="end"/>
      </w:r>
      <w:r w:rsidRPr="00C265C3">
        <w:rPr>
          <w:bCs/>
          <w:color w:val="000000"/>
          <w:lang w:eastAsia="en-CA"/>
        </w:rPr>
        <w:t xml:space="preserve">. </w:t>
      </w:r>
      <w:r w:rsidRPr="00C265C3">
        <w:rPr>
          <w:color w:val="000000"/>
          <w:lang w:eastAsia="en-CA"/>
        </w:rPr>
        <w:t xml:space="preserve">From a social perspective, MA is often used in the context of group sex events </w:t>
      </w:r>
      <w:r w:rsidRPr="00C265C3">
        <w:rPr>
          <w:color w:val="000000"/>
          <w:lang w:eastAsia="en-CA"/>
        </w:rPr>
        <w:fldChar w:fldCharType="begin" w:fldLock="1"/>
      </w:r>
      <w:r w:rsidRPr="00C265C3">
        <w:rPr>
          <w:color w:val="000000"/>
          <w:lang w:eastAsia="en-CA"/>
        </w:rPr>
        <w:instrText>ADDIN CSL_CITATION {"citationItems":[{"id":"ITEM-1","itemData":{"DOI":"10.1080/13691058.2015.1084649","ISSN":"1464-5351","PMID":"26443295","abstract":"Group sex events are an epidemiologically important part of some gay and bisexual men's sexual culture in Canada. Associated with condomless anal intercourse and polysubstance use, such events have been cited as disproportionally contributing to HIV infection rates. We analysed questionnaire data from the Momentum Health Study in Vancouver, Canada, to understand substance use, sexual behaviour, psychosocial variables (Sexual Sensation Seeking, Sexual Escape Motivation, Treatment Optimism) and HIV prevention strategies (sero-sorting, strategic positioning, avoiding anal sex, disclosure, treatment as prevention) of men attending such events, which were defined as group (n ≥ 4 partners) sex parties, blackout events and darkrooms. Analysis by multivariable logistic regression compared men attending group sex events within the past six months (n = 180) with non-attendees (n = 539). Results showed that attendees reported: (1) significantly higher use of sex drugs and alcohol consumption, (2) higher scores on the Sexual Sensation Scale, more anal sex partners, greater odds of any condomless anal sex with sero-discordant partners and greater odds of reporting fisting and sex toy use and (3) different prevention practices that varied by HIV-serostatus. Findings are interpreted in light of the importance of pleasure, sociality and HIV/STI prevention strategies associated with group sex events. Findings contribute to the development of appropriate education and intervention for attendees.","author":[{"dropping-particle":"","family":"Rich","given":"Ashleigh J","non-dropping-particle":"","parse-names":false,"suffix":""},{"dropping-particle":"","family":"Lachowsky","given":"Nathan J","non-dropping-particle":"","parse-names":false,"suffix":""},{"dropping-particle":"","family":"Cui","given":"Zishan","non-dropping-particle":"","parse-names":false,"suffix":""},{"dropping-particle":"","family":"Sereda","given":"Paul","non-dropping-particle":"","parse-names":false,"suffix":""},{"dropping-particle":"","family":"Lal","given":"Allan","non-dropping-particle":"","parse-names":false,"suffix":""},{"dropping-particle":"","family":"Birch","given":"Robert","non-dropping-particle":"","parse-names":false,"suffix":""},{"dropping-particle":"","family":"Montaner","given":"Julio","non-dropping-particle":"","parse-names":false,"suffix":""},{"dropping-particle":"","family":"Moore","given":"David","non-dropping-particle":"","parse-names":false,"suffix":""},{"dropping-particle":"","family":"Hogg","given":"Robert S","non-dropping-particle":"","parse-names":false,"suffix":""},{"dropping-particle":"","family":"Roth","given":"Eric A","non-dropping-particle":"","parse-names":false,"suffix":""}],"container-title":"Culture, health &amp; sexuality","id":"ITEM-1","issue":"4","issued":{"date-parts":[["2016"]]},"page":"361-76","publisher":"NIH Public Access","title":"Substance use, sexual behaviour and prevention strategies of Vancouver gay and bisexual men who recently attended group sex events.","type":"article-journal","volume":"18"},"uris":["http://www.mendeley.com/documents/?uuid=5a336e05-b6cc-3079-99e4-f89ce5766456"]}],"mendeley":{"formattedCitation":"(Rich et al., 2016)","plainTextFormattedCitation":"(Rich et al., 2016)","previouslyFormattedCitation":"(Rich et al., 2016)"},"properties":{"noteIndex":0},"schema":"https://github.com/citation-style-language/schema/raw/master/csl-citation.json"}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(Rich et al., 2016)</w:t>
      </w:r>
      <w:r w:rsidRPr="00C265C3">
        <w:rPr>
          <w:color w:val="000000"/>
          <w:lang w:eastAsia="en-CA"/>
        </w:rPr>
        <w:fldChar w:fldCharType="end"/>
      </w:r>
      <w:r w:rsidRPr="00C265C3">
        <w:rPr>
          <w:color w:val="000000"/>
          <w:lang w:eastAsia="en-CA"/>
        </w:rPr>
        <w:t xml:space="preserve"> and is associated with </w:t>
      </w:r>
      <w:r w:rsidR="005A74E7">
        <w:rPr>
          <w:color w:val="000000"/>
          <w:lang w:eastAsia="en-CA"/>
        </w:rPr>
        <w:t>heightened</w:t>
      </w:r>
      <w:r w:rsidRPr="00C265C3">
        <w:rPr>
          <w:color w:val="000000"/>
          <w:lang w:eastAsia="en-CA"/>
        </w:rPr>
        <w:t xml:space="preserve"> confidence </w:t>
      </w:r>
      <w:r w:rsidRPr="00C265C3">
        <w:rPr>
          <w:color w:val="000000"/>
          <w:lang w:eastAsia="en-CA"/>
        </w:rPr>
        <w:fldChar w:fldCharType="begin" w:fldLock="1"/>
      </w:r>
      <w:r w:rsidRPr="00C265C3">
        <w:rPr>
          <w:color w:val="000000"/>
          <w:lang w:eastAsia="en-CA"/>
        </w:rPr>
        <w:instrText>ADDIN CSL_CITATION {"citationItems":[{"id":"ITEM-1","itemData":{"DOI":"10.1037/11883-000","ISBN":"1-4338-0423-9","author":[{"dropping-particle":"","family":"Halkitis","given":"Perry N.","non-dropping-particle":"","parse-names":false,"suffix":""}],"id":"ITEM-1","issued":{"date-parts":[["2009"]]},"publisher":"American Psychological Association","publisher-place":"Washington","title":"Methamphetamine addiction: Biological foundations, psychological factors, and social consequences.","type":"book"},"uris":["http://www.mendeley.com/documents/?uuid=e18807c8-e58c-3592-b4eb-da4dc6cfc98a"]}],"mendeley":{"formattedCitation":"(Halkitis, 2009)","plainTextFormattedCitation":"(Halkitis, 2009)","previouslyFormattedCitation":"(Halkitis, 2009)"},"properties":{"noteIndex":0},"schema":"https://github.com/citation-style-language/schema/raw/master/csl-citation.json"}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(Halkitis, 2009)</w:t>
      </w:r>
      <w:r w:rsidRPr="00C265C3">
        <w:rPr>
          <w:color w:val="000000"/>
          <w:lang w:eastAsia="en-CA"/>
        </w:rPr>
        <w:fldChar w:fldCharType="end"/>
      </w:r>
      <w:r w:rsidRPr="00C265C3">
        <w:rPr>
          <w:color w:val="000000"/>
          <w:lang w:eastAsia="en-CA"/>
        </w:rPr>
        <w:t xml:space="preserve">. Further, </w:t>
      </w:r>
      <w:proofErr w:type="spellStart"/>
      <w:r w:rsidRPr="00C265C3">
        <w:rPr>
          <w:color w:val="000000"/>
          <w:lang w:eastAsia="en-CA"/>
        </w:rPr>
        <w:t>Colyer</w:t>
      </w:r>
      <w:proofErr w:type="spellEnd"/>
      <w:r w:rsidRPr="00C265C3">
        <w:rPr>
          <w:color w:val="000000"/>
          <w:lang w:eastAsia="en-CA"/>
        </w:rPr>
        <w:t xml:space="preserve"> et al. (2018) found that MA initiation is associated with escort work in the past six months and higher escape motivation (which assesses how much being under the influence of one or more substances might be related to sexual risk-taking) </w:t>
      </w:r>
      <w:r w:rsidRPr="00C265C3">
        <w:rPr>
          <w:color w:val="000000"/>
          <w:lang w:eastAsia="en-CA"/>
        </w:rPr>
        <w:fldChar w:fldCharType="begin" w:fldLock="1"/>
      </w:r>
      <w:r w:rsidRPr="00C265C3">
        <w:rPr>
          <w:color w:val="000000"/>
          <w:lang w:eastAsia="en-CA"/>
        </w:rPr>
        <w:instrText>ADDIN CSL_CITATION {"citationItems":[{"id":"ITEM-1","itemData":{"DOI":"10.1016/j.drugalcdep.2017.12.004","ISSN":"1879-0046","PMID":"29427917","abstract":"BACKGROUND Treatment as Prevention (TasP) leading to increased HIV treatment optimism among men who have sex with men (MSM) has been previously associated with behavioural risk compensation, though not yet via crystal methamphetamine (CM) use. Among HIV-negative MSM in a TasP environment, this study aimed to investigate the prevalence of recent CM use over time, examine the association between HIV treatment optimism and CM use and initiation, and identify correlates of recent CM use and predictors of CM initiation. METHODS Using data from a prospective behavioural cohort study of sexually active MSM in the Vancouver area, we used multi-level generalized mixed effect models to evaluate temporal trends in CM use, univariable and multivariable logistic regression to identify covariates of recent CM use, and univariable and multivariable survival analysis to identify predictors of CM initiation. RESULTS Of 497 HIV-negative cohort participants, 10.3% reported any recent CM use at enrollment. From 2012-2016, there were no statistically significant temporal trends in overall CM use or with routes of administration. In multivariable logistic regression analyses, HIV treatment optimism was not associated with recent CM use (not retained in final model) or CM initiation (aHR = 1.06, 95% CI:0.98-1.15). Significant correlates of CM use include recent gamma-hydroxybutyrate (GHB) and ecstasy use, and having received/given drugs for sex. CONCLUSIONS Among HIV-negative MSM in Vancouver, HIV treatment optimism does not appear to be independently associated with CM use or initiation of use, though use of CM was both prevalent and stable over time.","author":[{"dropping-particle":"","family":"Colyer","given":"Sean P","non-dropping-particle":"","parse-names":false,"suffix":""},{"dropping-particle":"","family":"Lachowsky","given":"Nathan J","non-dropping-particle":"","parse-names":false,"suffix":""},{"dropping-particle":"","family":"Cui","given":"Zishan","non-dropping-particle":"","parse-names":false,"suffix":""},{"dropping-particle":"","family":"Zhu","given":"Julia","non-dropping-particle":"","parse-names":false,"suffix":""},{"dropping-particle":"","family":"Armstrong","given":"Heather L","non-dropping-particle":"","parse-names":false,"suffix":""},{"dropping-particle":"","family":"Taylor","given":"Matthew","non-dropping-particle":"","parse-names":false,"suffix":""},{"dropping-particle":"","family":"Edward","given":"Joshua","non-dropping-particle":"","parse-names":false,"suffix":""},{"dropping-particle":"","family":"Olarewaju","given":"Gbolahan","non-dropping-particle":"","parse-names":false,"suffix":""},{"dropping-particle":"","family":"Hogg","given":"Robert S","non-dropping-particle":"","parse-names":false,"suffix":""},{"dropping-particle":"","family":"Roth","given":"Eric A","non-dropping-particle":"","parse-names":false,"suffix":""},{"dropping-particle":"","family":"Moore","given":"David M","non-dropping-particle":"","parse-names":false,"suffix":""}],"container-title":"Drug and alcohol dependence","id":"ITEM-1","issued":{"date-parts":[["2018","4","1"]]},"page":"67-74","title":"HIV treatment optimism and crystal methamphetamine use and initiation among HIV-negative men who have sex with men in Vancouver, Canada: A longitudinal analysis.","type":"article-journal","volume":"185"},"uris":["http://www.mendeley.com/documents/?uuid=670d31ee-09a3-3605-9502-9a60f0e27373"]}],"mendeley":{"formattedCitation":"(Colyer et al., 2018)","plainTextFormattedCitation":"(Colyer et al., 2018)","previouslyFormattedCitation":"(Colyer et al., 2018)"},"properties":{"noteIndex":0},"schema":"https://github.com/citation-style-language/schema/raw/master/csl-citation.json"}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(Colyer et al., 2018)</w:t>
      </w:r>
      <w:r w:rsidRPr="00C265C3">
        <w:rPr>
          <w:color w:val="000000"/>
          <w:lang w:eastAsia="en-CA"/>
        </w:rPr>
        <w:fldChar w:fldCharType="end"/>
      </w:r>
      <w:r w:rsidRPr="00C265C3">
        <w:rPr>
          <w:color w:val="000000"/>
          <w:lang w:eastAsia="en-CA"/>
        </w:rPr>
        <w:t xml:space="preserve">. Qualitative interviews with gbMSM provide further evidence of the association between escape expectancies of drugs and sexual risk </w:t>
      </w:r>
      <w:r w:rsidRPr="00C265C3">
        <w:rPr>
          <w:color w:val="000000"/>
          <w:lang w:eastAsia="en-CA"/>
        </w:rPr>
        <w:fldChar w:fldCharType="begin" w:fldLock="1"/>
      </w:r>
      <w:r w:rsidRPr="00C265C3">
        <w:rPr>
          <w:color w:val="000000"/>
          <w:lang w:eastAsia="en-CA"/>
        </w:rPr>
        <w:instrText>ADDIN CSL_CITATION {"citationItems":[{"id":"ITEM-1","itemData":{"PMID":"11547615","abstract":"PURPOSE We tested the hypotheses that sexual risk would relate to gay/bisexual men's patterns of combining alcohol or drugs with sex, their motivation to use drugs to cognitively \"escape\" awareness of HIV risk, and their use of bars as social and sexual settings. METHODS We conducted extensive interviews among African-American (n = 139) and White (n = 112) gay and bisexual men who were attending a behavioral intervention for safer sex results. Those who frequently combined drugs with sex reported higher rates of sexual risk and Hepatitis B infection than did men who infrequently combined substances with sex, or who combined only alcohol with sex. Sexual risk was pronounced among more frequent drug users who also reported strong expectancies that alcohol or drugs facilitate sex and cognitively escape from awareness of HIV risk. Frequenting bars per se was not an important factor in sexual risk. IMPLICATIONS Men who use alcohol or drugs to enhance sexuality and escape self-awareness of HIV risk have a significantly diminished capacity to avoid sexual risk.","author":[{"dropping-particle":"","family":"McKirnan","given":"D J","non-dropping-particle":"","parse-names":false,"suffix":""},{"dropping-particle":"","family":"Vanable","given":"P A","non-dropping-particle":"","parse-names":false,"suffix":""},{"dropping-particle":"","family":"Ostrow","given":"D G","non-dropping-particle":"","parse-names":false,"suffix":""},{"dropping-particle":"","family":"Hope","given":"B","non-dropping-particle":"","parse-names":false,"suffix":""}],"container-title":"Journal of substance abuse","id":"ITEM-1","issue":"1-2","issued":{"date-parts":[["2001"]]},"page":"137-54","title":"Expectancies of sexual escape and sexual risk among drug and alcohol-involved gay and bisexual men.","type":"article-journal","volume":"13"},"uris":["http://www.mendeley.com/documents/?uuid=c9aa371e-4a68-3255-9efb-d1b72993b59a"]}],"mendeley":{"formattedCitation":"(McKirnan et al., 2001)","plainTextFormattedCitation":"(McKirnan et al., 2001)","previouslyFormattedCitation":"(McKirnan et al., 2001)"},"properties":{"noteIndex":0},"schema":"https://github.com/citation-style-language/schema/raw/master/csl-citation.json"}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(McKirnan et al., 2001)</w:t>
      </w:r>
      <w:r w:rsidRPr="00C265C3">
        <w:rPr>
          <w:color w:val="000000"/>
          <w:lang w:eastAsia="en-CA"/>
        </w:rPr>
        <w:fldChar w:fldCharType="end"/>
      </w:r>
      <w:r w:rsidRPr="00C265C3">
        <w:rPr>
          <w:color w:val="000000"/>
          <w:lang w:eastAsia="en-CA"/>
        </w:rPr>
        <w:t xml:space="preserve">. </w:t>
      </w:r>
      <w:r w:rsidRPr="00C265C3">
        <w:rPr>
          <w:bCs/>
          <w:color w:val="000000"/>
          <w:lang w:eastAsia="en-CA"/>
        </w:rPr>
        <w:t xml:space="preserve">Taken together, these risk factors exacerbate the disproportionate rate of HIV transmission in gbMSM </w:t>
      </w:r>
      <w:r w:rsidRPr="00C265C3">
        <w:rPr>
          <w:bCs/>
          <w:color w:val="000000"/>
          <w:lang w:eastAsia="en-CA"/>
        </w:rPr>
        <w:fldChar w:fldCharType="begin" w:fldLock="1"/>
      </w:r>
      <w:r w:rsidR="005A00BA" w:rsidRPr="00C265C3">
        <w:rPr>
          <w:bCs/>
          <w:color w:val="000000"/>
          <w:lang w:eastAsia="en-CA"/>
        </w:rPr>
        <w:instrText>ADDIN CSL_CITATION {"citationItems":[{"id":"ITEM-1","itemData":{"author":[{"dropping-particle":"","family":"BC Centre for Disease Control","given":"","non-dropping-particle":"","parse-names":false,"suffix":""}],"id":"ITEM-1","issued":{"date-parts":[["2018"]]},"title":"HIV in British Columbia: Annual Surveillance Report 2016.","type":"report"},"uris":["http://www.mendeley.com/documents/?uuid=66680871-3b48-3bd8-97ae-0f1300ca07f7"]},{"id":"ITEM-2","itemData":{"DOI":"10.1016/S0140-6736(12)60821-6","ISSN":"1474-547X","PMID":"22819660","abstract":"Epidemics of HIV in men who have sex with men (MSM) continue to expand in most countries. We sought to understand the epidemiological drivers of the global epidemic in MSM and why it continues unabated. We did a comprehensive review of available data for HIV prevalence, incidence, risk factors, and the molecular epidemiology of HIV in MSM from 2007 to 2011, and modelled the dynamics of HIV transmission with an agent-based simulation. Our findings show that the high probability of transmission per act through receptive anal intercourse has a central role in explaining the disproportionate disease burden in MSM. HIV can be transmitted through large MSM networks at great speed. Molecular epidemiological data show substantial clustering of HIV infections in MSM networks, and higher rates of dual-variant and multiple-variant HIV infection in MSM than in heterosexual people in the same populations. Prevention strategies that lower biological transmission and acquisition risks, such as approaches based on antiretrovirals, offer promise for controlling the expanding epidemic in MSM, but their potential effectiveness is limited by structural factors that contribute to low health-seeking behaviours in populations of MSM in many parts of the world.","author":[{"dropping-particle":"","family":"Beyrer","given":"Chris","non-dropping-particle":"","parse-names":false,"suffix":""},{"dropping-particle":"","family":"Baral","given":"Stefan D","non-dropping-particle":"","parse-names":false,"suffix":""},{"dropping-particle":"","family":"Griensven","given":"Frits","non-dropping-particle":"van","parse-names":false,"suffix":""},{"dropping-particle":"","family":"Goodreau","given":"Steven M","non-dropping-particle":"","parse-names":false,"suffix":""},{"dropping-particle":"","family":"Chariyalertsak","given":"Suwat","non-dropping-particle":"","parse-names":false,"suffix":""},{"dropping-particle":"","family":"Wirtz","given":"Andrea L","non-dropping-particle":"","parse-names":false,"suffix":""},{"dropping-particle":"","family":"Brookmeyer","given":"Ron","non-dropping-particle":"","parse-names":false,"suffix":""}],"container-title":"Lancet (London, England)","id":"ITEM-2","issue":"9839","issued":{"date-parts":[["2012","7","28"]]},"page":"367-77","publisher":"NIH Public Access","title":"Global epidemiology of HIV infection in men who have sex with men.","type":"article-journal","volume":"380"},"uris":["http://www.mendeley.com/documents/?uuid=160bdf65-e02d-3d11-ba97-0512fe8f1f23"]}],"mendeley":{"formattedCitation":"(BC Centre for Disease Control, 2018; Beyrer et al., 2012)","manualFormatting":"(Beyrer et al., 2012)","plainTextFormattedCitation":"(BC Centre for Disease Control, 2018; Beyrer et al., 2012)","previouslyFormattedCitation":"(BC Centre for Disease Control, 2018; Beyrer et al., 2012)"},"properties":{"noteIndex":0},"schema":"https://github.com/citation-style-language/schema/raw/master/csl-citation.json"}</w:instrText>
      </w:r>
      <w:r w:rsidRPr="00C265C3">
        <w:rPr>
          <w:bCs/>
          <w:color w:val="000000"/>
          <w:lang w:eastAsia="en-CA"/>
        </w:rPr>
        <w:fldChar w:fldCharType="separate"/>
      </w:r>
      <w:r w:rsidRPr="00C265C3">
        <w:rPr>
          <w:bCs/>
          <w:noProof/>
          <w:color w:val="000000"/>
          <w:lang w:eastAsia="en-CA"/>
        </w:rPr>
        <w:t>(Beyrer et al., 2012)</w:t>
      </w:r>
      <w:r w:rsidRPr="00C265C3">
        <w:rPr>
          <w:bCs/>
          <w:color w:val="000000"/>
          <w:lang w:eastAsia="en-CA"/>
        </w:rPr>
        <w:fldChar w:fldCharType="end"/>
      </w:r>
      <w:r w:rsidRPr="00C265C3">
        <w:rPr>
          <w:bCs/>
          <w:color w:val="000000"/>
          <w:lang w:eastAsia="en-CA"/>
        </w:rPr>
        <w:t xml:space="preserve">. </w:t>
      </w:r>
    </w:p>
    <w:p w14:paraId="6DE1496F" w14:textId="092AC639" w:rsidR="00053061" w:rsidRPr="00C265C3" w:rsidRDefault="00053061" w:rsidP="00053061">
      <w:pPr>
        <w:spacing w:line="480" w:lineRule="auto"/>
        <w:ind w:firstLine="720"/>
        <w:rPr>
          <w:color w:val="000000"/>
          <w:lang w:eastAsia="en-CA"/>
        </w:rPr>
      </w:pPr>
      <w:r w:rsidRPr="00C265C3">
        <w:rPr>
          <w:color w:val="000000"/>
          <w:lang w:eastAsia="en-CA"/>
        </w:rPr>
        <w:t xml:space="preserve"> </w:t>
      </w:r>
      <w:r w:rsidRPr="00C265C3">
        <w:rPr>
          <w:bCs/>
          <w:color w:val="000000"/>
          <w:lang w:eastAsia="en-CA"/>
        </w:rPr>
        <w:t xml:space="preserve">GbMSM living with HIV are more likely to use MA than their HIV-negative counterparts </w:t>
      </w:r>
      <w:r w:rsidRPr="00C265C3">
        <w:rPr>
          <w:bCs/>
          <w:color w:val="000000"/>
          <w:lang w:eastAsia="en-CA"/>
        </w:rPr>
        <w:fldChar w:fldCharType="begin" w:fldLock="1"/>
      </w:r>
      <w:r w:rsidRPr="00C265C3">
        <w:rPr>
          <w:bCs/>
          <w:color w:val="000000"/>
          <w:lang w:eastAsia="en-CA"/>
        </w:rPr>
        <w:instrText>ADDIN CSL_CITATION {"citationItems":[{"id":"ITEM-1","itemData":{"DOI":"10.2105/AJPH.2005.072249","ISSN":"1541-0048","PMID":"17463384","abstract":"OBJECTIVES We sought to determine the prevalence of HIV and novel cofactors of high-transmission-risk behavior in a probability sample of men who have sex with men (MSM). METHODS We performed a cross-sectional telephone survey of 1976 adult MSM in San Francisco. RESULTS We found an HIV prevalence of 25.2%. Predictors of unprotected insertive anal intercourse with a serodiscordant (not having the same HIV/AIDS serostatus) partner among HIV-infected men included use of Viagra and a greater number of partners in the past 12 months. Unprotected receptive anal intercourse with a serodiscordant partner among men not known to be HIV infected was independently associated with having lived in San Francisco for less than 1 year, use of crystal methamphetamine and amyl nitrites, a greater number of partners, and agreement with the statement, \"You are less careful about being safe with sex or drugs than you were several years ago because there are better treatments for HIV now.\" CONCLUSIONS Strategies to prevent HIV for urban MSM should focus on new predictors of HIV transmission.","author":[{"dropping-particle":"","family":"Schwarcz","given":"Sandra","non-dropping-particle":"","parse-names":false,"suffix":""},{"dropping-particle":"","family":"Scheer","given":"Susan","non-dropping-particle":"","parse-names":false,"suffix":""},{"dropping-particle":"","family":"McFarland","given":"Willi","non-dropping-particle":"","parse-names":false,"suffix":""},{"dropping-particle":"","family":"Katz","given":"Mitchell","non-dropping-particle":"","parse-names":false,"suffix":""},{"dropping-particle":"","family":"Valleroy","given":"Linda","non-dropping-particle":"","parse-names":false,"suffix":""},{"dropping-particle":"","family":"Chen","given":"Sanny","non-dropping-particle":"","parse-names":false,"suffix":""},{"dropping-particle":"","family":"Catania","given":"Joseph","non-dropping-particle":"","parse-names":false,"suffix":""}],"container-title":"American journal of public health","id":"ITEM-1","issue":"6","issued":{"date-parts":[["2007","6"]]},"page":"1067-75","publisher":"American Public Health Association","title":"Prevalence of HIV infection and predictors of high-transmission sexual risk behaviors among men who have sex with men.","type":"article-journal","volume":"97"},"uris":["http://www.mendeley.com/documents/?uuid=3ae63562-17f9-3eb1-b131-5c6deabc8f59"]},{"id":"ITEM-2","itemData":{"DOI":"10.1007/s11524-009-9422-z","ISSN":"10993460","abstract":"Using data collected through venue-based sampling in South Florida from 2004 to 2005 as part of the Centers for Disease Control and Prevention-funded National HIV Behavioral Surveillance Among Men Who Have Sex with Men, we estimate the prevalence of crystal methamphetamine use and its association with high-risk sexual behaviors among a large and diverse sample of men who have sex with men (MSM) residing in South Florida. We also examine how these associations differ between HIV-positive and HIV-negative men. Bivariate analyses were used to assess the characteristics of study participants and their sexual risk behaviors by drug use and self-reported HIV status group. Of 946 MSM participants in South Florida, 18% reported crystal methamphetamine use in the past 12 months. Regardless of self-reported HIV status, crystal methamphetamine users were more likely to report high-risk sexual behaviors, an increased number of non-main sex partners, and being high on drugs and/or alcohol at last sex act with a non-main partner. Our findings indicate that crystal methamphetamine use is prevalent among the MSM population in South Florida, and this prevalence rate is similar, if not higher, than that found in US cities that have been long recognized for having a high rate of crystal methamphetamine use among their MSM populations. Notably, the use of crystal methamphetamine among both HIV-positive and HIV-negative MSM is associated with increased HIV-related risk behaviors.","author":[{"dropping-particle":"","family":"Forrest","given":"David W.","non-dropping-particle":"","parse-names":false,"suffix":""},{"dropping-particle":"","family":"Metsch","given":"Lisa R.","non-dropping-particle":"","parse-names":false,"suffix":""},{"dropping-particle":"","family":"LaLota","given":"Marlene","non-dropping-particle":"","parse-names":false,"suffix":""},{"dropping-particle":"","family":"Cardenas","given":"Gabriel","non-dropping-particle":"","parse-names":false,"suffix":""},{"dropping-particle":"","family":"Beck","given":"Dano W.","non-dropping-particle":"","parse-names":false,"suffix":""},{"dropping-particle":"","family":"Jeanty","given":"Yves","non-dropping-particle":"","parse-names":false,"suffix":""}],"container-title":"Journal of Urban Health","id":"ITEM-2","issue":"3","issued":{"date-parts":[["2010","5"]]},"page":"480-485","title":"Crystal methamphetamine use and sexual risk behaviors among HIV-positive and HIV-negative men who have sex with men in South Florida","type":"article-journal","volume":"87"},"uris":["http://www.mendeley.com/documents/?uuid=9f998294-48c3-3066-846b-0d46647ffd4f"]}],"mendeley":{"formattedCitation":"(Forrest et al., 2010; Schwarcz et al., 2007)","plainTextFormattedCitation":"(Forrest et al., 2010; Schwarcz et al., 2007)","previouslyFormattedCitation":"(Forrest et al., 2010; Schwarcz et al., 2007)"},"properties":{"noteIndex":0},"schema":"https://github.com/citation-style-language/schema/raw/master/csl-citation.json"}</w:instrText>
      </w:r>
      <w:r w:rsidRPr="00C265C3">
        <w:rPr>
          <w:bCs/>
          <w:color w:val="000000"/>
          <w:lang w:eastAsia="en-CA"/>
        </w:rPr>
        <w:fldChar w:fldCharType="separate"/>
      </w:r>
      <w:r w:rsidRPr="00C265C3">
        <w:rPr>
          <w:bCs/>
          <w:noProof/>
          <w:color w:val="000000"/>
          <w:lang w:eastAsia="en-CA"/>
        </w:rPr>
        <w:t>(Forrest et al., 2010; Schwarcz et al., 2007)</w:t>
      </w:r>
      <w:r w:rsidRPr="00C265C3">
        <w:rPr>
          <w:bCs/>
          <w:color w:val="000000"/>
          <w:lang w:eastAsia="en-CA"/>
        </w:rPr>
        <w:fldChar w:fldCharType="end"/>
      </w:r>
      <w:r w:rsidRPr="00C265C3">
        <w:rPr>
          <w:bCs/>
          <w:color w:val="000000"/>
          <w:lang w:eastAsia="en-CA"/>
        </w:rPr>
        <w:t>. MA use among HIV-positive gbMSM is associated</w:t>
      </w:r>
      <w:r w:rsidRPr="00C265C3">
        <w:rPr>
          <w:color w:val="000000"/>
          <w:lang w:eastAsia="en-CA"/>
        </w:rPr>
        <w:t xml:space="preserve"> with lower antiretroviral therapy adherence </w:t>
      </w:r>
      <w:r w:rsidRPr="00C265C3">
        <w:rPr>
          <w:color w:val="000000"/>
          <w:lang w:eastAsia="en-CA"/>
        </w:rPr>
        <w:fldChar w:fldCharType="begin" w:fldLock="1"/>
      </w:r>
      <w:r w:rsidRPr="00C265C3">
        <w:rPr>
          <w:color w:val="000000"/>
          <w:lang w:eastAsia="en-CA"/>
        </w:rPr>
        <w:instrText>ADDIN CSL_CITATION {"citationItems":[{"id":"ITEM-1","itemData":{"DOI":"10.1080/09540120802385579","ISSN":"1360-0451","PMID":"19444665","abstract":"While numerous studies examine methamphetamine use and associated risky sexual behaviors in HIV-uninfected individuals, few studies have surveyed HIV-infected individuals in the health care setting. To assess the frequency and trends of methamphetamine use, sexual activity, injection drug use, patient-provider communication, and medication adherence among HIV-infected persons in care, we administered a one-page anonymous survey in 2004 and 2006. The survey was conducted at the two University of California, San Francisco outpatient HIV clinics: at Moffitt Hospital (Moffitt), serving primarily privately insured patients, and at San Francisco General Hospital (SFGH), a county hospital serving primarily patients who are uninsured or publicly insured. In 2006, 39% of men who have sex with men (MSM), 33% of heterosexual men, and 11% of women reported methamphetamine use in the prior 12 months. Methamphetamine use was significantly associated with an increased number of sex partners among MSM and heterosexual men, and poor anti-retroviral medication adherence. Among MSM, methamphetamine use was more common at the SFGH clinic. Between 2004 and 2006, reported methamphetamine use in the last 12 months decreased among MSM at Moffitt (38 to 20%, p&lt;0.01), but increased at SFGH (40 to 50%, p&lt;0.05). Among methamphetamine users we found a high frequency of injection of methamphetamine, which increased at SFGH from 38 to 55%, p&lt;0.05. Patient-provider communication regarding methamphetamine use has increased from 2004 to 2006 but no significant change has been found for providers asking patients about sexual activity. Overall, we found methamphetamine use to be common among HIV-infected patients in care, and associated with an increased number of sex partners, a high frequency of injection drug use, and poor adherence to anti-retroviral medications. These findings support the need for improved screening and clinic-based interventions to reduce and treat methamphetamine abuse and associated high risk sexual behaviors.","author":[{"dropping-particle":"","family":"Marquez","given":"Carina","non-dropping-particle":"","parse-names":false,"suffix":""},{"dropping-particle":"","family":"Mitchell","given":"Samuel J","non-dropping-particle":"","parse-names":false,"suffix":""},{"dropping-particle":"","family":"Hare","given":"C Bradley","non-dropping-particle":"","parse-names":false,"suffix":""},{"dropping-particle":"","family":"John","given":"Malcolm","non-dropping-particle":"","parse-names":false,"suffix":""},{"dropping-particle":"","family":"Klausner","given":"Jeffrey D","non-dropping-particle":"","parse-names":false,"suffix":""}],"container-title":"AIDS care","id":"ITEM-1","issue":"5","issued":{"date-parts":[["2009","5","14"]]},"page":"575-82","title":"Methamphetamine use, sexual activity, patient-provider communication, and medication adherence among HIV-infected patients in care, San Francisco 2004-2006.","type":"article-journal","volume":"21"},"uris":["http://www.mendeley.com/documents/?uuid=bf8c7c27-fbd2-3b76-955a-48fd40d54266"]}],"mendeley":{"formattedCitation":"(Marquez et al., 2009)","plainTextFormattedCitation":"(Marquez et al., 2009)","previouslyFormattedCitation":"(Marquez et al., 2009)"},"properties":{"noteIndex":0},"schema":"https://github.com/citation-style-language/schema/raw/master/csl-citation.json"}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(Marquez et al., 2009)</w:t>
      </w:r>
      <w:r w:rsidRPr="00C265C3">
        <w:rPr>
          <w:color w:val="000000"/>
          <w:lang w:eastAsia="en-CA"/>
        </w:rPr>
        <w:fldChar w:fldCharType="end"/>
      </w:r>
      <w:r w:rsidRPr="00C265C3">
        <w:rPr>
          <w:color w:val="000000"/>
          <w:lang w:eastAsia="en-CA"/>
        </w:rPr>
        <w:t xml:space="preserve">, decreased access to health care services </w:t>
      </w:r>
      <w:r w:rsidRPr="00C265C3">
        <w:rPr>
          <w:color w:val="000000"/>
          <w:lang w:eastAsia="en-CA"/>
        </w:rPr>
        <w:fldChar w:fldCharType="begin" w:fldLock="1"/>
      </w:r>
      <w:r w:rsidRPr="00C265C3">
        <w:rPr>
          <w:color w:val="000000"/>
          <w:lang w:eastAsia="en-CA"/>
        </w:rPr>
        <w:instrText>ADDIN CSL_CITATION {"citationItems":[{"id":"ITEM-1","itemData":{"DOI":"10.1186/1471-2458-11-20","ISSN":"1471-2458","PMID":"21214930","abstract":"BACKGROUND Methamphetamine (MA) use continues to be a major public health concern in many urban settings. We sought to assess potential relationships between MA use and individual, social, and structural HIV vulnerabilities among sexual minority (lesbian, gay, bisexual or transgendered) drug users. METHODS Beginning in 2005 and ending in 2008, 2109 drug users were enrolled into one of three cohort studies in Vancouver, Canada. We analysed longitudinal data from all self-identified sexual minority participants (n = 248). Logistic regression using generalized estimating equations (GEE) was used to examine the independent correlates of MA use over time. All analyses were stratified by biological sex at birth. RESULTS At baseline, 104 (7.5%) males and 144 (20.4%) females reported sexual minority status, among whom 64 (62.1%) and 58 (40.3%) reported MA use in the past six months, respectively. Compared to heterosexual participants, sexual minority males (odds ratio [OR] = 3.74, p &lt; 0.001) and females (OR = 1.80, p = 0.003) were more likely to report recent MA use. In multivariate analysis, MA use among sexual minority males was associated with younger age (adjusted odds ratio [AOR] = 0.93 per year older, p = 0.011), Aboriginal ancestry (AOR = 2.59, p = 0.019), injection drug use (AOR = 3.98, p &lt; 0.001), having a legal order or area restriction (i.e., \"no-go zone\") impact access to services or influence where drugs are used or purchased (AOR = 4.18, p = 0.008), unprotected intercourse (AOR = 1.62, p = 0.048), and increased depressive symptoms (AOR = 1.67, p = 0.044). Among females, MA use was associated with injection drug use (AOR = 2.49, p = 0.002), Downtown South residency (i.e., an area known for drug use) (AOR = 1.60, p = 0.047), and unprotected intercourse with sex trade clients (AOR = 2.62, p = 0.027). CONCLUSIONS Methamphetamine use was more prevalent among sexual minority males and females and was associated with different sets of HIV risks and vulnerabilities. Our findings suggest that interventions addressing MA-related harms may need to be informed by more nuanced understandings of the intersection between drug use patterns, social and structural HIV vulnerabilities, and gender/sexual identities. In particular, MA-focused prevention and treatment programs tailored to disenfranchised male and female sexual minority youth are recommended.","author":[{"dropping-particle":"","family":"Marshall","given":"Brandon D L","non-dropping-particle":"","parse-names":false,"suffix":""},{"dropping-particle":"","family":"Wood","given":"Evan","non-dropping-particle":"","parse-names":false,"suffix":""},{"dropping-particle":"","family":"Shoveller","given":"Jean A","non-dropping-particle":"","parse-names":false,"suffix":""},{"dropping-particle":"","family":"Patterson","given":"Thomas L","non-dropping-particle":"","parse-names":false,"suffix":""},{"dropping-particle":"","family":"Montaner","given":"Julio S G","non-dropping-particle":"","parse-names":false,"suffix":""},{"dropping-particle":"","family":"Kerr","given":"Thomas","non-dropping-particle":"","parse-names":false,"suffix":""}],"container-title":"BMC public health","id":"ITEM-1","issued":{"date-parts":[["2011","1","7"]]},"page":"20","title":"Pathways to HIV risk and vulnerability among lesbian, gay, bisexual, and transgendered methamphetamine users: a multi-cohort gender-based analysis.","type":"article-journal","volume":"11"},"uris":["http://www.mendeley.com/documents/?uuid=497da634-70ad-39d6-90f4-ec38d40d5a8b"]}],"mendeley":{"formattedCitation":"(Marshall et al., 2011)","plainTextFormattedCitation":"(Marshall et al., 2011)","previouslyFormattedCitation":"(Marshall et al., 2011)"},"properties":{"noteIndex":0},"schema":"https://github.com/citation-style-language/schema/raw/master/csl-citation.json"}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(Marshall et al., 2011)</w:t>
      </w:r>
      <w:r w:rsidRPr="00C265C3">
        <w:rPr>
          <w:color w:val="000000"/>
          <w:lang w:eastAsia="en-CA"/>
        </w:rPr>
        <w:fldChar w:fldCharType="end"/>
      </w:r>
      <w:r w:rsidRPr="00C265C3">
        <w:rPr>
          <w:color w:val="000000"/>
          <w:lang w:eastAsia="en-CA"/>
        </w:rPr>
        <w:t xml:space="preserve">, increased likelihood of unsuppressed viral load </w:t>
      </w:r>
      <w:r w:rsidRPr="00C265C3">
        <w:rPr>
          <w:color w:val="000000"/>
          <w:lang w:eastAsia="en-CA"/>
        </w:rPr>
        <w:fldChar w:fldCharType="begin" w:fldLock="1"/>
      </w:r>
      <w:r w:rsidRPr="00C265C3">
        <w:rPr>
          <w:color w:val="000000"/>
          <w:lang w:eastAsia="en-CA"/>
        </w:rPr>
        <w:instrText>ADDIN CSL_CITATION {"citationItems":[{"id":"ITEM-1","itemData":{"DOI":"10.1097/QAI.0000000000000934","ISSN":"1525-4135","PMID":"26825177","abstract":"BACKGROUND We developed estimates of community viral load (VL) and risk factors for unsuppressed VL from a cross-sectional study of men who have sex with men (MSM) in Vancouver, Canada. METHODS MSM were recruited from February 25, 2012 to February 28, 2014 using respondent-driven sampling (RDS). Participants completed a computer-assisted self-interview questionnaire and a nurse-administered point-of-care HIV test. For HIV-positive participants, we conducted VL and CD4 cell counts. We used RDS-weighted analysis to obtain population estimates of key variables and multivariable logistic regression to examine factors associated with having a VL of ≥200 copies per milliliter among HIV-positive participants. RESULTS We recruited 719 participants, of whom 119 (16.6%) were seeds. Our estimate of the population prevalence of HIV was 23.4% [95% confidence interval (CI): 15.8% to 31.0%] after RDS adjustments. We estimated that 18.6% (95% CI: 8.8% to 30.4%) of HIV-positive MSM in Vancouver had a VL of ≥200 copies per milliliter. Having an unsuppressed VL was associated with non-white ethnicity [adjusted odds ratio (AOR) = 4.34; 95% CI: 1.67 to 11.1], an annual income of &lt;$15,000 CAD (AOR = 6.43; 95% CI: 2.08 to 19.9), using gamma-hydroxy butyrate in the previous 6 months (AOR = 4.85; 95% CI: 1.79 to 13.2), unprotected anal intercourse with a known HIV-negative or an unknown serostatus partner (AOR = 3.13; 95% CI: 1.10 to 8.90), and disclosing one's HIV serostatus ≥50% of the time (AOR = 7.04; 95% CI: 1.01 to 49.1). CONCLUSION Despite a high prevalence of HIV, we estimated that a small proportion of HIV-positive MSM have undiagnosed HIV and unsuppressed VL. Our results highlight the importance of continued work to address health inequities using a framework based on social determinants of health.","author":[{"dropping-particle":"","family":"Moore","given":"David M.","non-dropping-particle":"","parse-names":false,"suffix":""},{"dropping-particle":"","family":"Cui","given":"Zishan","non-dropping-particle":"","parse-names":false,"suffix":""},{"dropping-particle":"","family":"Lachowsky","given":"Nathan","non-dropping-particle":"","parse-names":false,"suffix":""},{"dropping-particle":"","family":"Raymond","given":"Henry F.","non-dropping-particle":"","parse-names":false,"suffix":""},{"dropping-particle":"","family":"Roth","given":"Eric","non-dropping-particle":"","parse-names":false,"suffix":""},{"dropping-particle":"","family":"Rich","given":"Ashleigh","non-dropping-particle":"","parse-names":false,"suffix":""},{"dropping-particle":"","family":"Sereda","given":"Paul","non-dropping-particle":"","parse-names":false,"suffix":""},{"dropping-particle":"","family":"Howard","given":"Terry","non-dropping-particle":"","parse-names":false,"suffix":""},{"dropping-particle":"","family":"McFarland","given":"Willi","non-dropping-particle":"","parse-names":false,"suffix":""},{"dropping-particle":"","family":"Lal","given":"Allan","non-dropping-particle":"","parse-names":false,"suffix":""},{"dropping-particle":"","family":"Montaner","given":"Julio","non-dropping-particle":"","parse-names":false,"suffix":""},{"dropping-particle":"","family":"Corneil","given":"Trevor","non-dropping-particle":"","parse-names":false,"suffix":""},{"dropping-particle":"","family":"Hogg","given":"Robert S.","non-dropping-particle":"","parse-names":false,"suffix":""},{"dropping-particle":"","family":"Momentum Health Study team","given":"","non-dropping-particle":"","parse-names":false,"suffix":""}],"container-title":"JAIDS Journal of Acquired Immune Deficiency Syndromes","id":"ITEM-1","issue":"1","issued":{"date-parts":[["2016","5","1"]]},"page":"87-95","title":"HIV Community Viral Load and Factors Associated With Elevated Viremia Among a Community-Based Sample of Men Who Have Sex With Men in Vancouver, Canada","type":"article-journal","volume":"72"},"uris":["http://www.mendeley.com/documents/?uuid=d6c48cea-f8b2-337f-91fa-d33e03237f23"]}],"mendeley":{"formattedCitation":"(Moore et al., 2016)","plainTextFormattedCitation":"(Moore et al., 2016)","previouslyFormattedCitation":"(Moore et al., 2016)"},"properties":{"noteIndex":0},"schema":"https://github.com/citation-style-language/schema/raw/master/csl-citation.json"}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(Moore et al., 2016)</w:t>
      </w:r>
      <w:r w:rsidRPr="00C265C3">
        <w:rPr>
          <w:color w:val="000000"/>
          <w:lang w:eastAsia="en-CA"/>
        </w:rPr>
        <w:fldChar w:fldCharType="end"/>
      </w:r>
      <w:r w:rsidRPr="00C265C3">
        <w:rPr>
          <w:color w:val="000000"/>
          <w:lang w:eastAsia="en-CA"/>
        </w:rPr>
        <w:t xml:space="preserve">, elevated levels of sexually transmitted infections </w:t>
      </w:r>
      <w:r w:rsidRPr="00C265C3">
        <w:rPr>
          <w:color w:val="000000"/>
          <w:lang w:eastAsia="en-CA"/>
        </w:rPr>
        <w:fldChar w:fldCharType="begin" w:fldLock="1"/>
      </w:r>
      <w:r w:rsidR="005A00BA" w:rsidRPr="00C265C3">
        <w:rPr>
          <w:color w:val="000000"/>
          <w:lang w:eastAsia="en-CA"/>
        </w:rPr>
        <w:instrText>ADDIN CSL_CITATION {"citationItems":[{"id":"ITEM-1","itemData":{"DOI":"10.1521/aeap.2018.30.4.350","ISSN":"1943-2755","PMID":"30148668","abstract":"Methamphetamine use is associated with increased HIV/STI infection among men who have sex with men (MSM). From March 2014 through January 2016, 286 methamphetamine-using MSM enrolled in a study to reduce methamphetamine use and sexual risk behaviors. Participants were tested for HIV/STIs at baseline and every 3 months for 9 months. At baseline, 115 participants (40.2%) were HIV-positive; three participants seroconverted (incidence = 2.6/100 person-years). Baseline testing diagnosed 77 STI cases (21 chlamydia, 18 gonorrhea, 38 syphilis); by 9-month follow-up, 71 incident STIs were diagnosed (22 chlamydia, 24 gonorrhea, 25 syphilis); 78% occurred among HIV-positive participants. Despite efforts to reduce sexual risks among methamphetamine-using MSM, HIV/STI prevalence and incidence remain elevated.","author":[{"dropping-particle":"","family":"Reback","given":"Cathy J","non-dropping-particle":"","parse-names":false,"suffix":""},{"dropping-particle":"","family":"Fletcher","given":"Jesse B","non-dropping-particle":"","parse-names":false,"suffix":""}],"container-title":"AIDS education and prevention : official publication of the International Society for AIDS Education","id":"ITEM-1","issue":"4","issued":{"date-parts":[["2018","8"]]},"page":"350-356","title":"Elevated HIV and STI Prevalence and Incidence Among Methamphetamine-Using Men Who Have Sex With Men in Los Angeles County.","type":"article-journal","volume":"30"},"uris":["http://www.mendeley.com/documents/?uuid=aa801fb4-1ec1-3eb8-80f0-c1223f30d466"]}],"mendeley":{"formattedCitation":"(Reback &amp; Fletcher, 2018)","plainTextFormattedCitation":"(Reback &amp; Fletcher, 2018)","previouslyFormattedCitation":"(Reback &amp; Fletcher, 2018)"},"properties":{"noteIndex":0},"schema":"https://github.com/citation-style-language/schema/raw/master/csl-citation.json"}</w:instrText>
      </w:r>
      <w:r w:rsidRPr="00C265C3">
        <w:rPr>
          <w:color w:val="000000"/>
          <w:lang w:eastAsia="en-CA"/>
        </w:rPr>
        <w:fldChar w:fldCharType="separate"/>
      </w:r>
      <w:r w:rsidR="005A00BA" w:rsidRPr="00C265C3">
        <w:rPr>
          <w:noProof/>
          <w:color w:val="000000"/>
          <w:lang w:eastAsia="en-CA"/>
        </w:rPr>
        <w:t xml:space="preserve">(Reback &amp; Fletcher, </w:t>
      </w:r>
      <w:r w:rsidR="005A00BA" w:rsidRPr="00C265C3">
        <w:rPr>
          <w:noProof/>
          <w:color w:val="000000"/>
          <w:lang w:eastAsia="en-CA"/>
        </w:rPr>
        <w:lastRenderedPageBreak/>
        <w:t>2018)</w:t>
      </w:r>
      <w:r w:rsidRPr="00C265C3">
        <w:rPr>
          <w:color w:val="000000"/>
          <w:lang w:eastAsia="en-CA"/>
        </w:rPr>
        <w:fldChar w:fldCharType="end"/>
      </w:r>
      <w:r w:rsidRPr="00C265C3">
        <w:rPr>
          <w:color w:val="000000"/>
          <w:lang w:eastAsia="en-CA"/>
        </w:rPr>
        <w:t xml:space="preserve">, and immunosuppressive effects </w:t>
      </w:r>
      <w:r w:rsidRPr="00C265C3">
        <w:rPr>
          <w:color w:val="000000"/>
          <w:lang w:eastAsia="en-CA"/>
        </w:rPr>
        <w:fldChar w:fldCharType="begin" w:fldLock="1"/>
      </w:r>
      <w:r w:rsidRPr="00C265C3">
        <w:rPr>
          <w:color w:val="000000"/>
          <w:lang w:eastAsia="en-CA"/>
        </w:rPr>
        <w:instrText>ADDIN CSL_CITATION {"citationItems":[{"id":"ITEM-1","itemData":{"DOI":"10.1371/journal.ppat.0040028","ISSN":"1553-7374","PMID":"18282092","abstract":"Methamphetamine (Meth) is abused by over 35 million people worldwide. Chronic Meth abuse may be particularly devastating in individuals who engage in unprotected sex with multiple partners because it is associated with a 2-fold higher risk for obtaining HIV and associated secondary infections. We report the first specific evidence that Meth at pharmacological concentrations exerts a direct immunosuppressive effect on dendritic cells and macrophages. As a weak base, Meth collapses the pH gradient across acidic organelles, including lysosomes and associated autophagic organelles. This in turn inhibits receptor-mediated phagocytosis of antibody-coated particles, MHC class II antigen processing by the endosomal-lysosomal pathway, and antigen presentation to splenic T cells by dendritic cells. More importantly Meth facilitates intracellular replication and inhibits intracellular killing of Candida albicans and Cryptococcus neoformans, two major AIDS-related pathogens. Meth exerts previously unreported direct immunosuppressive effects that contribute to increased risk of infection and exacerbate AIDS pathology.","author":[{"dropping-particle":"","family":"Tallóczy","given":"Zsolt","non-dropping-particle":"","parse-names":false,"suffix":""},{"dropping-particle":"","family":"Martinez","given":"Jose","non-dropping-particle":"","parse-names":false,"suffix":""},{"dropping-particle":"","family":"Joset","given":"Danielle","non-dropping-particle":"","parse-names":false,"suffix":""},{"dropping-particle":"","family":"Ray","given":"Yonaton","non-dropping-particle":"","parse-names":false,"suffix":""},{"dropping-particle":"","family":"Gácser","given":"Attila","non-dropping-particle":"","parse-names":false,"suffix":""},{"dropping-particle":"","family":"Toussi","given":"Sima","non-dropping-particle":"","parse-names":false,"suffix":""},{"dropping-particle":"","family":"Mizushima","given":"Noboru","non-dropping-particle":"","parse-names":false,"suffix":""},{"dropping-particle":"","family":"Nosanchuk","given":"Joshua D","non-dropping-particle":"","parse-names":false,"suffix":""},{"dropping-particle":"","family":"Nosanchuk","given":"Josh","non-dropping-particle":"","parse-names":false,"suffix":""},{"dropping-particle":"","family":"Goldstein","given":"Harris","non-dropping-particle":"","parse-names":false,"suffix":""},{"dropping-particle":"","family":"Loike","given":"John","non-dropping-particle":"","parse-names":false,"suffix":""},{"dropping-particle":"","family":"Sulzer","given":"David","non-dropping-particle":"","parse-names":false,"suffix":""},{"dropping-particle":"","family":"Santambrogio","given":"Laura","non-dropping-particle":"","parse-names":false,"suffix":""}],"container-title":"PLoS pathogens","id":"ITEM-1","issue":"2","issued":{"date-parts":[["2008","2","8"]]},"page":"e28","title":"Methamphetamine inhibits antigen processing, presentation, and phagocytosis.","type":"article-journal","volume":"4"},"uris":["http://www.mendeley.com/documents/?uuid=751da8a4-8346-333e-bfbc-c31af32f7578"]}],"mendeley":{"formattedCitation":"(Tallóczy et al., 2008)","plainTextFormattedCitation":"(Tallóczy et al., 2008)","previouslyFormattedCitation":"(Tallóczy et al., 2008)"},"properties":{"noteIndex":0},"schema":"https://github.com/citation-style-language/schema/raw/master/csl-citation.json"}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(Tallóczy et al., 2008)</w:t>
      </w:r>
      <w:r w:rsidRPr="00C265C3">
        <w:rPr>
          <w:color w:val="000000"/>
          <w:lang w:eastAsia="en-CA"/>
        </w:rPr>
        <w:fldChar w:fldCharType="end"/>
      </w:r>
      <w:r w:rsidRPr="00C265C3">
        <w:rPr>
          <w:color w:val="000000"/>
          <w:lang w:eastAsia="en-CA"/>
        </w:rPr>
        <w:t>. The</w:t>
      </w:r>
      <w:r w:rsidR="007500E8" w:rsidRPr="00C265C3">
        <w:rPr>
          <w:color w:val="000000"/>
          <w:lang w:eastAsia="en-CA"/>
        </w:rPr>
        <w:t>se</w:t>
      </w:r>
      <w:r w:rsidRPr="00C265C3">
        <w:rPr>
          <w:color w:val="000000"/>
          <w:lang w:eastAsia="en-CA"/>
        </w:rPr>
        <w:t xml:space="preserve"> implications present concerns at both the individual and community level in curbing the HIV epidemic among gbMSM. </w:t>
      </w:r>
    </w:p>
    <w:p w14:paraId="2CA46E14" w14:textId="687F90CD" w:rsidR="00C140C5" w:rsidRPr="00C265C3" w:rsidRDefault="005719B5" w:rsidP="00C140C5">
      <w:pPr>
        <w:spacing w:line="480" w:lineRule="auto"/>
        <w:ind w:firstLine="720"/>
        <w:rPr>
          <w:color w:val="000000"/>
          <w:lang w:eastAsia="en-CA"/>
        </w:rPr>
      </w:pPr>
      <w:r>
        <w:rPr>
          <w:color w:val="000000"/>
          <w:lang w:eastAsia="en-CA"/>
        </w:rPr>
        <w:t xml:space="preserve">Research regarding </w:t>
      </w:r>
      <w:r w:rsidR="00C140C5" w:rsidRPr="00C265C3">
        <w:rPr>
          <w:color w:val="000000"/>
          <w:lang w:eastAsia="en-CA"/>
        </w:rPr>
        <w:t xml:space="preserve">targeted interventions to reduce MA among gbMSM are limited but have found </w:t>
      </w:r>
      <w:r>
        <w:rPr>
          <w:color w:val="000000"/>
          <w:lang w:eastAsia="en-CA"/>
        </w:rPr>
        <w:t xml:space="preserve">some </w:t>
      </w:r>
      <w:r w:rsidR="00C140C5" w:rsidRPr="00C265C3">
        <w:rPr>
          <w:color w:val="000000"/>
          <w:lang w:eastAsia="en-CA"/>
        </w:rPr>
        <w:t>promising results. Using motivational interviewing</w:t>
      </w:r>
      <w:r w:rsidR="00ED3FC9" w:rsidRPr="00C265C3">
        <w:rPr>
          <w:color w:val="000000"/>
          <w:lang w:eastAsia="en-CA"/>
        </w:rPr>
        <w:t>,</w:t>
      </w:r>
      <w:r w:rsidR="00C140C5" w:rsidRPr="00C265C3">
        <w:rPr>
          <w:color w:val="000000"/>
          <w:lang w:eastAsia="en-CA"/>
        </w:rPr>
        <w:t xml:space="preserve"> </w:t>
      </w:r>
      <w:proofErr w:type="spellStart"/>
      <w:r w:rsidR="00C140C5" w:rsidRPr="00C265C3">
        <w:rPr>
          <w:color w:val="000000"/>
          <w:lang w:eastAsia="en-CA"/>
        </w:rPr>
        <w:t>Zule</w:t>
      </w:r>
      <w:proofErr w:type="spellEnd"/>
      <w:r w:rsidR="00C140C5" w:rsidRPr="00C265C3">
        <w:rPr>
          <w:color w:val="000000"/>
          <w:lang w:eastAsia="en-CA"/>
        </w:rPr>
        <w:t xml:space="preserve"> et al. (2012) found a significant reduction in self-reported MA use</w:t>
      </w:r>
      <w:r w:rsidR="00F1476D">
        <w:rPr>
          <w:color w:val="000000"/>
          <w:lang w:eastAsia="en-CA"/>
        </w:rPr>
        <w:t>;</w:t>
      </w:r>
      <w:r w:rsidR="00C140C5" w:rsidRPr="00C265C3">
        <w:rPr>
          <w:color w:val="000000"/>
          <w:lang w:eastAsia="en-CA"/>
        </w:rPr>
        <w:t xml:space="preserve"> during the previous 60 days</w:t>
      </w:r>
      <w:r w:rsidR="00F1476D">
        <w:rPr>
          <w:color w:val="000000"/>
          <w:lang w:eastAsia="en-CA"/>
        </w:rPr>
        <w:t>, a decrease</w:t>
      </w:r>
      <w:r w:rsidR="00C140C5" w:rsidRPr="00C265C3">
        <w:rPr>
          <w:color w:val="000000"/>
          <w:lang w:eastAsia="en-CA"/>
        </w:rPr>
        <w:t xml:space="preserve"> from an average of 9.4 days at baseline to 3.3 days at follow-up (p&lt;0.023) </w:t>
      </w:r>
      <w:r w:rsidR="00F1476D">
        <w:rPr>
          <w:color w:val="000000"/>
          <w:lang w:eastAsia="en-CA"/>
        </w:rPr>
        <w:t xml:space="preserve">was observed </w:t>
      </w:r>
      <w:r w:rsidR="00C140C5" w:rsidRPr="00C265C3">
        <w:rPr>
          <w:color w:val="000000"/>
          <w:lang w:eastAsia="en-CA"/>
        </w:rPr>
        <w:t xml:space="preserve">among gbMSM </w:t>
      </w:r>
      <w:r w:rsidR="00F1476D">
        <w:rPr>
          <w:color w:val="000000"/>
          <w:lang w:eastAsia="en-CA"/>
        </w:rPr>
        <w:t xml:space="preserve">who were </w:t>
      </w:r>
      <w:r w:rsidR="00C140C5" w:rsidRPr="00C265C3">
        <w:rPr>
          <w:color w:val="000000"/>
          <w:lang w:eastAsia="en-CA"/>
        </w:rPr>
        <w:t>not in</w:t>
      </w:r>
      <w:r w:rsidR="00103FF0">
        <w:rPr>
          <w:color w:val="000000"/>
          <w:lang w:eastAsia="en-CA"/>
        </w:rPr>
        <w:t xml:space="preserve"> drug</w:t>
      </w:r>
      <w:r w:rsidR="00C140C5" w:rsidRPr="00C265C3">
        <w:rPr>
          <w:color w:val="000000"/>
          <w:lang w:eastAsia="en-CA"/>
        </w:rPr>
        <w:t xml:space="preserve"> treatment</w:t>
      </w:r>
      <w:r w:rsidR="005A00BA" w:rsidRPr="00C265C3">
        <w:rPr>
          <w:color w:val="000000"/>
          <w:lang w:eastAsia="en-CA"/>
        </w:rPr>
        <w:t xml:space="preserve"> </w:t>
      </w:r>
      <w:r w:rsidR="005A00BA" w:rsidRPr="00C265C3">
        <w:rPr>
          <w:color w:val="000000"/>
          <w:lang w:eastAsia="en-CA"/>
        </w:rPr>
        <w:fldChar w:fldCharType="begin" w:fldLock="1"/>
      </w:r>
      <w:r w:rsidR="005A00BA" w:rsidRPr="00C265C3">
        <w:rPr>
          <w:color w:val="000000"/>
          <w:lang w:eastAsia="en-CA"/>
        </w:rPr>
        <w:instrText>ADDIN CSL_CITATION {"citationItems":[{"id":"ITEM-1","itemData":{"DOI":"10.1080/02791072.2012.736794","ISSN":"0279-1072","author":[{"dropping-particle":"","family":"Zule","given":"William A.","non-dropping-particle":"","parse-names":false,"suffix":""},{"dropping-particle":"","family":"Poulton","given":"Winona E.","non-dropping-particle":"","parse-names":false,"suffix":""},{"dropping-particle":"","family":"Coomes","given":"Curtis M.","non-dropping-particle":"","parse-names":false,"suffix":""},{"dropping-particle":"","family":"Mansergh","given":"Gordon","non-dropping-particle":"","parse-names":false,"suffix":""},{"dropping-particle":"","family":"Charania","given":"Mahnaz","non-dropping-particle":"","parse-names":false,"suffix":""},{"dropping-particle":"","family":"Wechsberg","given":"Wendee M.","non-dropping-particle":"","parse-names":false,"suffix":""},{"dropping-particle":"","family":"Jones","given":"Hendree E.","non-dropping-particle":"","parse-names":false,"suffix":""}],"container-title":"Journal of Psychoactive Drugs","id":"ITEM-1","issue":"5","issued":{"date-parts":[["2012","11"]]},"page":"351-358","title":"Results of a Pilot Study to Reduce Methamphetamine Use and Sexual Risk Behaviors Among Methamphetamine-Using Men Who Have Sex with Men (MSM) Not Currently in Treatment","type":"article-journal","volume":"44"},"uris":["http://www.mendeley.com/documents/?uuid=bc576f80-b456-340d-852e-dba488e22110"]}],"mendeley":{"formattedCitation":"(Zule et al., 2012)","plainTextFormattedCitation":"(Zule et al., 2012)","previouslyFormattedCitation":"(Zule et al., 2012)"},"properties":{"noteIndex":0},"schema":"https://github.com/citation-style-language/schema/raw/master/csl-citation.json"}</w:instrText>
      </w:r>
      <w:r w:rsidR="005A00BA" w:rsidRPr="00C265C3">
        <w:rPr>
          <w:color w:val="000000"/>
          <w:lang w:eastAsia="en-CA"/>
        </w:rPr>
        <w:fldChar w:fldCharType="separate"/>
      </w:r>
      <w:r w:rsidR="005A00BA" w:rsidRPr="00C265C3">
        <w:rPr>
          <w:noProof/>
          <w:color w:val="000000"/>
          <w:lang w:eastAsia="en-CA"/>
        </w:rPr>
        <w:t>(Zule et al., 2012)</w:t>
      </w:r>
      <w:r w:rsidR="005A00BA" w:rsidRPr="00C265C3">
        <w:rPr>
          <w:color w:val="000000"/>
          <w:lang w:eastAsia="en-CA"/>
        </w:rPr>
        <w:fldChar w:fldCharType="end"/>
      </w:r>
      <w:r w:rsidR="005A00BA" w:rsidRPr="00C265C3">
        <w:rPr>
          <w:color w:val="000000"/>
          <w:lang w:eastAsia="en-CA"/>
        </w:rPr>
        <w:t>.</w:t>
      </w:r>
      <w:r w:rsidR="00C140C5" w:rsidRPr="00C265C3">
        <w:rPr>
          <w:color w:val="000000"/>
          <w:lang w:eastAsia="en-CA"/>
        </w:rPr>
        <w:t xml:space="preserve"> More recently, </w:t>
      </w:r>
      <w:proofErr w:type="spellStart"/>
      <w:r w:rsidR="00C140C5" w:rsidRPr="00C265C3">
        <w:rPr>
          <w:color w:val="000000"/>
          <w:lang w:eastAsia="en-CA"/>
        </w:rPr>
        <w:t>Reba</w:t>
      </w:r>
      <w:r w:rsidR="00ED3FC9" w:rsidRPr="00C265C3">
        <w:rPr>
          <w:color w:val="000000"/>
          <w:lang w:eastAsia="en-CA"/>
        </w:rPr>
        <w:t>c</w:t>
      </w:r>
      <w:r w:rsidR="00C140C5" w:rsidRPr="00C265C3">
        <w:rPr>
          <w:color w:val="000000"/>
          <w:lang w:eastAsia="en-CA"/>
        </w:rPr>
        <w:t>k</w:t>
      </w:r>
      <w:proofErr w:type="spellEnd"/>
      <w:r w:rsidR="00C140C5" w:rsidRPr="00C265C3">
        <w:rPr>
          <w:color w:val="000000"/>
          <w:lang w:eastAsia="en-CA"/>
        </w:rPr>
        <w:t xml:space="preserve"> </w:t>
      </w:r>
      <w:r w:rsidR="00D97515">
        <w:rPr>
          <w:color w:val="000000"/>
          <w:lang w:eastAsia="en-CA"/>
        </w:rPr>
        <w:t>e</w:t>
      </w:r>
      <w:r w:rsidR="00C140C5" w:rsidRPr="00C265C3">
        <w:rPr>
          <w:color w:val="000000"/>
          <w:lang w:eastAsia="en-CA"/>
        </w:rPr>
        <w:t>t al. (2019) applied an interactive text-message based intervention among gbMSM using MA and found significant reductions in MA use (coef.=− 0.10)</w:t>
      </w:r>
      <w:r w:rsidR="005A00BA" w:rsidRPr="00C265C3">
        <w:rPr>
          <w:color w:val="000000"/>
          <w:lang w:eastAsia="en-CA"/>
        </w:rPr>
        <w:t xml:space="preserve"> </w:t>
      </w:r>
      <w:r w:rsidR="005A00BA" w:rsidRPr="00C265C3">
        <w:rPr>
          <w:color w:val="000000"/>
          <w:lang w:eastAsia="en-CA"/>
        </w:rPr>
        <w:fldChar w:fldCharType="begin" w:fldLock="1"/>
      </w:r>
      <w:r w:rsidR="009D1C8D" w:rsidRPr="00C265C3">
        <w:rPr>
          <w:color w:val="000000"/>
          <w:lang w:eastAsia="en-CA"/>
        </w:rPr>
        <w:instrText>ADDIN CSL_CITATION {"citationItems":[{"id":"ITEM-1","itemData":{"DOI":"10.1007/s10461-018-2225-z","ISSN":"1573-3254","PMID":"30006792","abstract":"Project Tech Support2 was a randomized controlled trial that tested three methods of text message delivery for reducing methamphetamine use and HIV risks among MSM. From March 2014 to January 2016, 286 methamphetamine-using MSM were randomized into: (1) interactive text conversations with Peer Health Educators, plus five-times-a-day automated theory-based messages, plus a weekly self-monitoring text-message assessment (TXT-PHE; n = 94); or, (2) the daily automated messages and weekly self-monitoring assessment (TXT-Auto; n = 99); or, (3) weekly self-monitoring assessment only (AO; n = 93). All three conditions demonstrated reductions in methamphetamine use (coef. = - 0.10), sex on methamphetamine (coef. = - 0.09), and condomless anal intercourse (CAI) with casual male partners (coef. = - 0.06). Only participants in TXT-PHE and TEXT-Auto also reduced CAI with main male partners (coefTXT-PHE = - 0.19; coef.TXT-Auto = - 0.16), and only TEXT-Auto participants reduced CAI with anonymous male partners (coef. = - 0.05). Additionally, both theory-based text-messaging interventions achieved sustained reductions in five of the six outcomes through 9 months. Overall, automated delivery outperformed peer-delivered messaging.","author":[{"dropping-particle":"","family":"Reback","given":"Cathy J","non-dropping-particle":"","parse-names":false,"suffix":""},{"dropping-particle":"","family":"Fletcher","given":"Jesse B","non-dropping-particle":"","parse-names":false,"suffix":""},{"dropping-particle":"","family":"Swendeman","given":"Dallas A","non-dropping-particle":"","parse-names":false,"suffix":""},{"dropping-particle":"","family":"Metzner","given":"Mitch","non-dropping-particle":"","parse-names":false,"suffix":""}],"container-title":"AIDS and behavior","id":"ITEM-1","issue":"1","issued":{"date-parts":[["2019","1"]]},"page":"37-47","title":"Theory-Based Text-Messaging to Reduce Methamphetamine Use and HIV Sexual Risk Behaviors Among Men Who Have Sex with Men: Automated Unidirectional Delivery Outperforms Bidirectional Peer Interactive Delivery.","type":"article-journal","volume":"23"},"uris":["http://www.mendeley.com/documents/?uuid=9b2bced1-2ce0-3a96-ad49-494a7dae4648"]}],"mendeley":{"formattedCitation":"(Reback et al., 2019)","plainTextFormattedCitation":"(Reback et al., 2019)","previouslyFormattedCitation":"(Reback et al., 2019)"},"properties":{"noteIndex":0},"schema":"https://github.com/citation-style-language/schema/raw/master/csl-citation.json"}</w:instrText>
      </w:r>
      <w:r w:rsidR="005A00BA" w:rsidRPr="00C265C3">
        <w:rPr>
          <w:color w:val="000000"/>
          <w:lang w:eastAsia="en-CA"/>
        </w:rPr>
        <w:fldChar w:fldCharType="separate"/>
      </w:r>
      <w:r w:rsidR="005A00BA" w:rsidRPr="00C265C3">
        <w:rPr>
          <w:noProof/>
          <w:color w:val="000000"/>
          <w:lang w:eastAsia="en-CA"/>
        </w:rPr>
        <w:t>(Reback et al., 2019)</w:t>
      </w:r>
      <w:r w:rsidR="005A00BA" w:rsidRPr="00C265C3">
        <w:rPr>
          <w:color w:val="000000"/>
          <w:lang w:eastAsia="en-CA"/>
        </w:rPr>
        <w:fldChar w:fldCharType="end"/>
      </w:r>
      <w:r w:rsidR="005A00BA" w:rsidRPr="00C265C3">
        <w:rPr>
          <w:color w:val="000000"/>
          <w:lang w:eastAsia="en-CA"/>
        </w:rPr>
        <w:t>.</w:t>
      </w:r>
      <w:r w:rsidR="00C140C5" w:rsidRPr="00C265C3">
        <w:rPr>
          <w:color w:val="000000"/>
          <w:lang w:eastAsia="en-CA"/>
        </w:rPr>
        <w:t xml:space="preserve"> Moreover,</w:t>
      </w:r>
      <w:r w:rsidR="00103FF0">
        <w:rPr>
          <w:color w:val="000000"/>
          <w:lang w:eastAsia="en-CA"/>
        </w:rPr>
        <w:t xml:space="preserve"> MA</w:t>
      </w:r>
      <w:r w:rsidR="00C140C5" w:rsidRPr="00C265C3">
        <w:rPr>
          <w:color w:val="000000"/>
          <w:lang w:eastAsia="en-CA"/>
        </w:rPr>
        <w:t xml:space="preserve"> </w:t>
      </w:r>
      <w:r w:rsidR="00C140C5" w:rsidRPr="00C265C3">
        <w:rPr>
          <w:lang w:eastAsia="en-CA"/>
        </w:rPr>
        <w:t xml:space="preserve">intervention trials </w:t>
      </w:r>
      <w:r w:rsidR="00103FF0">
        <w:rPr>
          <w:lang w:eastAsia="en-CA"/>
        </w:rPr>
        <w:t xml:space="preserve">among gbMSM </w:t>
      </w:r>
      <w:r w:rsidR="00C140C5" w:rsidRPr="00C265C3">
        <w:rPr>
          <w:lang w:eastAsia="en-CA"/>
        </w:rPr>
        <w:t xml:space="preserve">have found reductions of MA use to be associated with significant reductions in depressive symptoms, risky sexual behaviour </w:t>
      </w:r>
      <w:r w:rsidR="00C140C5" w:rsidRPr="00C265C3">
        <w:rPr>
          <w:lang w:eastAsia="en-CA"/>
        </w:rPr>
        <w:fldChar w:fldCharType="begin" w:fldLock="1"/>
      </w:r>
      <w:r w:rsidR="00C140C5" w:rsidRPr="00C265C3">
        <w:rPr>
          <w:lang w:eastAsia="en-CA"/>
        </w:rPr>
        <w:instrText>ADDIN CSL_CITATION {"citationItems":[{"id":"ITEM-1","itemData":{"DOI":"10.1089/apc.2012.0216","ISSN":"1557-7449","PMID":"23030605","abstract":"Crystal methamphetamine use is a major driver behind high-risk sexual behavior among men who have sex with men (MSM). Prior work suggests a cycle of continued crystal methamphetamine use and high-risk sex due to loss of the ability to enjoy other activities, which appears to be a side effect of this drug. Behavioral activation (BA) is a treatment for depression that involves learning to reengage in life's activities. We evaluated a novel intervention for crystal methamphetamine abuse and high-risk sex in MSM, incorporating 10 sessions of BA with integrated HIV risk reduction counseling (RR). Forty-four subjects were screened, of whom 21 met initial entry criteria. A total of 19 participants enrolled; 16 completed an open-phase study of the intervention. Behavioral assessments were conducted at baseline, 3 months postbaseline, and 6 months postbaseline. Linear mixed effects regression models were fit to assess change over time. Mean unprotected anal intercourse (UAI) episodes decreased significantly from baseline to acute postintervention (β=-4.86; 95% confidence interval [CI]=-7.48, -2.24; p=0.0015) and from baseline to 6 months postbaseline (β=-5.07; 95% CI=-7.85, -2.29; p=0.0017; test of fixed effects χ(2)=16.59; df=2,13; p=0.0002). On average, there was a significant decrease over time in the number of crystal methamphetamine episodes in the past 3 months (χ(2)=22.43; df=2,15; p&lt;0.0001), and the number of days of crystal methamphetamine use in the past 30 days (χ(2)=9.21; df=2,15; p=0.010). Statistically significant reductions in depressive symptoms and poly-substance use were also maintained. Adding behavioral activation to risk reduction counseling for MSM with problematic crystal methamphetamine use may augment the potency of a risk reduction intervention for this population. Due to the small sample size and time intensive intervention, future testing in a randomized design is necessary to determine efficacy, with subsequent effectiveness testing.","author":[{"dropping-particle":"","family":"Mimiaga","given":"Matthew J","non-dropping-particle":"","parse-names":false,"suffix":""},{"dropping-particle":"","family":"Reisner","given":"Sari L","non-dropping-particle":"","parse-names":false,"suffix":""},{"dropping-particle":"","family":"Pantalone","given":"David W","non-dropping-particle":"","parse-names":false,"suffix":""},{"dropping-particle":"","family":"O'Cleirigh","given":"Conall","non-dropping-particle":"","parse-names":false,"suffix":""},{"dropping-particle":"","family":"Mayer","given":"Kenneth H","non-dropping-particle":"","parse-names":false,"suffix":""},{"dropping-particle":"","family":"Safren","given":"Steven A","non-dropping-particle":"","parse-names":false,"suffix":""}],"container-title":"AIDS patient care and STDs","id":"ITEM-1","issue":"11","issued":{"date-parts":[["2012","11"]]},"page":"681-93","publisher":"Mary Ann Liebert, Inc.","title":"A pilot trial of integrated behavioral activation and sexual risk reduction counseling for HIV-uninfected men who have sex with men abusing crystal methamphetamine.","type":"article-journal","volume":"26"},"uris":["http://www.mendeley.com/documents/?uuid=9c5c62b9-00ca-368b-88f1-5a9d760475e9"]}],"mendeley":{"formattedCitation":"(Mimiaga et al., 2012)","plainTextFormattedCitation":"(Mimiaga et al., 2012)","previouslyFormattedCitation":"(Mimiaga et al., 2012)"},"properties":{"noteIndex":0},"schema":"https://github.com/citation-style-language/schema/raw/master/csl-citation.json"}</w:instrText>
      </w:r>
      <w:r w:rsidR="00C140C5" w:rsidRPr="00C265C3">
        <w:rPr>
          <w:lang w:eastAsia="en-CA"/>
        </w:rPr>
        <w:fldChar w:fldCharType="separate"/>
      </w:r>
      <w:r w:rsidR="00C140C5" w:rsidRPr="00C265C3">
        <w:rPr>
          <w:noProof/>
          <w:lang w:eastAsia="en-CA"/>
        </w:rPr>
        <w:t>(Mimiaga et al., 2012)</w:t>
      </w:r>
      <w:r w:rsidR="00C140C5" w:rsidRPr="00C265C3">
        <w:rPr>
          <w:lang w:eastAsia="en-CA"/>
        </w:rPr>
        <w:fldChar w:fldCharType="end"/>
      </w:r>
      <w:r w:rsidR="00C140C5" w:rsidRPr="00C265C3">
        <w:rPr>
          <w:lang w:eastAsia="en-CA"/>
        </w:rPr>
        <w:t xml:space="preserve">, and psychological distress </w:t>
      </w:r>
      <w:r w:rsidR="00C140C5" w:rsidRPr="00C265C3">
        <w:rPr>
          <w:lang w:eastAsia="en-CA"/>
        </w:rPr>
        <w:fldChar w:fldCharType="begin" w:fldLock="1"/>
      </w:r>
      <w:r w:rsidR="00C140C5" w:rsidRPr="00C265C3">
        <w:rPr>
          <w:lang w:eastAsia="en-CA"/>
        </w:rPr>
        <w:instrText>ADDIN CSL_CITATION {"citationItems":[{"id":"ITEM-1","itemData":{"DOI":"10.1371/journal.pone.0172560","ISSN":"1932-6203","PMID":"28207902","abstract":"Gay and bisexual men (GBM) report higher rates of methamphetamine use compared to heterosexual men, and thus have a heightened risk of developing problems from their use. We examined treatment outcomes among GBM clients receiving outpatient counseling at a lesbian, gay, bisexual, transgender and intersex (LGBTI)-specific, harm reduction treatment service in Sydney, Australia. GBM receiving treatment for methamphetamine use from ACON's Substance Support Service between 2012-15 (n = 101) were interviewed at treatment commencement, and after 4 sessions (n = 60; follow-up 1) and 8 sessions (n = 32; follow-up 2). At each interview, clients completed measures of methamphetamine use and dependence, other substance use, injecting risk practices, psychological distress and quality of life. The median age of participants was 41 years and 56.4% identified as HIV-positive. Participants attended a median of 5 sessions and attended treatment for a median of 112 days. There was a significant reduction in the median days of methamphetamine use in the previous 4 weeks between baseline (4 days), follow-up 1 (2 days) and follow-up 2 (2 days; p = .001). There was a significant reduction in the proportion of participants reporting methamphetamine dependence between baseline (92.1%), follow-up 1 (78.3%) and follow-up 2 (71.9%, p &lt; .001). There were also significant reductions in psychological distress (p &lt; .001), and significant improvements in quality of life (p &lt; .001). Clients showed reductions in methamphetamine use and improved psychosocial functioning over time, demonstrating the potential effectiveness of a LGBTI-specific treatment service.","author":[{"dropping-particle":"","family":"Lea","given":"Toby","non-dropping-particle":"","parse-names":false,"suffix":""},{"dropping-particle":"","family":"Kolstee","given":"Johann","non-dropping-particle":"","parse-names":false,"suffix":""},{"dropping-particle":"","family":"Lambert","given":"Sarah","non-dropping-particle":"","parse-names":false,"suffix":""},{"dropping-particle":"","family":"Ness","given":"Ross","non-dropping-particle":"","parse-names":false,"suffix":""},{"dropping-particle":"","family":"Hannan","given":"Siobhan","non-dropping-particle":"","parse-names":false,"suffix":""},{"dropping-particle":"","family":"Holt","given":"Martin","non-dropping-particle":"","parse-names":false,"suffix":""}],"container-title":"PloS one","editor":[{"dropping-particle":"","family":"Pendyala","given":"Gurudutt","non-dropping-particle":"","parse-names":false,"suffix":""}],"id":"ITEM-1","issue":"2","issued":{"date-parts":[["2017","2","16"]]},"page":"e0172560","title":"Methamphetamine treatment outcomes among gay men attending a LGBTI-specific treatment service in Sydney, Australia.","type":"article-journal","volume":"12"},"uris":["http://www.mendeley.com/documents/?uuid=12477fef-37f6-342f-828c-4088a7a166ec"]}],"mendeley":{"formattedCitation":"(Lea et al., 2017)","plainTextFormattedCitation":"(Lea et al., 2017)","previouslyFormattedCitation":"(Lea et al., 2017)"},"properties":{"noteIndex":0},"schema":"https://github.com/citation-style-language/schema/raw/master/csl-citation.json"}</w:instrText>
      </w:r>
      <w:r w:rsidR="00C140C5" w:rsidRPr="00C265C3">
        <w:rPr>
          <w:lang w:eastAsia="en-CA"/>
        </w:rPr>
        <w:fldChar w:fldCharType="separate"/>
      </w:r>
      <w:r w:rsidR="00C140C5" w:rsidRPr="00C265C3">
        <w:rPr>
          <w:noProof/>
          <w:lang w:eastAsia="en-CA"/>
        </w:rPr>
        <w:t>(Lea et al., 2017)</w:t>
      </w:r>
      <w:r w:rsidR="00C140C5" w:rsidRPr="00C265C3">
        <w:rPr>
          <w:lang w:eastAsia="en-CA"/>
        </w:rPr>
        <w:fldChar w:fldCharType="end"/>
      </w:r>
      <w:r w:rsidR="00C140C5" w:rsidRPr="00C265C3">
        <w:rPr>
          <w:lang w:eastAsia="en-CA"/>
        </w:rPr>
        <w:t xml:space="preserve">. Correspondingly, significant improvements in psychosocial functioning </w:t>
      </w:r>
      <w:r w:rsidR="00C140C5" w:rsidRPr="00C265C3">
        <w:rPr>
          <w:lang w:eastAsia="en-CA"/>
        </w:rPr>
        <w:fldChar w:fldCharType="begin" w:fldLock="1"/>
      </w:r>
      <w:r w:rsidR="00C140C5" w:rsidRPr="00C265C3">
        <w:rPr>
          <w:lang w:eastAsia="en-CA"/>
        </w:rPr>
        <w:instrText>ADDIN CSL_CITATION {"citationItems":[{"id":"ITEM-1","itemData":{"DOI":"10.1371/journal.pone.0172560","ISSN":"1932-6203","PMID":"28207902","abstract":"Gay and bisexual men (GBM) report higher rates of methamphetamine use compared to heterosexual men, and thus have a heightened risk of developing problems from their use. We examined treatment outcomes among GBM clients receiving outpatient counseling at a lesbian, gay, bisexual, transgender and intersex (LGBTI)-specific, harm reduction treatment service in Sydney, Australia. GBM receiving treatment for methamphetamine use from ACON's Substance Support Service between 2012-15 (n = 101) were interviewed at treatment commencement, and after 4 sessions (n = 60; follow-up 1) and 8 sessions (n = 32; follow-up 2). At each interview, clients completed measures of methamphetamine use and dependence, other substance use, injecting risk practices, psychological distress and quality of life. The median age of participants was 41 years and 56.4% identified as HIV-positive. Participants attended a median of 5 sessions and attended treatment for a median of 112 days. There was a significant reduction in the median days of methamphetamine use in the previous 4 weeks between baseline (4 days), follow-up 1 (2 days) and follow-up 2 (2 days; p = .001). There was a significant reduction in the proportion of participants reporting methamphetamine dependence between baseline (92.1%), follow-up 1 (78.3%) and follow-up 2 (71.9%, p &lt; .001). There were also significant reductions in psychological distress (p &lt; .001), and significant improvements in quality of life (p &lt; .001). Clients showed reductions in methamphetamine use and improved psychosocial functioning over time, demonstrating the potential effectiveness of a LGBTI-specific treatment service.","author":[{"dropping-particle":"","family":"Lea","given":"Toby","non-dropping-particle":"","parse-names":false,"suffix":""},{"dropping-particle":"","family":"Kolstee","given":"Johann","non-dropping-particle":"","parse-names":false,"suffix":""},{"dropping-particle":"","family":"Lambert","given":"Sarah","non-dropping-particle":"","parse-names":false,"suffix":""},{"dropping-particle":"","family":"Ness","given":"Ross","non-dropping-particle":"","parse-names":false,"suffix":""},{"dropping-particle":"","family":"Hannan","given":"Siobhan","non-dropping-particle":"","parse-names":false,"suffix":""},{"dropping-particle":"","family":"Holt","given":"Martin","non-dropping-particle":"","parse-names":false,"suffix":""}],"container-title":"PloS one","editor":[{"dropping-particle":"","family":"Pendyala","given":"Gurudutt","non-dropping-particle":"","parse-names":false,"suffix":""}],"id":"ITEM-1","issue":"2","issued":{"date-parts":[["2017","2","16"]]},"page":"e0172560","title":"Methamphetamine treatment outcomes among gay men attending a LGBTI-specific treatment service in Sydney, Australia.","type":"article-journal","volume":"12"},"uris":["http://www.mendeley.com/documents/?uuid=12477fef-37f6-342f-828c-4088a7a166ec"]}],"mendeley":{"formattedCitation":"(Lea et al., 2017)","plainTextFormattedCitation":"(Lea et al., 2017)","previouslyFormattedCitation":"(Lea et al., 2017)"},"properties":{"noteIndex":0},"schema":"https://github.com/citation-style-language/schema/raw/master/csl-citation.json"}</w:instrText>
      </w:r>
      <w:r w:rsidR="00C140C5" w:rsidRPr="00C265C3">
        <w:rPr>
          <w:lang w:eastAsia="en-CA"/>
        </w:rPr>
        <w:fldChar w:fldCharType="separate"/>
      </w:r>
      <w:r w:rsidR="00C140C5" w:rsidRPr="00C265C3">
        <w:rPr>
          <w:noProof/>
          <w:lang w:eastAsia="en-CA"/>
        </w:rPr>
        <w:t>(Lea et al., 2017)</w:t>
      </w:r>
      <w:r w:rsidR="00C140C5" w:rsidRPr="00C265C3">
        <w:rPr>
          <w:lang w:eastAsia="en-CA"/>
        </w:rPr>
        <w:fldChar w:fldCharType="end"/>
      </w:r>
      <w:r w:rsidR="00C140C5" w:rsidRPr="00C265C3">
        <w:rPr>
          <w:lang w:eastAsia="en-CA"/>
        </w:rPr>
        <w:t xml:space="preserve"> and increases in health-promoting behaviours (e.g., making appointments with health care providers, enrolling in educational programs, maintaining employment) have been related to reduction</w:t>
      </w:r>
      <w:r>
        <w:rPr>
          <w:lang w:eastAsia="en-CA"/>
        </w:rPr>
        <w:t>s in</w:t>
      </w:r>
      <w:r w:rsidR="00C140C5" w:rsidRPr="00C265C3">
        <w:rPr>
          <w:lang w:eastAsia="en-CA"/>
        </w:rPr>
        <w:t xml:space="preserve"> </w:t>
      </w:r>
      <w:r w:rsidRPr="00C265C3">
        <w:rPr>
          <w:lang w:eastAsia="en-CA"/>
        </w:rPr>
        <w:t>MA</w:t>
      </w:r>
      <w:r w:rsidR="00103FF0">
        <w:rPr>
          <w:lang w:eastAsia="en-CA"/>
        </w:rPr>
        <w:t xml:space="preserve"> </w:t>
      </w:r>
      <w:r>
        <w:rPr>
          <w:lang w:eastAsia="en-CA"/>
        </w:rPr>
        <w:t>use</w:t>
      </w:r>
      <w:r w:rsidRPr="00C265C3">
        <w:rPr>
          <w:lang w:eastAsia="en-CA"/>
        </w:rPr>
        <w:t xml:space="preserve"> </w:t>
      </w:r>
      <w:r w:rsidR="00C140C5" w:rsidRPr="00C265C3">
        <w:rPr>
          <w:lang w:eastAsia="en-CA"/>
        </w:rPr>
        <w:t>in trials involving treatment</w:t>
      </w:r>
      <w:r w:rsidR="00103FF0">
        <w:rPr>
          <w:lang w:eastAsia="en-CA"/>
        </w:rPr>
        <w:t xml:space="preserve"> (e.g., contingency management and individual counseling)</w:t>
      </w:r>
      <w:r w:rsidR="00C140C5" w:rsidRPr="00C265C3">
        <w:rPr>
          <w:lang w:eastAsia="en-CA"/>
        </w:rPr>
        <w:t xml:space="preserve"> for substance use </w:t>
      </w:r>
      <w:r w:rsidR="00C140C5" w:rsidRPr="00C265C3">
        <w:rPr>
          <w:lang w:eastAsia="en-CA"/>
        </w:rPr>
        <w:fldChar w:fldCharType="begin" w:fldLock="1"/>
      </w:r>
      <w:r w:rsidR="00C140C5" w:rsidRPr="00C265C3">
        <w:rPr>
          <w:lang w:eastAsia="en-CA"/>
        </w:rPr>
        <w:instrText>ADDIN CSL_CITATION {"citationItems":[{"id":"ITEM-1","itemData":{"DOI":"10.1016/j.jsat.2010.06.007","ISSN":"07405472","PMID":"20667681","abstract":"Homeless men who have sex with men are a particularly vulnerable population with high rates of substance dependence, psychiatric disorders, and HIV prevalence. Most need strong incentives to engage with community-based prevention and treatment programs. Contingency management (CM) was implemented in a community HIV prevention setting and targeted reduced substance use and increased health-promoting behaviors over a 24-week intervention period. Participants in the CM condition achieved greater reductions in stimulant and alcohol use (χ(2) = 27.36, p &lt; .01) and, in particular, methamphetamine use (χ(2) = 21.78, p &lt; .01) and greater increases in health-promoting behaviors (χ(2) = 37.83, p &lt; .01) during the intervention period than those in the control group. Reductions in substance use were maintained to 9- and 12-month follow-up evaluations. Findings indicate the utility of CM for this high-risk population and the feasibility of implementing the intervention in a community-based HIV prevention program.","author":[{"dropping-particle":"","family":"Reback","given":"Cathy J.","non-dropping-particle":"","parse-names":false,"suffix":""},{"dropping-particle":"","family":"Peck","given":"James A.","non-dropping-particle":"","parse-names":false,"suffix":""},{"dropping-particle":"","family":"Dierst-Davies","given":"Rhodri","non-dropping-particle":"","parse-names":false,"suffix":""},{"dropping-particle":"","family":"Nuno","given":"Miriam","non-dropping-particle":"","parse-names":false,"suffix":""},{"dropping-particle":"","family":"Kamien","given":"Jonathan B.","non-dropping-particle":"","parse-names":false,"suffix":""},{"dropping-particle":"","family":"Amass","given":"Leslie","non-dropping-particle":"","parse-names":false,"suffix":""}],"container-title":"Journal of Substance Abuse Treatment","id":"ITEM-1","issue":"3","issued":{"date-parts":[["2010","10"]]},"page":"255-263","title":"Contingency management among homeless, out-of-treatment men who have sex with men","type":"article-journal","volume":"39"},"uris":["http://www.mendeley.com/documents/?uuid=801af052-2a13-39d3-b94e-bd8745e6c7c8"]},{"id":"ITEM-2","itemData":{"DOI":"10.1371/journal.pone.0172560","ISSN":"1932-6203","PMID":"28207902","abstract":"Gay and bisexual men (GBM) report higher rates of methamphetamine use compared to heterosexual men, and thus have a heightened risk of developing problems from their use. We examined treatment outcomes among GBM clients receiving outpatient counseling at a lesbian, gay, bisexual, transgender and intersex (LGBTI)-specific, harm reduction treatment service in Sydney, Australia. GBM receiving treatment for methamphetamine use from ACON's Substance Support Service between 2012-15 (n = 101) were interviewed at treatment commencement, and after 4 sessions (n = 60; follow-up 1) and 8 sessions (n = 32; follow-up 2). At each interview, clients completed measures of methamphetamine use and dependence, other substance use, injecting risk practices, psychological distress and quality of life. The median age of participants was 41 years and 56.4% identified as HIV-positive. Participants attended a median of 5 sessions and attended treatment for a median of 112 days. There was a significant reduction in the median days of methamphetamine use in the previous 4 weeks between baseline (4 days), follow-up 1 (2 days) and follow-up 2 (2 days; p = .001). There was a significant reduction in the proportion of participants reporting methamphetamine dependence between baseline (92.1%), follow-up 1 (78.3%) and follow-up 2 (71.9%, p &lt; .001). There were also significant reductions in psychological distress (p &lt; .001), and significant improvements in quality of life (p &lt; .001). Clients showed reductions in methamphetamine use and improved psychosocial functioning over time, demonstrating the potential effectiveness of a LGBTI-specific treatment service.","author":[{"dropping-particle":"","family":"Lea","given":"Toby","non-dropping-particle":"","parse-names":false,"suffix":""},{"dropping-particle":"","family":"Kolstee","given":"Johann","non-dropping-particle":"","parse-names":false,"suffix":""},{"dropping-particle":"","family":"Lambert","given":"Sarah","non-dropping-particle":"","parse-names":false,"suffix":""},{"dropping-particle":"","family":"Ness","given":"Ross","non-dropping-particle":"","parse-names":false,"suffix":""},{"dropping-particle":"","family":"Hannan","given":"Siobhan","non-dropping-particle":"","parse-names":false,"suffix":""},{"dropping-particle":"","family":"Holt","given":"Martin","non-dropping-particle":"","parse-names":false,"suffix":""}],"container-title":"PloS one","editor":[{"dropping-particle":"","family":"Pendyala","given":"Gurudutt","non-dropping-particle":"","parse-names":false,"suffix":""}],"id":"ITEM-2","issue":"2","issued":{"date-parts":[["2017","2","16"]]},"page":"e0172560","title":"Methamphetamine treatment outcomes among gay men attending a LGBTI-specific treatment service in Sydney, Australia.","type":"article-journal","volume":"12"},"uris":["http://www.mendeley.com/documents/?uuid=12477fef-37f6-342f-828c-4088a7a166ec"]}],"mendeley":{"formattedCitation":"(Lea et al., 2017; Reback et al., 2010)","plainTextFormattedCitation":"(Lea et al., 2017; Reback et al., 2010)","previouslyFormattedCitation":"(Lea et al., 2017; Reback et al., 2010)"},"properties":{"noteIndex":0},"schema":"https://github.com/citation-style-language/schema/raw/master/csl-citation.json"}</w:instrText>
      </w:r>
      <w:r w:rsidR="00C140C5" w:rsidRPr="00C265C3">
        <w:rPr>
          <w:lang w:eastAsia="en-CA"/>
        </w:rPr>
        <w:fldChar w:fldCharType="separate"/>
      </w:r>
      <w:r w:rsidR="00C140C5" w:rsidRPr="00C265C3">
        <w:rPr>
          <w:noProof/>
          <w:lang w:eastAsia="en-CA"/>
        </w:rPr>
        <w:t>(Lea et al., 2017; Reback et al., 2010)</w:t>
      </w:r>
      <w:r w:rsidR="00C140C5" w:rsidRPr="00C265C3">
        <w:rPr>
          <w:lang w:eastAsia="en-CA"/>
        </w:rPr>
        <w:fldChar w:fldCharType="end"/>
      </w:r>
      <w:r w:rsidR="00C140C5" w:rsidRPr="00C265C3">
        <w:rPr>
          <w:lang w:eastAsia="en-CA"/>
        </w:rPr>
        <w:t xml:space="preserve">. However, most studies focused on gbMSM </w:t>
      </w:r>
      <w:r>
        <w:rPr>
          <w:lang w:eastAsia="en-CA"/>
        </w:rPr>
        <w:t xml:space="preserve">have involved </w:t>
      </w:r>
      <w:r w:rsidR="009460EB">
        <w:rPr>
          <w:lang w:eastAsia="en-CA"/>
        </w:rPr>
        <w:t>individuals</w:t>
      </w:r>
      <w:r w:rsidR="00C140C5" w:rsidRPr="00C265C3">
        <w:rPr>
          <w:lang w:eastAsia="en-CA"/>
        </w:rPr>
        <w:t xml:space="preserve"> who were already motivated to reduce their MA use</w:t>
      </w:r>
      <w:r>
        <w:rPr>
          <w:lang w:eastAsia="en-CA"/>
        </w:rPr>
        <w:t>. L</w:t>
      </w:r>
      <w:r w:rsidR="00C140C5" w:rsidRPr="00C265C3">
        <w:rPr>
          <w:lang w:eastAsia="en-CA"/>
        </w:rPr>
        <w:t xml:space="preserve">ess is known about the trajectories of MA use and the determinants of reductions in use among the general gbMSM population who are using MA. </w:t>
      </w:r>
    </w:p>
    <w:p w14:paraId="76CB1158" w14:textId="1E63C275" w:rsidR="00053061" w:rsidRPr="00486A53" w:rsidRDefault="00053061" w:rsidP="00053061">
      <w:pPr>
        <w:spacing w:line="480" w:lineRule="auto"/>
        <w:ind w:firstLine="720"/>
        <w:rPr>
          <w:b/>
          <w:lang w:eastAsia="en-CA"/>
        </w:rPr>
      </w:pPr>
      <w:r w:rsidRPr="00C265C3">
        <w:rPr>
          <w:color w:val="000000"/>
          <w:lang w:eastAsia="en-CA"/>
        </w:rPr>
        <w:t xml:space="preserve">Generally, MA users report higher levels of anxiety and depression than non-users </w:t>
      </w:r>
      <w:r w:rsidRPr="00C265C3">
        <w:rPr>
          <w:color w:val="000000"/>
          <w:lang w:eastAsia="en-CA"/>
        </w:rPr>
        <w:fldChar w:fldCharType="begin" w:fldLock="1"/>
      </w:r>
      <w:r w:rsidR="005A00BA" w:rsidRPr="00C265C3">
        <w:rPr>
          <w:color w:val="000000"/>
          <w:lang w:eastAsia="en-CA"/>
        </w:rPr>
        <w:instrText>ADDIN CSL_CITATION {"citationItems":[{"id":"ITEM-1","itemData":{"DOI":"10.1111/j.1521-0391.2010.00061.x","ISSN":"1521-0391","PMID":"20716300","abstract":"Although anxiety is one of the most prominent psychiatric complaints of methamphetamine (MA) users, little is known about the association between anxiety disorders and treatment outcomes in this population. Using data from 526 adults in the largest psychosocial clinical trial of MA users conducted to date, this study examined psychiatric, substance use, and functional outcomes of MA users with concomitant anxiety disorders 3 years after treatment. Anxiety disorders were associated with poorer alcohol and drug use outcomes, increased health service utilization, and higher levels of psychiatric symptomatology, including suicidality. Addressing anxiety symptoms and syndromes in MA users may be helpful as a means of optimizing treatment outcomes.","author":[{"dropping-particle":"","family":"Glasner-Edwards","given":"Suzette","non-dropping-particle":"","parse-names":false,"suffix":""},{"dropping-particle":"","family":"Mooney","given":"Larissa J","non-dropping-particle":"","parse-names":false,"suffix":""},{"dropping-particle":"","family":"Marinelli-Casey","given":"Patricia","non-dropping-particle":"","parse-names":false,"suffix":""},{"dropping-particle":"","family":"Hillhouse","given":"Maureen","non-dropping-particle":"","parse-names":false,"suffix":""},{"dropping-particle":"","family":"Ang","given":"Alfonso","non-dropping-particle":"","parse-names":false,"suffix":""},{"dropping-particle":"","family":"Rawson","given":"Richard","non-dropping-particle":"","parse-names":false,"suffix":""},{"dropping-particle":"","family":"Methamphetamine Treatment Project Corporate Authors","given":"the Methamphetamine Treatment Project Corporate","non-dropping-particle":"","parse-names":false,"suffix":""}],"container-title":"The American journal on addictions","id":"ITEM-1","issue":"5","issued":{"date-parts":[["2010"]]},"page":"385-90","publisher":"NIH Public Access","title":"Anxiety disorders among methamphetamine dependent adults: association with post-treatment functioning.","type":"article-journal","volume":"19"},"uris":["http://www.mendeley.com/documents/?uuid=f4cbf654-7acc-3a7f-b96a-b96e9b242c61"]},{"id":"ITEM-2","itemData":{"DOI":"10.1111/j.1465-3362.2009.00081.x","ISSN":"1465-3362","PMID":"20078677","abstract":"INTRODUCTION AND AIMS Although psychiatric symptoms are frequently observed in methamphetamine (MA) users, little is known about the prevalence of psychiatric disorders in MA-dependent individuals. This is the first study to examine the association of psychiatric disorders with substance use and psychosocial functioning in a large sample of MA users 3 years after treatment. We predicted that psychiatric diagnoses and severity would be associated with substance use and poorer overall functioning over the 3 year post-treatment course. DESIGN AND METHODS Participants (N = 526) received psychosocial treatment for MA dependence as part of the Methamphetamine Treatment Project and were reassessed for psychosocial functioning and substance use at a mean of 3 years after treatment initiation. DSM-IV psychiatric diagnoses were assessed at follow-up using the Mini-International Neuropsychiatric Interview. Psychosocial functioning was assessed using the Addiction Severity Index. RESULTS Overall, 48.1% of the sample met criteria for a current or past psychiatric disorder other than a substance use disorder. Consistent with prior reports from clinical samples of cocaine users, this rate was largely accounted for by mood disorders, anxiety disorders and antisocial personality. Those with an Axis I psychiatric disorder evidenced increased MA use and greater functional impairment over time relative to those without a psychiatric disorder. DISCUSSION AND CONCLUSIONS This initial investigation of psychiatric diagnoses in MA users after treatment indicates elevated rates of Axis I and II disorders in this population and underscores the need for integrated psychiatric assessment and intervention in drug abuse treatment settings.","author":[{"dropping-particle":"","family":"Glasner-Edwards","given":"Suzette","non-dropping-particle":"","parse-names":false,"suffix":""},{"dropping-particle":"","family":"Mooney","given":"Larissa J","non-dropping-particle":"","parse-names":false,"suffix":""},{"dropping-particle":"","family":"Marinelli-Casey","given":"Patricia","non-dropping-particle":"","parse-names":false,"suffix":""},{"dropping-particle":"","family":"Hillhouse","given":"Maureen","non-dropping-particle":"","parse-names":false,"suffix":""},{"dropping-particle":"","family":"Ang","given":"Alfonso","non-dropping-particle":"","parse-names":false,"suffix":""},{"dropping-particle":"","family":"Rawson","given":"Richard A","non-dropping-particle":"","parse-names":false,"suffix":""},{"dropping-particle":"","family":"Methamphetamine Treatment Project Corporate Authors","given":"The Methamphetamine Treatment Project Corporate","non-dropping-particle":"","parse-names":false,"suffix":""}],"container-title":"Drug and alcohol review","id":"ITEM-2","issue":"1","issued":{"date-parts":[["2010","1"]]},"page":"12-20","publisher":"NIH Public Access","title":"Psychopathology in methamphetamine-dependent adults 3 years after treatment.","type":"article-journal","volume":"29"},"uris":["http://www.mendeley.com/documents/?uuid=1c2fca42-22ac-3401-be54-c50d69b8a394"]}],"mendeley":{"formattedCitation":"(Glasner-Edwards et al., 2010b, 2010a)","plainTextFormattedCitation":"(Glasner-Edwards et al., 2010b, 2010a)","previouslyFormattedCitation":"(Glasner-Edwards et al., 2010b, 2010a)"},"properties":{"noteIndex":0},"schema":"https://github.com/citation-style-language/schema/raw/master/csl-citation.json"}</w:instrText>
      </w:r>
      <w:r w:rsidRPr="00C265C3">
        <w:rPr>
          <w:color w:val="000000"/>
          <w:lang w:eastAsia="en-CA"/>
        </w:rPr>
        <w:fldChar w:fldCharType="separate"/>
      </w:r>
      <w:r w:rsidR="005A00BA" w:rsidRPr="00C265C3">
        <w:rPr>
          <w:noProof/>
          <w:color w:val="000000"/>
          <w:lang w:eastAsia="en-CA"/>
        </w:rPr>
        <w:t>(Glasner-Edwards et al., 2010b, 2010a)</w:t>
      </w:r>
      <w:r w:rsidRPr="00C265C3">
        <w:rPr>
          <w:color w:val="000000"/>
          <w:lang w:eastAsia="en-CA"/>
        </w:rPr>
        <w:fldChar w:fldCharType="end"/>
      </w:r>
      <w:r w:rsidR="00103FF0">
        <w:rPr>
          <w:color w:val="000000"/>
          <w:lang w:eastAsia="en-CA"/>
        </w:rPr>
        <w:t xml:space="preserve">. </w:t>
      </w:r>
      <w:r w:rsidR="009460EB">
        <w:rPr>
          <w:color w:val="000000"/>
          <w:lang w:eastAsia="en-CA"/>
        </w:rPr>
        <w:t>MA</w:t>
      </w:r>
      <w:r w:rsidRPr="00C265C3">
        <w:rPr>
          <w:color w:val="000000"/>
          <w:lang w:eastAsia="en-CA"/>
        </w:rPr>
        <w:t xml:space="preserve"> use has been identified as a coping mechanism for discrimination and stigmatization, and as an escape from feelings of internalized homophobia </w:t>
      </w:r>
      <w:r w:rsidRPr="00C265C3">
        <w:rPr>
          <w:color w:val="000000"/>
          <w:lang w:eastAsia="en-CA"/>
        </w:rPr>
        <w:lastRenderedPageBreak/>
        <w:fldChar w:fldCharType="begin" w:fldLock="1"/>
      </w:r>
      <w:r w:rsidRPr="00C265C3">
        <w:rPr>
          <w:color w:val="000000"/>
          <w:lang w:eastAsia="en-CA"/>
        </w:rPr>
        <w:instrText>ADDIN CSL_CITATION {"citationItems":[{"id":"ITEM-1","itemData":{"DOI":"10.1177/1359105314522675","ISSN":"1461-7277","PMID":"24578373","abstract":"Data from a cross-sectional study of gay, bisexual, and other men who have sex with men who were active methamphetamine users were analyzed to assess temporal relations between HIV seroconversion and initiation of methamphetamine use. Of the 100 men, 58 reported being HIV-positive. Most HIV-positive participants (65%) initiated methamphetamine use after seroconverting. Among those who initiated use before seroconversion, 8 years elapsed between onset of use and time of infection. Findings suggest the need to develop nuanced and targeted interventions aimed at disentangling the \"meth-sex\" link in this population. Findings also suggest use of the drug as a coping mechanism for those living with HIV.","author":[{"dropping-particle":"","family":"Halkitis","given":"Perry N","non-dropping-particle":"","parse-names":false,"suffix":""},{"dropping-particle":"","family":"Levy","given":"Michael D","non-dropping-particle":"","parse-names":false,"suffix":""},{"dropping-particle":"","family":"Solomon","given":"Todd M","non-dropping-particle":"","parse-names":false,"suffix":""}],"container-title":"Journal of health psychology","id":"ITEM-1","issue":"1","issued":{"date-parts":[["2016","1","27"]]},"page":"93-9","title":"Temporal relations between methamphetamine use and HIV seroconversion in gay, bisexual, and other men who have sex with men.","type":"article-journal","volume":"21"},"uris":["http://www.mendeley.com/documents/?uuid=01d48521-e510-3159-998b-56ef152e9e2d"]}],"mendeley":{"formattedCitation":"(Halkitis et al., 2016)","plainTextFormattedCitation":"(Halkitis et al., 2016)","previouslyFormattedCitation":"(Halkitis et al., 2016)"},"properties":{"noteIndex":0},"schema":"https://github.com/citation-style-language/schema/raw/master/csl-citation.json"}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(Halkitis et al., 2016)</w:t>
      </w:r>
      <w:r w:rsidRPr="00C265C3">
        <w:rPr>
          <w:color w:val="000000"/>
          <w:lang w:eastAsia="en-CA"/>
        </w:rPr>
        <w:fldChar w:fldCharType="end"/>
      </w:r>
      <w:r w:rsidRPr="00C265C3">
        <w:rPr>
          <w:color w:val="000000"/>
          <w:lang w:eastAsia="en-CA"/>
        </w:rPr>
        <w:t>.</w:t>
      </w:r>
      <w:r w:rsidRPr="00C265C3">
        <w:rPr>
          <w:b/>
          <w:lang w:eastAsia="en-CA"/>
        </w:rPr>
        <w:t xml:space="preserve"> </w:t>
      </w:r>
      <w:r w:rsidRPr="00C265C3">
        <w:rPr>
          <w:lang w:eastAsia="en-CA"/>
        </w:rPr>
        <w:t>Studies have shown that individuals with fewer depressive symptoms</w:t>
      </w:r>
      <w:r w:rsidR="005719B5">
        <w:rPr>
          <w:lang w:eastAsia="en-CA"/>
        </w:rPr>
        <w:t xml:space="preserve"> are</w:t>
      </w:r>
      <w:r w:rsidRPr="00C265C3">
        <w:rPr>
          <w:lang w:eastAsia="en-CA"/>
        </w:rPr>
        <w:t xml:space="preserve"> more likely to be motivated to change their MA-using behavior </w:t>
      </w:r>
      <w:r w:rsidRPr="00C265C3">
        <w:rPr>
          <w:lang w:eastAsia="en-CA"/>
        </w:rPr>
        <w:fldChar w:fldCharType="begin" w:fldLock="1"/>
      </w:r>
      <w:r w:rsidR="00290729" w:rsidRPr="00C265C3">
        <w:rPr>
          <w:lang w:eastAsia="en-CA"/>
        </w:rPr>
        <w:instrText>ADDIN CSL_CITATION {"citationItems":[{"id":"ITEM-1","itemData":{"DOI":"10.1089/apc.2016.0196","ISSN":"1557-7449","PMID":"28092450","abstract":"Although rates of crystal methamphetamine use in the United States have fallen from their peak in the mid-2000s, use remains a major public health concern, which disproportionately affects gay and bisexual men (GBM). It poses a particular challenge for HIV-positive men, for whom it has been linked to medication adherence problems as well as compromised immune function. Although the information, motivation, and behavioral skills (IMB) model has been widely used to conceptualize health behavior, little is known about GBM's initial levels of information, motivation, and behavioral self-efficacy to improve HIV medication adherence and to reduce crystal methamphetamine use at the outset of treatment. The present study identified profiles of IMB factors related to HIV medication adherence and crystal methamphetamine use in a sample of 210 HIV-positive GBM who consented to participate in an intervention study. Results indicated three distinct patterns of IMB factors. The largest group was ready to change both adherence and methamphetamine use (n = 104). This group also had depression scores that were significantly lower than other groups. A second group appeared ready to change medication adherence, but was ambivalent about changing methamphetamine use (n = 60). This group reported significantly more symptoms of methamphetamine dependence than the other groups. A third group was characterized by global IMB barriers to change (n = 46). Results are discussed in the context of tailoring psychoeducation, motivational interviewing, and cognitive behavioral interventions to match these preintervention patterns of IMB factors.","author":[{"dropping-particle":"","family":"Starks","given":"Tyrel J","non-dropping-particle":"","parse-names":false,"suffix":""},{"dropping-particle":"","family":"Millar","given":"Brett M","non-dropping-particle":"","parse-names":false,"suffix":""},{"dropping-particle":"","family":"Lassiter","given":"Jonathan M","non-dropping-particle":"","parse-names":false,"suffix":""},{"dropping-particle":"","family":"Parsons","given":"Jeffrey T","non-dropping-particle":"","parse-names":false,"suffix":""}],"container-title":"AIDS patient care and STDs","id":"ITEM-1","issue":"2","issued":{"date-parts":[["2017","2"]]},"page":"78-86","title":"Preintervention Profiles of Information, Motivational, and Behavioral Self-Efficacy for Methamphetamine Use and HIV Medication Adherence Among Gay and Bisexual Men.","type":"article-journal","volume":"31"},"uris":["http://www.mendeley.com/documents/?uuid=12e017e7-673d-33a6-8489-c4e347ec33c4"]}],"mendeley":{"formattedCitation":"(Starks et al., 2017)","plainTextFormattedCitation":"(Starks et al., 2017)","previouslyFormattedCitation":"(Starks et al., 2017)"},"properties":{"noteIndex":0},"schema":"https://github.com/citation-style-language/schema/raw/master/csl-citation.json"}</w:instrText>
      </w:r>
      <w:r w:rsidRPr="00C265C3">
        <w:rPr>
          <w:lang w:eastAsia="en-CA"/>
        </w:rPr>
        <w:fldChar w:fldCharType="separate"/>
      </w:r>
      <w:r w:rsidR="00290729" w:rsidRPr="00C265C3">
        <w:rPr>
          <w:noProof/>
          <w:lang w:eastAsia="en-CA"/>
        </w:rPr>
        <w:t>(Starks et al., 2017)</w:t>
      </w:r>
      <w:r w:rsidRPr="00C265C3">
        <w:rPr>
          <w:lang w:eastAsia="en-CA"/>
        </w:rPr>
        <w:fldChar w:fldCharType="end"/>
      </w:r>
      <w:r w:rsidRPr="00C265C3">
        <w:rPr>
          <w:lang w:eastAsia="en-CA"/>
        </w:rPr>
        <w:t xml:space="preserve">, and that both clinically-diagnosed anxiety </w:t>
      </w:r>
      <w:r w:rsidRPr="00C265C3">
        <w:rPr>
          <w:lang w:eastAsia="en-CA"/>
        </w:rPr>
        <w:fldChar w:fldCharType="begin" w:fldLock="1"/>
      </w:r>
      <w:r w:rsidR="005A00BA" w:rsidRPr="00C265C3">
        <w:rPr>
          <w:lang w:eastAsia="en-CA"/>
        </w:rPr>
        <w:instrText>ADDIN CSL_CITATION {"citationItems":[{"id":"ITEM-1","itemData":{"DOI":"10.1111/j.1521-0391.2010.00061.x","ISSN":"1521-0391","PMID":"20716300","abstract":"Although anxiety is one of the most prominent psychiatric complaints of methamphetamine (MA) users, little is known about the association between anxiety disorders and treatment outcomes in this population. Using data from 526 adults in the largest psychosocial clinical trial of MA users conducted to date, this study examined psychiatric, substance use, and functional outcomes of MA users with concomitant anxiety disorders 3 years after treatment. Anxiety disorders were associated with poorer alcohol and drug use outcomes, increased health service utilization, and higher levels of psychiatric symptomatology, including suicidality. Addressing anxiety symptoms and syndromes in MA users may be helpful as a means of optimizing treatment outcomes.","author":[{"dropping-particle":"","family":"Glasner-Edwards","given":"Suzette","non-dropping-particle":"","parse-names":false,"suffix":""},{"dropping-particle":"","family":"Mooney","given":"Larissa J","non-dropping-particle":"","parse-names":false,"suffix":""},{"dropping-particle":"","family":"Marinelli-Casey","given":"Patricia","non-dropping-particle":"","parse-names":false,"suffix":""},{"dropping-particle":"","family":"Hillhouse","given":"Maureen","non-dropping-particle":"","parse-names":false,"suffix":""},{"dropping-particle":"","family":"Ang","given":"Alfonso","non-dropping-particle":"","parse-names":false,"suffix":""},{"dropping-particle":"","family":"Rawson","given":"Richard","non-dropping-particle":"","parse-names":false,"suffix":""},{"dropping-particle":"","family":"Methamphetamine Treatment Project Corporate Authors","given":"the Methamphetamine Treatment Project Corporate","non-dropping-particle":"","parse-names":false,"suffix":""}],"container-title":"The American journal on addictions","id":"ITEM-1","issue":"5","issued":{"date-parts":[["2010"]]},"page":"385-90","publisher":"NIH Public Access","title":"Anxiety disorders among methamphetamine dependent adults: association with post-treatment functioning.","type":"article-journal","volume":"19"},"uris":["http://www.mendeley.com/documents/?uuid=f4cbf654-7acc-3a7f-b96a-b96e9b242c61"]}],"mendeley":{"formattedCitation":"(Glasner-Edwards et al., 2010b)","plainTextFormattedCitation":"(Glasner-Edwards et al., 2010b)","previouslyFormattedCitation":"(Glasner-Edwards et al., 2010b)"},"properties":{"noteIndex":0},"schema":"https://github.com/citation-style-language/schema/raw/master/csl-citation.json"}</w:instrText>
      </w:r>
      <w:r w:rsidRPr="00C265C3">
        <w:rPr>
          <w:lang w:eastAsia="en-CA"/>
        </w:rPr>
        <w:fldChar w:fldCharType="separate"/>
      </w:r>
      <w:r w:rsidR="005A00BA" w:rsidRPr="00C265C3">
        <w:rPr>
          <w:noProof/>
          <w:lang w:eastAsia="en-CA"/>
        </w:rPr>
        <w:t>(Glasner-Edwards et al., 2010b)</w:t>
      </w:r>
      <w:r w:rsidRPr="00C265C3">
        <w:rPr>
          <w:lang w:eastAsia="en-CA"/>
        </w:rPr>
        <w:fldChar w:fldCharType="end"/>
      </w:r>
      <w:r w:rsidRPr="00C265C3">
        <w:rPr>
          <w:lang w:eastAsia="en-CA"/>
        </w:rPr>
        <w:t xml:space="preserve"> and depressive </w:t>
      </w:r>
      <w:r w:rsidRPr="00C265C3">
        <w:rPr>
          <w:lang w:eastAsia="en-CA"/>
        </w:rPr>
        <w:fldChar w:fldCharType="begin" w:fldLock="1"/>
      </w:r>
      <w:r w:rsidR="005A00BA" w:rsidRPr="00C265C3">
        <w:rPr>
          <w:lang w:eastAsia="en-CA"/>
        </w:rPr>
        <w:instrText>ADDIN CSL_CITATION {"citationItems":[{"id":"ITEM-1","itemData":{"DOI":"10.1111/j.1465-3362.2009.00081.x","ISSN":"1465-3362","PMID":"20078677","abstract":"INTRODUCTION AND AIMS Although psychiatric symptoms are frequently observed in methamphetamine (MA) users, little is known about the prevalence of psychiatric disorders in MA-dependent individuals. This is the first study to examine the association of psychiatric disorders with substance use and psychosocial functioning in a large sample of MA users 3 years after treatment. We predicted that psychiatric diagnoses and severity would be associated with substance use and poorer overall functioning over the 3 year post-treatment course. DESIGN AND METHODS Participants (N = 526) received psychosocial treatment for MA dependence as part of the Methamphetamine Treatment Project and were reassessed for psychosocial functioning and substance use at a mean of 3 years after treatment initiation. DSM-IV psychiatric diagnoses were assessed at follow-up using the Mini-International Neuropsychiatric Interview. Psychosocial functioning was assessed using the Addiction Severity Index. RESULTS Overall, 48.1% of the sample met criteria for a current or past psychiatric disorder other than a substance use disorder. Consistent with prior reports from clinical samples of cocaine users, this rate was largely accounted for by mood disorders, anxiety disorders and antisocial personality. Those with an Axis I psychiatric disorder evidenced increased MA use and greater functional impairment over time relative to those without a psychiatric disorder. DISCUSSION AND CONCLUSIONS This initial investigation of psychiatric diagnoses in MA users after treatment indicates elevated rates of Axis I and II disorders in this population and underscores the need for integrated psychiatric assessment and intervention in drug abuse treatment settings.","author":[{"dropping-particle":"","family":"Glasner-Edwards","given":"Suzette","non-dropping-particle":"","parse-names":false,"suffix":""},{"dropping-particle":"","family":"Mooney","given":"Larissa J","non-dropping-particle":"","parse-names":false,"suffix":""},{"dropping-particle":"","family":"Marinelli-Casey","given":"Patricia","non-dropping-particle":"","parse-names":false,"suffix":""},{"dropping-particle":"","family":"Hillhouse","given":"Maureen","non-dropping-particle":"","parse-names":false,"suffix":""},{"dropping-particle":"","family":"Ang","given":"Alfonso","non-dropping-particle":"","parse-names":false,"suffix":""},{"dropping-particle":"","family":"Rawson","given":"Richard A","non-dropping-particle":"","parse-names":false,"suffix":""},{"dropping-particle":"","family":"Methamphetamine Treatment Project Corporate Authors","given":"The Methamphetamine Treatment Project Corporate","non-dropping-particle":"","parse-names":false,"suffix":""}],"container-title":"Drug and alcohol review","id":"ITEM-1","issue":"1","issued":{"date-parts":[["2010","1"]]},"page":"12-20","publisher":"NIH Public Access","title":"Psychopathology in methamphetamine-dependent adults 3 years after treatment.","type":"article-journal","volume":"29"},"uris":["http://www.mendeley.com/documents/?uuid=1c2fca42-22ac-3401-be54-c50d69b8a394"]}],"mendeley":{"formattedCitation":"(Glasner-Edwards et al., 2010a)","plainTextFormattedCitation":"(Glasner-Edwards et al., 2010a)","previouslyFormattedCitation":"(Glasner-Edwards et al., 2010a)"},"properties":{"noteIndex":0},"schema":"https://github.com/citation-style-language/schema/raw/master/csl-citation.json"}</w:instrText>
      </w:r>
      <w:r w:rsidRPr="00C265C3">
        <w:rPr>
          <w:lang w:eastAsia="en-CA"/>
        </w:rPr>
        <w:fldChar w:fldCharType="separate"/>
      </w:r>
      <w:r w:rsidR="005A00BA" w:rsidRPr="00C265C3">
        <w:rPr>
          <w:noProof/>
          <w:lang w:eastAsia="en-CA"/>
        </w:rPr>
        <w:t>(Glasner-Edwards et al., 2010a)</w:t>
      </w:r>
      <w:r w:rsidRPr="00C265C3">
        <w:rPr>
          <w:lang w:eastAsia="en-CA"/>
        </w:rPr>
        <w:fldChar w:fldCharType="end"/>
      </w:r>
      <w:r w:rsidRPr="00C265C3">
        <w:rPr>
          <w:lang w:eastAsia="en-CA"/>
        </w:rPr>
        <w:t xml:space="preserve"> disorders have been associated with reduced likelihood of MA abstinence among individuals undergoing substance use treatment. Thus, it appears that mental health symptomatology may have important impacts on the likelihood of </w:t>
      </w:r>
      <w:r w:rsidR="00A76E86">
        <w:rPr>
          <w:lang w:eastAsia="en-CA"/>
        </w:rPr>
        <w:t xml:space="preserve">reduction or cessation of </w:t>
      </w:r>
      <w:r w:rsidR="00A76E86" w:rsidRPr="00486A53">
        <w:rPr>
          <w:lang w:eastAsia="en-CA"/>
        </w:rPr>
        <w:t>MA use</w:t>
      </w:r>
      <w:r w:rsidR="00A135B1">
        <w:rPr>
          <w:lang w:eastAsia="en-CA"/>
        </w:rPr>
        <w:t>.</w:t>
      </w:r>
      <w:r w:rsidRPr="00486A53">
        <w:rPr>
          <w:lang w:eastAsia="en-CA"/>
        </w:rPr>
        <w:t xml:space="preserve"> </w:t>
      </w:r>
      <w:r w:rsidR="00FA1A8B" w:rsidRPr="00486A53">
        <w:rPr>
          <w:lang w:eastAsia="en-CA"/>
        </w:rPr>
        <w:t>However, research has yet to examine these associations among</w:t>
      </w:r>
      <w:r w:rsidR="005719B5" w:rsidRPr="00486A53">
        <w:rPr>
          <w:lang w:eastAsia="en-CA"/>
        </w:rPr>
        <w:t xml:space="preserve"> cohorts of </w:t>
      </w:r>
      <w:r w:rsidR="00020166" w:rsidRPr="00486A53">
        <w:rPr>
          <w:lang w:eastAsia="en-CA"/>
        </w:rPr>
        <w:t>g</w:t>
      </w:r>
      <w:r w:rsidR="00FA1A8B" w:rsidRPr="00486A53">
        <w:rPr>
          <w:lang w:eastAsia="en-CA"/>
        </w:rPr>
        <w:t>bMSM</w:t>
      </w:r>
      <w:r w:rsidR="005719B5" w:rsidRPr="00486A53">
        <w:rPr>
          <w:lang w:eastAsia="en-CA"/>
        </w:rPr>
        <w:t xml:space="preserve"> who may</w:t>
      </w:r>
      <w:r w:rsidR="00FA1A8B" w:rsidRPr="00486A53">
        <w:rPr>
          <w:lang w:eastAsia="en-CA"/>
        </w:rPr>
        <w:t xml:space="preserve"> not </w:t>
      </w:r>
      <w:r w:rsidR="001C40FD" w:rsidRPr="00486A53">
        <w:rPr>
          <w:lang w:eastAsia="en-CA"/>
        </w:rPr>
        <w:t xml:space="preserve">be </w:t>
      </w:r>
      <w:r w:rsidR="00FA1A8B" w:rsidRPr="00486A53">
        <w:rPr>
          <w:lang w:eastAsia="en-CA"/>
        </w:rPr>
        <w:t>seeking treatment and who may not view their MA use as problematic.</w:t>
      </w:r>
    </w:p>
    <w:p w14:paraId="655806FA" w14:textId="01224FFD" w:rsidR="00053061" w:rsidRPr="00C265C3" w:rsidRDefault="00053061" w:rsidP="00053061">
      <w:pPr>
        <w:spacing w:line="480" w:lineRule="auto"/>
        <w:rPr>
          <w:color w:val="000000"/>
          <w:lang w:eastAsia="en-CA"/>
        </w:rPr>
      </w:pPr>
      <w:r w:rsidRPr="00486A53">
        <w:rPr>
          <w:color w:val="000000"/>
          <w:lang w:eastAsia="en-CA"/>
        </w:rPr>
        <w:tab/>
      </w:r>
      <w:r w:rsidRPr="00486A53">
        <w:rPr>
          <w:lang w:eastAsia="en-CA"/>
        </w:rPr>
        <w:t xml:space="preserve"> </w:t>
      </w:r>
      <w:r w:rsidRPr="00486A53">
        <w:rPr>
          <w:color w:val="000000"/>
          <w:lang w:eastAsia="en-CA"/>
        </w:rPr>
        <w:t xml:space="preserve">To help guide </w:t>
      </w:r>
      <w:r w:rsidR="00AA0104" w:rsidRPr="00486A53">
        <w:rPr>
          <w:color w:val="000000"/>
          <w:lang w:eastAsia="en-CA"/>
        </w:rPr>
        <w:t xml:space="preserve">the development of </w:t>
      </w:r>
      <w:r w:rsidRPr="00486A53">
        <w:rPr>
          <w:color w:val="000000"/>
          <w:lang w:eastAsia="en-CA"/>
        </w:rPr>
        <w:t>treatment programs for</w:t>
      </w:r>
      <w:r w:rsidR="00AA0104" w:rsidRPr="00486A53">
        <w:rPr>
          <w:color w:val="000000"/>
          <w:lang w:eastAsia="en-CA"/>
        </w:rPr>
        <w:t xml:space="preserve"> gbMSM with </w:t>
      </w:r>
      <w:r w:rsidR="00293B26" w:rsidRPr="00486A53">
        <w:rPr>
          <w:color w:val="000000"/>
          <w:lang w:eastAsia="en-CA"/>
        </w:rPr>
        <w:t>MA use</w:t>
      </w:r>
      <w:r w:rsidR="00AA0104" w:rsidRPr="00486A53">
        <w:rPr>
          <w:color w:val="000000"/>
          <w:lang w:eastAsia="en-CA"/>
        </w:rPr>
        <w:t xml:space="preserve"> disorder</w:t>
      </w:r>
      <w:r w:rsidR="001C40FD" w:rsidRPr="00486A53">
        <w:rPr>
          <w:color w:val="000000"/>
          <w:lang w:eastAsia="en-CA"/>
        </w:rPr>
        <w:t>,</w:t>
      </w:r>
      <w:r w:rsidRPr="00486A53">
        <w:rPr>
          <w:color w:val="000000"/>
          <w:lang w:eastAsia="en-CA"/>
        </w:rPr>
        <w:t xml:space="preserve"> we sought</w:t>
      </w:r>
      <w:r w:rsidRPr="00C265C3">
        <w:rPr>
          <w:color w:val="000000"/>
          <w:lang w:eastAsia="en-CA"/>
        </w:rPr>
        <w:t xml:space="preserve"> to identify factors related to reduction or cessation of MA </w:t>
      </w:r>
      <w:r w:rsidR="001C40FD">
        <w:rPr>
          <w:color w:val="000000"/>
          <w:lang w:eastAsia="en-CA"/>
        </w:rPr>
        <w:t>use</w:t>
      </w:r>
      <w:r w:rsidRPr="00C265C3">
        <w:rPr>
          <w:color w:val="000000"/>
          <w:lang w:eastAsia="en-CA"/>
        </w:rPr>
        <w:t xml:space="preserve"> in frequent users (i.e.,</w:t>
      </w:r>
      <w:r w:rsidR="00236B6F">
        <w:rPr>
          <w:color w:val="000000"/>
          <w:lang w:eastAsia="en-CA"/>
        </w:rPr>
        <w:t xml:space="preserve"> those who</w:t>
      </w:r>
      <w:r w:rsidRPr="00C265C3">
        <w:rPr>
          <w:color w:val="000000"/>
          <w:lang w:eastAsia="en-CA"/>
        </w:rPr>
        <w:t xml:space="preserve"> report use at least weekly). </w:t>
      </w:r>
      <w:r w:rsidR="00FA1A8B" w:rsidRPr="00C265C3">
        <w:rPr>
          <w:color w:val="000000"/>
          <w:lang w:eastAsia="en-CA"/>
        </w:rPr>
        <w:t>W</w:t>
      </w:r>
      <w:r w:rsidRPr="00C265C3">
        <w:rPr>
          <w:color w:val="000000"/>
          <w:lang w:eastAsia="en-CA"/>
        </w:rPr>
        <w:t xml:space="preserve">e hypothesized that lower symptomatology of anxiety and depression among gbMSM </w:t>
      </w:r>
      <w:r w:rsidR="00FC0355" w:rsidRPr="00C265C3">
        <w:rPr>
          <w:color w:val="000000"/>
          <w:lang w:eastAsia="en-CA"/>
        </w:rPr>
        <w:t>would be associated with</w:t>
      </w:r>
      <w:r w:rsidR="00FA1A8B" w:rsidRPr="00C265C3">
        <w:rPr>
          <w:color w:val="000000"/>
          <w:lang w:eastAsia="en-CA"/>
        </w:rPr>
        <w:t xml:space="preserve"> greater likelihood of MA</w:t>
      </w:r>
      <w:r w:rsidR="00FC0355" w:rsidRPr="00C265C3">
        <w:rPr>
          <w:color w:val="000000"/>
          <w:lang w:eastAsia="en-CA"/>
        </w:rPr>
        <w:t xml:space="preserve"> reduction </w:t>
      </w:r>
      <w:r w:rsidR="00FA1A8B" w:rsidRPr="00C265C3">
        <w:rPr>
          <w:color w:val="000000"/>
          <w:lang w:eastAsia="en-CA"/>
        </w:rPr>
        <w:t xml:space="preserve">and discontinuation. </w:t>
      </w:r>
      <w:r w:rsidR="0012609A" w:rsidRPr="00C265C3">
        <w:rPr>
          <w:color w:val="000000"/>
          <w:lang w:eastAsia="en-CA"/>
        </w:rPr>
        <w:t xml:space="preserve"> </w:t>
      </w:r>
      <w:bookmarkEnd w:id="0"/>
    </w:p>
    <w:p w14:paraId="7D1099C8" w14:textId="63470C73" w:rsidR="00053061" w:rsidRPr="00C265C3" w:rsidRDefault="00281BC8" w:rsidP="00281BC8">
      <w:pPr>
        <w:spacing w:line="480" w:lineRule="auto"/>
        <w:ind w:left="360"/>
        <w:jc w:val="center"/>
        <w:rPr>
          <w:b/>
          <w:lang w:eastAsia="en-CA"/>
        </w:rPr>
      </w:pPr>
      <w:r w:rsidRPr="00C265C3">
        <w:rPr>
          <w:b/>
          <w:bCs/>
          <w:color w:val="000000"/>
          <w:lang w:eastAsia="en-CA"/>
        </w:rPr>
        <w:t>Methods</w:t>
      </w:r>
    </w:p>
    <w:p w14:paraId="00E87C41" w14:textId="7050C9BD" w:rsidR="00053061" w:rsidRPr="00C265C3" w:rsidRDefault="00053061" w:rsidP="00281BC8">
      <w:pPr>
        <w:spacing w:line="480" w:lineRule="auto"/>
        <w:rPr>
          <w:i/>
          <w:lang w:eastAsia="en-CA"/>
        </w:rPr>
      </w:pPr>
      <w:r w:rsidRPr="00C265C3">
        <w:rPr>
          <w:b/>
          <w:bCs/>
          <w:i/>
          <w:color w:val="000000"/>
          <w:lang w:eastAsia="en-CA"/>
        </w:rPr>
        <w:t>Study Design and Participants</w:t>
      </w:r>
    </w:p>
    <w:p w14:paraId="71F380FC" w14:textId="240145AC" w:rsidR="00053061" w:rsidRPr="00C265C3" w:rsidRDefault="00053061" w:rsidP="00053061">
      <w:pPr>
        <w:spacing w:line="480" w:lineRule="auto"/>
        <w:rPr>
          <w:lang w:eastAsia="en-CA"/>
        </w:rPr>
      </w:pPr>
      <w:r w:rsidRPr="00C265C3">
        <w:rPr>
          <w:color w:val="000000"/>
          <w:lang w:eastAsia="en-CA"/>
        </w:rPr>
        <w:t xml:space="preserve">We analyzed data drawn from the [BLINDED FOR REVIEW], a bio-behavioural, prospective cohort study of gbMSM in Metro Vancouver, Canada. Participants were recruited from February 2012 to February 2015 using respondent-driven sampling (RDS), a formalized chain-referral sampling method which utilizes the social networks of participants to allow recruitment from minority populations which would otherwise be difficult to access </w:t>
      </w:r>
      <w:r w:rsidRPr="00C265C3">
        <w:rPr>
          <w:color w:val="000000"/>
          <w:lang w:eastAsia="en-CA"/>
        </w:rPr>
        <w:fldChar w:fldCharType="begin" w:fldLock="1"/>
      </w:r>
      <w:r w:rsidRPr="00C265C3">
        <w:rPr>
          <w:color w:val="000000"/>
          <w:lang w:eastAsia="en-CA"/>
        </w:rPr>
        <w:instrText>ADDIN CSL_CITATION {"citationItems":[{"id":"ITEM-1","itemData":{"DOI":"10.2307/3096941","ISSN":"00377791","author":[{"dropping-particle":"","family":"Heckathorn","given":"Douglas D.","non-dropping-particle":"","parse-names":false,"suffix":""}],"container-title":"Social Problems","id":"ITEM-1","issue":"2","issued":{"date-parts":[["1997","5","1"]]},"page":"174-199","publisher":"Narnia","title":"Respondent-Driven Sampling: A New Approach to the Study of Hidden Populations","type":"article-journal","volume":"44"},"uris":["http://www.mendeley.com/documents/?uuid=d0ba0ea8-e824-310f-b35e-3b53ebf8ceb2"]}],"mendeley":{"formattedCitation":"(Heckathorn, 1997)","plainTextFormattedCitation":"(Heckathorn, 1997)","previouslyFormattedCitation":"(Heckathorn, 1997)"},"properties":{"noteIndex":0},"schema":"https://github.com/citation-style-language/schema/raw/master/csl-citation.json"}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(Heckathorn, 1997)</w:t>
      </w:r>
      <w:r w:rsidRPr="00C265C3">
        <w:rPr>
          <w:color w:val="000000"/>
          <w:lang w:eastAsia="en-CA"/>
        </w:rPr>
        <w:fldChar w:fldCharType="end"/>
      </w:r>
      <w:r w:rsidRPr="00C265C3">
        <w:rPr>
          <w:color w:val="000000"/>
          <w:lang w:eastAsia="en-CA"/>
        </w:rPr>
        <w:t xml:space="preserve">. With RDS, the recruitment process is started with purposeful selection of “seed” participants. In the present study, these individuals were given up to 6 study invitation vouchers to offer to eligible members of their social or sexual networks, initiating chains of peer recruitment; subsequent </w:t>
      </w:r>
      <w:r w:rsidRPr="00C265C3">
        <w:rPr>
          <w:color w:val="000000"/>
          <w:lang w:eastAsia="en-CA"/>
        </w:rPr>
        <w:lastRenderedPageBreak/>
        <w:t xml:space="preserve">recruits were likewise given up to 6 invitations to recruit members of their social and sexual networks. Full details on the study procedures are published elsewhere </w:t>
      </w:r>
      <w:r w:rsidRPr="00C265C3">
        <w:rPr>
          <w:color w:val="000000"/>
          <w:lang w:eastAsia="en-CA"/>
        </w:rPr>
        <w:fldChar w:fldCharType="begin" w:fldLock="1"/>
      </w:r>
      <w:r w:rsidRPr="00C265C3">
        <w:rPr>
          <w:color w:val="000000"/>
          <w:lang w:eastAsia="en-CA"/>
        </w:rPr>
        <w:instrText>ADDIN CSL_CITATION {"citationItems":[{"id":"ITEM-1","itemData":{"DOI":"10.1097/QAI.0000000000000934","ISSN":"1525-4135","PMID":"26825177","abstract":"BACKGROUND We developed estimates of community viral load (VL) and risk factors for unsuppressed VL from a cross-sectional study of men who have sex with men (MSM) in Vancouver, Canada. METHODS MSM were recruited from February 25, 2012 to February 28, 2014 using respondent-driven sampling (RDS). Participants completed a computer-assisted self-interview questionnaire and a nurse-administered point-of-care HIV test. For HIV-positive participants, we conducted VL and CD4 cell counts. We used RDS-weighted analysis to obtain population estimates of key variables and multivariable logistic regression to examine factors associated with having a VL of ≥200 copies per milliliter among HIV-positive participants. RESULTS We recruited 719 participants, of whom 119 (16.6%) were seeds. Our estimate of the population prevalence of HIV was 23.4% [95% confidence interval (CI): 15.8% to 31.0%] after RDS adjustments. We estimated that 18.6% (95% CI: 8.8% to 30.4%) of HIV-positive MSM in Vancouver had a VL of ≥200 copies per milliliter. Having an unsuppressed VL was associated with non-white ethnicity [adjusted odds ratio (AOR) = 4.34; 95% CI: 1.67 to 11.1], an annual income of &lt;$15,000 CAD (AOR = 6.43; 95% CI: 2.08 to 19.9), using gamma-hydroxy butyrate in the previous 6 months (AOR = 4.85; 95% CI: 1.79 to 13.2), unprotected anal intercourse with a known HIV-negative or an unknown serostatus partner (AOR = 3.13; 95% CI: 1.10 to 8.90), and disclosing one's HIV serostatus ≥50% of the time (AOR = 7.04; 95% CI: 1.01 to 49.1). CONCLUSION Despite a high prevalence of HIV, we estimated that a small proportion of HIV-positive MSM have undiagnosed HIV and unsuppressed VL. Our results highlight the importance of continued work to address health inequities using a framework based on social determinants of health.","author":[{"dropping-particle":"","family":"Moore","given":"David M.","non-dropping-particle":"","parse-names":false,"suffix":""},{"dropping-particle":"","family":"Cui","given":"Zishan","non-dropping-particle":"","parse-names":false,"suffix":""},{"dropping-particle":"","family":"Lachowsky","given":"Nathan","non-dropping-particle":"","parse-names":false,"suffix":""},{"dropping-particle":"","family":"Raymond","given":"Henry F.","non-dropping-particle":"","parse-names":false,"suffix":""},{"dropping-particle":"","family":"Roth","given":"Eric","non-dropping-particle":"","parse-names":false,"suffix":""},{"dropping-particle":"","family":"Rich","given":"Ashleigh","non-dropping-particle":"","parse-names":false,"suffix":""},{"dropping-particle":"","family":"Sereda","given":"Paul","non-dropping-particle":"","parse-names":false,"suffix":""},{"dropping-particle":"","family":"Howard","given":"Terry","non-dropping-particle":"","parse-names":false,"suffix":""},{"dropping-particle":"","family":"McFarland","given":"Willi","non-dropping-particle":"","parse-names":false,"suffix":""},{"dropping-particle":"","family":"Lal","given":"Allan","non-dropping-particle":"","parse-names":false,"suffix":""},{"dropping-particle":"","family":"Montaner","given":"Julio","non-dropping-particle":"","parse-names":false,"suffix":""},{"dropping-particle":"","family":"Corneil","given":"Trevor","non-dropping-particle":"","parse-names":false,"suffix":""},{"dropping-particle":"","family":"Hogg","given":"Robert S.","non-dropping-particle":"","parse-names":false,"suffix":""},{"dropping-particle":"","family":"Momentum Health Study team","given":"","non-dropping-particle":"","parse-names":false,"suffix":""}],"container-title":"JAIDS Journal of Acquired Immune Deficiency Syndromes","id":"ITEM-1","issue":"1","issued":{"date-parts":[["2016","5","1"]]},"page":"87-95","title":"HIV Community Viral Load and Factors Associated With Elevated Viremia Among a Community-Based Sample of Men Who Have Sex With Men in Vancouver, Canada","type":"article-journal","volume":"72"},"uris":["http://www.mendeley.com/documents/?uuid=d6c48cea-f8b2-337f-91fa-d33e03237f23"]}],"mendeley":{"formattedCitation":"(Moore et al., 2016)","plainTextFormattedCitation":"(Moore et al., 2016)","previouslyFormattedCitation":"(Moore et al., 2016)"},"properties":{"noteIndex":0},"schema":"https://github.com/citation-style-language/schema/raw/master/csl-citation.json"}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(Moore et al., 2016)</w:t>
      </w:r>
      <w:r w:rsidRPr="00C265C3">
        <w:rPr>
          <w:color w:val="000000"/>
          <w:lang w:eastAsia="en-CA"/>
        </w:rPr>
        <w:fldChar w:fldCharType="end"/>
      </w:r>
      <w:r w:rsidRPr="00C265C3">
        <w:rPr>
          <w:color w:val="000000"/>
          <w:lang w:eastAsia="en-CA"/>
        </w:rPr>
        <w:t>.</w:t>
      </w:r>
      <w:r w:rsidRPr="00C265C3">
        <w:rPr>
          <w:lang w:eastAsia="en-CA"/>
        </w:rPr>
        <w:t xml:space="preserve"> </w:t>
      </w:r>
      <w:r w:rsidR="00E22684">
        <w:rPr>
          <w:lang w:eastAsia="en-CA"/>
        </w:rPr>
        <w:t>This dataset utilized</w:t>
      </w:r>
      <w:r w:rsidR="00486A53">
        <w:rPr>
          <w:lang w:eastAsia="en-CA"/>
        </w:rPr>
        <w:t xml:space="preserve"> additional recruitment to recruit more HIV-positive gbMSM</w:t>
      </w:r>
      <w:r w:rsidR="00E22684">
        <w:rPr>
          <w:lang w:eastAsia="en-CA"/>
        </w:rPr>
        <w:t xml:space="preserve"> into the sample</w:t>
      </w:r>
      <w:r w:rsidR="00486A53">
        <w:rPr>
          <w:lang w:eastAsia="en-CA"/>
        </w:rPr>
        <w:t xml:space="preserve">. </w:t>
      </w:r>
    </w:p>
    <w:p w14:paraId="25A8264E" w14:textId="53F948EC" w:rsidR="00053061" w:rsidRPr="00C265C3" w:rsidRDefault="00053061" w:rsidP="00053061">
      <w:pPr>
        <w:spacing w:line="480" w:lineRule="auto"/>
        <w:ind w:firstLine="720"/>
        <w:rPr>
          <w:lang w:eastAsia="en-CA"/>
        </w:rPr>
      </w:pPr>
      <w:r w:rsidRPr="00C265C3">
        <w:rPr>
          <w:color w:val="000000"/>
          <w:lang w:eastAsia="en-CA"/>
        </w:rPr>
        <w:t>Eligibility criteria included: being at least 16 years of age, gender-identifying as male (including transmen), reporting sex with another male-identifying individual in the past six months, currently living in Metro Vancouver, and being able to complete the questionnaire in English. Further, individuals must have received an invitation voucher or have been an initial “seed” to enter the study.</w:t>
      </w:r>
      <w:r w:rsidRPr="00C265C3">
        <w:rPr>
          <w:lang w:eastAsia="en-CA"/>
        </w:rPr>
        <w:t xml:space="preserve"> </w:t>
      </w:r>
      <w:r w:rsidRPr="00C265C3">
        <w:rPr>
          <w:color w:val="000000"/>
          <w:lang w:eastAsia="en-CA"/>
        </w:rPr>
        <w:t xml:space="preserve">Participants were also offered optional entry into the longitudinal cohort study (including follow-up visits every </w:t>
      </w:r>
      <w:r w:rsidR="002972B0" w:rsidRPr="00C265C3">
        <w:rPr>
          <w:color w:val="000000"/>
          <w:lang w:eastAsia="en-CA"/>
        </w:rPr>
        <w:t>six</w:t>
      </w:r>
      <w:r w:rsidRPr="00C265C3">
        <w:rPr>
          <w:color w:val="000000"/>
          <w:lang w:eastAsia="en-CA"/>
        </w:rPr>
        <w:t xml:space="preserve"> months). For each visit, participants received an honorarium of $50 (all figures in Canadian dollars) and an additional compensation of $10 </w:t>
      </w:r>
      <w:r w:rsidR="008D6784">
        <w:rPr>
          <w:color w:val="000000"/>
          <w:lang w:eastAsia="en-CA"/>
        </w:rPr>
        <w:t xml:space="preserve">for </w:t>
      </w:r>
      <w:r w:rsidRPr="00C265C3">
        <w:rPr>
          <w:color w:val="000000"/>
          <w:lang w:eastAsia="en-CA"/>
        </w:rPr>
        <w:t xml:space="preserve">each eligible recruit. All participants signed an informed consent form about the study and their involvement. </w:t>
      </w:r>
    </w:p>
    <w:p w14:paraId="3ED24CC9" w14:textId="735809BD" w:rsidR="00053061" w:rsidRPr="00C265C3" w:rsidRDefault="00053061" w:rsidP="00053061">
      <w:pPr>
        <w:spacing w:line="480" w:lineRule="auto"/>
        <w:ind w:firstLine="720"/>
        <w:rPr>
          <w:lang w:eastAsia="en-CA"/>
        </w:rPr>
      </w:pPr>
      <w:r w:rsidRPr="00C265C3">
        <w:rPr>
          <w:color w:val="000000"/>
          <w:lang w:eastAsia="en-CA"/>
        </w:rPr>
        <w:t xml:space="preserve">At all study visits, participants completed a computer-assisted self-interview (CASI) which asked questions about the past </w:t>
      </w:r>
      <w:proofErr w:type="gramStart"/>
      <w:r w:rsidRPr="00C265C3">
        <w:rPr>
          <w:color w:val="000000"/>
          <w:lang w:eastAsia="en-CA"/>
        </w:rPr>
        <w:t>six</w:t>
      </w:r>
      <w:r w:rsidR="002972B0" w:rsidRPr="00C265C3">
        <w:rPr>
          <w:color w:val="000000"/>
          <w:lang w:eastAsia="en-CA"/>
        </w:rPr>
        <w:t xml:space="preserve"> </w:t>
      </w:r>
      <w:r w:rsidRPr="00C265C3">
        <w:rPr>
          <w:color w:val="000000"/>
          <w:lang w:eastAsia="en-CA"/>
        </w:rPr>
        <w:t>month</w:t>
      </w:r>
      <w:proofErr w:type="gramEnd"/>
      <w:r w:rsidRPr="00C265C3">
        <w:rPr>
          <w:color w:val="000000"/>
          <w:lang w:eastAsia="en-CA"/>
        </w:rPr>
        <w:t xml:space="preserve"> time-frame, assessing demographics, sexual behaviours and risk, and substance use. HIV bloodwork and STI screening was completed by the study nurse who also administered a clinical questionnaire about history of diagnosed medical conditions and treatment, including mental health and substance use disorders. </w:t>
      </w:r>
    </w:p>
    <w:p w14:paraId="24D89BAE" w14:textId="77777777" w:rsidR="00053061" w:rsidRPr="00C265C3" w:rsidRDefault="00053061" w:rsidP="00053061">
      <w:pPr>
        <w:spacing w:line="480" w:lineRule="auto"/>
        <w:ind w:firstLine="720"/>
        <w:rPr>
          <w:lang w:eastAsia="en-CA"/>
        </w:rPr>
      </w:pPr>
      <w:r w:rsidRPr="00C265C3">
        <w:rPr>
          <w:color w:val="000000"/>
          <w:lang w:eastAsia="en-CA"/>
        </w:rPr>
        <w:t>The [BLINDED FOR REVIEW] received ethical approval from the Research Ethics Boards of [BLINDED FOR REVIEW]. The present analysis utilizes data collected from study visits up to February 2018.</w:t>
      </w:r>
    </w:p>
    <w:p w14:paraId="24D921D4" w14:textId="77777777" w:rsidR="00053061" w:rsidRPr="00C265C3" w:rsidRDefault="00053061" w:rsidP="00053061">
      <w:pPr>
        <w:spacing w:line="480" w:lineRule="auto"/>
        <w:ind w:firstLine="720"/>
        <w:rPr>
          <w:lang w:eastAsia="en-CA"/>
        </w:rPr>
      </w:pPr>
    </w:p>
    <w:p w14:paraId="38F37DA9" w14:textId="37B590B6" w:rsidR="00053061" w:rsidRPr="00C265C3" w:rsidRDefault="00053061" w:rsidP="00053061">
      <w:pPr>
        <w:spacing w:after="240" w:line="480" w:lineRule="auto"/>
        <w:rPr>
          <w:b/>
          <w:bCs/>
          <w:i/>
          <w:color w:val="000000"/>
          <w:lang w:eastAsia="en-CA"/>
        </w:rPr>
      </w:pPr>
      <w:r w:rsidRPr="00C265C3">
        <w:rPr>
          <w:b/>
          <w:bCs/>
          <w:i/>
          <w:iCs/>
          <w:color w:val="000000"/>
          <w:lang w:eastAsia="en-CA"/>
        </w:rPr>
        <w:t>Dependent Variable</w:t>
      </w:r>
    </w:p>
    <w:p w14:paraId="136BE7D6" w14:textId="1FD362AD" w:rsidR="00281BC8" w:rsidRPr="00C265C3" w:rsidRDefault="00053061" w:rsidP="00A42149">
      <w:pPr>
        <w:spacing w:after="240" w:line="480" w:lineRule="auto"/>
        <w:rPr>
          <w:bCs/>
          <w:iCs/>
          <w:color w:val="000000"/>
          <w:lang w:eastAsia="en-CA"/>
        </w:rPr>
      </w:pPr>
      <w:r w:rsidRPr="00C265C3">
        <w:rPr>
          <w:color w:val="000000"/>
          <w:lang w:eastAsia="en-CA"/>
        </w:rPr>
        <w:lastRenderedPageBreak/>
        <w:t xml:space="preserve">At each study visit, participants were asked whether they had used a list of various substances, including MA, and at what frequency if they had used them in the past </w:t>
      </w:r>
      <w:r w:rsidR="002972B0" w:rsidRPr="00C265C3">
        <w:rPr>
          <w:color w:val="000000"/>
          <w:lang w:eastAsia="en-CA"/>
        </w:rPr>
        <w:t>six</w:t>
      </w:r>
      <w:r w:rsidRPr="00C265C3">
        <w:rPr>
          <w:color w:val="000000"/>
          <w:lang w:eastAsia="en-CA"/>
        </w:rPr>
        <w:t xml:space="preserve"> months (e.g., less than once a month, monthly, weekly, more than weekly, daily or almost daily).</w:t>
      </w:r>
      <w:r w:rsidRPr="00C265C3">
        <w:rPr>
          <w:b/>
          <w:bCs/>
          <w:iCs/>
          <w:color w:val="000000"/>
          <w:lang w:eastAsia="en-CA"/>
        </w:rPr>
        <w:t xml:space="preserve"> </w:t>
      </w:r>
      <w:r w:rsidR="00A42149" w:rsidRPr="00C265C3">
        <w:rPr>
          <w:bCs/>
          <w:iCs/>
          <w:color w:val="000000"/>
          <w:lang w:eastAsia="en-CA"/>
        </w:rPr>
        <w:t>Participants who reported at least weekly</w:t>
      </w:r>
      <w:r w:rsidR="00293B26">
        <w:rPr>
          <w:bCs/>
          <w:iCs/>
          <w:color w:val="000000"/>
          <w:lang w:eastAsia="en-CA"/>
        </w:rPr>
        <w:t xml:space="preserve"> MA use</w:t>
      </w:r>
      <w:r w:rsidR="00A42149" w:rsidRPr="00C265C3">
        <w:rPr>
          <w:bCs/>
          <w:iCs/>
          <w:color w:val="000000"/>
          <w:lang w:eastAsia="en-CA"/>
        </w:rPr>
        <w:t xml:space="preserve"> at one study visit had all subsequent visits available for inclusion in the analysis, where they could either be classified has having reduced their </w:t>
      </w:r>
      <w:r w:rsidR="00293B26">
        <w:rPr>
          <w:bCs/>
          <w:iCs/>
          <w:color w:val="000000"/>
          <w:lang w:eastAsia="en-CA"/>
        </w:rPr>
        <w:t>MA use</w:t>
      </w:r>
      <w:r w:rsidR="00A42149" w:rsidRPr="00C265C3">
        <w:rPr>
          <w:bCs/>
          <w:iCs/>
          <w:color w:val="000000"/>
          <w:lang w:eastAsia="en-CA"/>
        </w:rPr>
        <w:t xml:space="preserve"> </w:t>
      </w:r>
      <w:r w:rsidR="00A42149" w:rsidRPr="00C265C3">
        <w:rPr>
          <w:color w:val="000000"/>
          <w:lang w:eastAsia="en-CA"/>
        </w:rPr>
        <w:t xml:space="preserve">(i.e., monthly use, less than monthly or no use) </w:t>
      </w:r>
      <w:r w:rsidR="00A42149" w:rsidRPr="00486A53">
        <w:rPr>
          <w:color w:val="000000"/>
          <w:lang w:eastAsia="en-CA"/>
        </w:rPr>
        <w:t>or continued frequent use</w:t>
      </w:r>
      <w:r w:rsidR="00A42149" w:rsidRPr="00C265C3">
        <w:rPr>
          <w:color w:val="000000"/>
          <w:lang w:eastAsia="en-CA"/>
        </w:rPr>
        <w:t xml:space="preserve"> (i.e., at least weekly).</w:t>
      </w:r>
    </w:p>
    <w:p w14:paraId="5DB6E8E2" w14:textId="2DA9C4D3" w:rsidR="00053061" w:rsidRPr="00C265C3" w:rsidRDefault="00053061" w:rsidP="00281BC8">
      <w:pPr>
        <w:spacing w:after="240" w:line="480" w:lineRule="auto"/>
        <w:rPr>
          <w:i/>
          <w:color w:val="000000"/>
          <w:lang w:eastAsia="en-CA"/>
        </w:rPr>
      </w:pPr>
      <w:r w:rsidRPr="00C265C3">
        <w:rPr>
          <w:b/>
          <w:bCs/>
          <w:i/>
          <w:iCs/>
          <w:color w:val="000000"/>
          <w:lang w:eastAsia="en-CA"/>
        </w:rPr>
        <w:t>Independent Variables</w:t>
      </w:r>
    </w:p>
    <w:p w14:paraId="2F5FFC0F" w14:textId="72A72DAA" w:rsidR="00281BC8" w:rsidRPr="00C265C3" w:rsidRDefault="00053061" w:rsidP="00281BC8">
      <w:pPr>
        <w:spacing w:line="480" w:lineRule="auto"/>
        <w:rPr>
          <w:color w:val="000000"/>
          <w:lang w:eastAsia="en-CA"/>
        </w:rPr>
      </w:pPr>
      <w:r w:rsidRPr="00C265C3">
        <w:rPr>
          <w:color w:val="000000"/>
          <w:lang w:eastAsia="en-CA"/>
        </w:rPr>
        <w:t xml:space="preserve">The primary explanatory variable of interest was symptomatology of anxiety and depression. Other key independent variables for this analysis included substance use behaviors, mental health, other psychosocial factors, and sexual behavior. </w:t>
      </w:r>
    </w:p>
    <w:p w14:paraId="2C8389B3" w14:textId="5DA82E79" w:rsidR="00FA1A8B" w:rsidRPr="00C265C3" w:rsidRDefault="00053061" w:rsidP="00FA1A8B">
      <w:pPr>
        <w:spacing w:line="480" w:lineRule="auto"/>
        <w:ind w:firstLine="720"/>
        <w:rPr>
          <w:color w:val="000000"/>
          <w:lang w:eastAsia="en-CA"/>
        </w:rPr>
      </w:pPr>
      <w:r w:rsidRPr="00C265C3">
        <w:rPr>
          <w:color w:val="000000"/>
          <w:lang w:eastAsia="en-CA"/>
        </w:rPr>
        <w:t xml:space="preserve">Mental health factors of anxiety and depressive symptomatology were measured using the Hospital Anxiety &amp; Depression Scale (HADS). Scores for each of the two separate 7-item subscales range from 0 to 21 (anxiety subscale </w:t>
      </w:r>
      <w:r w:rsidRPr="00C265C3">
        <w:rPr>
          <w:lang w:eastAsia="en-CA"/>
        </w:rPr>
        <w:t>α = 0.87; depression subscale α = 0.84</w:t>
      </w:r>
      <w:r w:rsidRPr="00C265C3">
        <w:rPr>
          <w:color w:val="000000"/>
          <w:lang w:eastAsia="en-CA"/>
        </w:rPr>
        <w:t xml:space="preserve">) with the following categorizations corresponding to level of anxiety/depression: normal (0-7), borderline (8-10), and abnormal (11-21) </w:t>
      </w:r>
      <w:r w:rsidRPr="00C265C3">
        <w:rPr>
          <w:color w:val="000000"/>
          <w:lang w:eastAsia="en-CA"/>
        </w:rPr>
        <w:fldChar w:fldCharType="begin" w:fldLock="1"/>
      </w:r>
      <w:r w:rsidR="005A00BA" w:rsidRPr="00C265C3">
        <w:rPr>
          <w:color w:val="000000"/>
          <w:lang w:eastAsia="en-CA"/>
        </w:rPr>
        <w:instrText>ADDIN CSL_CITATION {"citationItems":[{"id":"ITEM-1","itemData":{"ISSN":"0001-690X","PMID":"6880820","abstract":"A self-assessment scale has been developed and found to be a reliable instrument for detecting states of depression and anxiety in the setting of an hospital medical outpatient clinic. The anxiety and depressive subscales are also valid measures of severity of the emotional disorder. It is suggested that the introduction of the scales into general hospital practice would facilitate the large task of detection and management of emotional disorder in patients under investigation and treatment in medical and surgical departments.","author":[{"dropping-particle":"","family":"Zigmond","given":"A S","non-dropping-particle":"","parse-names":false,"suffix":""},{"dropping-particle":"","family":"Snaith","given":"R P","non-dropping-particle":"","parse-names":false,"suffix":""}],"container-title":"Acta psychiatrica Scandinavica","id":"ITEM-1","issue":"6","issued":{"date-parts":[["1983","6"]]},"page":"361-70","title":"The hospital anxiety and depression scale.","type":"article-journal","volume":"67"},"uris":["http://www.mendeley.com/documents/?uuid=115481d9-182f-35b7-b5b9-6a474127ffe9"]}],"mendeley":{"formattedCitation":"(Zigmond &amp; Snaith, 1983)","plainTextFormattedCitation":"(Zigmond &amp; Snaith, 1983)","previouslyFormattedCitation":"(Zigmond &amp; Snaith, 1983)"},"properties":{"noteIndex":0},"schema":"https://github.com/citation-style-language/schema/raw/master/csl-citation.json"}</w:instrText>
      </w:r>
      <w:r w:rsidRPr="00C265C3">
        <w:rPr>
          <w:color w:val="000000"/>
          <w:lang w:eastAsia="en-CA"/>
        </w:rPr>
        <w:fldChar w:fldCharType="separate"/>
      </w:r>
      <w:r w:rsidR="005A00BA" w:rsidRPr="00C265C3">
        <w:rPr>
          <w:noProof/>
          <w:color w:val="000000"/>
          <w:lang w:eastAsia="en-CA"/>
        </w:rPr>
        <w:t>(Zigmond &amp; Snaith, 1983)</w:t>
      </w:r>
      <w:r w:rsidRPr="00C265C3">
        <w:rPr>
          <w:color w:val="000000"/>
          <w:lang w:eastAsia="en-CA"/>
        </w:rPr>
        <w:fldChar w:fldCharType="end"/>
      </w:r>
      <w:r w:rsidRPr="00C265C3">
        <w:rPr>
          <w:color w:val="000000"/>
          <w:lang w:eastAsia="en-CA"/>
        </w:rPr>
        <w:t xml:space="preserve">. Participants self-reported symptomatology by providing responses using various 4-point scales to statements designed to assess anxiety and depression (e.g., “I get a sort of frightened feeling as if something awful is about to happen”) </w:t>
      </w:r>
      <w:r w:rsidRPr="00C265C3">
        <w:rPr>
          <w:color w:val="000000"/>
          <w:lang w:eastAsia="en-CA"/>
        </w:rPr>
        <w:fldChar w:fldCharType="begin" w:fldLock="1"/>
      </w:r>
      <w:r w:rsidR="005A00BA" w:rsidRPr="00C265C3">
        <w:rPr>
          <w:color w:val="000000"/>
          <w:lang w:eastAsia="en-CA"/>
        </w:rPr>
        <w:instrText>ADDIN CSL_CITATION {"citationItems":[{"id":"ITEM-1","itemData":{"ISSN":"0001-690X","PMID":"6880820","abstract":"A self-assessment scale has been developed and found to be a reliable instrument for detecting states of depression and anxiety in the setting of an hospital medical outpatient clinic. The anxiety and depressive subscales are also valid measures of severity of the emotional disorder. It is suggested that the introduction of the scales into general hospital practice would facilitate the large task of detection and management of emotional disorder in patients under investigation and treatment in medical and surgical departments.","author":[{"dropping-particle":"","family":"Zigmond","given":"A S","non-dropping-particle":"","parse-names":false,"suffix":""},{"dropping-particle":"","family":"Snaith","given":"R P","non-dropping-particle":"","parse-names":false,"suffix":""}],"container-title":"Acta psychiatrica Scandinavica","id":"ITEM-1","issue":"6","issued":{"date-parts":[["1983","6"]]},"page":"361-70","title":"The hospital anxiety and depression scale.","type":"article-journal","volume":"67"},"uris":["http://www.mendeley.com/documents/?uuid=115481d9-182f-35b7-b5b9-6a474127ffe9"]}],"mendeley":{"formattedCitation":"(Zigmond &amp; Snaith, 1983)","plainTextFormattedCitation":"(Zigmond &amp; Snaith, 1983)","previouslyFormattedCitation":"(Zigmond &amp; Snaith, 1983)"},"properties":{"noteIndex":0},"schema":"https://github.com/citation-style-language/schema/raw/master/csl-citation.json"}</w:instrText>
      </w:r>
      <w:r w:rsidRPr="00C265C3">
        <w:rPr>
          <w:color w:val="000000"/>
          <w:lang w:eastAsia="en-CA"/>
        </w:rPr>
        <w:fldChar w:fldCharType="separate"/>
      </w:r>
      <w:r w:rsidR="005A00BA" w:rsidRPr="00C265C3">
        <w:rPr>
          <w:noProof/>
          <w:color w:val="000000"/>
          <w:lang w:eastAsia="en-CA"/>
        </w:rPr>
        <w:t>(Zigmond &amp; Snaith, 1983)</w:t>
      </w:r>
      <w:r w:rsidRPr="00C265C3">
        <w:rPr>
          <w:color w:val="000000"/>
          <w:lang w:eastAsia="en-CA"/>
        </w:rPr>
        <w:fldChar w:fldCharType="end"/>
      </w:r>
      <w:r w:rsidRPr="00C265C3">
        <w:rPr>
          <w:color w:val="000000"/>
          <w:lang w:eastAsia="en-CA"/>
        </w:rPr>
        <w:t>.</w:t>
      </w:r>
    </w:p>
    <w:p w14:paraId="1719021A" w14:textId="48E0D95A" w:rsidR="00053061" w:rsidRPr="00C265C3" w:rsidRDefault="00053061" w:rsidP="00281BC8">
      <w:pPr>
        <w:spacing w:line="480" w:lineRule="auto"/>
        <w:ind w:firstLine="720"/>
        <w:rPr>
          <w:color w:val="000000"/>
          <w:lang w:eastAsia="en-CA"/>
        </w:rPr>
      </w:pPr>
      <w:r w:rsidRPr="00C265C3">
        <w:rPr>
          <w:color w:val="000000"/>
          <w:lang w:eastAsia="en-CA"/>
        </w:rPr>
        <w:t>Other psychosocial factors</w:t>
      </w:r>
      <w:r w:rsidRPr="00C265C3">
        <w:rPr>
          <w:i/>
          <w:color w:val="000000"/>
          <w:lang w:eastAsia="en-CA"/>
        </w:rPr>
        <w:t xml:space="preserve"> </w:t>
      </w:r>
      <w:r w:rsidRPr="00C265C3">
        <w:rPr>
          <w:color w:val="000000"/>
          <w:lang w:eastAsia="en-CA"/>
        </w:rPr>
        <w:t>were measured with</w:t>
      </w:r>
      <w:r w:rsidRPr="00C265C3">
        <w:rPr>
          <w:i/>
          <w:color w:val="000000"/>
          <w:lang w:eastAsia="en-CA"/>
        </w:rPr>
        <w:t xml:space="preserve"> </w:t>
      </w:r>
      <w:r w:rsidRPr="00C265C3">
        <w:rPr>
          <w:color w:val="000000"/>
          <w:lang w:eastAsia="en-CA"/>
        </w:rPr>
        <w:t xml:space="preserve">the Gay/Bisexual Self-Esteem Scale </w:t>
      </w:r>
      <w:r w:rsidRPr="00C265C3">
        <w:rPr>
          <w:color w:val="000000"/>
          <w:lang w:eastAsia="en-CA"/>
        </w:rPr>
        <w:fldChar w:fldCharType="begin" w:fldLock="1"/>
      </w:r>
      <w:r w:rsidRPr="00C265C3">
        <w:rPr>
          <w:color w:val="000000"/>
          <w:lang w:eastAsia="en-CA"/>
        </w:rPr>
        <w:instrText>ADDIN CSL_CITATION {"citationItems":[{"id":"ITEM-1","itemData":{"ISSN":"1072-7841","abstract":"\"Sponsored by the Society for the Psychological Study of Lesbian and Gay Issues, Division 44 of the American Psychological Association.\" Accessible and sensitive, the book also examines relevant public policy, volunteerism, and long-term survival as important to AIDS awareness and education. Hit hard by the AIDS epidemic in the United States and in much of Europe, the gay and lesbian community has been forced to examine existing notions of what it means to belong to a community based on sexual orientation. The editors of this second volume in the annual series on Psychological Perspectives on Lesbian and Gay Issues have collected a perceptive array of chapters that explore sexual behavior, personal identity, and community memberships of gay men and lesbian women. With the exception of a few, the chapters reflect study findings from AIDS-related research and include discussions of AIDS in large urban centers and in less populated settings outside of major AIDS epicenters. Focusing on underconsidered AIDS populations, the contributors explore specific topics concerning the AIDS epidemic among gay and bisexual men of color, lesbian women, and gay and lesbian youth. HIV and the gay male community: one clinician's reflections over the years / Neal King -- Lesbians at risk for HIV: the unresolved debate / Cynthia A. Gómez -- HIV/AIDS prevention and the impact of attitudes toward homosexuality and bisexuality / Theo G.M. Sandfort -- Identity and community among gay and bisexual men in the AIDS era: prelimary findings from the Sacramento men's health study / Gregory M. Herek, Eric K. Glunt -- AIDS-related risks and same-sex behaviors among African American men / John L. Peterson -- The Sexual identity and behavior of Perto Rican men who have sex with men / Alex Carballo-Diéguez -- AIDS risk, dual identity, and community response among gay Asian and Pacific Islander men in San Francisco / Kyung-Hee Choi [and others] -- Psychosocial stressors in a panel of New York City gay men during the AIDS epidemic, 1985 to 1991 / Laura Dean -- Coming out as lesbian or gay in the era of AIDS / Mary Jane Rotheram-Borus, Joyce Hunter, Margaret Rosario -- Long-term survival with AIDS and the role of community / Robert H. Remien, Judith G. Rabkin -- AIDS volunteerism: lesbian and gay community-based responses to HIV / Allen M. Omoto, A. Lauren Crain -- The Importance of HIV prevention programming to the lesbian and gay community / William A. Bailey.","author":[{"dropping-particle":"","family":"Greene","given":"Beverly.","non-dropping-particle":"","parse-names":false,"suffix":""},{"dropping-particle":"","family":"Herek","given":"Gregory M.","non-dropping-particle":"","parse-names":false,"suffix":""},{"dropping-particle":"","family":"Society for the Psychological Study of Lesbian and Gay Issues.","given":"","non-dropping-particle":"","parse-names":false,"suffix":""}],"id":"ITEM-1","issued":{"date-parts":[["1995"]]},"number-of-pages":"239","publisher":"Sage Publications","title":"AIDS, identity, and community : the HIV epidemic and lesbians and gay men","type":"book"},"uris":["http://www.mendeley.com/documents/?uuid=b8c287f9-0fd6-3a8d-8d4d-16e737875c25"]}],"mendeley":{"formattedCitation":"(Greene et al., 1995)","plainTextFormattedCitation":"(Greene et al., 1995)","previouslyFormattedCitation":"(Greene et al., 1995)"},"properties":{"noteIndex":0},"schema":"https://github.com/citation-style-language/schema/raw/master/csl-citation.json"}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(Greene et al., 1995)</w:t>
      </w:r>
      <w:r w:rsidRPr="00C265C3">
        <w:rPr>
          <w:color w:val="000000"/>
          <w:lang w:eastAsia="en-CA"/>
        </w:rPr>
        <w:fldChar w:fldCharType="end"/>
      </w:r>
      <w:r w:rsidRPr="00C265C3">
        <w:rPr>
          <w:color w:val="000000"/>
          <w:lang w:eastAsia="en-CA"/>
        </w:rPr>
        <w:t xml:space="preserve">, Escape Motivation Scale </w:t>
      </w:r>
      <w:r w:rsidRPr="00C265C3">
        <w:rPr>
          <w:color w:val="000000"/>
          <w:lang w:eastAsia="en-CA"/>
        </w:rPr>
        <w:fldChar w:fldCharType="begin" w:fldLock="1"/>
      </w:r>
      <w:r w:rsidRPr="00C265C3">
        <w:rPr>
          <w:color w:val="000000"/>
          <w:lang w:eastAsia="en-CA"/>
        </w:rPr>
        <w:instrText>ADDIN CSL_CITATION {"citationItems":[{"id":"ITEM-1","itemData":{"PMID":"11547615","abstract":"PURPOSE We tested the hypotheses that sexual risk would relate to gay/bisexual men's patterns of combining alcohol or drugs with sex, their motivation to use drugs to cognitively \"escape\" awareness of HIV risk, and their use of bars as social and sexual settings. METHODS We conducted extensive interviews among African-American (n = 139) and White (n = 112) gay and bisexual men who were attending a behavioral intervention for safer sex results. Those who frequently combined drugs with sex reported higher rates of sexual risk and Hepatitis B infection than did men who infrequently combined substances with sex, or who combined only alcohol with sex. Sexual risk was pronounced among more frequent drug users who also reported strong expectancies that alcohol or drugs facilitate sex and cognitively escape from awareness of HIV risk. Frequenting bars per se was not an important factor in sexual risk. IMPLICATIONS Men who use alcohol or drugs to enhance sexuality and escape self-awareness of HIV risk have a significantly diminished capacity to avoid sexual risk.","author":[{"dropping-particle":"","family":"McKirnan","given":"D J","non-dropping-particle":"","parse-names":false,"suffix":""},{"dropping-particle":"","family":"Vanable","given":"P A","non-dropping-particle":"","parse-names":false,"suffix":""},{"dropping-particle":"","family":"Ostrow","given":"D G","non-dropping-particle":"","parse-names":false,"suffix":""},{"dropping-particle":"","family":"Hope","given":"B","non-dropping-particle":"","parse-names":false,"suffix":""}],"container-title":"Journal of substance abuse","id":"ITEM-1","issue":"1-2","issued":{"date-parts":[["2001"]]},"page":"137-54","title":"Expectancies of sexual escape and sexual risk among drug and alcohol-involved gay and bisexual men.","type":"article-journal","volume":"13"},"uris":["http://www.mendeley.com/documents/?uuid=c9aa371e-4a68-3255-9efb-d1b72993b59a"]}],"mendeley":{"formattedCitation":"(McKirnan et al., 2001)","plainTextFormattedCitation":"(McKirnan et al., 2001)","previouslyFormattedCitation":"(McKirnan et al., 2001)"},"properties":{"noteIndex":0},"schema":"https://github.com/citation-style-language/schema/raw/master/csl-citation.json"}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(McKirnan et al., 2001)</w:t>
      </w:r>
      <w:r w:rsidRPr="00C265C3">
        <w:rPr>
          <w:color w:val="000000"/>
          <w:lang w:eastAsia="en-CA"/>
        </w:rPr>
        <w:fldChar w:fldCharType="end"/>
      </w:r>
      <w:r w:rsidRPr="00C265C3">
        <w:rPr>
          <w:color w:val="000000"/>
          <w:lang w:eastAsia="en-CA"/>
        </w:rPr>
        <w:t xml:space="preserve">, Sexual Sensation Seeking Scale </w:t>
      </w:r>
      <w:r w:rsidRPr="00C265C3">
        <w:rPr>
          <w:color w:val="000000"/>
          <w:lang w:eastAsia="en-CA"/>
        </w:rPr>
        <w:fldChar w:fldCharType="begin" w:fldLock="1"/>
      </w:r>
      <w:r w:rsidR="005A00BA" w:rsidRPr="00C265C3">
        <w:rPr>
          <w:color w:val="000000"/>
          <w:lang w:eastAsia="en-CA"/>
        </w:rPr>
        <w:instrText>ADDIN CSL_CITATION {"citationItems":[{"id":"ITEM-1","itemData":{"DOI":"10.1207/s15327752jpa6503_16","ISSN":"0022-3891","PMID":"8609589","abstract":"Two studies are presented that evaluate newly developed scales of sensation seeking and sexual compulsivity. Results showed that the scales were reliable and correlated with convergent and divergent measures in expected directions in samples of both gay men (N = 296) and inner city low-income men and women (N = 158). Consistent with theories of sensation seeking, the scales corresponded to an attraction toward a range of sexual practices, including increased frequencies of unprotected intercourse and a greater number of sexual partners. As expected, sexual compulsivity was not related to variety and novelty in sexual practices, but was associated with lower levels of self-esteem and resistance to adopting sexual risk-reducing strategies. However important differences were observed between the gay men and heterosexual samples; scales correlated with substance use only among gay men, and sexual compulsivity was related to a range of sexual practices only among heterosexuals. The sensation seeking and Sexual Compulsivity Scales were therefore reliable, appeared valid, and useful in predicting sexual risk behaviors.","author":[{"dropping-particle":"","family":"Kalichman","given":"Seth C.","non-dropping-particle":"","parse-names":false,"suffix":""},{"dropping-particle":"","family":"Rompa","given":"David","non-dropping-particle":"","parse-names":false,"suffix":""}],"container-title":"Journal of Personality Assessment","id":"ITEM-1","issue":"3","issued":{"date-parts":[["1995","12"]]},"page":"586-601","title":"Sexual Sensation Seeking and Sexual Compulsivity Scales: Validity, and Predicting HIV Risk Behavior","type":"article-journal","volume":"65"},"uris":["http://www.mendeley.com/documents/?uuid=262f11e8-2d10-373e-8077-d7f06e5c98dd"]}],"mendeley":{"formattedCitation":"(Kalichman &amp; Rompa, 1995)","plainTextFormattedCitation":"(Kalichman &amp; Rompa, 1995)","previouslyFormattedCitation":"(Kalichman &amp; Rompa, 1995)"},"properties":{"noteIndex":0},"schema":"https://github.com/citation-style-language/schema/raw/master/csl-citation.json"}</w:instrText>
      </w:r>
      <w:r w:rsidRPr="00C265C3">
        <w:rPr>
          <w:color w:val="000000"/>
          <w:lang w:eastAsia="en-CA"/>
        </w:rPr>
        <w:fldChar w:fldCharType="separate"/>
      </w:r>
      <w:r w:rsidR="005A00BA" w:rsidRPr="00C265C3">
        <w:rPr>
          <w:noProof/>
          <w:color w:val="000000"/>
          <w:lang w:eastAsia="en-CA"/>
        </w:rPr>
        <w:t>(Kalichman &amp; Rompa, 1995)</w:t>
      </w:r>
      <w:r w:rsidRPr="00C265C3">
        <w:rPr>
          <w:color w:val="000000"/>
          <w:lang w:eastAsia="en-CA"/>
        </w:rPr>
        <w:fldChar w:fldCharType="end"/>
      </w:r>
      <w:r w:rsidRPr="00C265C3">
        <w:rPr>
          <w:color w:val="000000"/>
          <w:lang w:eastAsia="en-CA"/>
        </w:rPr>
        <w:t xml:space="preserve">, and </w:t>
      </w:r>
      <w:proofErr w:type="spellStart"/>
      <w:r w:rsidRPr="00C265C3">
        <w:rPr>
          <w:color w:val="000000"/>
          <w:lang w:eastAsia="en-CA"/>
        </w:rPr>
        <w:t>Lubben</w:t>
      </w:r>
      <w:proofErr w:type="spellEnd"/>
      <w:r w:rsidRPr="00C265C3">
        <w:rPr>
          <w:color w:val="000000"/>
          <w:lang w:eastAsia="en-CA"/>
        </w:rPr>
        <w:t xml:space="preserve"> Social Network Scale </w:t>
      </w:r>
      <w:r w:rsidRPr="00C265C3">
        <w:rPr>
          <w:color w:val="000000"/>
          <w:lang w:eastAsia="en-CA"/>
        </w:rPr>
        <w:fldChar w:fldCharType="begin" w:fldLock="1"/>
      </w:r>
      <w:r w:rsidRPr="00C265C3">
        <w:rPr>
          <w:color w:val="000000"/>
          <w:lang w:eastAsia="en-CA"/>
        </w:rPr>
        <w:instrText>ADDIN CSL_CITATION {"citationItems":[{"id":"ITEM-1","itemData":{"DOI":"10.1093/geront/46.4.503","ISSN":"0016-9013","PMID":"16921004","abstract":"PURPOSE There is a need for valid and reliable short scales that can be used to assess social networks and social supports and to screen for social isolation in older persons. DESIGN AND METHODS The present study is a cross-national and cross-cultural evaluation of the performance of an abbreviated version of the Lubben Social Network Scale (LSNS-6), which was used to screen for social isolation among community-dwelling older adult populations in three European countries. Based on the concept of lack of redundancy of social ties we defined clinical cut-points of the LSNS-6 for identifying persons deemed at risk for social isolation. RESULTS Among all three samples, the LSNS-6 and two subscales (Family and Friends) demonstrated high levels of internal consistency, stable factor structures, and high correlations with criterion variables. The proposed clinical cut-points showed good convergent validity, and classified 20% of the respondents in Hamburg, 11% of those in Solothurn (Switzerland), and 15% of those in London as at risk for social isolation. IMPLICATIONS We conclude that abbreviated scales such as the LSNS-6 should be considered for inclusion in practice protocols of gerontological practitioners. Screening older persons based on the LSNS-6 provides quantitative information on their family and friendship ties, and identifies persons at increased risk for social isolation who might benefit from in-depth assessment and targeted interventions.","author":[{"dropping-particle":"","family":"Lubben","given":"James","non-dropping-particle":"","parse-names":false,"suffix":""},{"dropping-particle":"","family":"Blozik","given":"Eva","non-dropping-particle":"","parse-names":false,"suffix":""},{"dropping-particle":"","family":"Gillmann","given":"Gerhard","non-dropping-particle":"","parse-names":false,"suffix":""},{"dropping-particle":"","family":"Iliffe","given":"Steve","non-dropping-particle":"","parse-names":false,"suffix":""},{"dropping-particle":"","family":"Renteln Kruse","given":"Wolfgang","non-dropping-particle":"von","parse-names":false,"suffix":""},{"dropping-particle":"","family":"Beck","given":"John C","non-dropping-particle":"","parse-names":false,"suffix":""},{"dropping-particle":"","family":"Stuck","given":"Andreas E","non-dropping-particle":"","parse-names":false,"suffix":""}],"container-title":"The Gerontologist","id":"ITEM-1","issue":"4","issued":{"date-parts":[["2006","8"]]},"page":"503-13","title":"Performance of an abbreviated version of the Lubben Social Network Scale among three European community-dwelling older adult populations.","type":"article-journal","volume":"46"},"uris":["http://www.mendeley.com/documents/?uuid=5c3c8e96-efd2-3656-865a-88363109893f"]}],"mendeley":{"formattedCitation":"(Lubben et al., 2006)","plainTextFormattedCitation":"(Lubben et al., 2006)","previouslyFormattedCitation":"(Lubben et al., 2006)"},"properties":{"noteIndex":0},"schema":"https://github.com/citation-style-language/schema/raw/master/csl-citation.json"}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(Lubben et al., 2006)</w:t>
      </w:r>
      <w:r w:rsidRPr="00C265C3">
        <w:rPr>
          <w:color w:val="000000"/>
          <w:lang w:eastAsia="en-CA"/>
        </w:rPr>
        <w:fldChar w:fldCharType="end"/>
      </w:r>
      <w:r w:rsidRPr="00C265C3">
        <w:rPr>
          <w:color w:val="000000"/>
          <w:lang w:eastAsia="en-CA"/>
        </w:rPr>
        <w:t xml:space="preserve">. The HIV Treatment Optimism-Skepticism Scale </w:t>
      </w:r>
      <w:r w:rsidRPr="00C265C3">
        <w:rPr>
          <w:color w:val="000000"/>
          <w:lang w:eastAsia="en-CA"/>
        </w:rPr>
        <w:fldChar w:fldCharType="begin" w:fldLock="1"/>
      </w:r>
      <w:r w:rsidRPr="00C265C3">
        <w:rPr>
          <w:color w:val="000000"/>
          <w:lang w:eastAsia="en-CA"/>
        </w:rPr>
        <w:instrText>ADDIN CSL_CITATION {"citationItems":[{"id":"ITEM-1","itemData":{"DOI":"10.1080/09540120050001841","ISSN":"0954-0121","PMID":"10827857","abstract":"The aim of this research was to develop a brief scale of gay men's optimism-scepticism in the context of new HIV treatments. Following comprehensive literature search and communication with other researchers, 34 items about viral load testing, HIV therapies and concern about HIV infection were generated. By way of anonymous, self-complete questionnaires, these items were put to 532 gay men recruited at the Sydney Gay and Lesbian Mardi Gras Fair Day in February 1999. Principal axes factor analysis and item refinement yielded an optimism-scepticism scale based on 12 items (range 12-48, with higher scores indicating greater optimism). The sample mean was 19.8 (SD = 4.7). The scale had high internal consistency reliability (Cronbach's alpha = 0.79). Providing preliminary evidence of validity, men who reported unprotected anal intercourse with a causal partner 'in the past six months' had a significantly higher mean score (21.3) than those who did not report this risk practice (19.5, p &lt; 0.001). Similar validation was provided from separate samples of gay men in Queensland and Sydney. Our scale of optimism-scepticism in the context of new HIV therapies is a brief, reliable instrument which can be incorporated within broader questionnaires and interview schedules. It is a useful tool to monitor attitudes toward HIV therapies and possible associations with risk practices.","author":[{"dropping-particle":"","family":"Ven","given":"P","non-dropping-particle":"Van de","parse-names":false,"suffix":""},{"dropping-particle":"","family":"Crawford","given":"J","non-dropping-particle":"","parse-names":false,"suffix":""},{"dropping-particle":"","family":"Kippax","given":"S","non-dropping-particle":"","parse-names":false,"suffix":""},{"dropping-particle":"","family":"Knox","given":"S","non-dropping-particle":"","parse-names":false,"suffix":""},{"dropping-particle":"","family":"Prestage","given":"G","non-dropping-particle":"","parse-names":false,"suffix":""}],"container-title":"AIDS care","id":"ITEM-1","issue":"2","issued":{"date-parts":[["2000","4","27"]]},"page":"171-6","title":"A scale of optimism-scepticism in the context of HIV treatments.","type":"article-journal","volume":"12"},"uris":["http://www.mendeley.com/documents/?uuid=c955693c-d4ed-3884-ae78-2b87fb420bb5"]}],"mendeley":{"formattedCitation":"(Van de Ven et al., 2000)","plainTextFormattedCitation":"(Van de Ven et al., 2000)","previouslyFormattedCitation":"(Van de Ven et al., 2000)"},"properties":{"noteIndex":0},"schema":"https://github.com/citation-style-language/schema/raw/master/csl-citation.json"}</w:instrText>
      </w:r>
      <w:r w:rsidRPr="00C265C3">
        <w:rPr>
          <w:color w:val="000000"/>
          <w:lang w:eastAsia="en-CA"/>
        </w:rPr>
        <w:fldChar w:fldCharType="separate"/>
      </w:r>
      <w:r w:rsidRPr="00C265C3">
        <w:rPr>
          <w:noProof/>
          <w:color w:val="000000"/>
          <w:lang w:eastAsia="en-CA"/>
        </w:rPr>
        <w:t>(Van de Ven et al., 2000)</w:t>
      </w:r>
      <w:r w:rsidRPr="00C265C3">
        <w:rPr>
          <w:color w:val="000000"/>
          <w:lang w:eastAsia="en-CA"/>
        </w:rPr>
        <w:fldChar w:fldCharType="end"/>
      </w:r>
      <w:r w:rsidRPr="00C265C3">
        <w:rPr>
          <w:color w:val="000000"/>
          <w:lang w:eastAsia="en-CA"/>
        </w:rPr>
        <w:t xml:space="preserve">, Sexual </w:t>
      </w:r>
      <w:r w:rsidRPr="00C265C3">
        <w:rPr>
          <w:color w:val="000000"/>
          <w:lang w:eastAsia="en-CA"/>
        </w:rPr>
        <w:lastRenderedPageBreak/>
        <w:t xml:space="preserve">Altruism Scale </w:t>
      </w:r>
      <w:r w:rsidRPr="00C265C3">
        <w:rPr>
          <w:color w:val="000000"/>
          <w:lang w:eastAsia="en-CA"/>
        </w:rPr>
        <w:fldChar w:fldCharType="begin" w:fldLock="1"/>
      </w:r>
      <w:r w:rsidR="005A00BA" w:rsidRPr="00C265C3">
        <w:rPr>
          <w:color w:val="000000"/>
          <w:lang w:eastAsia="en-CA"/>
        </w:rPr>
        <w:instrText>ADDIN CSL_CITATION {"citationItems":[{"id":"ITEM-1","itemData":{"DOI":"10.1023/A:1025437418276","ISSN":"10907165","author":[{"dropping-particle":"","family":"Nimmons","given":"David","non-dropping-particle":"","parse-names":false,"suffix":""},{"dropping-particle":"","family":"Folkman","given":"Susan","non-dropping-particle":"","parse-names":false,"suffix":""}],"container-title":"AIDS and Behavior","id":"ITEM-1","issue":"4","issued":{"date-parts":[["1999"]]},"page":"313-324","publisher":"Kluwer Academic Publishers-Plenum Publishers","title":"Other-Sensitive Motivation for Safer Sex Among Gay Men: Expanding Paradigms for HIV Prevention","type":"article-journal","volume":"3"},"uris":["http://www.mendeley.com/documents/?uuid=cca77b32-c770-3e01-aaab-ccf6b4c3c5e5"]},{"id":"ITEM-2","itemData":{"DOI":"10.1007/s10461-007-9321-9","ISSN":"1090-7165","PMID":"17985229","abstract":"An understanding of men's motivations to avoid risk behavior is needed to create efficacious HIV prevention programs for HIV-positive men who have sex with men (MSM). This study investigates the relationship between sexual risk behavior and HIV prevention altruism, which is defined as the values, motivations, and practices of caretaking towards one's sexual partners to prevent the transmission of HIV. In a sample of 637 HIV-positive MSM, HIV prevention altruism significantly protects against serodiscordant unprotected anal intercourse (SDUAI) in crude analysis, but not after adjustment for drug use and compulsive sexual behavior. HIV prevention altruism is also related to not engaging in anal intercourse, but is not related to serodisclosure to secondary partners. Lack of altruism appears related to sexual risk behavior in HIV-positive MSM, although other psychological and contextual factors play significant roles. The promotion of HIV prevention altruism may provide a formidable new direction for HIV prevention programs.","author":[{"dropping-particle":"","family":"O’Dell","given":"Brennan L.","non-dropping-particle":"","parse-names":false,"suffix":""},{"dropping-particle":"","family":"Rosser","given":"B. R. Simon","non-dropping-particle":"","parse-names":false,"suffix":""},{"dropping-particle":"","family":"Miner","given":"Michael H.","non-dropping-particle":"","parse-names":false,"suffix":""},{"dropping-particle":"","family":"Jacoby","given":"Scott M.","non-dropping-particle":"","parse-names":false,"suffix":""}],"container-title":"AIDS and Behavior","id":"ITEM-2","issue":"5","issued":{"date-parts":[["2008","9","6"]]},"page":"713-720","title":"HIV Prevention Altruism and Sexual Risk Behavior in HIV-Positive Men Who Have Sex with Men","type":"article-journal","volume":"12"},"uris":["http://www.mendeley.com/documents/?uuid=aeef9b6b-ebea-3569-863b-7be843d764de"]}],"mendeley":{"formattedCitation":"(Nimmons &amp; Folkman, 1999; O’Dell et al., 2008)","plainTextFormattedCitation":"(Nimmons &amp; Folkman, 1999; O’Dell et al., 2008)","previouslyFormattedCitation":"(Nimmons &amp; Folkman, 1999; O’Dell et al., 2008)"},"properties":{"noteIndex":0},"schema":"https://github.com/citation-style-language/schema/raw/master/csl-citation.json"}</w:instrText>
      </w:r>
      <w:r w:rsidRPr="00C265C3">
        <w:rPr>
          <w:color w:val="000000"/>
          <w:lang w:eastAsia="en-CA"/>
        </w:rPr>
        <w:fldChar w:fldCharType="separate"/>
      </w:r>
      <w:r w:rsidR="005A00BA" w:rsidRPr="00C265C3">
        <w:rPr>
          <w:noProof/>
          <w:color w:val="000000"/>
          <w:lang w:eastAsia="en-CA"/>
        </w:rPr>
        <w:t>(Nimmons &amp; Folkman, 1999; O’Dell et al., 2008)</w:t>
      </w:r>
      <w:r w:rsidRPr="00C265C3">
        <w:rPr>
          <w:color w:val="000000"/>
          <w:lang w:eastAsia="en-CA"/>
        </w:rPr>
        <w:fldChar w:fldCharType="end"/>
      </w:r>
      <w:r w:rsidRPr="00C265C3">
        <w:rPr>
          <w:color w:val="000000"/>
          <w:lang w:eastAsia="en-CA"/>
        </w:rPr>
        <w:t xml:space="preserve">, and Loneliness Scale for Emotional and Social Loneliness </w:t>
      </w:r>
      <w:r w:rsidRPr="00C265C3">
        <w:rPr>
          <w:lang w:eastAsia="en-CA"/>
        </w:rPr>
        <w:fldChar w:fldCharType="begin" w:fldLock="1"/>
      </w:r>
      <w:r w:rsidR="005A00BA" w:rsidRPr="00C265C3">
        <w:rPr>
          <w:lang w:eastAsia="en-CA"/>
        </w:rPr>
        <w:instrText>ADDIN CSL_CITATION {"citationItems":[{"id":"ITEM-1","itemData":{"DOI":"10.1177/0164027506289723","abstract":"Loneliness is an indicator of social well-being and pertains to the feeling of missing an intimate relationship (emotional loneliness) or missing a wider social network (social loneliness). The 11-...","author":[{"dropping-particle":"","family":"Jong Gierveld","given":"Jenny","non-dropping-particle":"de","parse-names":false,"suffix":""},{"dropping-particle":"Van","family":"Tilburg","given":"Theo","non-dropping-particle":"","parse-names":false,"suffix":""}],"container-title":"Research on Aging","id":"ITEM-1","issue":"5","issued":{"date-parts":[["2006","9","18"]]},"page":"582-598","publisher":"Sage PublicationsSage CA: Thousand Oaks, CA","title":"A 6-Item Scale for Overall, Emotional, and Social Loneliness","type":"article-journal","volume":"28"},"uris":["http://www.mendeley.com/documents/?uuid=de543207-4c77-3140-8f0e-9cdfaffbbfac"]}],"mendeley":{"formattedCitation":"(de Jong Gierveld &amp; Tilburg, 2006)","plainTextFormattedCitation":"(de Jong Gierveld &amp; Tilburg, 2006)","previouslyFormattedCitation":"(de Jong Gierveld &amp; Tilburg, 2006)"},"properties":{"noteIndex":0},"schema":"https://github.com/citation-style-language/schema/raw/master/csl-citation.json"}</w:instrText>
      </w:r>
      <w:r w:rsidRPr="00C265C3">
        <w:rPr>
          <w:lang w:eastAsia="en-CA"/>
        </w:rPr>
        <w:fldChar w:fldCharType="separate"/>
      </w:r>
      <w:r w:rsidR="005A00BA" w:rsidRPr="00C265C3">
        <w:rPr>
          <w:noProof/>
          <w:lang w:eastAsia="en-CA"/>
        </w:rPr>
        <w:t>(de Jong Gierveld &amp; Tilburg, 2006)</w:t>
      </w:r>
      <w:r w:rsidRPr="00C265C3">
        <w:rPr>
          <w:lang w:eastAsia="en-CA"/>
        </w:rPr>
        <w:fldChar w:fldCharType="end"/>
      </w:r>
      <w:r w:rsidRPr="00C265C3">
        <w:rPr>
          <w:lang w:eastAsia="en-CA"/>
        </w:rPr>
        <w:t xml:space="preserve"> were also administered.</w:t>
      </w:r>
    </w:p>
    <w:p w14:paraId="35725685" w14:textId="205A9C8B" w:rsidR="00053061" w:rsidRPr="00C265C3" w:rsidRDefault="00053061" w:rsidP="00281BC8">
      <w:pPr>
        <w:spacing w:line="480" w:lineRule="auto"/>
        <w:ind w:firstLine="720"/>
        <w:rPr>
          <w:color w:val="000000"/>
          <w:lang w:eastAsia="en-CA"/>
        </w:rPr>
      </w:pPr>
      <w:r w:rsidRPr="00C265C3">
        <w:rPr>
          <w:color w:val="000000"/>
          <w:lang w:eastAsia="en-CA"/>
        </w:rPr>
        <w:t>Sexual history was obtained as participants were asked to describe the number of male partners (</w:t>
      </w:r>
      <w:r w:rsidR="00866970" w:rsidRPr="00C265C3">
        <w:rPr>
          <w:color w:val="000000"/>
          <w:lang w:eastAsia="en-CA"/>
        </w:rPr>
        <w:t>in the past six months</w:t>
      </w:r>
      <w:r w:rsidRPr="00C265C3">
        <w:rPr>
          <w:color w:val="000000"/>
          <w:lang w:eastAsia="en-CA"/>
        </w:rPr>
        <w:t xml:space="preserve">), frequency of any condomless anal sex, use of the internet or mobile apps to seek sex, and any exchange of drugs for sex. Use of HIV prevention and risk reduction strategies (such as consistent condom use) was also measured. </w:t>
      </w:r>
    </w:p>
    <w:p w14:paraId="4F343180" w14:textId="5A571B19" w:rsidR="00FA1A8B" w:rsidRPr="00C265C3" w:rsidRDefault="00FA1A8B" w:rsidP="00441AAE">
      <w:pPr>
        <w:spacing w:line="480" w:lineRule="auto"/>
        <w:ind w:firstLine="720"/>
        <w:rPr>
          <w:lang w:eastAsia="en-CA"/>
        </w:rPr>
      </w:pPr>
      <w:r w:rsidRPr="00C265C3">
        <w:rPr>
          <w:color w:val="000000"/>
          <w:lang w:eastAsia="en-CA"/>
        </w:rPr>
        <w:t>Substance use behaviours were measured by inquiring about recent use in the past six months of injection drugs and various substances including amyl nitrites (poppers), gamma-hydroxybutyrate (GHB), ecstasy, tobacco, cannabis, cocaine, ketamine, crack and heroin.</w:t>
      </w:r>
    </w:p>
    <w:p w14:paraId="7E6DF332" w14:textId="6B4E2624" w:rsidR="00053061" w:rsidRPr="00C265C3" w:rsidRDefault="00053061" w:rsidP="00281BC8">
      <w:pPr>
        <w:spacing w:line="480" w:lineRule="auto"/>
        <w:ind w:firstLine="720"/>
        <w:rPr>
          <w:lang w:eastAsia="en-CA"/>
        </w:rPr>
      </w:pPr>
      <w:r w:rsidRPr="00C265C3">
        <w:rPr>
          <w:lang w:eastAsia="en-CA"/>
        </w:rPr>
        <w:t xml:space="preserve">Clinical information asked about history of diagnoses with mental health (depression, anxiety disorder/panic attacks, bipolar, schizophrenia) or substance use disorders (alcohol dependency, other substance use dependency). Responses were “No”, “Unknown”, “Yes, in the past six months”, </w:t>
      </w:r>
      <w:r w:rsidR="00B162CE">
        <w:rPr>
          <w:lang w:eastAsia="en-CA"/>
        </w:rPr>
        <w:t xml:space="preserve">and </w:t>
      </w:r>
      <w:r w:rsidRPr="00C265C3">
        <w:rPr>
          <w:lang w:eastAsia="en-CA"/>
        </w:rPr>
        <w:t xml:space="preserve">“Yes, but more than </w:t>
      </w:r>
      <w:r w:rsidR="00A661B4" w:rsidRPr="00C265C3">
        <w:rPr>
          <w:lang w:eastAsia="en-CA"/>
        </w:rPr>
        <w:t>six</w:t>
      </w:r>
      <w:r w:rsidRPr="00C265C3">
        <w:rPr>
          <w:lang w:eastAsia="en-CA"/>
        </w:rPr>
        <w:t xml:space="preserve"> months ago”. If participants selected yes, they were then asked about year of first diagnosis. Additionally, those who answered affirmatively were further asked to describe their treatment, if any.</w:t>
      </w:r>
    </w:p>
    <w:p w14:paraId="0F9B2FD0" w14:textId="4F85F556" w:rsidR="00281BC8" w:rsidRPr="00C265C3" w:rsidRDefault="00281BC8" w:rsidP="00281BC8">
      <w:pPr>
        <w:spacing w:line="480" w:lineRule="auto"/>
        <w:ind w:firstLine="720"/>
        <w:rPr>
          <w:color w:val="000000"/>
          <w:lang w:eastAsia="en-CA"/>
        </w:rPr>
      </w:pPr>
      <w:r w:rsidRPr="00C265C3">
        <w:rPr>
          <w:lang w:eastAsia="en-CA"/>
        </w:rPr>
        <w:t>Sociodemographic information included age, sexual orientation, ethnicity, relationship status, and income level.</w:t>
      </w:r>
    </w:p>
    <w:p w14:paraId="5B17BEEC" w14:textId="77777777" w:rsidR="00053061" w:rsidRPr="00C265C3" w:rsidRDefault="00053061" w:rsidP="00053061">
      <w:pPr>
        <w:spacing w:line="480" w:lineRule="auto"/>
        <w:rPr>
          <w:i/>
          <w:lang w:eastAsia="en-CA"/>
        </w:rPr>
      </w:pPr>
    </w:p>
    <w:p w14:paraId="39044405" w14:textId="6121B59D" w:rsidR="00053061" w:rsidRPr="00C265C3" w:rsidRDefault="00053061" w:rsidP="00053061">
      <w:pPr>
        <w:spacing w:line="480" w:lineRule="auto"/>
        <w:rPr>
          <w:i/>
          <w:lang w:eastAsia="en-CA"/>
        </w:rPr>
      </w:pPr>
      <w:r w:rsidRPr="00C265C3">
        <w:rPr>
          <w:b/>
          <w:bCs/>
          <w:i/>
          <w:color w:val="000000"/>
          <w:lang w:eastAsia="en-CA"/>
        </w:rPr>
        <w:t>Statistical Analyses</w:t>
      </w:r>
    </w:p>
    <w:p w14:paraId="73B236F3" w14:textId="2739F199" w:rsidR="00053061" w:rsidRPr="00C265C3" w:rsidRDefault="00053061" w:rsidP="00053061">
      <w:pPr>
        <w:spacing w:line="480" w:lineRule="auto"/>
        <w:rPr>
          <w:color w:val="2E2E2E"/>
        </w:rPr>
      </w:pPr>
      <w:r w:rsidRPr="00C265C3">
        <w:rPr>
          <w:color w:val="2E2E2E"/>
        </w:rPr>
        <w:t xml:space="preserve">We reported descriptive statistics of cohort participants who reported using MA at least weekly at baseline. Our primary explanatory variables of interest were scores on the HADS subscales for anxiety and depression, which were examined as both categorical and continuous variables. For the categorical variables, we dichotomized scores into normal or borderline scores (&lt;11) and </w:t>
      </w:r>
      <w:r w:rsidRPr="00C265C3">
        <w:rPr>
          <w:color w:val="2E2E2E"/>
        </w:rPr>
        <w:lastRenderedPageBreak/>
        <w:t>abnormal (≥11) based on the original validation studies of HADS scoring</w:t>
      </w:r>
      <w:r w:rsidRPr="00C265C3">
        <w:rPr>
          <w:color w:val="000000"/>
          <w:lang w:eastAsia="en-CA"/>
        </w:rPr>
        <w:t xml:space="preserve"> </w:t>
      </w:r>
      <w:r w:rsidRPr="00C265C3">
        <w:rPr>
          <w:color w:val="000000"/>
          <w:lang w:eastAsia="en-CA"/>
        </w:rPr>
        <w:fldChar w:fldCharType="begin" w:fldLock="1"/>
      </w:r>
      <w:r w:rsidR="005A00BA" w:rsidRPr="00C265C3">
        <w:rPr>
          <w:color w:val="000000"/>
          <w:lang w:eastAsia="en-CA"/>
        </w:rPr>
        <w:instrText>ADDIN CSL_CITATION {"citationItems":[{"id":"ITEM-1","itemData":{"ISSN":"0001-690X","PMID":"6880820","abstract":"A self-assessment scale has been developed and found to be a reliable instrument for detecting states of depression and anxiety in the setting of an hospital medical outpatient clinic. The anxiety and depressive subscales are also valid measures of severity of the emotional disorder. It is suggested that the introduction of the scales into general hospital practice would facilitate the large task of detection and management of emotional disorder in patients under investigation and treatment in medical and surgical departments.","author":[{"dropping-particle":"","family":"Zigmond","given":"A S","non-dropping-particle":"","parse-names":false,"suffix":""},{"dropping-particle":"","family":"Snaith","given":"R P","non-dropping-particle":"","parse-names":false,"suffix":""}],"container-title":"Acta psychiatrica Scandinavica","id":"ITEM-1","issue":"6","issued":{"date-parts":[["1983","6"]]},"page":"361-70","title":"The hospital anxiety and depression scale.","type":"article-journal","volume":"67"},"uris":["http://www.mendeley.com/documents/?uuid=115481d9-182f-35b7-b5b9-6a474127ffe9"]}],"mendeley":{"formattedCitation":"(Zigmond &amp; Snaith, 1983)","plainTextFormattedCitation":"(Zigmond &amp; Snaith, 1983)","previouslyFormattedCitation":"(Zigmond &amp; Snaith, 1983)"},"properties":{"noteIndex":0},"schema":"https://github.com/citation-style-language/schema/raw/master/csl-citation.json"}</w:instrText>
      </w:r>
      <w:r w:rsidRPr="00C265C3">
        <w:rPr>
          <w:color w:val="000000"/>
          <w:lang w:eastAsia="en-CA"/>
        </w:rPr>
        <w:fldChar w:fldCharType="separate"/>
      </w:r>
      <w:r w:rsidR="005A00BA" w:rsidRPr="00C265C3">
        <w:rPr>
          <w:noProof/>
          <w:color w:val="000000"/>
          <w:lang w:eastAsia="en-CA"/>
        </w:rPr>
        <w:t>(Zigmond &amp; Snaith, 1983)</w:t>
      </w:r>
      <w:r w:rsidRPr="00C265C3">
        <w:rPr>
          <w:color w:val="000000"/>
          <w:lang w:eastAsia="en-CA"/>
        </w:rPr>
        <w:fldChar w:fldCharType="end"/>
      </w:r>
      <w:r w:rsidRPr="00C265C3">
        <w:rPr>
          <w:color w:val="2E2E2E"/>
        </w:rPr>
        <w:t xml:space="preserve">. Independent variables were tested across all categories of the dependent variable. </w:t>
      </w:r>
      <w:r w:rsidRPr="00C265C3">
        <w:rPr>
          <w:lang w:eastAsia="en-CA"/>
        </w:rPr>
        <w:t xml:space="preserve">Bivariate analyses (Fisher’s Exact Test, Wilcoxon Rank Sum) were performed to compare participants who reduced MA use with those who did not. </w:t>
      </w:r>
      <w:r w:rsidR="00884228" w:rsidRPr="00C265C3">
        <w:rPr>
          <w:lang w:eastAsia="en-CA"/>
        </w:rPr>
        <w:t xml:space="preserve">We used multi-level hierarchical generalized linear mixed models with log-linkage to examine associations between reduced MA use and various sociodemographic, psychosocial, and behavioural factors </w:t>
      </w:r>
      <w:r w:rsidR="004D15D6" w:rsidRPr="00C265C3">
        <w:rPr>
          <w:lang w:eastAsia="en-CA"/>
        </w:rPr>
        <w:t>a</w:t>
      </w:r>
      <w:r w:rsidR="00884228" w:rsidRPr="00C265C3">
        <w:rPr>
          <w:lang w:eastAsia="en-CA"/>
        </w:rPr>
        <w:t>c</w:t>
      </w:r>
      <w:r w:rsidR="004D15D6" w:rsidRPr="00C265C3">
        <w:rPr>
          <w:lang w:eastAsia="en-CA"/>
        </w:rPr>
        <w:t>c</w:t>
      </w:r>
      <w:r w:rsidRPr="00C265C3">
        <w:rPr>
          <w:lang w:eastAsia="en-CA"/>
        </w:rPr>
        <w:t>ounting for RDS recruit</w:t>
      </w:r>
      <w:r w:rsidR="00A42149" w:rsidRPr="00C265C3">
        <w:rPr>
          <w:lang w:eastAsia="en-CA"/>
        </w:rPr>
        <w:t>ment</w:t>
      </w:r>
      <w:r w:rsidRPr="00C265C3">
        <w:rPr>
          <w:lang w:eastAsia="en-CA"/>
        </w:rPr>
        <w:t xml:space="preserve"> chain and respondents’ multiple visits (i.e., study visits per one participant).</w:t>
      </w:r>
      <w:r w:rsidRPr="00C265C3">
        <w:rPr>
          <w:color w:val="2E2E2E"/>
        </w:rPr>
        <w:t xml:space="preserve"> </w:t>
      </w:r>
      <w:r w:rsidRPr="00C265C3">
        <w:rPr>
          <w:lang w:eastAsia="en-CA"/>
        </w:rPr>
        <w:t xml:space="preserve">We did not include sexual behaviour variables in the modeling process as we expected that these were more likely to be outcomes rather than determinants of reductions in MA use. </w:t>
      </w:r>
      <w:r w:rsidRPr="00C265C3">
        <w:rPr>
          <w:color w:val="2E2E2E"/>
        </w:rPr>
        <w:t>Variables in the univariable models with a </w:t>
      </w:r>
      <w:r w:rsidRPr="00C265C3">
        <w:rPr>
          <w:i/>
          <w:iCs/>
          <w:color w:val="2E2E2E"/>
        </w:rPr>
        <w:t>p</w:t>
      </w:r>
      <w:r w:rsidRPr="00C265C3">
        <w:rPr>
          <w:color w:val="2E2E2E"/>
        </w:rPr>
        <w:t>-value &lt;0.2 were included for consideration in the multivariable models. The final models were selected using a backward selection technique based on two criteria (Akaike Information Criterion (AIC) and Type III </w:t>
      </w:r>
      <w:r w:rsidRPr="00C265C3">
        <w:rPr>
          <w:i/>
          <w:iCs/>
          <w:color w:val="2E2E2E"/>
        </w:rPr>
        <w:t>p</w:t>
      </w:r>
      <w:r w:rsidRPr="00C265C3">
        <w:rPr>
          <w:color w:val="2E2E2E"/>
        </w:rPr>
        <w:t>-values), whereby the least significant (i.e., highest Type III </w:t>
      </w:r>
      <w:r w:rsidRPr="00C265C3">
        <w:rPr>
          <w:i/>
          <w:iCs/>
          <w:color w:val="2E2E2E"/>
        </w:rPr>
        <w:t>p</w:t>
      </w:r>
      <w:r w:rsidRPr="00C265C3">
        <w:rPr>
          <w:color w:val="2E2E2E"/>
        </w:rPr>
        <w:t xml:space="preserve">-value) variable was dropped until the final models reached the optimal (minimum) AIC </w:t>
      </w:r>
      <w:r w:rsidRPr="00C265C3">
        <w:rPr>
          <w:color w:val="2E2E2E"/>
        </w:rPr>
        <w:fldChar w:fldCharType="begin" w:fldLock="1"/>
      </w:r>
      <w:r w:rsidRPr="00C265C3">
        <w:rPr>
          <w:color w:val="2E2E2E"/>
        </w:rPr>
        <w:instrText>ADDIN CSL_CITATION {"citationItems":[{"id":"ITEM-1","itemData":{"DOI":"10.1097/QAD.0b013e32811ebf57","ISSN":"0269-9370","PMID":"17502728","abstract":"OBJECTIVE To determine the impact of depressive symptoms on mortality among HIV/AIDS patients first initiating HAART and the potential role of patient adherence as a confounder and effect modifier in this association. METHODS The study comprised HIV-positive individuals who were first prescribed HAART between August 1996 and June 2002. Depressive symptoms were assessed using the Center for Epidemiologic Studies Depression Scale. Cox proportional hazards models were used to determine the association between depressive symptoms, adherence and all-cause mortality while controlling for several baseline confounding factors. RESULTS A total of 563 participants met the study inclusion criteria. Of these subjects, 51% had depressive symptoms at baseline and 23% of participants were less than 95% adherent in the first year of follow-up. The overall all-cause mortality rate was 10%. Multivariate analysis showed that individuals with depressive symptoms and adherence &lt; 95% were 5.90 times (95% confidence interval, 2.55-13.68) more likely to die than adherent patients with no depressive symptoms. The estimated median model-based survival probabilities stratified by adherence and depressive symptoms levels ranged from 81% (interquartile range, 72-89%) for depressive symptoms and adherence &lt; 95% to 97% (interquartile range, 94-98%) for no depressive symptoms and adherence &gt; or = 95%. CONCLUSION The results indicate that both depressive symptoms and adherence were associated with shorter survival among individuals with HIV accessing HAART. Given the high prevalence of depressive symptoms in HIV-positive patients and a strong association with adherence, the findings support improvement in the diagnosis and treatment of depression as well as adherence in order to maximize the effectiveness of HAART.","author":[{"dropping-particle":"","family":"Lima","given":"Viviane D","non-dropping-particle":"","parse-names":false,"suffix":""},{"dropping-particle":"","family":"Geller","given":"Josie","non-dropping-particle":"","parse-names":false,"suffix":""},{"dropping-particle":"","family":"Bangsberg","given":"David R","non-dropping-particle":"","parse-names":false,"suffix":""},{"dropping-particle":"","family":"Patterson","given":"Thomas L","non-dropping-particle":"","parse-names":false,"suffix":""},{"dropping-particle":"","family":"Daniel","given":"Mark","non-dropping-particle":"","parse-names":false,"suffix":""},{"dropping-particle":"","family":"Kerr","given":"Thomas","non-dropping-particle":"","parse-names":false,"suffix":""},{"dropping-particle":"","family":"Montaner","given":"Julio SG","non-dropping-particle":"","parse-names":false,"suffix":""},{"dropping-particle":"","family":"Hogg","given":"Robert S","non-dropping-particle":"","parse-names":false,"suffix":""}],"container-title":"AIDS","id":"ITEM-1","issue":"9","issued":{"date-parts":[["2007","5","31"]]},"page":"1175-1183","title":"The effect of adherence on the association between depressive symptoms and mortality among HIV-infected individuals first initiating HAART","type":"article-journal","volume":"21"},"uris":["http://www.mendeley.com/documents/?uuid=8ea59b3d-74f3-3542-b6dc-6052b78e23ab"]}],"mendeley":{"formattedCitation":"(Lima et al., 2007)","plainTextFormattedCitation":"(Lima et al., 2007)","previouslyFormattedCitation":"(Lima et al., 2007)"},"properties":{"noteIndex":0},"schema":"https://github.com/citation-style-language/schema/raw/master/csl-citation.json"}</w:instrText>
      </w:r>
      <w:r w:rsidRPr="00C265C3">
        <w:rPr>
          <w:color w:val="2E2E2E"/>
        </w:rPr>
        <w:fldChar w:fldCharType="separate"/>
      </w:r>
      <w:r w:rsidRPr="00C265C3">
        <w:rPr>
          <w:noProof/>
          <w:color w:val="2E2E2E"/>
        </w:rPr>
        <w:t>(Lima et al., 2007)</w:t>
      </w:r>
      <w:r w:rsidRPr="00C265C3">
        <w:rPr>
          <w:color w:val="2E2E2E"/>
        </w:rPr>
        <w:fldChar w:fldCharType="end"/>
      </w:r>
      <w:r w:rsidRPr="00C265C3">
        <w:rPr>
          <w:color w:val="2E2E2E"/>
        </w:rPr>
        <w:t>. All analyses were performed using SAS</w:t>
      </w:r>
      <w:r w:rsidRPr="00C265C3">
        <w:rPr>
          <w:color w:val="2E2E2E"/>
          <w:vertAlign w:val="superscript"/>
        </w:rPr>
        <w:t>®</w:t>
      </w:r>
      <w:r w:rsidRPr="00C265C3">
        <w:rPr>
          <w:color w:val="2E2E2E"/>
        </w:rPr>
        <w:t xml:space="preserve"> Version 9.4 (SAS Corporation Cary, North Carolina, United States). </w:t>
      </w:r>
    </w:p>
    <w:p w14:paraId="16F2FEE4" w14:textId="77777777" w:rsidR="00053061" w:rsidRPr="00C265C3" w:rsidRDefault="00053061" w:rsidP="00053061">
      <w:pPr>
        <w:spacing w:line="480" w:lineRule="auto"/>
      </w:pPr>
    </w:p>
    <w:p w14:paraId="6B6EC1D9" w14:textId="77777777" w:rsidR="00B90C3B" w:rsidRPr="00C265C3" w:rsidRDefault="00281BC8" w:rsidP="00281BC8">
      <w:pPr>
        <w:spacing w:line="480" w:lineRule="auto"/>
        <w:jc w:val="center"/>
        <w:rPr>
          <w:b/>
          <w:bCs/>
        </w:rPr>
      </w:pPr>
      <w:r w:rsidRPr="00C265C3">
        <w:rPr>
          <w:b/>
          <w:bCs/>
        </w:rPr>
        <w:t>Results</w:t>
      </w:r>
    </w:p>
    <w:p w14:paraId="5F7BF250" w14:textId="130F8E42" w:rsidR="00053061" w:rsidRPr="00C265C3" w:rsidRDefault="00053061" w:rsidP="00B90C3B">
      <w:pPr>
        <w:spacing w:line="480" w:lineRule="auto"/>
        <w:rPr>
          <w:b/>
          <w:bCs/>
          <w:i/>
        </w:rPr>
      </w:pPr>
      <w:r w:rsidRPr="00C265C3">
        <w:rPr>
          <w:b/>
          <w:i/>
        </w:rPr>
        <w:t>Descriptive Characteristics of Study Population at Enrollment</w:t>
      </w:r>
    </w:p>
    <w:p w14:paraId="310BCDF1" w14:textId="5EC6E8E4" w:rsidR="00053061" w:rsidRPr="00C265C3" w:rsidRDefault="00053061" w:rsidP="001A6D86">
      <w:pPr>
        <w:spacing w:line="480" w:lineRule="auto"/>
      </w:pPr>
      <w:r w:rsidRPr="00C265C3">
        <w:t xml:space="preserve">774 participants completed enrollment visits and 698 </w:t>
      </w:r>
      <w:r w:rsidR="006833B5" w:rsidRPr="00C265C3">
        <w:t xml:space="preserve">(90.2%) </w:t>
      </w:r>
      <w:r w:rsidRPr="00C265C3">
        <w:t xml:space="preserve">consented to join the prospective cohort. Of these, 584 </w:t>
      </w:r>
      <w:r w:rsidR="006833B5" w:rsidRPr="00C265C3">
        <w:t xml:space="preserve">(83.7%) </w:t>
      </w:r>
      <w:r w:rsidRPr="00C265C3">
        <w:t>attended at least one follow-up visit, up to February 2018. The median follow-up time was 3.5 years and participants completed a median of 7 (Q1-Q3: 4-7) visits. At enrollment, 140 (20.1%) participants reported any MA use in the previous six months and of these, 61 participants</w:t>
      </w:r>
      <w:r w:rsidR="00A661B4" w:rsidRPr="00C265C3">
        <w:t xml:space="preserve"> (43.6%)</w:t>
      </w:r>
      <w:r w:rsidRPr="00C265C3">
        <w:t xml:space="preserve"> used MA less than once a month, 29</w:t>
      </w:r>
      <w:r w:rsidR="00A661B4" w:rsidRPr="00C265C3">
        <w:t xml:space="preserve"> (20.7%)</w:t>
      </w:r>
      <w:r w:rsidRPr="00C265C3">
        <w:t xml:space="preserve"> used monthly, </w:t>
      </w:r>
      <w:r w:rsidRPr="00C265C3">
        <w:lastRenderedPageBreak/>
        <w:t>21</w:t>
      </w:r>
      <w:r w:rsidR="00A661B4" w:rsidRPr="00C265C3">
        <w:t xml:space="preserve"> (15.0%)</w:t>
      </w:r>
      <w:r w:rsidRPr="00C265C3">
        <w:t xml:space="preserve"> used weekly, 11</w:t>
      </w:r>
      <w:r w:rsidR="00A661B4" w:rsidRPr="00C265C3">
        <w:t xml:space="preserve"> (7.9%)</w:t>
      </w:r>
      <w:r w:rsidRPr="00C265C3">
        <w:t xml:space="preserve"> used more than weekly, and 18</w:t>
      </w:r>
      <w:r w:rsidR="00A661B4" w:rsidRPr="00C265C3">
        <w:t xml:space="preserve"> (12.9%)</w:t>
      </w:r>
      <w:r w:rsidRPr="00C265C3">
        <w:t xml:space="preserve"> used daily or more than daily. Of the </w:t>
      </w:r>
      <w:r w:rsidR="0004380D" w:rsidRPr="00C265C3">
        <w:t>5</w:t>
      </w:r>
      <w:r w:rsidRPr="00C265C3">
        <w:t>0 potential participants eligible for this analysis, 29</w:t>
      </w:r>
      <w:r w:rsidR="001233F3" w:rsidRPr="00C265C3">
        <w:t xml:space="preserve"> </w:t>
      </w:r>
      <w:r w:rsidRPr="00C265C3">
        <w:t>had at least one follow</w:t>
      </w:r>
      <w:r w:rsidR="00C23BEC" w:rsidRPr="00C265C3">
        <w:t>-</w:t>
      </w:r>
      <w:r w:rsidRPr="00C265C3">
        <w:t>up visit and were included, as were another 38 participants who later reported at least weekly MA use at subsequent study visits (and had at least one study visit completed after that visit). Thus, our total analytic sample was 67 participants.</w:t>
      </w:r>
      <w:r w:rsidR="007D4B69" w:rsidRPr="00C265C3">
        <w:t xml:space="preserve"> Among these, 46 </w:t>
      </w:r>
      <w:r w:rsidR="00A135B1">
        <w:t xml:space="preserve">(68.7%) </w:t>
      </w:r>
      <w:r w:rsidR="007D4B69" w:rsidRPr="00C265C3">
        <w:t xml:space="preserve">ever quit frequent MA use, 34 </w:t>
      </w:r>
      <w:r w:rsidR="00A135B1">
        <w:t xml:space="preserve">(50.7%) </w:t>
      </w:r>
      <w:r w:rsidR="007D4B69" w:rsidRPr="00C265C3">
        <w:t xml:space="preserve">quit once, 10 </w:t>
      </w:r>
      <w:r w:rsidR="00A135B1">
        <w:t xml:space="preserve">(14.9%) </w:t>
      </w:r>
      <w:r w:rsidR="007D4B69" w:rsidRPr="00C265C3">
        <w:t xml:space="preserve">quit twice and 2 </w:t>
      </w:r>
      <w:r w:rsidR="00A135B1">
        <w:t xml:space="preserve">(3.0%) </w:t>
      </w:r>
      <w:r w:rsidR="007D4B69" w:rsidRPr="00C265C3">
        <w:t>quit three times during their follow-up visits</w:t>
      </w:r>
      <w:r w:rsidR="00A135B1">
        <w:t>;</w:t>
      </w:r>
      <w:r w:rsidR="00486A53">
        <w:t xml:space="preserve"> </w:t>
      </w:r>
      <w:r w:rsidR="00486A53" w:rsidRPr="00C265C3">
        <w:t>the remaining 21 (31.3%) reported continued frequent use</w:t>
      </w:r>
      <w:r w:rsidR="007D4B69" w:rsidRPr="00C265C3">
        <w:t>.</w:t>
      </w:r>
      <w:r w:rsidR="00057A49" w:rsidRPr="00C265C3">
        <w:t xml:space="preserve"> Of the 220 visits contributed by the analytic sample, 60 visits (27.3%) exhibited a reduction in MA use. Lastly, among the 46 participants who </w:t>
      </w:r>
      <w:r w:rsidR="00057A49" w:rsidRPr="00486A53">
        <w:t>reported</w:t>
      </w:r>
      <w:r w:rsidR="00BA533F" w:rsidRPr="00486A53">
        <w:t xml:space="preserve"> </w:t>
      </w:r>
      <w:r w:rsidR="00057A49" w:rsidRPr="00486A53">
        <w:t>subsequent reductions</w:t>
      </w:r>
      <w:r w:rsidR="00057A49" w:rsidRPr="00C265C3">
        <w:t xml:space="preserve"> in frequent MA use, 24 (52.2%) later reinitiated frequent use while 32 (69.6%) reported no use at their last study visit. </w:t>
      </w:r>
    </w:p>
    <w:p w14:paraId="2CE87017" w14:textId="39EBBC17" w:rsidR="00053061" w:rsidRPr="00C265C3" w:rsidRDefault="00053061" w:rsidP="0092036F">
      <w:pPr>
        <w:spacing w:line="480" w:lineRule="auto"/>
        <w:ind w:firstLine="720"/>
      </w:pPr>
      <w:r w:rsidRPr="00C265C3">
        <w:t xml:space="preserve">At enrollment, the analytic sample had a median age of 45 years (Q1-Q3: 34-51), 80.6% self-identified as gay, 79.1% were living with HIV, 88.1% were born in Canada, and 76.1% earned annual incomes of &lt;$30,000. Most were White (85.1%); other ethnicities included Asian (4.5%) and Indigenous (10.5%). For clinical diagnoses, 6 (9.0%) participants reported having been diagnosed with a substance use disorder, 8 (11.9%) reported previous depression diagnosis, and 5 (7.5%) reported a previous anxiety diagnosis; no participants indicated </w:t>
      </w:r>
      <w:r w:rsidR="0031041C">
        <w:t xml:space="preserve">that </w:t>
      </w:r>
      <w:r w:rsidRPr="00C265C3">
        <w:t xml:space="preserve">they were receiving treatment for any of these mental health or substance use disorders. </w:t>
      </w:r>
      <w:r w:rsidR="0092036F" w:rsidRPr="00C265C3">
        <w:t xml:space="preserve">Full demographic findings can be found in Table 1. </w:t>
      </w:r>
    </w:p>
    <w:p w14:paraId="2EB03DEB" w14:textId="3D215327" w:rsidR="00FA1A8B" w:rsidRPr="00C265C3" w:rsidRDefault="00FA1A8B" w:rsidP="00053061">
      <w:pPr>
        <w:spacing w:line="480" w:lineRule="auto"/>
      </w:pPr>
      <w:r w:rsidRPr="00C265C3">
        <w:rPr>
          <w:b/>
          <w:i/>
        </w:rPr>
        <w:t>Bivariate Results for gbMSM who reduced MA use vs. no reductions</w:t>
      </w:r>
    </w:p>
    <w:p w14:paraId="13C04CD2" w14:textId="1215F5AA" w:rsidR="00053061" w:rsidRPr="00C265C3" w:rsidRDefault="00053061" w:rsidP="00053061">
      <w:pPr>
        <w:spacing w:line="480" w:lineRule="auto"/>
      </w:pPr>
      <w:r w:rsidRPr="00C265C3">
        <w:t xml:space="preserve">Bivariate analyses of factors associated with MA use reduction versus no reduction are shown in Table </w:t>
      </w:r>
      <w:r w:rsidR="001B3919" w:rsidRPr="00C265C3">
        <w:t>2</w:t>
      </w:r>
      <w:r w:rsidRPr="00C265C3">
        <w:t xml:space="preserve">. Participants who did not reduce their MA use were less likely to be living with HIV (61.9% vs. 87.0%; p=0.027), but more likely to have attended a group sex event (52.4% vs. 23.9%; p=0.028), and to have engaged in barebacking (i.e., condomless anal sex) at group sex </w:t>
      </w:r>
      <w:r w:rsidRPr="00C265C3">
        <w:lastRenderedPageBreak/>
        <w:t>events (33% vs. 7.1%; p=0.012) compared to those who reduced their use. Socially, gbMSM who did not reduce their MA use were more likely to use mobile apps (42.9% vs. 17.4%; p=0.036) or the internet to seek sex partners (47.6% vs. 21.7%; p=0.045) more than once per month</w:t>
      </w:r>
      <w:r w:rsidR="00BA533F">
        <w:t>.</w:t>
      </w:r>
      <w:r w:rsidRPr="00C265C3">
        <w:t xml:space="preserve"> </w:t>
      </w:r>
      <w:r w:rsidR="00BA533F">
        <w:t xml:space="preserve">These participants were also more likely </w:t>
      </w:r>
      <w:r w:rsidRPr="00C265C3">
        <w:t xml:space="preserve">to spend more than 50% of their social time with other gbMSM (76.2% vs. 39.1%; p=0.008) compared with gbMSM who reduced their use. Lastly, gbMSM who did not reduce their MA use were more likely to have given or received drugs for sex (47.6% vs. 8.7%; p=0.001) in the past six months, and more likely to have engaged in any injection drug use (excluding steroids) (57.1% vs. 19.6%; p=0.004). </w:t>
      </w:r>
    </w:p>
    <w:p w14:paraId="75E13658" w14:textId="3719E72F" w:rsidR="00FA1A8B" w:rsidRPr="00C265C3" w:rsidRDefault="00FA1A8B" w:rsidP="00053061">
      <w:pPr>
        <w:spacing w:line="480" w:lineRule="auto"/>
      </w:pPr>
      <w:r w:rsidRPr="00C265C3">
        <w:rPr>
          <w:b/>
          <w:i/>
        </w:rPr>
        <w:t>Univariable and Multivariable results for MA Use Reduction</w:t>
      </w:r>
    </w:p>
    <w:p w14:paraId="0D9B5E86" w14:textId="7EE34802" w:rsidR="00D0307C" w:rsidRPr="00C265C3" w:rsidRDefault="001C584A" w:rsidP="001A6D86">
      <w:pPr>
        <w:spacing w:line="480" w:lineRule="auto"/>
      </w:pPr>
      <w:r w:rsidRPr="00C265C3">
        <w:t>In our univariable analyses</w:t>
      </w:r>
      <w:r w:rsidR="00BA533F">
        <w:t xml:space="preserve"> (Table 3)</w:t>
      </w:r>
      <w:r w:rsidRPr="00C265C3">
        <w:t xml:space="preserve">, </w:t>
      </w:r>
      <w:r w:rsidR="00D0307C" w:rsidRPr="00C265C3">
        <w:t xml:space="preserve">MA reduction was not significantly related to HADS scores for clinically-significant symptoms of anxiety (score 11+) (RR=0.84, 95%CI:0.43-1.63) or depression (RR=0.93, 95%CI:0.40-2.15) compared with scores &lt;11; in a post-hoc sensitivity analysis, continuous observations were </w:t>
      </w:r>
      <w:r w:rsidR="00D0307C" w:rsidRPr="00486A53">
        <w:t>also not statistically significant.</w:t>
      </w:r>
      <w:r w:rsidR="00D0307C" w:rsidRPr="00C265C3">
        <w:t xml:space="preserve"> </w:t>
      </w:r>
    </w:p>
    <w:p w14:paraId="534FCEBB" w14:textId="7ACFB68E" w:rsidR="00053061" w:rsidRPr="00C265C3" w:rsidRDefault="00053061" w:rsidP="00D0307C">
      <w:pPr>
        <w:spacing w:line="480" w:lineRule="auto"/>
        <w:ind w:firstLine="720"/>
      </w:pPr>
      <w:r w:rsidRPr="00C265C3">
        <w:t xml:space="preserve">From the univariable analysis, participants who were born in Canada were found to be less likely to reduce MA use (RR=0.45, 95%CI:0.22-0.91) compared to those where were not. Individuals perceiving themselves to be in good, fair, or poor current health were less likely to have reduced MA use than those who reported excellent or very good health (RR=0.47, 95%CI:0.28-0.82). Other factors related to less MA reduction included use of mobile apps (RR=0.42, 95%CI:0.19-0.92) or the internet (RR=0.43, 95%CI:0.22-0.85) to seek sex more than once per month, greater HIV Treatment Optimism-Skepticism Scale scores (higher antiretroviral therapy optimism) (RR=0.94, 95%CI:0.90-0.99), and receiving drugs for sex in the </w:t>
      </w:r>
      <w:r w:rsidR="00866970" w:rsidRPr="00C265C3">
        <w:t>past six months</w:t>
      </w:r>
      <w:r w:rsidRPr="00C265C3">
        <w:t xml:space="preserve"> (RR=0.31, 95%CI:0.11-0.88). Specific substances whose recent use was associated with lower MA reduction likelihood included poppers (RR=0.53, 95%CI:0.29-0.96), ecstasy </w:t>
      </w:r>
      <w:r w:rsidRPr="00C265C3">
        <w:lastRenderedPageBreak/>
        <w:t xml:space="preserve">(RR=0.46, 95%CI:0.24-0.89), and ketamine (RR=0.37, 95%CI:0.18-0.76). Injection </w:t>
      </w:r>
      <w:r w:rsidRPr="00C265C3">
        <w:rPr>
          <w:bCs/>
        </w:rPr>
        <w:t>method of MA use at last high frequency use was not significant (RR=0.72, 95%CI:0.39</w:t>
      </w:r>
      <w:r w:rsidRPr="00C265C3">
        <w:rPr>
          <w:bCs/>
          <w:strike/>
        </w:rPr>
        <w:t>-</w:t>
      </w:r>
      <w:r w:rsidRPr="00C265C3">
        <w:rPr>
          <w:bCs/>
        </w:rPr>
        <w:t>1.31).</w:t>
      </w:r>
    </w:p>
    <w:p w14:paraId="14C49199" w14:textId="310674BC" w:rsidR="00053061" w:rsidRPr="00C265C3" w:rsidRDefault="00053061" w:rsidP="00053061">
      <w:pPr>
        <w:spacing w:line="480" w:lineRule="auto"/>
        <w:ind w:firstLine="720"/>
      </w:pPr>
      <w:r w:rsidRPr="00C265C3">
        <w:t xml:space="preserve">Factors that were significantly associated with </w:t>
      </w:r>
      <w:r w:rsidR="009F6A9F" w:rsidRPr="00C265C3">
        <w:t xml:space="preserve">a lower likelihood of </w:t>
      </w:r>
      <w:r w:rsidRPr="00C265C3">
        <w:t>MA reduction in the multivariable model</w:t>
      </w:r>
      <w:r w:rsidR="00926C66" w:rsidRPr="00C265C3">
        <w:t xml:space="preserve"> (Table 4)</w:t>
      </w:r>
      <w:r w:rsidRPr="00C265C3">
        <w:t xml:space="preserve"> included spending at least 50% of total social time with other gbMSM (</w:t>
      </w:r>
      <w:proofErr w:type="spellStart"/>
      <w:r w:rsidRPr="00C265C3">
        <w:t>aRR</w:t>
      </w:r>
      <w:proofErr w:type="spellEnd"/>
      <w:r w:rsidRPr="00C265C3">
        <w:t xml:space="preserve">=0.49, 95%CI:0.28-0.85), giving/receiving drugs for sex in the </w:t>
      </w:r>
      <w:r w:rsidR="00866970" w:rsidRPr="00C265C3">
        <w:t>past six months</w:t>
      </w:r>
      <w:r w:rsidRPr="00C265C3">
        <w:t xml:space="preserve"> (</w:t>
      </w:r>
      <w:proofErr w:type="spellStart"/>
      <w:r w:rsidRPr="00C265C3">
        <w:t>aRR</w:t>
      </w:r>
      <w:proofErr w:type="spellEnd"/>
      <w:r w:rsidRPr="00C265C3">
        <w:t xml:space="preserve">=0.34, 95%CI:0.13-0.87), reporting the use of any injection drugs (excluding steroids) in the </w:t>
      </w:r>
      <w:r w:rsidR="00866970" w:rsidRPr="00C265C3">
        <w:t>past six months</w:t>
      </w:r>
      <w:r w:rsidRPr="00C265C3">
        <w:t xml:space="preserve"> (</w:t>
      </w:r>
      <w:proofErr w:type="spellStart"/>
      <w:r w:rsidRPr="00C265C3">
        <w:t>aRR</w:t>
      </w:r>
      <w:proofErr w:type="spellEnd"/>
      <w:r w:rsidRPr="00C265C3">
        <w:t xml:space="preserve">=0.35, 95%CI:0.18-0.68), and use of GHB in the </w:t>
      </w:r>
      <w:r w:rsidR="00866970" w:rsidRPr="00C265C3">
        <w:t>past six months</w:t>
      </w:r>
      <w:r w:rsidRPr="00C265C3">
        <w:t xml:space="preserve"> (</w:t>
      </w:r>
      <w:proofErr w:type="spellStart"/>
      <w:r w:rsidRPr="00C265C3">
        <w:t>aRR</w:t>
      </w:r>
      <w:proofErr w:type="spellEnd"/>
      <w:r w:rsidRPr="00C265C3">
        <w:t>=0.41, 95%CI:0.21-0.78).</w:t>
      </w:r>
    </w:p>
    <w:p w14:paraId="54126549" w14:textId="32FAF675" w:rsidR="00053061" w:rsidRPr="00C265C3" w:rsidRDefault="00B90C3B" w:rsidP="00B90C3B">
      <w:pPr>
        <w:tabs>
          <w:tab w:val="left" w:pos="4947"/>
        </w:tabs>
        <w:spacing w:line="480" w:lineRule="auto"/>
        <w:jc w:val="center"/>
        <w:rPr>
          <w:b/>
        </w:rPr>
      </w:pPr>
      <w:r w:rsidRPr="00C265C3">
        <w:rPr>
          <w:b/>
        </w:rPr>
        <w:t>Discussion</w:t>
      </w:r>
    </w:p>
    <w:p w14:paraId="60C47F07" w14:textId="36C20AC2" w:rsidR="00053061" w:rsidRPr="00C265C3" w:rsidRDefault="00053061" w:rsidP="00053061">
      <w:pPr>
        <w:spacing w:line="480" w:lineRule="auto"/>
        <w:rPr>
          <w:color w:val="000000"/>
        </w:rPr>
      </w:pPr>
      <w:r w:rsidRPr="00C265C3">
        <w:rPr>
          <w:color w:val="000000"/>
        </w:rPr>
        <w:t xml:space="preserve">Among a community sample of gbMSM in Vancouver, Canada, </w:t>
      </w:r>
      <w:r w:rsidRPr="00C265C3">
        <w:t>approximately two-thirds of gbMSM who reported frequent use of MA later reported reduced or no use in subsequent visits.</w:t>
      </w:r>
      <w:r w:rsidR="006C6308">
        <w:t xml:space="preserve"> C</w:t>
      </w:r>
      <w:r w:rsidR="00AA6771" w:rsidRPr="00C265C3">
        <w:t>ontrary to our hypothesis, we did not find that symptoms of anxiety or depression were associated wit</w:t>
      </w:r>
      <w:r w:rsidR="00E74882">
        <w:t>h</w:t>
      </w:r>
      <w:r w:rsidR="00AA6771" w:rsidRPr="00C265C3">
        <w:t xml:space="preserve"> reductions in use</w:t>
      </w:r>
      <w:r w:rsidR="006C6308">
        <w:t xml:space="preserve"> either continuously or dichotomously</w:t>
      </w:r>
      <w:r w:rsidR="00AA6771" w:rsidRPr="00C265C3">
        <w:t xml:space="preserve">. </w:t>
      </w:r>
      <w:r w:rsidR="006C6308">
        <w:rPr>
          <w:color w:val="000000"/>
        </w:rPr>
        <w:t>However, w</w:t>
      </w:r>
      <w:r w:rsidRPr="00C265C3">
        <w:rPr>
          <w:color w:val="000000"/>
        </w:rPr>
        <w:t xml:space="preserve">e </w:t>
      </w:r>
      <w:r w:rsidR="00AA6771" w:rsidRPr="00C265C3">
        <w:rPr>
          <w:color w:val="000000"/>
        </w:rPr>
        <w:t>did find</w:t>
      </w:r>
      <w:r w:rsidRPr="00C265C3">
        <w:rPr>
          <w:color w:val="000000"/>
        </w:rPr>
        <w:t xml:space="preserve"> several associations for MA reduction among gbMSM. First, participants who spe</w:t>
      </w:r>
      <w:r w:rsidR="00BC5287" w:rsidRPr="00C265C3">
        <w:rPr>
          <w:color w:val="000000"/>
        </w:rPr>
        <w:t>nt</w:t>
      </w:r>
      <w:r w:rsidR="009F6A9F" w:rsidRPr="00C265C3">
        <w:rPr>
          <w:color w:val="000000"/>
        </w:rPr>
        <w:t xml:space="preserve"> more</w:t>
      </w:r>
      <w:r w:rsidR="00BC5287" w:rsidRPr="00C265C3">
        <w:rPr>
          <w:color w:val="000000"/>
        </w:rPr>
        <w:t xml:space="preserve"> than</w:t>
      </w:r>
      <w:r w:rsidRPr="00C265C3">
        <w:rPr>
          <w:color w:val="000000"/>
        </w:rPr>
        <w:t xml:space="preserve"> 50% of their</w:t>
      </w:r>
      <w:r w:rsidR="00BC5287" w:rsidRPr="00C265C3">
        <w:rPr>
          <w:color w:val="000000"/>
        </w:rPr>
        <w:t xml:space="preserve"> </w:t>
      </w:r>
      <w:r w:rsidRPr="00C265C3">
        <w:rPr>
          <w:color w:val="000000"/>
        </w:rPr>
        <w:t xml:space="preserve">social time with other gbMSM </w:t>
      </w:r>
      <w:r w:rsidR="00880877">
        <w:rPr>
          <w:color w:val="000000"/>
        </w:rPr>
        <w:t>had a lower likelihood of</w:t>
      </w:r>
      <w:r w:rsidRPr="00C265C3">
        <w:rPr>
          <w:color w:val="000000"/>
        </w:rPr>
        <w:t xml:space="preserve"> reduc</w:t>
      </w:r>
      <w:r w:rsidR="00880877">
        <w:rPr>
          <w:color w:val="000000"/>
        </w:rPr>
        <w:t>ing</w:t>
      </w:r>
      <w:r w:rsidRPr="00C265C3">
        <w:rPr>
          <w:color w:val="000000"/>
        </w:rPr>
        <w:t xml:space="preserve"> MA. Second, </w:t>
      </w:r>
      <w:r w:rsidR="006C6308" w:rsidRPr="00C265C3">
        <w:rPr>
          <w:color w:val="000000"/>
        </w:rPr>
        <w:t xml:space="preserve">we observed that reporting exchanging drugs for sex and engaging in injection drug use were associated with </w:t>
      </w:r>
      <w:r w:rsidR="006857EA">
        <w:rPr>
          <w:color w:val="000000"/>
        </w:rPr>
        <w:t>a lower</w:t>
      </w:r>
      <w:r w:rsidR="006C6308" w:rsidRPr="00C265C3">
        <w:rPr>
          <w:color w:val="000000"/>
        </w:rPr>
        <w:t xml:space="preserve"> likelihood of reducing MA.</w:t>
      </w:r>
      <w:r w:rsidR="006C6308">
        <w:rPr>
          <w:color w:val="000000"/>
        </w:rPr>
        <w:t xml:space="preserve"> </w:t>
      </w:r>
      <w:r w:rsidR="006C6308" w:rsidRPr="00C265C3">
        <w:rPr>
          <w:color w:val="000000"/>
        </w:rPr>
        <w:t xml:space="preserve">Lastly, </w:t>
      </w:r>
      <w:r w:rsidR="00C15ED0" w:rsidRPr="00C265C3">
        <w:rPr>
          <w:color w:val="000000"/>
        </w:rPr>
        <w:t xml:space="preserve">reporting </w:t>
      </w:r>
      <w:r w:rsidRPr="00C265C3">
        <w:rPr>
          <w:color w:val="000000"/>
        </w:rPr>
        <w:t xml:space="preserve">GHB use </w:t>
      </w:r>
      <w:r w:rsidR="00C15ED0" w:rsidRPr="00C265C3">
        <w:rPr>
          <w:color w:val="000000"/>
        </w:rPr>
        <w:t xml:space="preserve">in the past six months </w:t>
      </w:r>
      <w:r w:rsidRPr="00C265C3">
        <w:rPr>
          <w:color w:val="000000"/>
        </w:rPr>
        <w:t xml:space="preserve">was associated with </w:t>
      </w:r>
      <w:r w:rsidR="00C15ED0" w:rsidRPr="00C265C3">
        <w:rPr>
          <w:color w:val="000000"/>
        </w:rPr>
        <w:t xml:space="preserve">a </w:t>
      </w:r>
      <w:r w:rsidR="009F6A9F" w:rsidRPr="00C265C3">
        <w:rPr>
          <w:color w:val="000000"/>
        </w:rPr>
        <w:t xml:space="preserve">lower </w:t>
      </w:r>
      <w:r w:rsidRPr="00C265C3">
        <w:rPr>
          <w:color w:val="000000"/>
        </w:rPr>
        <w:t xml:space="preserve">likelihood of reducing MA. </w:t>
      </w:r>
    </w:p>
    <w:p w14:paraId="5D0EA6CC" w14:textId="0E1A026D" w:rsidR="004D45F7" w:rsidRPr="00C265C3" w:rsidRDefault="00AA6771" w:rsidP="00BA3CAC">
      <w:pPr>
        <w:spacing w:line="480" w:lineRule="auto"/>
        <w:ind w:firstLine="720"/>
        <w:rPr>
          <w:color w:val="000000"/>
        </w:rPr>
      </w:pPr>
      <w:r w:rsidRPr="00C265C3">
        <w:rPr>
          <w:color w:val="000000"/>
        </w:rPr>
        <w:t xml:space="preserve">Our observed lack of clinically-significant symptoms of anxiety and depression </w:t>
      </w:r>
      <w:r w:rsidR="00111969">
        <w:rPr>
          <w:color w:val="000000"/>
        </w:rPr>
        <w:t>related to</w:t>
      </w:r>
      <w:r w:rsidR="00AB49E3">
        <w:rPr>
          <w:color w:val="000000"/>
        </w:rPr>
        <w:t xml:space="preserve"> </w:t>
      </w:r>
      <w:r w:rsidRPr="00C265C3">
        <w:rPr>
          <w:color w:val="000000"/>
        </w:rPr>
        <w:t xml:space="preserve">reduction of </w:t>
      </w:r>
      <w:r w:rsidR="00293B26">
        <w:rPr>
          <w:color w:val="000000"/>
        </w:rPr>
        <w:t>MA use</w:t>
      </w:r>
      <w:r w:rsidRPr="00C265C3">
        <w:rPr>
          <w:color w:val="000000"/>
        </w:rPr>
        <w:t xml:space="preserve"> is i</w:t>
      </w:r>
      <w:r w:rsidR="00BE5B06" w:rsidRPr="00C265C3">
        <w:rPr>
          <w:color w:val="000000"/>
        </w:rPr>
        <w:t xml:space="preserve">n contrast to previous intervention studies, </w:t>
      </w:r>
      <w:r w:rsidRPr="00C265C3">
        <w:rPr>
          <w:color w:val="000000"/>
        </w:rPr>
        <w:t>which have generally found that individuals are more likely to stop using MA when they have fewer symptoms of mental illness</w:t>
      </w:r>
      <w:r w:rsidR="00290729" w:rsidRPr="00C265C3">
        <w:rPr>
          <w:color w:val="000000"/>
        </w:rPr>
        <w:t xml:space="preserve"> </w:t>
      </w:r>
      <w:r w:rsidR="00290729" w:rsidRPr="00C265C3">
        <w:rPr>
          <w:color w:val="000000"/>
        </w:rPr>
        <w:fldChar w:fldCharType="begin" w:fldLock="1"/>
      </w:r>
      <w:r w:rsidR="00290729" w:rsidRPr="00C265C3">
        <w:rPr>
          <w:color w:val="000000"/>
        </w:rPr>
        <w:instrText>ADDIN CSL_CITATION {"citationItems":[{"id":"ITEM-1","itemData":{"DOI":"10.1089/apc.2016.0196","ISSN":"1557-7449","PMID":"28092450","abstract":"Although rates of crystal methamphetamine use in the United States have fallen from their peak in the mid-2000s, use remains a major public health concern, which disproportionately affects gay and bisexual men (GBM). It poses a particular challenge for HIV-positive men, for whom it has been linked to medication adherence problems as well as compromised immune function. Although the information, motivation, and behavioral skills (IMB) model has been widely used to conceptualize health behavior, little is known about GBM's initial levels of information, motivation, and behavioral self-efficacy to improve HIV medication adherence and to reduce crystal methamphetamine use at the outset of treatment. The present study identified profiles of IMB factors related to HIV medication adherence and crystal methamphetamine use in a sample of 210 HIV-positive GBM who consented to participate in an intervention study. Results indicated three distinct patterns of IMB factors. The largest group was ready to change both adherence and methamphetamine use (n = 104). This group also had depression scores that were significantly lower than other groups. A second group appeared ready to change medication adherence, but was ambivalent about changing methamphetamine use (n = 60). This group reported significantly more symptoms of methamphetamine dependence than the other groups. A third group was characterized by global IMB barriers to change (n = 46). Results are discussed in the context of tailoring psychoeducation, motivational interviewing, and cognitive behavioral interventions to match these preintervention patterns of IMB factors.","author":[{"dropping-particle":"","family":"Starks","given":"Tyrel J","non-dropping-particle":"","parse-names":false,"suffix":""},{"dropping-particle":"","family":"Millar","given":"Brett M","non-dropping-particle":"","parse-names":false,"suffix":""},{"dropping-particle":"","family":"Lassiter","given":"Jonathan M","non-dropping-particle":"","parse-names":false,"suffix":""},{"dropping-particle":"","family":"Parsons","given":"Jeffrey T","non-dropping-particle":"","parse-names":false,"suffix":""}],"container-title":"AIDS patient care and STDs","id":"ITEM-1","issue":"2","issued":{"date-parts":[["2017","2"]]},"page":"78-86","title":"Preintervention Profiles of Information, Motivational, and Behavioral Self-Efficacy for Methamphetamine Use and HIV Medication Adherence Among Gay and Bisexual Men.","type":"article-journal","volume":"31"},"uris":["http://www.mendeley.com/documents/?uuid=12e017e7-673d-33a6-8489-c4e347ec33c4"]}],"mendeley":{"formattedCitation":"(Starks et al., 2017)","plainTextFormattedCitation":"(Starks et al., 2017)","previouslyFormattedCitation":"(Starks et al., 2017)"},"properties":{"noteIndex":0},"schema":"https://github.com/citation-style-language/schema/raw/master/csl-citation.json"}</w:instrText>
      </w:r>
      <w:r w:rsidR="00290729" w:rsidRPr="00C265C3">
        <w:rPr>
          <w:color w:val="000000"/>
        </w:rPr>
        <w:fldChar w:fldCharType="separate"/>
      </w:r>
      <w:r w:rsidR="00290729" w:rsidRPr="00C265C3">
        <w:rPr>
          <w:noProof/>
          <w:color w:val="000000"/>
        </w:rPr>
        <w:t>(Starks et al., 2017)</w:t>
      </w:r>
      <w:r w:rsidR="00290729" w:rsidRPr="00C265C3">
        <w:rPr>
          <w:color w:val="000000"/>
        </w:rPr>
        <w:fldChar w:fldCharType="end"/>
      </w:r>
      <w:r w:rsidR="00181CBF" w:rsidRPr="00C265C3">
        <w:rPr>
          <w:color w:val="000000"/>
        </w:rPr>
        <w:t>.</w:t>
      </w:r>
      <w:r w:rsidRPr="00C265C3">
        <w:rPr>
          <w:color w:val="000000"/>
        </w:rPr>
        <w:t xml:space="preserve"> </w:t>
      </w:r>
      <w:r w:rsidR="00BE5B06" w:rsidRPr="00C265C3">
        <w:rPr>
          <w:rStyle w:val="CommentReference"/>
          <w:sz w:val="24"/>
          <w:szCs w:val="24"/>
        </w:rPr>
        <w:t>However,</w:t>
      </w:r>
      <w:r w:rsidR="00BE5B06" w:rsidRPr="00C265C3">
        <w:rPr>
          <w:color w:val="000000"/>
        </w:rPr>
        <w:t xml:space="preserve"> most studies exploring the association between mental health and MA have observed MA reduction in interventions with treatment-seeking gbMSM. </w:t>
      </w:r>
      <w:r w:rsidR="00BE5B06" w:rsidRPr="00C265C3">
        <w:rPr>
          <w:color w:val="000000"/>
        </w:rPr>
        <w:lastRenderedPageBreak/>
        <w:t xml:space="preserve">For example, it has been found that among MA-dependent adults undergoing treatment for use, having a diagnosed anxiety disorder was associated with reduced likelihood of MA reduction </w:t>
      </w:r>
      <w:r w:rsidR="00BE5B06" w:rsidRPr="00C265C3">
        <w:rPr>
          <w:color w:val="000000"/>
        </w:rPr>
        <w:fldChar w:fldCharType="begin" w:fldLock="1"/>
      </w:r>
      <w:r w:rsidR="005A00BA" w:rsidRPr="00C265C3">
        <w:rPr>
          <w:color w:val="000000"/>
        </w:rPr>
        <w:instrText>ADDIN CSL_CITATION {"citationItems":[{"id":"ITEM-1","itemData":{"DOI":"10.1111/j.1521-0391.2010.00061.x","ISSN":"1521-0391","PMID":"20716300","abstract":"Although anxiety is one of the most prominent psychiatric complaints of methamphetamine (MA) users, little is known about the association between anxiety disorders and treatment outcomes in this population. Using data from 526 adults in the largest psychosocial clinical trial of MA users conducted to date, this study examined psychiatric, substance use, and functional outcomes of MA users with concomitant anxiety disorders 3 years after treatment. Anxiety disorders were associated with poorer alcohol and drug use outcomes, increased health service utilization, and higher levels of psychiatric symptomatology, including suicidality. Addressing anxiety symptoms and syndromes in MA users may be helpful as a means of optimizing treatment outcomes.","author":[{"dropping-particle":"","family":"Glasner-Edwards","given":"Suzette","non-dropping-particle":"","parse-names":false,"suffix":""},{"dropping-particle":"","family":"Mooney","given":"Larissa J","non-dropping-particle":"","parse-names":false,"suffix":""},{"dropping-particle":"","family":"Marinelli-Casey","given":"Patricia","non-dropping-particle":"","parse-names":false,"suffix":""},{"dropping-particle":"","family":"Hillhouse","given":"Maureen","non-dropping-particle":"","parse-names":false,"suffix":""},{"dropping-particle":"","family":"Ang","given":"Alfonso","non-dropping-particle":"","parse-names":false,"suffix":""},{"dropping-particle":"","family":"Rawson","given":"Richard","non-dropping-particle":"","parse-names":false,"suffix":""},{"dropping-particle":"","family":"Methamphetamine Treatment Project Corporate Authors","given":"the Methamphetamine Treatment Project Corporate","non-dropping-particle":"","parse-names":false,"suffix":""}],"container-title":"The American journal on addictions","id":"ITEM-1","issue":"5","issued":{"date-parts":[["2010"]]},"page":"385-90","publisher":"NIH Public Access","title":"Anxiety disorders among methamphetamine dependent adults: association with post-treatment functioning.","type":"article-journal","volume":"19"},"uris":["http://www.mendeley.com/documents/?uuid=f4cbf654-7acc-3a7f-b96a-b96e9b242c61"]}],"mendeley":{"formattedCitation":"(Glasner-Edwards et al., 2010b)","plainTextFormattedCitation":"(Glasner-Edwards et al., 2010b)","previouslyFormattedCitation":"(Glasner-Edwards et al., 2010b)"},"properties":{"noteIndex":0},"schema":"https://github.com/citation-style-language/schema/raw/master/csl-citation.json"}</w:instrText>
      </w:r>
      <w:r w:rsidR="00BE5B06" w:rsidRPr="00C265C3">
        <w:rPr>
          <w:color w:val="000000"/>
        </w:rPr>
        <w:fldChar w:fldCharType="separate"/>
      </w:r>
      <w:r w:rsidR="005A00BA" w:rsidRPr="00C265C3">
        <w:rPr>
          <w:noProof/>
          <w:color w:val="000000"/>
        </w:rPr>
        <w:t>(Glasner-Edwards et al., 2010b)</w:t>
      </w:r>
      <w:r w:rsidR="00BE5B06" w:rsidRPr="00C265C3">
        <w:rPr>
          <w:color w:val="000000"/>
        </w:rPr>
        <w:fldChar w:fldCharType="end"/>
      </w:r>
      <w:r w:rsidR="00BE5B06" w:rsidRPr="00C265C3">
        <w:rPr>
          <w:color w:val="000000"/>
        </w:rPr>
        <w:t xml:space="preserve">. Moreover, intervention trials have found associations between lower depressive symptoms and reduced MA use </w:t>
      </w:r>
      <w:r w:rsidR="00BE5B06" w:rsidRPr="00C265C3">
        <w:rPr>
          <w:color w:val="000000"/>
        </w:rPr>
        <w:fldChar w:fldCharType="begin" w:fldLock="1"/>
      </w:r>
      <w:r w:rsidR="00BE5B06" w:rsidRPr="00C265C3">
        <w:rPr>
          <w:color w:val="000000"/>
        </w:rPr>
        <w:instrText>ADDIN CSL_CITATION {"citationItems":[{"id":"ITEM-1","itemData":{"DOI":"10.1037/1064-1297.15.3.301","ISSN":"1936-2293","PMID":"17563217","abstract":"Although the cessation of substance use is the principal concern of drug treatment programs, many individuals in treatment experience co-occurring problems such as mood disruptions and sexual risk behaviors that may complicate their recovery process. This study assessed relationships among dynamic changes tracked over time in methamphetamine use, depression symptoms, and sexual risk behaviors (unprotected anal intercourse) in a sample of 145 methamphetamine-dependent gay and bisexual males enrolled in a 16-week outpatient drug treatment research program. Participants were randomly assigned into 1 of 4 conditions: contingency management (CM), cognitive behavioral therapy (CBT; the control condition), combined CM and CBT, and a tailored gay-specific version of the CBT condition. Using latent growth curve models, the authors assessed the relationship of means (intercepts) and the slopes of the 3 measures of interest over time to test whether changes in methamphetamine use predicted declining rates of depression and risky sexual behavior in tandem. Participants with the greatest downward trajectory in methamphetamine use (urine verified) reported the greatest and quickest decreases in reported depressive symptoms and sexual risk behaviors. The control group reported the most methamphetamine use over the 16 weeks; the tailored gay-specific group reported a more rapidly decreasing slope in methamphetamine use than the other participants. Findings indicate that lowering methamphetamine use itself has a concurrent and synergistic effect on depressive symptoms and risky sexual behavior patterns. This suggests that some users who respond well to treatment may show improvement in these co-occurring problems without a need for more intensive targeted interventions.","author":[{"dropping-particle":"","family":"Jaffe","given":"Adi","non-dropping-particle":"","parse-names":false,"suffix":""},{"dropping-particle":"","family":"Shoptaw","given":"Steven","non-dropping-particle":"","parse-names":false,"suffix":""},{"dropping-particle":"","family":"Stein","given":"Judith A.","non-dropping-particle":"","parse-names":false,"suffix":""},{"dropping-particle":"","family":"Reback","given":"Cathy J.","non-dropping-particle":"","parse-names":false,"suffix":""},{"dropping-particle":"","family":"Rotheram-Fuller","given":"Erin","non-dropping-particle":"","parse-names":false,"suffix":""}],"container-title":"Experimental and Clinical Psychopharmacology","id":"ITEM-1","issue":"3","issued":{"date-parts":[["2007","6"]]},"page":"301-307","title":"Depression ratings, reported sexual risk behaviors, and methamphetamine use: Latent growth curve models of positive change among gay and bisexual men in an outpatient treatment program.","type":"article-journal","volume":"15"},"uris":["http://www.mendeley.com/documents/?uuid=5b95312a-2eb8-3309-a18c-5702721aede2"]}],"mendeley":{"formattedCitation":"(Jaffe et al., 2007)","plainTextFormattedCitation":"(Jaffe et al., 2007)","previouslyFormattedCitation":"(Jaffe et al., 2007)"},"properties":{"noteIndex":0},"schema":"https://github.com/citation-style-language/schema/raw/master/csl-citation.json"}</w:instrText>
      </w:r>
      <w:r w:rsidR="00BE5B06" w:rsidRPr="00C265C3">
        <w:rPr>
          <w:color w:val="000000"/>
        </w:rPr>
        <w:fldChar w:fldCharType="separate"/>
      </w:r>
      <w:r w:rsidR="00BE5B06" w:rsidRPr="00C265C3">
        <w:rPr>
          <w:noProof/>
          <w:color w:val="000000"/>
        </w:rPr>
        <w:t>(Jaffe et al., 2007)</w:t>
      </w:r>
      <w:r w:rsidR="00BE5B06" w:rsidRPr="00C265C3">
        <w:rPr>
          <w:color w:val="000000"/>
        </w:rPr>
        <w:fldChar w:fldCharType="end"/>
      </w:r>
      <w:r w:rsidR="00BE5B06" w:rsidRPr="00C265C3">
        <w:rPr>
          <w:color w:val="000000"/>
        </w:rPr>
        <w:t>. The focus of our study on a general cohort of gbMSM highlights the nuances between broader populations.</w:t>
      </w:r>
      <w:r w:rsidR="00D52D4E" w:rsidRPr="00C265C3">
        <w:rPr>
          <w:color w:val="000000"/>
        </w:rPr>
        <w:t xml:space="preserve"> </w:t>
      </w:r>
      <w:r w:rsidR="00761D45" w:rsidRPr="00C265C3">
        <w:rPr>
          <w:color w:val="000000"/>
        </w:rPr>
        <w:t>Moreover, while a</w:t>
      </w:r>
      <w:r w:rsidR="00BE5B06" w:rsidRPr="00C265C3">
        <w:rPr>
          <w:color w:val="000000"/>
        </w:rPr>
        <w:t>nxiety symptoms were high (25%),</w:t>
      </w:r>
      <w:r w:rsidR="00761D45" w:rsidRPr="00C265C3">
        <w:rPr>
          <w:color w:val="000000"/>
        </w:rPr>
        <w:t xml:space="preserve"> </w:t>
      </w:r>
      <w:r w:rsidR="00BE5B06" w:rsidRPr="00C265C3">
        <w:rPr>
          <w:color w:val="000000"/>
        </w:rPr>
        <w:t>depressive symptoms were</w:t>
      </w:r>
      <w:r w:rsidR="00761D45" w:rsidRPr="00C265C3">
        <w:rPr>
          <w:color w:val="000000"/>
        </w:rPr>
        <w:t xml:space="preserve"> much</w:t>
      </w:r>
      <w:r w:rsidR="00BE5B06" w:rsidRPr="00C265C3">
        <w:rPr>
          <w:color w:val="000000"/>
        </w:rPr>
        <w:t xml:space="preserve"> lower (12%)</w:t>
      </w:r>
      <w:r w:rsidR="002B0317" w:rsidRPr="00C265C3">
        <w:rPr>
          <w:color w:val="000000"/>
        </w:rPr>
        <w:t>;</w:t>
      </w:r>
      <w:r w:rsidR="00BE5B06" w:rsidRPr="00C265C3">
        <w:rPr>
          <w:color w:val="000000"/>
        </w:rPr>
        <w:t xml:space="preserve"> the latter may be </w:t>
      </w:r>
      <w:r w:rsidR="00906B8B">
        <w:rPr>
          <w:color w:val="000000"/>
        </w:rPr>
        <w:t>due</w:t>
      </w:r>
      <w:r w:rsidR="00BE5B06" w:rsidRPr="00C265C3">
        <w:rPr>
          <w:color w:val="000000"/>
        </w:rPr>
        <w:t xml:space="preserve"> to limited statistical power to identify associations.</w:t>
      </w:r>
      <w:r w:rsidR="00D52D4E" w:rsidRPr="00C265C3">
        <w:rPr>
          <w:color w:val="000000"/>
        </w:rPr>
        <w:t xml:space="preserve"> These</w:t>
      </w:r>
      <w:r w:rsidR="00F11B06" w:rsidRPr="00C265C3">
        <w:rPr>
          <w:color w:val="000000"/>
        </w:rPr>
        <w:t xml:space="preserve"> </w:t>
      </w:r>
      <w:r w:rsidR="00D52D4E" w:rsidRPr="00C265C3">
        <w:rPr>
          <w:color w:val="000000"/>
        </w:rPr>
        <w:t xml:space="preserve">findings are </w:t>
      </w:r>
      <w:r w:rsidR="00F11B06" w:rsidRPr="00C265C3">
        <w:rPr>
          <w:color w:val="000000"/>
        </w:rPr>
        <w:t>inverse</w:t>
      </w:r>
      <w:r w:rsidR="00D52D4E" w:rsidRPr="00C265C3">
        <w:rPr>
          <w:color w:val="000000"/>
        </w:rPr>
        <w:t xml:space="preserve"> with existing </w:t>
      </w:r>
      <w:r w:rsidR="00F11B06" w:rsidRPr="00C265C3">
        <w:rPr>
          <w:color w:val="000000"/>
        </w:rPr>
        <w:t>r</w:t>
      </w:r>
      <w:r w:rsidR="00D52D4E" w:rsidRPr="00C265C3">
        <w:rPr>
          <w:color w:val="000000"/>
        </w:rPr>
        <w:t>e</w:t>
      </w:r>
      <w:r w:rsidR="00F11B06" w:rsidRPr="00C265C3">
        <w:rPr>
          <w:color w:val="000000"/>
        </w:rPr>
        <w:t>search</w:t>
      </w:r>
      <w:r w:rsidR="00D52D4E" w:rsidRPr="00C265C3">
        <w:rPr>
          <w:color w:val="000000"/>
        </w:rPr>
        <w:t xml:space="preserve"> on anxiety and depression among </w:t>
      </w:r>
      <w:r w:rsidR="00906B8B">
        <w:rPr>
          <w:color w:val="000000"/>
        </w:rPr>
        <w:t>substance-using</w:t>
      </w:r>
      <w:r w:rsidR="00F11B06" w:rsidRPr="00C265C3">
        <w:rPr>
          <w:color w:val="000000"/>
        </w:rPr>
        <w:t xml:space="preserve"> </w:t>
      </w:r>
      <w:r w:rsidR="00D52D4E" w:rsidRPr="00C265C3">
        <w:rPr>
          <w:color w:val="000000"/>
        </w:rPr>
        <w:t xml:space="preserve">gbMSM, </w:t>
      </w:r>
      <w:r w:rsidR="00F11B06" w:rsidRPr="00C265C3">
        <w:rPr>
          <w:color w:val="000000"/>
        </w:rPr>
        <w:t>which have found higher</w:t>
      </w:r>
      <w:r w:rsidR="0025299E" w:rsidRPr="00C265C3">
        <w:rPr>
          <w:color w:val="000000"/>
        </w:rPr>
        <w:t xml:space="preserve"> prevalence</w:t>
      </w:r>
      <w:r w:rsidR="00F11B06" w:rsidRPr="00C265C3">
        <w:rPr>
          <w:color w:val="000000"/>
        </w:rPr>
        <w:t xml:space="preserve"> of depression and lower </w:t>
      </w:r>
      <w:r w:rsidR="0025299E" w:rsidRPr="00C265C3">
        <w:rPr>
          <w:color w:val="000000"/>
        </w:rPr>
        <w:t xml:space="preserve">prevalence </w:t>
      </w:r>
      <w:r w:rsidR="00F11B06" w:rsidRPr="00C265C3">
        <w:rPr>
          <w:color w:val="000000"/>
        </w:rPr>
        <w:t>of anxiety</w:t>
      </w:r>
      <w:r w:rsidR="00290729" w:rsidRPr="00C265C3">
        <w:rPr>
          <w:color w:val="000000"/>
        </w:rPr>
        <w:t xml:space="preserve"> </w:t>
      </w:r>
      <w:r w:rsidR="00290729" w:rsidRPr="00C265C3">
        <w:rPr>
          <w:color w:val="000000"/>
        </w:rPr>
        <w:fldChar w:fldCharType="begin" w:fldLock="1"/>
      </w:r>
      <w:r w:rsidR="00290729" w:rsidRPr="00C265C3">
        <w:rPr>
          <w:color w:val="000000"/>
        </w:rPr>
        <w:instrText>ADDIN CSL_CITATION {"citationItems":[{"id":"ITEM-1","itemData":{"DOI":"10.1016/j.drugpo.2018.01.020","ISSN":"18734758","abstract":"Background: Compared to the general population, among gay and bisexual men (GBM) prevalence rates of anxiety and depression, and of drug use, are high. Objective: This paper explores the relationship between mental health, sexual risk behavior, and drug use among Australian GBM. We identify factors associated with indicators of poor mental health. Methods: Between September 2014 and July 2017, 3017 GBM responded to measures of anxiety and depression in an online cohort study of drug use. Results: Mean age was 35.3 years (SD 12.8). 17.9% screened positive for current moderate-severe anxiety and 28.3% for moderate-severe depression. The majority (52.2%) reported use of illicit drugs in the previous six months, including 11.2% who had used methamphetamine. One third had high (20.4%) or severe (10.6%) risk levels of alcohol consumption, and 18.3% who were current daily smokers. Most illicit drug use in general was not associated with either anxiety or depression, but men who used cannabis were more likely to show evidence of depression (p = 0.005). Among recent methamphetamine users, 28.0% were assessed as dependent: dependent users were more likely to show evidence of both depression and anxiety than were non-dependent users. High or severe risk drinking was associated with depression and daily tobacco use was associated with both anxiety and depression. Depression and anxiety was associated with: less personal support, viewing oneself as ‘feminine’ and being less socially engaged with gay men. Sexual risk behavior was not associated with either depression or anxiety. Conclusion: Prevalence of anxiety and depression was high, as was prevalence of licit and illicit drug use. Substance use was associated with anxiety and depression only when the use was considered problematic or dependent. Social isolation and marginalization are strong drivers of poor mental health, even within this population for whom anxiety and depression are common.","author":[{"dropping-particle":"","family":"Prestage","given":"Garrett","non-dropping-particle":"","parse-names":false,"suffix":""},{"dropping-particle":"","family":"Hammoud","given":"Mohamed","non-dropping-particle":"","parse-names":false,"suffix":""},{"dropping-particle":"","family":"Jin","given":"Fengyi","non-dropping-particle":"","parse-names":false,"suffix":""},{"dropping-particle":"","family":"Degenhardt","given":"Louisa","non-dropping-particle":"","parse-names":false,"suffix":""},{"dropping-particle":"","family":"Bourne","given":"Adam","non-dropping-particle":"","parse-names":false,"suffix":""},{"dropping-particle":"","family":"Maher","given":"Lisa","non-dropping-particle":"","parse-names":false,"suffix":""}],"container-title":"International Journal of Drug Policy","id":"ITEM-1","issued":{"date-parts":[["2018","5","1"]]},"page":"169-179","publisher":"Elsevier B.V.","title":"Mental health, drug use and sexual risk behavior among gay and bisexual men","type":"article-journal","volume":"55"},"uris":["http://www.mendeley.com/documents/?uuid=d8e6b788-b5f6-30d0-b70b-473c44d7fce7"]}],"mendeley":{"formattedCitation":"(Prestage et al., 2018)","plainTextFormattedCitation":"(Prestage et al., 2018)","previouslyFormattedCitation":"(Prestage et al., 2018)"},"properties":{"noteIndex":0},"schema":"https://github.com/citation-style-language/schema/raw/master/csl-citation.json"}</w:instrText>
      </w:r>
      <w:r w:rsidR="00290729" w:rsidRPr="00C265C3">
        <w:rPr>
          <w:color w:val="000000"/>
        </w:rPr>
        <w:fldChar w:fldCharType="separate"/>
      </w:r>
      <w:r w:rsidR="00290729" w:rsidRPr="00C265C3">
        <w:rPr>
          <w:noProof/>
          <w:color w:val="000000"/>
        </w:rPr>
        <w:t>(Prestage et al., 2018)</w:t>
      </w:r>
      <w:r w:rsidR="00290729" w:rsidRPr="00C265C3">
        <w:rPr>
          <w:color w:val="000000"/>
        </w:rPr>
        <w:fldChar w:fldCharType="end"/>
      </w:r>
      <w:r w:rsidR="00F11B06" w:rsidRPr="00C265C3">
        <w:rPr>
          <w:color w:val="000000"/>
        </w:rPr>
        <w:t>.</w:t>
      </w:r>
      <w:r w:rsidR="0025299E" w:rsidRPr="00C265C3">
        <w:rPr>
          <w:color w:val="000000"/>
        </w:rPr>
        <w:t xml:space="preserve"> However, our study focused </w:t>
      </w:r>
      <w:r w:rsidR="00906B8B">
        <w:rPr>
          <w:color w:val="000000"/>
        </w:rPr>
        <w:t xml:space="preserve">specifically </w:t>
      </w:r>
      <w:r w:rsidR="0025299E" w:rsidRPr="00C265C3">
        <w:rPr>
          <w:color w:val="000000"/>
        </w:rPr>
        <w:t>on MA reduction</w:t>
      </w:r>
      <w:r w:rsidR="00906B8B">
        <w:rPr>
          <w:color w:val="000000"/>
        </w:rPr>
        <w:t>,</w:t>
      </w:r>
      <w:r w:rsidR="0025299E" w:rsidRPr="00C265C3">
        <w:rPr>
          <w:color w:val="000000"/>
        </w:rPr>
        <w:t xml:space="preserve"> and previous literature indicates that substance use reduction may exacerbate anxiety</w:t>
      </w:r>
      <w:r w:rsidR="00290729" w:rsidRPr="00C265C3">
        <w:rPr>
          <w:color w:val="000000"/>
        </w:rPr>
        <w:t xml:space="preserve"> </w:t>
      </w:r>
      <w:r w:rsidR="00290729" w:rsidRPr="00C265C3">
        <w:rPr>
          <w:color w:val="000000"/>
        </w:rPr>
        <w:fldChar w:fldCharType="begin" w:fldLock="1"/>
      </w:r>
      <w:r w:rsidR="00290729" w:rsidRPr="00C265C3">
        <w:rPr>
          <w:color w:val="000000"/>
        </w:rPr>
        <w:instrText>ADDIN CSL_CITATION {"citationItems":[{"id":"ITEM-1","itemData":{"ISSN":"21683492","PMID":"23584108","abstract":"The co-occurrence of anxiety disorders and alcohol use disorders (AUDs) is relatively common and is associated with a complex clinical presentation. Sound diagnosis and treatment planning requires that clinicians have an integrated understanding of the developmental pathways and course of this comorbidity. Moreover, standard interventions for anxiety disorders or AUDs may need to be modified and combined in targeted ways to accommodate the unique needs of people who have both disorders. Optimal combination of evidence- based treatments should be based on a comparative balance that considers the advantages and disadvantages of sequential, parallel, and integrated approaches.","author":[{"dropping-particle":"","family":"Smith","given":"Joshua P.","non-dropping-particle":"","parse-names":false,"suffix":""},{"dropping-particle":"","family":"Randall","given":"Carrie L.","non-dropping-particle":"","parse-names":false,"suffix":""}],"container-title":"Alcohol Research: Current Reviews","id":"ITEM-1","issue":"4","issued":{"date-parts":[["2012"]]},"page":"414-431","title":"Anxiety and alcohol use disorders: Comorbidity and treatment considerations","type":"article-journal","volume":"34"},"uris":["http://www.mendeley.com/documents/?uuid=f578e7cc-5e46-3ec8-bb0a-6df796d2e660"]}],"mendeley":{"formattedCitation":"(Smith &amp; Randall, 2012)","plainTextFormattedCitation":"(Smith &amp; Randall, 2012)","previouslyFormattedCitation":"(Smith &amp; Randall, 2012)"},"properties":{"noteIndex":0},"schema":"https://github.com/citation-style-language/schema/raw/master/csl-citation.json"}</w:instrText>
      </w:r>
      <w:r w:rsidR="00290729" w:rsidRPr="00C265C3">
        <w:rPr>
          <w:color w:val="000000"/>
        </w:rPr>
        <w:fldChar w:fldCharType="separate"/>
      </w:r>
      <w:r w:rsidR="00290729" w:rsidRPr="00C265C3">
        <w:rPr>
          <w:noProof/>
          <w:color w:val="000000"/>
        </w:rPr>
        <w:t>(Smith &amp; Randall, 2012)</w:t>
      </w:r>
      <w:r w:rsidR="00290729" w:rsidRPr="00C265C3">
        <w:rPr>
          <w:color w:val="000000"/>
        </w:rPr>
        <w:fldChar w:fldCharType="end"/>
      </w:r>
      <w:r w:rsidR="0025299E" w:rsidRPr="00C265C3">
        <w:rPr>
          <w:color w:val="000000"/>
        </w:rPr>
        <w:t>. We hypothesize this is the reason why anxiety symptoms were more than double</w:t>
      </w:r>
      <w:r w:rsidR="00C140C5" w:rsidRPr="00C265C3">
        <w:rPr>
          <w:color w:val="000000"/>
        </w:rPr>
        <w:t xml:space="preserve"> that of</w:t>
      </w:r>
      <w:r w:rsidR="0025299E" w:rsidRPr="00C265C3">
        <w:rPr>
          <w:color w:val="000000"/>
        </w:rPr>
        <w:t xml:space="preserve"> depressive symptoms in our sample.  </w:t>
      </w:r>
    </w:p>
    <w:p w14:paraId="62A0F0E3" w14:textId="747D1245" w:rsidR="004848CE" w:rsidRPr="00C265C3" w:rsidRDefault="00BE5B06" w:rsidP="00103FF0">
      <w:pPr>
        <w:spacing w:line="480" w:lineRule="auto"/>
        <w:ind w:firstLine="720"/>
        <w:rPr>
          <w:color w:val="000000"/>
        </w:rPr>
      </w:pPr>
      <w:r w:rsidRPr="00C265C3">
        <w:rPr>
          <w:color w:val="000000"/>
        </w:rPr>
        <w:t>Our findings</w:t>
      </w:r>
      <w:r w:rsidR="0025593C">
        <w:rPr>
          <w:color w:val="000000"/>
        </w:rPr>
        <w:t xml:space="preserve"> of increased social time with other gbMSM and associations with MA reduction</w:t>
      </w:r>
      <w:r w:rsidRPr="00C265C3">
        <w:rPr>
          <w:color w:val="000000"/>
        </w:rPr>
        <w:t xml:space="preserve"> are consistent with previous literature which has identified the socialized nature of MA</w:t>
      </w:r>
      <w:r w:rsidR="0025593C">
        <w:rPr>
          <w:color w:val="000000"/>
        </w:rPr>
        <w:t>,</w:t>
      </w:r>
      <w:r w:rsidRPr="00C265C3">
        <w:rPr>
          <w:color w:val="000000"/>
        </w:rPr>
        <w:t xml:space="preserve"> particularly in building social</w:t>
      </w:r>
      <w:r w:rsidR="0025593C">
        <w:rPr>
          <w:color w:val="000000"/>
        </w:rPr>
        <w:t>-sexual</w:t>
      </w:r>
      <w:r w:rsidRPr="00C265C3">
        <w:rPr>
          <w:color w:val="000000"/>
        </w:rPr>
        <w:t xml:space="preserve"> networks based on drug use </w:t>
      </w:r>
      <w:r w:rsidRPr="00C265C3">
        <w:rPr>
          <w:color w:val="000000"/>
        </w:rPr>
        <w:fldChar w:fldCharType="begin" w:fldLock="1"/>
      </w:r>
      <w:r w:rsidR="005A00BA" w:rsidRPr="00C265C3">
        <w:rPr>
          <w:color w:val="000000"/>
        </w:rPr>
        <w:instrText>ADDIN CSL_CITATION {"citationItems":[{"id":"ITEM-1","itemData":{"DOI":"10.1080/13691050600783320","ISSN":"1369-1058","PMID":"16846941","abstract":"This paper draws on 49 qualitative interviews to explore the contextual antecedents of methamphetamine use in a sample of gay and bisexual Manhattan men. The paper distinguishes itself from the public health literature on crystal methamphetamine use in this population by shifting the analytic focus from individual-level factors of drug use to the role of social context. While individual-level factors--including self esteem and social awkwardness--are related to methamphetamine use, we argue that these factors arise in and are exacerbated by interactional pressures attendant to Manhattan's gay sexual subculture, which revolve around the expectation of peak sexual performance. Because methamphetamine is associated with increased self-esteem, increased libido, greater sexual endurance, diminished sexual inhibition, and a higher threshold for pain, the drug is used strategically by gay and bisexual men to negotiate sexual sociality and increase sexual pleasure. Hence, we suggest that there exists an elective affinity between Manhattan's gay sexual subculture and the particular pharmacological effects of methamphetamine-whereby the former strongly favours the latter as a systematic pattern of response. In turn, this relationship is linked to unsafe sexual practices or the social conditions that put gay men 'at risk of risk' of HIV infection.","author":[{"dropping-particle":"","family":"Isaiah Green","given":"Adam","non-dropping-particle":"","parse-names":false,"suffix":""},{"dropping-particle":"","family":"Halkitis","given":"Perry N.","non-dropping-particle":"","parse-names":false,"suffix":""}],"container-title":"Culture, Health &amp; Sexuality","id":"ITEM-1","issue":"4","issued":{"date-parts":[["2006","7"]]},"page":"317-333","title":"Crystal methamphetamine and sexual sociality in an urban gay subculture: An elective affinity","type":"article-journal","volume":"8"},"uris":["http://www.mendeley.com/documents/?uuid=5f21580c-9753-343e-ab3f-599285cbefd2"]}],"mendeley":{"formattedCitation":"(Isaiah Green &amp; Halkitis, 2006)","plainTextFormattedCitation":"(Isaiah Green &amp; Halkitis, 2006)","previouslyFormattedCitation":"(Isaiah Green &amp; Halkitis, 2006)"},"properties":{"noteIndex":0},"schema":"https://github.com/citation-style-language/schema/raw/master/csl-citation.json"}</w:instrText>
      </w:r>
      <w:r w:rsidRPr="00C265C3">
        <w:rPr>
          <w:color w:val="000000"/>
        </w:rPr>
        <w:fldChar w:fldCharType="separate"/>
      </w:r>
      <w:r w:rsidR="005A00BA" w:rsidRPr="00C265C3">
        <w:rPr>
          <w:noProof/>
          <w:color w:val="000000"/>
        </w:rPr>
        <w:t>(Isaiah Green &amp; Halkitis, 2006)</w:t>
      </w:r>
      <w:r w:rsidRPr="00C265C3">
        <w:rPr>
          <w:color w:val="000000"/>
        </w:rPr>
        <w:fldChar w:fldCharType="end"/>
      </w:r>
      <w:r w:rsidRPr="00C265C3">
        <w:rPr>
          <w:color w:val="000000"/>
        </w:rPr>
        <w:t xml:space="preserve">. </w:t>
      </w:r>
      <w:r w:rsidR="00294141" w:rsidRPr="00C265C3">
        <w:rPr>
          <w:color w:val="000000"/>
        </w:rPr>
        <w:t xml:space="preserve">This significant relationship may be explained </w:t>
      </w:r>
      <w:r w:rsidR="00294141" w:rsidRPr="00486A53">
        <w:rPr>
          <w:color w:val="000000"/>
        </w:rPr>
        <w:t>using minority stress theory, which</w:t>
      </w:r>
      <w:r w:rsidR="00294141" w:rsidRPr="00C265C3">
        <w:rPr>
          <w:color w:val="000000"/>
        </w:rPr>
        <w:t xml:space="preserve"> hypothesizes that sexual minorities face direct and indirect stressors based on their sexual minority status. As such, gbMSM are more likely to seek social support from </w:t>
      </w:r>
      <w:r w:rsidR="00103FF0">
        <w:rPr>
          <w:color w:val="000000"/>
        </w:rPr>
        <w:t xml:space="preserve">other sexual minority </w:t>
      </w:r>
      <w:r w:rsidR="00294141" w:rsidRPr="00C265C3">
        <w:rPr>
          <w:color w:val="000000"/>
        </w:rPr>
        <w:t>peers</w:t>
      </w:r>
      <w:r w:rsidR="00290729" w:rsidRPr="00C265C3">
        <w:rPr>
          <w:color w:val="000000"/>
        </w:rPr>
        <w:t xml:space="preserve"> </w:t>
      </w:r>
      <w:r w:rsidR="00290729" w:rsidRPr="00C265C3">
        <w:rPr>
          <w:color w:val="000000"/>
        </w:rPr>
        <w:fldChar w:fldCharType="begin" w:fldLock="1"/>
      </w:r>
      <w:r w:rsidR="00290729" w:rsidRPr="00C265C3">
        <w:rPr>
          <w:color w:val="000000"/>
        </w:rPr>
        <w:instrText>ADDIN CSL_CITATION {"citationItems":[{"id":"ITEM-1","itemData":{"DOI":"10.1037/ort0000117","ISSN":"19390025","abstract":"This article reports a study of the function and composition of social support networks among diverse lesbian, gay, and bisexual (LGB) men and women (n = 396) in comparison to their heterosexual peers (n = 128). Data were collected using a structured social support network matrix in a community sample recruited in New York City. Our findings show that gay and bisexual men may rely on \"chosen families\" more than lesbian and bisexual women. Both heterosexuals and LGBs relied less on family and more on other people (e.g., friends, coworkers) for everyday social support (e.g., recreational and social activities, talking about problems). Providers of everyday social support were most often of the same sexual orientation and race/ethnicity as participants. In seeking major support (e.g., borrowing large sums of money), heterosexual men and women along with lesbian and bisexual women relied primarily on their families, but gay and bisexual men relied primarily on other LGB individuals. Racial/ethnic minority LGBs relied on LGB similar others at the same rate as did White LGBs but, notably, racial/ethnic minority LGBs reported receiving fewer dimensions of support.","author":[{"dropping-particle":"","family":"Frost","given":"David M.","non-dropping-particle":"","parse-names":false,"suffix":""},{"dropping-particle":"","family":"Meyer","given":"Ilan H.","non-dropping-particle":"","parse-names":false,"suffix":""},{"dropping-particle":"","family":"Schwartz","given":"Sharon","non-dropping-particle":"","parse-names":false,"suffix":""}],"container-title":"American Journal of Orthopsychiatry","id":"ITEM-1","issue":"1","issued":{"date-parts":[["2016","1","1"]]},"page":"91-102","publisher":"American Psychological Association Inc.","title":"Social support networks among diverse sexual minority populations","type":"article-journal","volume":"86"},"uris":["http://www.mendeley.com/documents/?uuid=c47f83ee-e459-3b4d-990b-cd40fc9ef19a"]}],"mendeley":{"formattedCitation":"(Frost et al., 2016)","plainTextFormattedCitation":"(Frost et al., 2016)","previouslyFormattedCitation":"(Frost et al., 2016)"},"properties":{"noteIndex":0},"schema":"https://github.com/citation-style-language/schema/raw/master/csl-citation.json"}</w:instrText>
      </w:r>
      <w:r w:rsidR="00290729" w:rsidRPr="00C265C3">
        <w:rPr>
          <w:color w:val="000000"/>
        </w:rPr>
        <w:fldChar w:fldCharType="separate"/>
      </w:r>
      <w:r w:rsidR="00290729" w:rsidRPr="00C265C3">
        <w:rPr>
          <w:noProof/>
          <w:color w:val="000000"/>
        </w:rPr>
        <w:t>(Frost et al., 2016)</w:t>
      </w:r>
      <w:r w:rsidR="00290729" w:rsidRPr="00C265C3">
        <w:rPr>
          <w:color w:val="000000"/>
        </w:rPr>
        <w:fldChar w:fldCharType="end"/>
      </w:r>
      <w:r w:rsidR="00294141" w:rsidRPr="00C265C3">
        <w:rPr>
          <w:color w:val="000000"/>
        </w:rPr>
        <w:t>. Th</w:t>
      </w:r>
      <w:r w:rsidR="004848CE" w:rsidRPr="00C265C3">
        <w:rPr>
          <w:color w:val="000000"/>
        </w:rPr>
        <w:t>u</w:t>
      </w:r>
      <w:r w:rsidR="00294141" w:rsidRPr="00C265C3">
        <w:rPr>
          <w:color w:val="000000"/>
        </w:rPr>
        <w:t>s</w:t>
      </w:r>
      <w:r w:rsidR="004848CE" w:rsidRPr="00C265C3">
        <w:rPr>
          <w:color w:val="000000"/>
        </w:rPr>
        <w:t>,</w:t>
      </w:r>
      <w:r w:rsidR="00294141" w:rsidRPr="00C265C3">
        <w:rPr>
          <w:color w:val="000000"/>
        </w:rPr>
        <w:t xml:space="preserve"> </w:t>
      </w:r>
      <w:r w:rsidR="004848CE" w:rsidRPr="00C265C3">
        <w:rPr>
          <w:color w:val="000000"/>
        </w:rPr>
        <w:t>s</w:t>
      </w:r>
      <w:r w:rsidR="00294141" w:rsidRPr="00C265C3">
        <w:rPr>
          <w:color w:val="000000"/>
        </w:rPr>
        <w:t>ocialization among gbMSM who use MA may in turn normalize MA use.</w:t>
      </w:r>
      <w:r w:rsidR="00103FF0">
        <w:rPr>
          <w:color w:val="000000"/>
        </w:rPr>
        <w:t xml:space="preserve"> Among a sample of MA-using Black gbMSM in New York City, Jerome and </w:t>
      </w:r>
      <w:proofErr w:type="spellStart"/>
      <w:r w:rsidR="00103FF0">
        <w:rPr>
          <w:color w:val="000000"/>
        </w:rPr>
        <w:t>Halkitis</w:t>
      </w:r>
      <w:proofErr w:type="spellEnd"/>
      <w:r w:rsidR="00103FF0">
        <w:rPr>
          <w:color w:val="000000"/>
        </w:rPr>
        <w:t xml:space="preserve"> (2009) found </w:t>
      </w:r>
      <w:r w:rsidR="00AB49E3">
        <w:rPr>
          <w:color w:val="000000"/>
        </w:rPr>
        <w:t xml:space="preserve">that </w:t>
      </w:r>
      <w:r w:rsidR="00103FF0">
        <w:rPr>
          <w:color w:val="000000"/>
        </w:rPr>
        <w:t>MA use was associated with a sense of community belonging with other Black gbMSM who use MA</w:t>
      </w:r>
      <w:r w:rsidR="005D247F">
        <w:rPr>
          <w:color w:val="000000"/>
        </w:rPr>
        <w:t>, stemming</w:t>
      </w:r>
      <w:r w:rsidR="00103FF0">
        <w:rPr>
          <w:color w:val="000000"/>
        </w:rPr>
        <w:t xml:space="preserve"> from experiences of racism, homophobia and </w:t>
      </w:r>
      <w:r w:rsidR="00103FF0">
        <w:rPr>
          <w:color w:val="000000"/>
        </w:rPr>
        <w:lastRenderedPageBreak/>
        <w:t>hegemonic image of Black masculinity</w:t>
      </w:r>
      <w:r w:rsidR="00083E6D">
        <w:rPr>
          <w:color w:val="000000"/>
        </w:rPr>
        <w:t xml:space="preserve"> </w:t>
      </w:r>
      <w:r w:rsidR="00083E6D">
        <w:rPr>
          <w:color w:val="000000"/>
        </w:rPr>
        <w:fldChar w:fldCharType="begin" w:fldLock="1"/>
      </w:r>
      <w:r w:rsidR="00083E6D">
        <w:rPr>
          <w:color w:val="000000"/>
        </w:rPr>
        <w:instrText>ADDIN CSL_CITATION {"citationItems":[{"id":"ITEM-1","itemData":{"DOI":"10.1177/0095798409333620","ISSN":"0095-7984","abstract":"Black men who have sex with men (BMSM) continue to be disproportionately affected by HIV. Methamphetamine use has been identified as a source of HIV risk in gay and bisexually identified men, yet the relationship between methamphetamine use and sexual risk among BMSM specifically remains unclear. The goal of this qualitative study was to investigate psychological, contextual, and developmental factors informing methamphetamine use and HIV risk behavior among a sample of heterosexual, gay, and bisexual BMSM (N = 52) in New York City. Methamphetamine use and sexual risk were associated with stress induced by stigmatization arising from and within larger dominant White gay culture, stigmatization incurred within the community, internalized homophobia, and stress induced by living under the shadow of the perceived inevitability of contracting HIV as BMSM. Methamphetamine use was associated with venues where participants could be sheltered from experiences of racism, homophobia, and dominant hegemonic images of Black masculinity, while exploring and developing same-sex desires, thereby instilling a sense of community belonging. Suggestions for culturally appropriate strategies for treating both methamphetamine use and HIV risk behaviors among BMSM are discussed. © 2009 The Association of Black Psychologists.","author":[{"dropping-particle":"","family":"Jerome","given":"Roy C.","non-dropping-particle":"","parse-names":false,"suffix":""},{"dropping-particle":"","family":"Halkitis","given":"Perry N.","non-dropping-particle":"","parse-names":false,"suffix":""}],"container-title":"Journal of Black Psychology","id":"ITEM-1","issue":"3","issued":{"date-parts":[["2009","8","15"]]},"page":"343-365","publisher":"SAGE PublicationsSage CA: Los Angeles, CA","title":"Stigmatization, Stress, and the Search for Belonging in Black Men Who Have Sex With Men Who Use Methamphetamine","type":"article-journal","volume":"35"},"uris":["http://www.mendeley.com/documents/?uuid=225e42b8-55dd-3dff-a058-868ddbf83fbb"]}],"mendeley":{"formattedCitation":"(Jerome &amp; Halkitis, 2009)","plainTextFormattedCitation":"(Jerome &amp; Halkitis, 2009)","previouslyFormattedCitation":"(Jerome &amp; Halkitis, 2009)"},"properties":{"noteIndex":0},"schema":"https://github.com/citation-style-language/schema/raw/master/csl-citation.json"}</w:instrText>
      </w:r>
      <w:r w:rsidR="00083E6D">
        <w:rPr>
          <w:color w:val="000000"/>
        </w:rPr>
        <w:fldChar w:fldCharType="separate"/>
      </w:r>
      <w:r w:rsidR="00083E6D" w:rsidRPr="00083E6D">
        <w:rPr>
          <w:noProof/>
          <w:color w:val="000000"/>
        </w:rPr>
        <w:t>(Jerome &amp; Halkitis, 2009)</w:t>
      </w:r>
      <w:r w:rsidR="00083E6D">
        <w:rPr>
          <w:color w:val="000000"/>
        </w:rPr>
        <w:fldChar w:fldCharType="end"/>
      </w:r>
      <w:r w:rsidR="00083E6D">
        <w:rPr>
          <w:color w:val="000000"/>
        </w:rPr>
        <w:t>.</w:t>
      </w:r>
      <w:r w:rsidR="00103FF0">
        <w:rPr>
          <w:color w:val="000000"/>
        </w:rPr>
        <w:t xml:space="preserve">  Taken together, </w:t>
      </w:r>
      <w:r w:rsidR="00103FF0">
        <w:t>t</w:t>
      </w:r>
      <w:r w:rsidR="00AF55FE">
        <w:t xml:space="preserve">hese </w:t>
      </w:r>
      <w:r w:rsidR="00BA3CAC" w:rsidRPr="00C265C3">
        <w:t xml:space="preserve">findings </w:t>
      </w:r>
      <w:r w:rsidR="00AF55FE">
        <w:t xml:space="preserve">suggest that </w:t>
      </w:r>
      <w:r w:rsidR="00BA3CAC" w:rsidRPr="00C265C3">
        <w:t xml:space="preserve">broader social </w:t>
      </w:r>
      <w:r w:rsidR="00AF55FE">
        <w:t xml:space="preserve">connections </w:t>
      </w:r>
      <w:r w:rsidR="00BA3CAC" w:rsidRPr="00C265C3">
        <w:t xml:space="preserve">beyond </w:t>
      </w:r>
      <w:r w:rsidR="00AF55FE">
        <w:t xml:space="preserve">only </w:t>
      </w:r>
      <w:r w:rsidR="00BA3CAC" w:rsidRPr="00C265C3">
        <w:t xml:space="preserve">gbMSM </w:t>
      </w:r>
      <w:r w:rsidR="00AF55FE">
        <w:t>may</w:t>
      </w:r>
      <w:r w:rsidR="00BA3CAC" w:rsidRPr="00C265C3">
        <w:t xml:space="preserve"> assist</w:t>
      </w:r>
      <w:r w:rsidR="00AF55FE">
        <w:t xml:space="preserve"> gbMSM in reducing</w:t>
      </w:r>
      <w:r w:rsidR="00BA3CAC" w:rsidRPr="00C265C3">
        <w:t xml:space="preserve"> </w:t>
      </w:r>
      <w:r w:rsidR="00AF55FE">
        <w:t xml:space="preserve">their </w:t>
      </w:r>
      <w:r w:rsidR="00BA3CAC" w:rsidRPr="00C265C3">
        <w:t xml:space="preserve">MA </w:t>
      </w:r>
      <w:r w:rsidR="00AF55FE">
        <w:t>use</w:t>
      </w:r>
      <w:r w:rsidR="004E2EF1">
        <w:t>.</w:t>
      </w:r>
      <w:r w:rsidR="00AF55FE">
        <w:t xml:space="preserve"> </w:t>
      </w:r>
      <w:r w:rsidR="00103FF0">
        <w:t xml:space="preserve">Additionally, </w:t>
      </w:r>
      <w:r w:rsidR="00486A53">
        <w:t>network-based interventions among gbMSM should be explored.</w:t>
      </w:r>
    </w:p>
    <w:p w14:paraId="014C41D1" w14:textId="16DBC22D" w:rsidR="004848CE" w:rsidRPr="00C265C3" w:rsidRDefault="005A2367" w:rsidP="000754A1">
      <w:pPr>
        <w:spacing w:line="480" w:lineRule="auto"/>
        <w:ind w:firstLine="720"/>
        <w:rPr>
          <w:color w:val="000000"/>
        </w:rPr>
      </w:pPr>
      <w:r w:rsidRPr="00C265C3">
        <w:rPr>
          <w:color w:val="000000"/>
        </w:rPr>
        <w:t>Our</w:t>
      </w:r>
      <w:r w:rsidR="00623DF9">
        <w:rPr>
          <w:color w:val="000000"/>
        </w:rPr>
        <w:t xml:space="preserve"> findings regarding exchanging sex for </w:t>
      </w:r>
      <w:r w:rsidR="00441AAE" w:rsidRPr="00C265C3">
        <w:rPr>
          <w:color w:val="000000"/>
        </w:rPr>
        <w:t>drugs are consistent with previous literature</w:t>
      </w:r>
      <w:r w:rsidR="00623DF9">
        <w:rPr>
          <w:color w:val="000000"/>
        </w:rPr>
        <w:t>,</w:t>
      </w:r>
      <w:r w:rsidR="00441AAE" w:rsidRPr="00C265C3">
        <w:rPr>
          <w:color w:val="000000"/>
        </w:rPr>
        <w:t xml:space="preserve"> which has found associations between escort work and MA use among gbMSM </w:t>
      </w:r>
      <w:r w:rsidR="00290729" w:rsidRPr="00C265C3">
        <w:rPr>
          <w:color w:val="000000"/>
        </w:rPr>
        <w:fldChar w:fldCharType="begin" w:fldLock="1"/>
      </w:r>
      <w:r w:rsidR="00C265C3" w:rsidRPr="00C265C3">
        <w:rPr>
          <w:color w:val="000000"/>
        </w:rPr>
        <w:instrText>ADDIN CSL_CITATION {"citationItems":[{"id":"ITEM-1","itemData":{"DOI":"10.1016/j.drugalcdep.2017.12.004","ISSN":"1879-0046","PMID":"29427917","abstract":"BACKGROUND Treatment as Prevention (TasP) leading to increased HIV treatment optimism among men who have sex with men (MSM) has been previously associated with behavioural risk compensation, though not yet via crystal methamphetamine (CM) use. Among HIV-negative MSM in a TasP environment, this study aimed to investigate the prevalence of recent CM use over time, examine the association between HIV treatment optimism and CM use and initiation, and identify correlates of recent CM use and predictors of CM initiation. METHODS Using data from a prospective behavioural cohort study of sexually active MSM in the Vancouver area, we used multi-level generalized mixed effect models to evaluate temporal trends in CM use, univariable and multivariable logistic regression to identify covariates of recent CM use, and univariable and multivariable survival analysis to identify predictors of CM initiation. RESULTS Of 497 HIV-negative cohort participants, 10.3% reported any recent CM use at enrollment. From 2012-2016, there were no statistically significant temporal trends in overall CM use or with routes of administration. In multivariable logistic regression analyses, HIV treatment optimism was not associated with recent CM use (not retained in final model) or CM initiation (aHR = 1.06, 95% CI:0.98-1.15). Significant correlates of CM use include recent gamma-hydroxybutyrate (GHB) and ecstasy use, and having received/given drugs for sex. CONCLUSIONS Among HIV-negative MSM in Vancouver, HIV treatment optimism does not appear to be independently associated with CM use or initiation of use, though use of CM was both prevalent and stable over time.","author":[{"dropping-particle":"","family":"Colyer","given":"Sean P","non-dropping-particle":"","parse-names":false,"suffix":""},{"dropping-particle":"","family":"Lachowsky","given":"Nathan J","non-dropping-particle":"","parse-names":false,"suffix":""},{"dropping-particle":"","family":"Cui","given":"Zishan","non-dropping-particle":"","parse-names":false,"suffix":""},{"dropping-particle":"","family":"Zhu","given":"Julia","non-dropping-particle":"","parse-names":false,"suffix":""},{"dropping-particle":"","family":"Armstrong","given":"Heather L","non-dropping-particle":"","parse-names":false,"suffix":""},{"dropping-particle":"","family":"Taylor","given":"Matthew","non-dropping-particle":"","parse-names":false,"suffix":""},{"dropping-particle":"","family":"Edward","given":"Joshua","non-dropping-particle":"","parse-names":false,"suffix":""},{"dropping-particle":"","family":"Olarewaju","given":"Gbolahan","non-dropping-particle":"","parse-names":false,"suffix":""},{"dropping-particle":"","family":"Hogg","given":"Robert S","non-dropping-particle":"","parse-names":false,"suffix":""},{"dropping-particle":"","family":"Roth","given":"Eric A","non-dropping-particle":"","parse-names":false,"suffix":""},{"dropping-particle":"","family":"Moore","given":"David M","non-dropping-particle":"","parse-names":false,"suffix":""}],"container-title":"Drug and alcohol dependence","id":"ITEM-1","issued":{"date-parts":[["2018","4","1"]]},"page":"67-74","title":"HIV treatment optimism and crystal methamphetamine use and initiation among HIV-negative men who have sex with men in Vancouver, Canada: A longitudinal analysis.","type":"article-journal","volume":"185"},"uris":["http://www.mendeley.com/documents/?uuid=670d31ee-09a3-3605-9502-9a60f0e27373"]}],"mendeley":{"formattedCitation":"(Colyer et al., 2018)","plainTextFormattedCitation":"(Colyer et al., 2018)","previouslyFormattedCitation":"(Colyer et al., 2018)"},"properties":{"noteIndex":0},"schema":"https://github.com/citation-style-language/schema/raw/master/csl-citation.json"}</w:instrText>
      </w:r>
      <w:r w:rsidR="00290729" w:rsidRPr="00C265C3">
        <w:rPr>
          <w:color w:val="000000"/>
        </w:rPr>
        <w:fldChar w:fldCharType="separate"/>
      </w:r>
      <w:r w:rsidR="00290729" w:rsidRPr="00C265C3">
        <w:rPr>
          <w:noProof/>
          <w:color w:val="000000"/>
        </w:rPr>
        <w:t>(Colyer et al., 2018)</w:t>
      </w:r>
      <w:r w:rsidR="00290729" w:rsidRPr="00C265C3">
        <w:rPr>
          <w:color w:val="000000"/>
        </w:rPr>
        <w:fldChar w:fldCharType="end"/>
      </w:r>
      <w:r w:rsidR="00290729" w:rsidRPr="00C265C3">
        <w:rPr>
          <w:color w:val="000000"/>
        </w:rPr>
        <w:t xml:space="preserve">. </w:t>
      </w:r>
      <w:r w:rsidR="00441AAE" w:rsidRPr="00C265C3">
        <w:rPr>
          <w:color w:val="000000"/>
        </w:rPr>
        <w:t xml:space="preserve">Moreover, these findings complement existing literature on associations between trading sex for drugs and </w:t>
      </w:r>
      <w:r w:rsidR="00053061" w:rsidRPr="00C265C3">
        <w:rPr>
          <w:color w:val="000000"/>
        </w:rPr>
        <w:t xml:space="preserve">injection drug use, binge use of MA, and increased likelihood of sexual risk-taking behaviours </w:t>
      </w:r>
      <w:r w:rsidR="00053061" w:rsidRPr="00C265C3">
        <w:rPr>
          <w:color w:val="000000"/>
        </w:rPr>
        <w:fldChar w:fldCharType="begin" w:fldLock="1"/>
      </w:r>
      <w:r w:rsidR="00053061" w:rsidRPr="00C265C3">
        <w:rPr>
          <w:color w:val="000000"/>
        </w:rPr>
        <w:instrText>ADDIN CSL_CITATION {"citationItems":[{"id":"ITEM-1","itemData":{"DOI":"10.3109/00952990.2010.505273","ISSN":"1097-9891","PMID":"20955106","abstract":"BACKGROUND Previous research among drug-using men who have sex with men (MSM) indicates that trading sex for methamphetamine may be common. OBJECTIVES This study identified background characteristics, substance use variables, contextual factors, and sexual risk behaviors associated with trading sex for methamphetamine in a sample of HIV-positive MSM. Baseline data were gathered from 155 participants who were enrolled in a sexual risk-reduction intervention. Logistic regression was used to compare MSM who traded sex for methamphetamine with men who did not. RESULTS Forty-three percent of the sample reported trading sex for methamphetamine in the past 2 months. Trading sex for methamphetamine was associated with being a binge user, homelessness, having an income of less than $20,000 per year, being less assertive at turning down drugs, engaging in more anal sex without a condom, and seeking out risky sex partners when high on methamphetamine. CONCLUSION AND SCIENTIFIC SIGNIFICANCE These data suggest that the trading of sex for methamphetamine may be a primary source of new HIV infections within and outside of the MSM community, necessitating targeted interventions with this vulnerable subgroup.","author":[{"dropping-particle":"","family":"Semple","given":"Shirley J","non-dropping-particle":"","parse-names":false,"suffix":""},{"dropping-particle":"","family":"Strathdee","given":"Steffanie A","non-dropping-particle":"","parse-names":false,"suffix":""},{"dropping-particle":"","family":"Zians","given":"Jim","non-dropping-particle":"","parse-names":false,"suffix":""},{"dropping-particle":"","family":"Patterson","given":"Thomas L","non-dropping-particle":"","parse-names":false,"suffix":""}],"container-title":"The American journal of drug and alcohol abuse","id":"ITEM-1","issue":"6","issued":{"date-parts":[["2010","11"]]},"note":"Injection drug use related to Trading Sex for drugs","page":"325-31","publisher":"NIH Public Access","title":"Social and behavioral characteristics of HIV-positive MSM who trade sex for methamphetamine.","type":"article-journal","volume":"36"},"uris":["http://www.mendeley.com/documents/?uuid=dbd142d8-773c-3bca-b932-0364b8b39aad"]}],"mendeley":{"formattedCitation":"(Semple et al., 2010)","plainTextFormattedCitation":"(Semple et al., 2010)","previouslyFormattedCitation":"(Semple et al., 2010)"},"properties":{"noteIndex":0},"schema":"https://github.com/citation-style-language/schema/raw/master/csl-citation.json"}</w:instrText>
      </w:r>
      <w:r w:rsidR="00053061" w:rsidRPr="00C265C3">
        <w:rPr>
          <w:color w:val="000000"/>
        </w:rPr>
        <w:fldChar w:fldCharType="separate"/>
      </w:r>
      <w:r w:rsidR="00053061" w:rsidRPr="00C265C3">
        <w:rPr>
          <w:noProof/>
          <w:color w:val="000000"/>
        </w:rPr>
        <w:t>(Semple et al., 2010)</w:t>
      </w:r>
      <w:r w:rsidR="00053061" w:rsidRPr="00C265C3">
        <w:rPr>
          <w:color w:val="000000"/>
        </w:rPr>
        <w:fldChar w:fldCharType="end"/>
      </w:r>
      <w:r w:rsidR="00053061" w:rsidRPr="00C265C3">
        <w:rPr>
          <w:color w:val="000000"/>
        </w:rPr>
        <w:t xml:space="preserve">. </w:t>
      </w:r>
      <w:r w:rsidR="00441AAE" w:rsidRPr="00C265C3">
        <w:rPr>
          <w:color w:val="000000"/>
        </w:rPr>
        <w:t xml:space="preserve">Taken together, our findings encourage support services for gbMSM who exchange sex </w:t>
      </w:r>
      <w:r w:rsidR="00441AAE" w:rsidRPr="00623DF9">
        <w:rPr>
          <w:color w:val="000000"/>
        </w:rPr>
        <w:t>for</w:t>
      </w:r>
      <w:r w:rsidR="00441AAE" w:rsidRPr="00C265C3">
        <w:rPr>
          <w:color w:val="000000"/>
        </w:rPr>
        <w:t xml:space="preserve"> drugs</w:t>
      </w:r>
      <w:r w:rsidR="00085CF1" w:rsidRPr="00C265C3">
        <w:rPr>
          <w:color w:val="000000"/>
        </w:rPr>
        <w:t>. Examples include</w:t>
      </w:r>
      <w:r w:rsidR="00441AAE" w:rsidRPr="00C265C3">
        <w:rPr>
          <w:color w:val="000000"/>
        </w:rPr>
        <w:t xml:space="preserve"> </w:t>
      </w:r>
      <w:r w:rsidR="00085CF1" w:rsidRPr="00C265C3">
        <w:rPr>
          <w:color w:val="000000"/>
        </w:rPr>
        <w:t>f</w:t>
      </w:r>
      <w:r w:rsidR="00441AAE" w:rsidRPr="00C265C3">
        <w:rPr>
          <w:color w:val="000000"/>
        </w:rPr>
        <w:t>inancial support</w:t>
      </w:r>
      <w:r w:rsidR="00085CF1" w:rsidRPr="00C265C3">
        <w:rPr>
          <w:color w:val="000000"/>
        </w:rPr>
        <w:t xml:space="preserve"> such as housing or utilities support</w:t>
      </w:r>
      <w:r w:rsidR="00441AAE" w:rsidRPr="00C265C3">
        <w:rPr>
          <w:color w:val="000000"/>
        </w:rPr>
        <w:t>,</w:t>
      </w:r>
      <w:r w:rsidR="00085CF1" w:rsidRPr="00C265C3">
        <w:rPr>
          <w:color w:val="000000"/>
        </w:rPr>
        <w:t xml:space="preserve"> life-skills</w:t>
      </w:r>
      <w:r w:rsidR="00441AAE" w:rsidRPr="00C265C3">
        <w:rPr>
          <w:color w:val="000000"/>
        </w:rPr>
        <w:t xml:space="preserve"> mentoring</w:t>
      </w:r>
      <w:r w:rsidR="00085CF1" w:rsidRPr="00C265C3">
        <w:rPr>
          <w:color w:val="000000"/>
        </w:rPr>
        <w:t xml:space="preserve">, and </w:t>
      </w:r>
      <w:r w:rsidR="00441AAE" w:rsidRPr="00C265C3">
        <w:rPr>
          <w:color w:val="000000"/>
        </w:rPr>
        <w:t>counseling</w:t>
      </w:r>
      <w:r w:rsidR="00085CF1" w:rsidRPr="00C265C3">
        <w:rPr>
          <w:color w:val="000000"/>
        </w:rPr>
        <w:t xml:space="preserve">. Given the synergistic relationship between exchanging sex for drugs and MA use, supportive services for sex work should be paired with substance use reduction interventions to maximize efficacy. </w:t>
      </w:r>
      <w:r w:rsidR="00486A53">
        <w:rPr>
          <w:color w:val="000000"/>
        </w:rPr>
        <w:t xml:space="preserve">Moreover, our findings suggest that MA treatment programs should also consider economic factors to improve efficacy. </w:t>
      </w:r>
    </w:p>
    <w:p w14:paraId="6D4A23C1" w14:textId="134E92AA" w:rsidR="00053061" w:rsidRPr="00C265C3" w:rsidRDefault="00053061" w:rsidP="00AC198F">
      <w:pPr>
        <w:spacing w:line="480" w:lineRule="auto"/>
        <w:ind w:firstLine="720"/>
      </w:pPr>
      <w:r w:rsidRPr="00C265C3">
        <w:rPr>
          <w:color w:val="000000"/>
        </w:rPr>
        <w:t xml:space="preserve">Effects of </w:t>
      </w:r>
      <w:r w:rsidRPr="00C265C3">
        <w:t xml:space="preserve">GHB are associated with sexual disinhibition and heightened sex drive, and GHB is commonly used in combination with other stimulants, particularly MA </w:t>
      </w:r>
      <w:r w:rsidRPr="00C265C3">
        <w:fldChar w:fldCharType="begin" w:fldLock="1"/>
      </w:r>
      <w:r w:rsidR="005A00BA" w:rsidRPr="00C265C3">
        <w:instrText>ADDIN CSL_CITATION {"citationItems":[{"id":"ITEM-1","itemData":{"DOI":"10.1016/J.DRUGALCDEP.2005.07.010","ISSN":"0376-8716","abstract":"OBJECTIVE\nTo describe the clinical features of gamma-hydroxybutyrate (GHB) and gamma-butyrolactone (GBL) toxicity. \n\nMETHODS\nRetrospective case-study of 65 GHB and GBL intoxications seen in an urban emergency department. \n\nRESULTS\n63% of intoxications occurred in male patients. The median age was 24 years (range 16–41 years). 65% co-ingested alcohol or illicit drugs, mostly MDMA and cocaine. 83% presented with coma. The mean±S.D. time to regain consciousness among comatose patients was 111±61min and was significantly longer in patients who co-abused illicit drugs such as cocaine or MDMA (155±60min). Bradycardia occurred in 38%, hypotension in 6% and hypothermia in 48%. Agitation was observed in 17% of all patients and was significantly more frequent in patients with alcohol co-use (29%). Vomiting occurred in 31% of all patients and tended to be more frequent in patients who co-used alcohol (39%). Management of GHB and GBL overdose was supportive. Four patients needed admission to an intensive care unit for mechanical ventilation (6%). \n\nCONCLUSIONS\nOverdosing of GHB and GBL frequently results in non-reactive coma reflecting the severity of poisoning. Multiple drug use is common and significantly influences the clinical presentation.","author":[{"dropping-particle":"","family":"Liechti","given":"Matthias E.","non-dropping-particle":"","parse-names":false,"suffix":""},{"dropping-particle":"","family":"Kunz","given":"Isabelle","non-dropping-particle":"","parse-names":false,"suffix":""},{"dropping-particle":"","family":"Greminger","given":"Peter","non-dropping-particle":"","parse-names":false,"suffix":""},{"dropping-particle":"","family":"Speich","given":"Rudolf","non-dropping-particle":"","parse-names":false,"suffix":""},{"dropping-particle":"","family":"Kupferschmidt","given":"Hugo","non-dropping-particle":"","parse-names":false,"suffix":""}],"container-title":"Drug and Alcohol Dependence","id":"ITEM-1","issue":"3","issued":{"date-parts":[["2006","2","28"]]},"page":"323-326","publisher":"Elsevier","title":"Clinical features of gamma-hydroxybutyrate and gamma-butyrolactone toxicity and concomitant drug and alcohol use","type":"article-journal","volume":"81"},"uris":["http://www.mendeley.com/documents/?uuid=1dfe7dc9-04e2-3944-87c8-18fe3b95b483"]},{"id":"ITEM-2","itemData":{"DOI":"10.1016/J.DRUGALCDEP.2007.07.009","ISSN":"0376-8716","abstract":"Self-reported use of γ-hydroxybutyrate (GHB) among clubbers has increased over the last decade, and is often reported in the scientific literature in association with negative events such as amnesia, overdose, and use in drug facilitated sexual assault. However, there has been relatively little work investigating the phenomenology of GHB intoxication, and the reasons underlying use. In this study, 189 individuals reporting at least one lifetime use of GHB completed an online questionnaire recording GHB use behaviours, GHB use function, and subjective GHB effects. The most frequently reported primary GHB use functions were for recreation (but not in nightclubs) (18.3%); to enhance sex (18.3%); to be sociable (13.1%); and to explore altered states of consciousness (13.1%). GHB was more commonly used within the home (67%) compared to nightlife environments (26.1%) such as clubs, although this differed on the basis of respondent's sexuality. Principle components analysis of GHB user responses to the subjective questionnaire revealed six components: general intoxication effects, positive intoxication effects, negative intoxication effects, negative physiological effects, positive sexual effects and negative sexual effects. Component scores predicted function of use.","author":[{"dropping-particle":"","family":"Sumnall","given":"Harry R.","non-dropping-particle":"","parse-names":false,"suffix":""},{"dropping-particle":"","family":"Woolfall","given":"Kerry","non-dropping-particle":"","parse-names":false,"suffix":""},{"dropping-particle":"","family":"Edwards","given":"Sara","non-dropping-particle":"","parse-names":false,"suffix":""},{"dropping-particle":"","family":"Cole","given":"Jon C.","non-dropping-particle":"","parse-names":false,"suffix":""},{"dropping-particle":"","family":"Beynon","given":"Caryl M.","non-dropping-particle":"","parse-names":false,"suffix":""}],"container-title":"Drug and Alcohol Dependence","id":"ITEM-2","issue":"1-3","issued":{"date-parts":[["2008","1","1"]]},"page":"286-290","publisher":"Elsevier","title":"Use, function, and subjective experiences of gamma-hydroxybutyrate (GHB)","type":"article-journal","volume":"92"},"uris":["http://www.mendeley.com/documents/?uuid=e6ca0798-0ee2-385d-843a-489309c2c642"]},{"id":"ITEM-3","itemData":{"DOI":"10.1080/02791072.2014.921746","ISSN":"0279-1072","PMID":"25052883","abstract":"Gamma hydroxybutyrate (GHB) is a central nervous system depressant with euphoric and relaxant effects. Documentation of GHB prevalence and the underreporting of abuse remains problematic, given the availability of GHB and its precursors γ-butyrolactone (GBL) and 1,4-butanediol (1,4-BD) and the ease of synthesis from kits available on the Internet. The continued abuse of and dependence on GHB, and associated fatalities, present an on-going public health problem. As the drug GHB remains an underresearched topic, a scoping review was chosen as a technique to map the available literature into a descriptive summarized account. PRISMA was used to assist in data retrieval, with subsequent data charting into three key themes (pharmacology and toxicology, outcomes, and user groups). Administered orally, GHB is dose-dependent and popular for certain uses (therapeutic, body enhancement, sexual assault) and amongst user sub groups (recreational party drug users, homosexual men). Despite the low prevalence of use in comparison to other club drugs, rising abuse of the drug is associated with dependence, withdrawal, acute toxicity, and fatal overdose. Clinical diagnosis and treatment is complicated by the co-ingestion of alcohol and other drugs. Limitations of the scoping review and potential for further research and harm reduction initiatives are discussed.","author":[{"dropping-particle":"","family":"Brennan","given":"Rebekah","non-dropping-particle":"","parse-names":false,"suffix":""},{"dropping-particle":"","family":"Hout","given":"Marie Claire","non-dropping-particle":"Van","parse-names":false,"suffix":""}],"container-title":"Journal of Psychoactive Drugs","id":"ITEM-3","issue":"3","issued":{"date-parts":[["2014","5","27"]]},"page":"243-251","title":"Gamma-Hydroxybutyrate (GHB): A Scoping Review of Pharmacology, Toxicology, Motives for Use, and User Groups","type":"article-journal","volume":"46"},"uris":["http://www.mendeley.com/documents/?uuid=e126fd05-bd5d-3def-8d22-1ae7bc607d78"]}],"mendeley":{"formattedCitation":"(Brennan &amp; Van Hout, 2014; Liechti et al., 2006; Sumnall et al., 2008)","plainTextFormattedCitation":"(Brennan &amp; Van Hout, 2014; Liechti et al., 2006; Sumnall et al., 2008)","previouslyFormattedCitation":"(Brennan &amp; Van Hout, 2014; Liechti et al., 2006; Sumnall et al., 2008)"},"properties":{"noteIndex":0},"schema":"https://github.com/citation-style-language/schema/raw/master/csl-citation.json"}</w:instrText>
      </w:r>
      <w:r w:rsidRPr="00C265C3">
        <w:fldChar w:fldCharType="separate"/>
      </w:r>
      <w:r w:rsidR="005A00BA" w:rsidRPr="00C265C3">
        <w:rPr>
          <w:noProof/>
        </w:rPr>
        <w:t>(Brennan &amp; Van Hout, 2014; Liechti et al., 2006; Sumnall et al., 2008)</w:t>
      </w:r>
      <w:r w:rsidRPr="00C265C3">
        <w:fldChar w:fldCharType="end"/>
      </w:r>
      <w:r w:rsidRPr="00C265C3">
        <w:t xml:space="preserve">. </w:t>
      </w:r>
      <w:r w:rsidR="005E2363" w:rsidRPr="00C265C3">
        <w:rPr>
          <w:color w:val="000000"/>
        </w:rPr>
        <w:t>A</w:t>
      </w:r>
      <w:r w:rsidRPr="00C265C3">
        <w:rPr>
          <w:color w:val="000000"/>
        </w:rPr>
        <w:t xml:space="preserve">s a depressant, many gbMSM may use the relaxant effect of GHB to “come down” from the elevation of the MA stimulant </w:t>
      </w:r>
      <w:r w:rsidRPr="00C265C3">
        <w:rPr>
          <w:color w:val="000000"/>
        </w:rPr>
        <w:fldChar w:fldCharType="begin" w:fldLock="1"/>
      </w:r>
      <w:r w:rsidRPr="00C265C3">
        <w:rPr>
          <w:color w:val="000000"/>
        </w:rPr>
        <w:instrText>ADDIN CSL_CITATION {"citationItems":[{"id":"ITEM-1","itemData":{"DOI":"10.1016/J.DRUGALCDEP.2005.07.010","ISSN":"0376-8716","abstract":"OBJECTIVE\nTo describe the clinical features of gamma-hydroxybutyrate (GHB) and gamma-butyrolactone (GBL) toxicity. \n\nMETHODS\nRetrospective case-study of 65 GHB and GBL intoxications seen in an urban emergency department. \n\nRESULTS\n63% of intoxications occurred in male patients. The median age was 24 years (range 16–41 years). 65% co-ingested alcohol or illicit drugs, mostly MDMA and cocaine. 83% presented with coma. The mean±S.D. time to regain consciousness among comatose patients was 111±61min and was significantly longer in patients who co-abused illicit drugs such as cocaine or MDMA (155±60min). Bradycardia occurred in 38%, hypotension in 6% and hypothermia in 48%. Agitation was observed in 17% of all patients and was significantly more frequent in patients with alcohol co-use (29%). Vomiting occurred in 31% of all patients and tended to be more frequent in patients who co-used alcohol (39%). Management of GHB and GBL overdose was supportive. Four patients needed admission to an intensive care unit for mechanical ventilation (6%). \n\nCONCLUSIONS\nOverdosing of GHB and GBL frequently results in non-reactive coma reflecting the severity of poisoning. Multiple drug use is common and significantly influences the clinical presentation.","author":[{"dropping-particle":"","family":"Liechti","given":"Matthias E.","non-dropping-particle":"","parse-names":false,"suffix":""},{"dropping-particle":"","family":"Kunz","given":"Isabelle","non-dropping-particle":"","parse-names":false,"suffix":""},{"dropping-particle":"","family":"Greminger","given":"Peter","non-dropping-particle":"","parse-names":false,"suffix":""},{"dropping-particle":"","family":"Speich","given":"Rudolf","non-dropping-particle":"","parse-names":false,"suffix":""},{"dropping-particle":"","family":"Kupferschmidt","given":"Hugo","non-dropping-particle":"","parse-names":false,"suffix":""}],"container-title":"Drug and Alcohol Dependence","id":"ITEM-1","issue":"3","issued":{"date-parts":[["2006","2","28"]]},"page":"323-326","publisher":"Elsevier","title":"Clinical features of gamma-hydroxybutyrate and gamma-butyrolactone toxicity and concomitant drug and alcohol use","type":"article-journal","volume":"81"},"uris":["http://www.mendeley.com/documents/?uuid=1dfe7dc9-04e2-3944-87c8-18fe3b95b483"]}],"mendeley":{"formattedCitation":"(Liechti et al., 2006)","plainTextFormattedCitation":"(Liechti et al., 2006)","previouslyFormattedCitation":"(Liechti et al., 2006)"},"properties":{"noteIndex":0},"schema":"https://github.com/citation-style-language/schema/raw/master/csl-citation.json"}</w:instrText>
      </w:r>
      <w:r w:rsidRPr="00C265C3">
        <w:rPr>
          <w:color w:val="000000"/>
        </w:rPr>
        <w:fldChar w:fldCharType="separate"/>
      </w:r>
      <w:r w:rsidRPr="00C265C3">
        <w:rPr>
          <w:noProof/>
          <w:color w:val="000000"/>
        </w:rPr>
        <w:t>(Liechti et al., 2006)</w:t>
      </w:r>
      <w:r w:rsidRPr="00C265C3">
        <w:rPr>
          <w:color w:val="000000"/>
        </w:rPr>
        <w:fldChar w:fldCharType="end"/>
      </w:r>
      <w:r w:rsidRPr="00C265C3">
        <w:rPr>
          <w:color w:val="000000"/>
        </w:rPr>
        <w:t>.</w:t>
      </w:r>
      <w:r w:rsidRPr="00C265C3">
        <w:t xml:space="preserve"> </w:t>
      </w:r>
      <w:r w:rsidR="00557A5E" w:rsidRPr="00C265C3">
        <w:t>Thus</w:t>
      </w:r>
      <w:r w:rsidR="005E2363" w:rsidRPr="00C265C3">
        <w:t>,</w:t>
      </w:r>
      <w:r w:rsidR="00557A5E" w:rsidRPr="00C265C3">
        <w:t xml:space="preserve"> the use of GHB likely reflects a concomitant association of using both substances together, rather than a cause and effect relationship. </w:t>
      </w:r>
      <w:r w:rsidR="00892A73" w:rsidRPr="00C265C3">
        <w:t xml:space="preserve">As such, </w:t>
      </w:r>
      <w:r w:rsidR="00486A53">
        <w:t>clinicians and healthcare providers must consider</w:t>
      </w:r>
      <w:r w:rsidR="00486A53">
        <w:rPr>
          <w:color w:val="000000"/>
        </w:rPr>
        <w:t xml:space="preserve"> polysubstance use when targeting MA reduction. </w:t>
      </w:r>
      <w:r w:rsidRPr="00C265C3">
        <w:rPr>
          <w:color w:val="000000"/>
        </w:rPr>
        <w:t>Further, previous studies have found that those who used injection as</w:t>
      </w:r>
      <w:r w:rsidR="00557A5E" w:rsidRPr="00C265C3">
        <w:rPr>
          <w:color w:val="000000"/>
        </w:rPr>
        <w:t xml:space="preserve"> the</w:t>
      </w:r>
      <w:r w:rsidRPr="00C265C3">
        <w:rPr>
          <w:color w:val="000000"/>
        </w:rPr>
        <w:t xml:space="preserve"> route of MA administration (as opposed to smoking or intranasal use)</w:t>
      </w:r>
      <w:r w:rsidRPr="00C265C3">
        <w:rPr>
          <w:b/>
          <w:color w:val="000000"/>
        </w:rPr>
        <w:t xml:space="preserve"> </w:t>
      </w:r>
      <w:r w:rsidRPr="00C265C3">
        <w:rPr>
          <w:color w:val="000000"/>
        </w:rPr>
        <w:t xml:space="preserve">had the most severe consequences of psychological and </w:t>
      </w:r>
      <w:r w:rsidRPr="00C265C3">
        <w:rPr>
          <w:color w:val="000000"/>
        </w:rPr>
        <w:lastRenderedPageBreak/>
        <w:t xml:space="preserve">medical impairment, as well as the heaviest drug use and lowest treatment adherence </w:t>
      </w:r>
      <w:r w:rsidRPr="00C265C3">
        <w:rPr>
          <w:color w:val="000000"/>
        </w:rPr>
        <w:fldChar w:fldCharType="begin" w:fldLock="1"/>
      </w:r>
      <w:r w:rsidRPr="00C265C3">
        <w:rPr>
          <w:color w:val="000000"/>
        </w:rPr>
        <w:instrText>ADDIN CSL_CITATION {"citationItems":[{"id":"ITEM-1","itemData":{"DOI":"10.1080/10550490701389864","ISSN":"1055-0496","PMID":"17661197","abstract":"Relatively little is known about the clinical treatment response characteristics associated with route of methamphetamine (MA) administration. We examined sociodemographic, drug use, treatment response, as well as psychiatric and medical characteristics associated with route of administration among 974 methamphetamine abusers in outpatient treatment during 1999-2001. Injectors had the poorest treatment prognosis: poorer treatment engagement, greater drug use during treatment, lower treatment completion rates, and more MA use at 12 months post-admission than did smokers and intranasal users. On many treatment response measures, MA smokers were almost as severely impaired as injectors, and in general, intranasal users were least impaired. Psychological and medical impairment, before and after treatment, was also highest among injectors. This study contributes new insights about clinical treatment response and outcomes associated with route of administration among MA-dependent users.","author":[{"dropping-particle":"","family":"Rawson","given":"Richard A.","non-dropping-particle":"","parse-names":false,"suffix":""},{"dropping-particle":"","family":"Gonzales","given":"Rachel","non-dropping-particle":"","parse-names":false,"suffix":""},{"dropping-particle":"","family":"Marinelli-Casey","given":"Patricia","non-dropping-particle":"","parse-names":false,"suffix":""},{"dropping-particle":"","family":"Ang","given":"Alfonso","non-dropping-particle":"","parse-names":false,"suffix":""}],"container-title":"American Journal on Addictions","id":"ITEM-1","issue":"4","issued":{"date-parts":[["2007","1"]]},"page":"291-299","title":"Methamphetamine Dependence: A Closer Look at Treatment Response and Clinical Characteristics Associated with Route of Administration in Outpatient Treatment","type":"article-journal","volume":"16"},"uris":["http://www.mendeley.com/documents/?uuid=58364f2c-5510-31b6-96b7-0ee25282cbcb"]}],"mendeley":{"formattedCitation":"(Rawson et al., 2007)","plainTextFormattedCitation":"(Rawson et al., 2007)","previouslyFormattedCitation":"(Rawson et al., 2007)"},"properties":{"noteIndex":0},"schema":"https://github.com/citation-style-language/schema/raw/master/csl-citation.json"}</w:instrText>
      </w:r>
      <w:r w:rsidRPr="00C265C3">
        <w:rPr>
          <w:color w:val="000000"/>
        </w:rPr>
        <w:fldChar w:fldCharType="separate"/>
      </w:r>
      <w:r w:rsidRPr="00C265C3">
        <w:rPr>
          <w:noProof/>
          <w:color w:val="000000"/>
        </w:rPr>
        <w:t>(Rawson et al., 2007)</w:t>
      </w:r>
      <w:r w:rsidRPr="00C265C3">
        <w:rPr>
          <w:color w:val="000000"/>
        </w:rPr>
        <w:fldChar w:fldCharType="end"/>
      </w:r>
      <w:r w:rsidRPr="00C265C3">
        <w:rPr>
          <w:color w:val="000000"/>
        </w:rPr>
        <w:t xml:space="preserve">. </w:t>
      </w:r>
      <w:r w:rsidR="004848CE" w:rsidRPr="00C265C3">
        <w:rPr>
          <w:color w:val="000000"/>
        </w:rPr>
        <w:t xml:space="preserve">Our study found </w:t>
      </w:r>
      <w:r w:rsidR="0003406C">
        <w:rPr>
          <w:color w:val="000000"/>
        </w:rPr>
        <w:t xml:space="preserve">that </w:t>
      </w:r>
      <w:r w:rsidR="004848CE" w:rsidRPr="00C265C3">
        <w:rPr>
          <w:color w:val="000000"/>
        </w:rPr>
        <w:t>not engaging in injection drug use in the past six months (excluding steroids) was significantly associated with greater odds of MA reduction</w:t>
      </w:r>
      <w:r w:rsidRPr="00C265C3">
        <w:rPr>
          <w:color w:val="000000"/>
        </w:rPr>
        <w:t>.</w:t>
      </w:r>
      <w:r w:rsidR="004848CE" w:rsidRPr="00C265C3">
        <w:rPr>
          <w:color w:val="000000"/>
        </w:rPr>
        <w:t xml:space="preserve"> Thus, </w:t>
      </w:r>
      <w:r w:rsidR="004848CE" w:rsidRPr="00C265C3">
        <w:t>encouraging smoking, snorting, or hooping drugs as opposed to injecting may be a useful harm reduction approach for MA users wanting to reduce or discontinue use.</w:t>
      </w:r>
    </w:p>
    <w:p w14:paraId="58D2DE7B" w14:textId="665632E5" w:rsidR="00053061" w:rsidRPr="00C265C3" w:rsidRDefault="00BA3CAC" w:rsidP="00053061">
      <w:pPr>
        <w:spacing w:line="480" w:lineRule="auto"/>
        <w:ind w:firstLine="720"/>
      </w:pPr>
      <w:r w:rsidRPr="00C265C3">
        <w:rPr>
          <w:color w:val="000000"/>
        </w:rPr>
        <w:t>This study wa</w:t>
      </w:r>
      <w:r w:rsidR="00053061" w:rsidRPr="00C265C3">
        <w:rPr>
          <w:color w:val="000000"/>
        </w:rPr>
        <w:t>s subject to a number of limitations. First, our study was limited by a relatively small sample size (</w:t>
      </w:r>
      <w:r w:rsidR="00A71263" w:rsidRPr="00C265C3">
        <w:rPr>
          <w:color w:val="000000"/>
        </w:rPr>
        <w:t>n</w:t>
      </w:r>
      <w:r w:rsidR="00053061" w:rsidRPr="00C265C3">
        <w:rPr>
          <w:color w:val="000000"/>
        </w:rPr>
        <w:t>=67) of gbMSM who reported frequent MA use. However, the longitudinal nature of our study provided multiple data points for the same participant with a median follow</w:t>
      </w:r>
      <w:r w:rsidR="006162CD" w:rsidRPr="00C265C3">
        <w:rPr>
          <w:color w:val="000000"/>
        </w:rPr>
        <w:t>-</w:t>
      </w:r>
      <w:r w:rsidR="00053061" w:rsidRPr="00C265C3">
        <w:rPr>
          <w:color w:val="000000"/>
        </w:rPr>
        <w:t xml:space="preserve">up time of 3.5 years, ensuring reasonable statistical power for analyses. Second, we did not specifically ask participants to report how they felt about their MA use (e.g., problematic or not) and if they were actively trying to reduce their use. Very few participants reported having been diagnosed with a substance use disorder and none reported as being on treatment for this. We attempted to approximate </w:t>
      </w:r>
      <w:r w:rsidR="00053061" w:rsidRPr="00C265C3">
        <w:t>“problematic substance use” by restricting inclusion in the study sample to only those using MA at least weekly.</w:t>
      </w:r>
      <w:r w:rsidR="007A3138" w:rsidRPr="00C265C3">
        <w:t xml:space="preserve"> </w:t>
      </w:r>
      <w:r w:rsidR="00053061" w:rsidRPr="00C265C3">
        <w:rPr>
          <w:color w:val="000000"/>
        </w:rPr>
        <w:t xml:space="preserve">Finally, the temporality of associations found in the analysis may be a limitation of our results. Although the longitudinal design provides strength in our data collection, it allows for uncertainty in interpreting whether factors are associated with MA reduction because of the time they were measured (i.e., the current study visit) or because of prior events that happened in the past (e.g., self-reported health). </w:t>
      </w:r>
      <w:r w:rsidR="004E2EF1">
        <w:rPr>
          <w:color w:val="000000"/>
        </w:rPr>
        <w:t xml:space="preserve">Lastly, only 2 participants identified as transgender (1 participant reported ever quitting MA, 1 participant reporting never quitting MA). </w:t>
      </w:r>
      <w:r w:rsidR="004E2EF1" w:rsidRPr="00C265C3">
        <w:rPr>
          <w:color w:val="000000"/>
        </w:rPr>
        <w:t>This prevented performance of separate analyses to compare factors of use reduction affecting transgender versus cisgender men.</w:t>
      </w:r>
    </w:p>
    <w:p w14:paraId="2CAE01A1" w14:textId="77777777" w:rsidR="00053061" w:rsidRPr="00C265C3" w:rsidRDefault="00053061" w:rsidP="00053061"/>
    <w:p w14:paraId="2A815B60" w14:textId="36BAF5CF" w:rsidR="00053061" w:rsidRPr="00C265C3" w:rsidRDefault="00B90C3B" w:rsidP="00B90C3B">
      <w:pPr>
        <w:jc w:val="center"/>
        <w:rPr>
          <w:b/>
        </w:rPr>
      </w:pPr>
      <w:r w:rsidRPr="00C265C3">
        <w:rPr>
          <w:b/>
          <w:bCs/>
          <w:color w:val="000000"/>
        </w:rPr>
        <w:t>Conclusions</w:t>
      </w:r>
    </w:p>
    <w:p w14:paraId="3F9B3C34" w14:textId="77777777" w:rsidR="00053061" w:rsidRPr="00C265C3" w:rsidRDefault="00053061" w:rsidP="00053061"/>
    <w:p w14:paraId="438415BF" w14:textId="6F305ECA" w:rsidR="00E26089" w:rsidRPr="00C265C3" w:rsidRDefault="00C15ED0" w:rsidP="00053061">
      <w:pPr>
        <w:spacing w:line="480" w:lineRule="auto"/>
      </w:pPr>
      <w:r w:rsidRPr="00C265C3">
        <w:lastRenderedPageBreak/>
        <w:t xml:space="preserve">Our study sought to explore how depression and anxiety were associated with MA reduction. While we did not find significant associations for depression and anxiety, our study found multiple social, sexual and substance use factors associated with MA reduction among a cohort of </w:t>
      </w:r>
      <w:r w:rsidR="00381C36" w:rsidRPr="00C265C3">
        <w:t xml:space="preserve">non-treatment seeking </w:t>
      </w:r>
      <w:r w:rsidRPr="00C265C3">
        <w:t xml:space="preserve">gbMSM in Metro Vancouver. </w:t>
      </w:r>
      <w:r w:rsidR="00770F20" w:rsidRPr="00C265C3">
        <w:t>Collectively, o</w:t>
      </w:r>
      <w:r w:rsidR="00372459" w:rsidRPr="00C265C3">
        <w:t xml:space="preserve">ur findings provide insight for developing </w:t>
      </w:r>
      <w:r w:rsidR="00770F20" w:rsidRPr="00C265C3">
        <w:t xml:space="preserve">tailored and targeted </w:t>
      </w:r>
      <w:r w:rsidR="00372459" w:rsidRPr="00C265C3">
        <w:t xml:space="preserve">MA reduction </w:t>
      </w:r>
      <w:r w:rsidR="00770F20" w:rsidRPr="00C265C3">
        <w:t xml:space="preserve">and treatment </w:t>
      </w:r>
      <w:r w:rsidR="00372459" w:rsidRPr="00C265C3">
        <w:t xml:space="preserve">interventions for gbMSM. </w:t>
      </w:r>
      <w:r w:rsidR="00770F20" w:rsidRPr="00C265C3">
        <w:t xml:space="preserve">These interventions should encourage both </w:t>
      </w:r>
      <w:r w:rsidR="000E139F">
        <w:t>substance use</w:t>
      </w:r>
      <w:r w:rsidR="00770F20" w:rsidRPr="00C265C3">
        <w:t xml:space="preserve"> and sexual harm reduction, while promoting positive social supports to efficaciously address MA reduction and discontinuation. </w:t>
      </w:r>
      <w:r w:rsidR="00E26089" w:rsidRPr="00C265C3">
        <w:t xml:space="preserve">Although anxiety and depression may not be associated with MA reduction, addressing mental health disparities among </w:t>
      </w:r>
      <w:r w:rsidR="00F75A1D">
        <w:t>MA-using</w:t>
      </w:r>
      <w:r w:rsidR="00E26089" w:rsidRPr="00C265C3">
        <w:t xml:space="preserve"> gbMSM may further elicit health and wellbeing. Finally, future </w:t>
      </w:r>
      <w:r w:rsidR="00947737" w:rsidRPr="00C265C3">
        <w:t>efforts</w:t>
      </w:r>
      <w:r w:rsidR="00E26089" w:rsidRPr="00C265C3">
        <w:t xml:space="preserve"> </w:t>
      </w:r>
      <w:r w:rsidR="00947737" w:rsidRPr="00C265C3">
        <w:t>are</w:t>
      </w:r>
      <w:r w:rsidR="00E26089" w:rsidRPr="00C265C3">
        <w:t xml:space="preserve"> warranted to </w:t>
      </w:r>
      <w:r w:rsidR="00150D33" w:rsidRPr="00C265C3">
        <w:t xml:space="preserve">integrate social, </w:t>
      </w:r>
      <w:r w:rsidR="00F75A1D">
        <w:t>substance and sexual</w:t>
      </w:r>
      <w:r w:rsidR="00150D33" w:rsidRPr="00C265C3">
        <w:t xml:space="preserve"> health services </w:t>
      </w:r>
      <w:r w:rsidR="00947737" w:rsidRPr="00C265C3">
        <w:t xml:space="preserve">to improve prevention and harm reduction among gbMSM.  </w:t>
      </w:r>
      <w:r w:rsidR="00150D33" w:rsidRPr="00C265C3">
        <w:t xml:space="preserve"> </w:t>
      </w:r>
    </w:p>
    <w:p w14:paraId="6AE27871" w14:textId="77777777" w:rsidR="007C20D2" w:rsidRPr="00C265C3" w:rsidRDefault="007C20D2" w:rsidP="007C20D2">
      <w:pPr>
        <w:spacing w:line="480" w:lineRule="auto"/>
      </w:pPr>
    </w:p>
    <w:p w14:paraId="0C825E3E" w14:textId="77777777" w:rsidR="007C20D2" w:rsidRPr="00C265C3" w:rsidRDefault="007C20D2" w:rsidP="007C20D2">
      <w:pPr>
        <w:spacing w:line="480" w:lineRule="auto"/>
      </w:pPr>
    </w:p>
    <w:p w14:paraId="5DA9C1DA" w14:textId="77777777" w:rsidR="00BA3CAC" w:rsidRPr="00C265C3" w:rsidRDefault="00BA3CAC" w:rsidP="00053061">
      <w:pPr>
        <w:tabs>
          <w:tab w:val="left" w:pos="4947"/>
        </w:tabs>
        <w:spacing w:line="480" w:lineRule="auto"/>
        <w:rPr>
          <w:b/>
          <w:u w:val="single"/>
        </w:rPr>
        <w:sectPr w:rsidR="00BA3CAC" w:rsidRPr="00C265C3" w:rsidSect="000F59B2">
          <w:pgSz w:w="12240" w:h="15840"/>
          <w:pgMar w:top="1440" w:right="1440" w:bottom="1440" w:left="1440" w:header="708" w:footer="708" w:gutter="0"/>
          <w:cols w:space="708"/>
          <w:docGrid w:linePitch="360"/>
        </w:sectPr>
      </w:pPr>
    </w:p>
    <w:p w14:paraId="7AE5691F" w14:textId="0F80DCF8" w:rsidR="00053061" w:rsidRPr="00C265C3" w:rsidRDefault="00053061" w:rsidP="00053061">
      <w:pPr>
        <w:tabs>
          <w:tab w:val="left" w:pos="4947"/>
        </w:tabs>
        <w:spacing w:line="480" w:lineRule="auto"/>
        <w:rPr>
          <w:b/>
          <w:u w:val="single"/>
        </w:rPr>
      </w:pPr>
      <w:r w:rsidRPr="00C265C3">
        <w:rPr>
          <w:b/>
          <w:u w:val="single"/>
        </w:rPr>
        <w:lastRenderedPageBreak/>
        <w:t>Acknowledgements</w:t>
      </w:r>
    </w:p>
    <w:p w14:paraId="4DFECDE9" w14:textId="77777777" w:rsidR="00053061" w:rsidRPr="00C265C3" w:rsidRDefault="00053061" w:rsidP="00053061">
      <w:pPr>
        <w:tabs>
          <w:tab w:val="left" w:pos="4947"/>
        </w:tabs>
        <w:spacing w:line="360" w:lineRule="auto"/>
      </w:pPr>
      <w:r w:rsidRPr="00C265C3">
        <w:t xml:space="preserve">We would like to thank the [BLINDED FOR REVIEW] participants, office staff and community advisory board as well as our community partners: Health Initiative for Men, </w:t>
      </w:r>
      <w:proofErr w:type="spellStart"/>
      <w:r w:rsidRPr="00C265C3">
        <w:t>YouthCO</w:t>
      </w:r>
      <w:proofErr w:type="spellEnd"/>
      <w:r w:rsidRPr="00C265C3">
        <w:t xml:space="preserve"> HIV &amp; Hep C Society, and Positive Living Society of BC.</w:t>
      </w:r>
    </w:p>
    <w:p w14:paraId="432E4307" w14:textId="77777777" w:rsidR="00053061" w:rsidRPr="00C265C3" w:rsidRDefault="00053061" w:rsidP="00053061">
      <w:pPr>
        <w:tabs>
          <w:tab w:val="left" w:pos="4947"/>
        </w:tabs>
        <w:spacing w:line="360" w:lineRule="auto"/>
      </w:pPr>
    </w:p>
    <w:p w14:paraId="60CE4626" w14:textId="77777777" w:rsidR="00053061" w:rsidRPr="00C265C3" w:rsidRDefault="00053061" w:rsidP="00053061">
      <w:pPr>
        <w:pStyle w:val="NoSpacing"/>
        <w:rPr>
          <w:rFonts w:ascii="Times New Roman" w:hAnsi="Times New Roman" w:cs="Times New Roman"/>
          <w:b/>
          <w:sz w:val="24"/>
          <w:szCs w:val="24"/>
        </w:rPr>
      </w:pPr>
      <w:r w:rsidRPr="00C265C3">
        <w:rPr>
          <w:rFonts w:ascii="Times New Roman" w:hAnsi="Times New Roman" w:cs="Times New Roman"/>
          <w:b/>
          <w:sz w:val="24"/>
          <w:szCs w:val="24"/>
        </w:rPr>
        <w:t>Role of Funding Source</w:t>
      </w:r>
    </w:p>
    <w:p w14:paraId="6465FB24" w14:textId="4E5B3BF2" w:rsidR="00053061" w:rsidRPr="00C265C3" w:rsidRDefault="00053061" w:rsidP="00053061">
      <w:pPr>
        <w:pStyle w:val="NoSpacing"/>
        <w:spacing w:line="360" w:lineRule="auto"/>
        <w:rPr>
          <w:rFonts w:ascii="Times New Roman" w:hAnsi="Times New Roman" w:cs="Times New Roman"/>
          <w:sz w:val="24"/>
          <w:szCs w:val="24"/>
        </w:rPr>
      </w:pPr>
      <w:r w:rsidRPr="00C265C3">
        <w:rPr>
          <w:rFonts w:ascii="Times New Roman" w:hAnsi="Times New Roman" w:cs="Times New Roman"/>
          <w:sz w:val="24"/>
          <w:szCs w:val="24"/>
        </w:rPr>
        <w:t xml:space="preserve">This work was supported by the National Institute on Drug Abuse (R01DA031055-01A1) and the Canadian Institutes of Health Research (MOP-107544, </w:t>
      </w:r>
      <w:r w:rsidR="00BD0ECF" w:rsidRPr="00C265C3">
        <w:rPr>
          <w:rFonts w:ascii="Times New Roman" w:hAnsi="Times New Roman" w:cs="Times New Roman"/>
          <w:sz w:val="24"/>
          <w:szCs w:val="24"/>
        </w:rPr>
        <w:t>FDN-</w:t>
      </w:r>
      <w:r w:rsidRPr="00C265C3">
        <w:rPr>
          <w:rFonts w:ascii="Times New Roman" w:hAnsi="Times New Roman" w:cs="Times New Roman"/>
          <w:sz w:val="24"/>
          <w:szCs w:val="24"/>
        </w:rPr>
        <w:t xml:space="preserve">143342, PJT-153139). BC was supported by a Summer Student Research Award from the UBC Faculty of Medicine in partnership with the Providence Health Care Research Institute. NJL was supported by a CANFAR/CTN Postdoctoral Fellowship Award. HLA was supported by a Postdoctoral Fellowship award from the Canadian Institutes of Health Research (Grant #MFE-152443). </w:t>
      </w:r>
      <w:r w:rsidRPr="00C265C3">
        <w:rPr>
          <w:sz w:val="24"/>
          <w:szCs w:val="24"/>
        </w:rPr>
        <w:t xml:space="preserve"> </w:t>
      </w:r>
      <w:r w:rsidRPr="00C265C3">
        <w:rPr>
          <w:rFonts w:ascii="Times New Roman" w:hAnsi="Times New Roman" w:cs="Times New Roman"/>
          <w:sz w:val="24"/>
          <w:szCs w:val="24"/>
        </w:rPr>
        <w:t>DMM and NJL are supported by Michael Smith Foundation for Health Research Scholar Awards (#5209, #16863). KGC is supported by a Canadian Institutes of Health Research Health Systems Impact Fellowship award, a Michael Smith Foundation for Health Research Trainee award, and a Canadian HIV Trials Network/Canadian Foundation for AIDS Research Postdoctoral Fellowship award.</w:t>
      </w:r>
    </w:p>
    <w:p w14:paraId="37607E07" w14:textId="77777777" w:rsidR="00053061" w:rsidRPr="00C265C3" w:rsidRDefault="00053061" w:rsidP="00053061">
      <w:pPr>
        <w:pStyle w:val="NoSpacing"/>
        <w:spacing w:line="360" w:lineRule="auto"/>
        <w:rPr>
          <w:rFonts w:ascii="Times New Roman" w:hAnsi="Times New Roman" w:cs="Times New Roman"/>
          <w:sz w:val="24"/>
          <w:szCs w:val="24"/>
        </w:rPr>
      </w:pPr>
    </w:p>
    <w:p w14:paraId="0BCFA63E" w14:textId="77777777" w:rsidR="00053061" w:rsidRPr="00C265C3" w:rsidRDefault="00053061" w:rsidP="00053061">
      <w:pPr>
        <w:tabs>
          <w:tab w:val="left" w:pos="4947"/>
        </w:tabs>
        <w:spacing w:line="480" w:lineRule="auto"/>
        <w:rPr>
          <w:lang w:eastAsia="en-CA"/>
        </w:rPr>
      </w:pPr>
      <w:r w:rsidRPr="00C265C3">
        <w:rPr>
          <w:b/>
          <w:bCs/>
          <w:color w:val="000000"/>
          <w:u w:val="single"/>
          <w:lang w:eastAsia="en-CA"/>
        </w:rPr>
        <w:t>Footnotes</w:t>
      </w:r>
    </w:p>
    <w:p w14:paraId="382947E1" w14:textId="77777777" w:rsidR="00053061" w:rsidRPr="00C265C3" w:rsidRDefault="00053061" w:rsidP="00053061">
      <w:pPr>
        <w:pStyle w:val="NoSpacing"/>
        <w:rPr>
          <w:rFonts w:ascii="Times New Roman" w:hAnsi="Times New Roman" w:cs="Times New Roman"/>
          <w:sz w:val="24"/>
          <w:szCs w:val="24"/>
          <w:lang w:eastAsia="en-CA"/>
        </w:rPr>
      </w:pPr>
      <w:r w:rsidRPr="00C265C3">
        <w:rPr>
          <w:rFonts w:ascii="Times New Roman" w:hAnsi="Times New Roman" w:cs="Times New Roman"/>
          <w:sz w:val="24"/>
          <w:szCs w:val="24"/>
          <w:lang w:eastAsia="en-CA"/>
        </w:rPr>
        <w:t>All authors have approved the final manuscript.</w:t>
      </w:r>
    </w:p>
    <w:p w14:paraId="22B754C9" w14:textId="77777777" w:rsidR="00053061" w:rsidRPr="00C265C3" w:rsidRDefault="00053061" w:rsidP="00053061">
      <w:pPr>
        <w:pStyle w:val="NoSpacing"/>
        <w:rPr>
          <w:rFonts w:ascii="Times New Roman" w:hAnsi="Times New Roman" w:cs="Times New Roman"/>
          <w:b/>
          <w:sz w:val="24"/>
          <w:szCs w:val="24"/>
          <w:lang w:eastAsia="en-CA"/>
        </w:rPr>
      </w:pPr>
    </w:p>
    <w:p w14:paraId="6E3C78E3" w14:textId="77777777" w:rsidR="00053061" w:rsidRPr="00C265C3" w:rsidRDefault="00053061" w:rsidP="00053061">
      <w:pPr>
        <w:pStyle w:val="NoSpacing"/>
        <w:rPr>
          <w:rFonts w:ascii="Times New Roman" w:hAnsi="Times New Roman" w:cs="Times New Roman"/>
          <w:b/>
          <w:sz w:val="24"/>
          <w:szCs w:val="24"/>
          <w:lang w:eastAsia="en-CA"/>
        </w:rPr>
      </w:pPr>
      <w:r w:rsidRPr="00C265C3">
        <w:rPr>
          <w:rFonts w:ascii="Times New Roman" w:hAnsi="Times New Roman" w:cs="Times New Roman"/>
          <w:b/>
          <w:sz w:val="24"/>
          <w:szCs w:val="24"/>
          <w:lang w:eastAsia="en-CA"/>
        </w:rPr>
        <w:t>Conflicts of Interest</w:t>
      </w:r>
    </w:p>
    <w:p w14:paraId="20F67C73" w14:textId="77777777" w:rsidR="00053061" w:rsidRPr="00C265C3" w:rsidRDefault="00053061" w:rsidP="00053061">
      <w:pPr>
        <w:pStyle w:val="NoSpacing"/>
        <w:rPr>
          <w:rFonts w:ascii="Times New Roman" w:hAnsi="Times New Roman" w:cs="Times New Roman"/>
          <w:sz w:val="24"/>
          <w:szCs w:val="24"/>
          <w:lang w:eastAsia="en-CA"/>
        </w:rPr>
      </w:pPr>
      <w:r w:rsidRPr="00C265C3">
        <w:rPr>
          <w:rFonts w:ascii="Times New Roman" w:hAnsi="Times New Roman" w:cs="Times New Roman"/>
          <w:sz w:val="24"/>
          <w:szCs w:val="24"/>
          <w:lang w:eastAsia="en-CA"/>
        </w:rPr>
        <w:t>The authors of this study have no conflicts of interest to disclose.</w:t>
      </w:r>
    </w:p>
    <w:p w14:paraId="2B11157B" w14:textId="77777777" w:rsidR="00053061" w:rsidRPr="00C265C3" w:rsidRDefault="00053061" w:rsidP="00053061">
      <w:pPr>
        <w:tabs>
          <w:tab w:val="left" w:pos="4947"/>
        </w:tabs>
        <w:spacing w:line="480" w:lineRule="auto"/>
        <w:rPr>
          <w:b/>
          <w:bCs/>
          <w:color w:val="000000"/>
          <w:u w:val="single"/>
          <w:lang w:eastAsia="en-CA"/>
        </w:rPr>
      </w:pPr>
    </w:p>
    <w:p w14:paraId="198DFFC5" w14:textId="77777777" w:rsidR="00BA3CAC" w:rsidRPr="00C265C3" w:rsidRDefault="00BA3CAC" w:rsidP="00053061">
      <w:pPr>
        <w:tabs>
          <w:tab w:val="left" w:pos="4947"/>
        </w:tabs>
        <w:spacing w:line="480" w:lineRule="auto"/>
        <w:rPr>
          <w:b/>
          <w:bCs/>
          <w:color w:val="000000"/>
          <w:u w:val="single"/>
          <w:lang w:eastAsia="en-CA"/>
        </w:rPr>
        <w:sectPr w:rsidR="00BA3CAC" w:rsidRPr="00C265C3" w:rsidSect="000F59B2">
          <w:pgSz w:w="12240" w:h="15840"/>
          <w:pgMar w:top="1440" w:right="1440" w:bottom="1440" w:left="1440" w:header="708" w:footer="708" w:gutter="0"/>
          <w:cols w:space="708"/>
          <w:docGrid w:linePitch="360"/>
        </w:sectPr>
      </w:pPr>
    </w:p>
    <w:p w14:paraId="4971D105" w14:textId="547EA508" w:rsidR="00053061" w:rsidRPr="00C265C3" w:rsidRDefault="00053061" w:rsidP="00053061">
      <w:pPr>
        <w:tabs>
          <w:tab w:val="left" w:pos="4947"/>
        </w:tabs>
        <w:spacing w:line="480" w:lineRule="auto"/>
      </w:pPr>
      <w:r w:rsidRPr="00C265C3">
        <w:rPr>
          <w:b/>
          <w:bCs/>
          <w:color w:val="000000"/>
          <w:u w:val="single"/>
          <w:lang w:eastAsia="en-CA"/>
        </w:rPr>
        <w:lastRenderedPageBreak/>
        <w:t>References</w:t>
      </w:r>
    </w:p>
    <w:p w14:paraId="0070CA54" w14:textId="61ECC8A2" w:rsidR="004849CC" w:rsidRPr="004849CC" w:rsidRDefault="00053061" w:rsidP="004849CC">
      <w:pPr>
        <w:widowControl w:val="0"/>
        <w:autoSpaceDE w:val="0"/>
        <w:autoSpaceDN w:val="0"/>
        <w:adjustRightInd w:val="0"/>
        <w:ind w:left="480" w:hanging="480"/>
        <w:rPr>
          <w:noProof/>
        </w:rPr>
      </w:pPr>
      <w:r w:rsidRPr="00C265C3">
        <w:fldChar w:fldCharType="begin" w:fldLock="1"/>
      </w:r>
      <w:r w:rsidRPr="00C265C3">
        <w:instrText xml:space="preserve">ADDIN Mendeley Bibliography CSL_BIBLIOGRAPHY </w:instrText>
      </w:r>
      <w:r w:rsidRPr="00C265C3">
        <w:fldChar w:fldCharType="separate"/>
      </w:r>
      <w:r w:rsidR="004849CC" w:rsidRPr="004849CC">
        <w:rPr>
          <w:noProof/>
        </w:rPr>
        <w:t xml:space="preserve">BC Centre for Disease Control. (2018). </w:t>
      </w:r>
      <w:r w:rsidR="004849CC" w:rsidRPr="004849CC">
        <w:rPr>
          <w:i/>
          <w:iCs/>
          <w:noProof/>
        </w:rPr>
        <w:t>HIV in British Columbia: Annual Surveillance Report 2016.</w:t>
      </w:r>
      <w:r w:rsidR="004849CC" w:rsidRPr="004849CC">
        <w:rPr>
          <w:noProof/>
        </w:rPr>
        <w:t xml:space="preserve"> http://www.bccdc.ca/search?k=hiv annual report</w:t>
      </w:r>
    </w:p>
    <w:p w14:paraId="020E9704"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Beyrer, C., Baral, S. D., van Griensven, F., Goodreau, S. M., Chariyalertsak, S., Wirtz, A. L., &amp; Brookmeyer, R. (2012). Global epidemiology of HIV infection in men who have sex with men. </w:t>
      </w:r>
      <w:r w:rsidRPr="004849CC">
        <w:rPr>
          <w:i/>
          <w:iCs/>
          <w:noProof/>
        </w:rPr>
        <w:t>Lancet (London, England)</w:t>
      </w:r>
      <w:r w:rsidRPr="004849CC">
        <w:rPr>
          <w:noProof/>
        </w:rPr>
        <w:t xml:space="preserve">, </w:t>
      </w:r>
      <w:r w:rsidRPr="004849CC">
        <w:rPr>
          <w:i/>
          <w:iCs/>
          <w:noProof/>
        </w:rPr>
        <w:t>380</w:t>
      </w:r>
      <w:r w:rsidRPr="004849CC">
        <w:rPr>
          <w:noProof/>
        </w:rPr>
        <w:t>(9839), 367–377. https://doi.org/10.1016/S0140-6736(12)60821-6</w:t>
      </w:r>
    </w:p>
    <w:p w14:paraId="04C42529"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Brennan, R., &amp; Van Hout, M. C. (2014). Gamma-Hydroxybutyrate (GHB): A Scoping Review of Pharmacology, Toxicology, Motives for Use, and User Groups. </w:t>
      </w:r>
      <w:r w:rsidRPr="004849CC">
        <w:rPr>
          <w:i/>
          <w:iCs/>
          <w:noProof/>
        </w:rPr>
        <w:t>Journal of Psychoactive Drugs</w:t>
      </w:r>
      <w:r w:rsidRPr="004849CC">
        <w:rPr>
          <w:noProof/>
        </w:rPr>
        <w:t xml:space="preserve">, </w:t>
      </w:r>
      <w:r w:rsidRPr="004849CC">
        <w:rPr>
          <w:i/>
          <w:iCs/>
          <w:noProof/>
        </w:rPr>
        <w:t>46</w:t>
      </w:r>
      <w:r w:rsidRPr="004849CC">
        <w:rPr>
          <w:noProof/>
        </w:rPr>
        <w:t>(3), 243–251. https://doi.org/10.1080/02791072.2014.921746</w:t>
      </w:r>
    </w:p>
    <w:p w14:paraId="73D2576A"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Colfax, G., &amp; Shoptaw, S. (2005). The methamphetamine epidemic: implications for HIV prevention and treatment. In </w:t>
      </w:r>
      <w:r w:rsidRPr="004849CC">
        <w:rPr>
          <w:i/>
          <w:iCs/>
          <w:noProof/>
        </w:rPr>
        <w:t>Current HIV/AIDS reports</w:t>
      </w:r>
      <w:r w:rsidRPr="004849CC">
        <w:rPr>
          <w:noProof/>
        </w:rPr>
        <w:t xml:space="preserve"> (Vol. 2, Issue 4, pp. 194–199). Curr HIV/AIDS Rep. https://doi.org/10.1007/s11904-005-0016-4</w:t>
      </w:r>
    </w:p>
    <w:p w14:paraId="677073F0"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Colyer, S. P., Lachowsky, N. J., Cui, Z., Zhu, J., Armstrong, H. L., Taylor, M., Edward, J., Olarewaju, G., Hogg, R. S., Roth, E. A., &amp; Moore, D. M. (2018). HIV treatment optimism and crystal methamphetamine use and initiation among HIV-negative men who have sex with men in Vancouver, Canada: A longitudinal analysis. </w:t>
      </w:r>
      <w:r w:rsidRPr="004849CC">
        <w:rPr>
          <w:i/>
          <w:iCs/>
          <w:noProof/>
        </w:rPr>
        <w:t>Drug and Alcohol Dependence</w:t>
      </w:r>
      <w:r w:rsidRPr="004849CC">
        <w:rPr>
          <w:noProof/>
        </w:rPr>
        <w:t xml:space="preserve">, </w:t>
      </w:r>
      <w:r w:rsidRPr="004849CC">
        <w:rPr>
          <w:i/>
          <w:iCs/>
          <w:noProof/>
        </w:rPr>
        <w:t>185</w:t>
      </w:r>
      <w:r w:rsidRPr="004849CC">
        <w:rPr>
          <w:noProof/>
        </w:rPr>
        <w:t>, 67–74. https://doi.org/10.1016/j.drugalcdep.2017.12.004</w:t>
      </w:r>
    </w:p>
    <w:p w14:paraId="601CBDCA"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de Jong Gierveld, J., &amp; Tilburg, T. Van. (2006). A 6-Item Scale for Overall, Emotional, and Social Loneliness. </w:t>
      </w:r>
      <w:r w:rsidRPr="004849CC">
        <w:rPr>
          <w:i/>
          <w:iCs/>
          <w:noProof/>
        </w:rPr>
        <w:t>Research on Aging</w:t>
      </w:r>
      <w:r w:rsidRPr="004849CC">
        <w:rPr>
          <w:noProof/>
        </w:rPr>
        <w:t xml:space="preserve">, </w:t>
      </w:r>
      <w:r w:rsidRPr="004849CC">
        <w:rPr>
          <w:i/>
          <w:iCs/>
          <w:noProof/>
        </w:rPr>
        <w:t>28</w:t>
      </w:r>
      <w:r w:rsidRPr="004849CC">
        <w:rPr>
          <w:noProof/>
        </w:rPr>
        <w:t>(5), 582–598. https://doi.org/10.1177/0164027506289723</w:t>
      </w:r>
    </w:p>
    <w:p w14:paraId="49A9D509"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Forrest, D. W., Metsch, L. R., LaLota, M., Cardenas, G., Beck, D. W., &amp; Jeanty, Y. (2010). Crystal methamphetamine use and sexual risk behaviors among HIV-positive and HIV-negative men who have sex with men in South Florida. </w:t>
      </w:r>
      <w:r w:rsidRPr="004849CC">
        <w:rPr>
          <w:i/>
          <w:iCs/>
          <w:noProof/>
        </w:rPr>
        <w:t>Journal of Urban Health</w:t>
      </w:r>
      <w:r w:rsidRPr="004849CC">
        <w:rPr>
          <w:noProof/>
        </w:rPr>
        <w:t xml:space="preserve">, </w:t>
      </w:r>
      <w:r w:rsidRPr="004849CC">
        <w:rPr>
          <w:i/>
          <w:iCs/>
          <w:noProof/>
        </w:rPr>
        <w:t>87</w:t>
      </w:r>
      <w:r w:rsidRPr="004849CC">
        <w:rPr>
          <w:noProof/>
        </w:rPr>
        <w:t>(3), 480–485. https://doi.org/10.1007/s11524-009-9422-z</w:t>
      </w:r>
    </w:p>
    <w:p w14:paraId="135E8E44"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Frost, D. M., Meyer, I. H., &amp; Schwartz, S. (2016). Social support networks among diverse sexual minority populations. </w:t>
      </w:r>
      <w:r w:rsidRPr="004849CC">
        <w:rPr>
          <w:i/>
          <w:iCs/>
          <w:noProof/>
        </w:rPr>
        <w:t>American Journal of Orthopsychiatry</w:t>
      </w:r>
      <w:r w:rsidRPr="004849CC">
        <w:rPr>
          <w:noProof/>
        </w:rPr>
        <w:t xml:space="preserve">, </w:t>
      </w:r>
      <w:r w:rsidRPr="004849CC">
        <w:rPr>
          <w:i/>
          <w:iCs/>
          <w:noProof/>
        </w:rPr>
        <w:t>86</w:t>
      </w:r>
      <w:r w:rsidRPr="004849CC">
        <w:rPr>
          <w:noProof/>
        </w:rPr>
        <w:t>(1), 91–102. https://doi.org/10.1037/ort0000117</w:t>
      </w:r>
    </w:p>
    <w:p w14:paraId="2D8491EF"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Glasner-Edwards, S., Mooney, L. J., Marinelli-Casey, P., Hillhouse, M., Ang, A., Rawson, R. A., &amp; Methamphetamine Treatment Project Corporate Authors, T. M. T. P. C. (2010a). Psychopathology in methamphetamine-dependent adults 3 years after treatment. </w:t>
      </w:r>
      <w:r w:rsidRPr="004849CC">
        <w:rPr>
          <w:i/>
          <w:iCs/>
          <w:noProof/>
        </w:rPr>
        <w:t>Drug and Alcohol Review</w:t>
      </w:r>
      <w:r w:rsidRPr="004849CC">
        <w:rPr>
          <w:noProof/>
        </w:rPr>
        <w:t xml:space="preserve">, </w:t>
      </w:r>
      <w:r w:rsidRPr="004849CC">
        <w:rPr>
          <w:i/>
          <w:iCs/>
          <w:noProof/>
        </w:rPr>
        <w:t>29</w:t>
      </w:r>
      <w:r w:rsidRPr="004849CC">
        <w:rPr>
          <w:noProof/>
        </w:rPr>
        <w:t>(1), 12–20. https://doi.org/10.1111/j.1465-3362.2009.00081.x</w:t>
      </w:r>
    </w:p>
    <w:p w14:paraId="51DF3F63"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Glasner-Edwards, S., Mooney, L. J., Marinelli-Casey, P., Hillhouse, M., Ang, A., Rawson, R., &amp; Methamphetamine Treatment Project Corporate Authors,  the M. T. P. C. (2010b). Anxiety disorders among methamphetamine dependent adults: association with post-treatment functioning. </w:t>
      </w:r>
      <w:r w:rsidRPr="004849CC">
        <w:rPr>
          <w:i/>
          <w:iCs/>
          <w:noProof/>
        </w:rPr>
        <w:t>The American Journal on Addictions</w:t>
      </w:r>
      <w:r w:rsidRPr="004849CC">
        <w:rPr>
          <w:noProof/>
        </w:rPr>
        <w:t xml:space="preserve">, </w:t>
      </w:r>
      <w:r w:rsidRPr="004849CC">
        <w:rPr>
          <w:i/>
          <w:iCs/>
          <w:noProof/>
        </w:rPr>
        <w:t>19</w:t>
      </w:r>
      <w:r w:rsidRPr="004849CC">
        <w:rPr>
          <w:noProof/>
        </w:rPr>
        <w:t>(5), 385–390. https://doi.org/10.1111/j.1521-0391.2010.00061.x</w:t>
      </w:r>
    </w:p>
    <w:p w14:paraId="7C8F9054"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Greene, B., Herek, G. M., &amp; Society for the Psychological Study of Lesbian and Gay Issues. (1995). </w:t>
      </w:r>
      <w:r w:rsidRPr="004849CC">
        <w:rPr>
          <w:i/>
          <w:iCs/>
          <w:noProof/>
        </w:rPr>
        <w:t>AIDS, identity, and community : the HIV epidemic and lesbians and gay men</w:t>
      </w:r>
      <w:r w:rsidRPr="004849CC">
        <w:rPr>
          <w:noProof/>
        </w:rPr>
        <w:t>. Sage Publications.</w:t>
      </w:r>
    </w:p>
    <w:p w14:paraId="2AA0DEC7"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Haddad, N., Li, J. S., Totten, S., &amp; Mcguire, M. (2018). </w:t>
      </w:r>
      <w:r w:rsidRPr="004849CC">
        <w:rPr>
          <w:i/>
          <w:iCs/>
          <w:noProof/>
        </w:rPr>
        <w:t>SURVEILLANCE HIV in Canada-Surveillance Report, 2017</w:t>
      </w:r>
      <w:r w:rsidRPr="004849CC">
        <w:rPr>
          <w:noProof/>
        </w:rPr>
        <w:t xml:space="preserve">. </w:t>
      </w:r>
      <w:r w:rsidRPr="004849CC">
        <w:rPr>
          <w:i/>
          <w:iCs/>
          <w:noProof/>
        </w:rPr>
        <w:t>6</w:t>
      </w:r>
      <w:r w:rsidRPr="004849CC">
        <w:rPr>
          <w:noProof/>
        </w:rPr>
        <w:t>, 12. https://doi.org/10.14745/ccdr.v44i12a03</w:t>
      </w:r>
    </w:p>
    <w:p w14:paraId="788F404C"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Halkitis, P. N. (2009). </w:t>
      </w:r>
      <w:r w:rsidRPr="004849CC">
        <w:rPr>
          <w:i/>
          <w:iCs/>
          <w:noProof/>
        </w:rPr>
        <w:t>Methamphetamine addiction: Biological foundations, psychological factors, and social consequences.</w:t>
      </w:r>
      <w:r w:rsidRPr="004849CC">
        <w:rPr>
          <w:noProof/>
        </w:rPr>
        <w:t xml:space="preserve"> American Psychological Association. https://doi.org/10.1037/11883-000</w:t>
      </w:r>
    </w:p>
    <w:p w14:paraId="2AA292CE" w14:textId="77777777" w:rsidR="004849CC" w:rsidRPr="004849CC" w:rsidRDefault="004849CC" w:rsidP="004849CC">
      <w:pPr>
        <w:widowControl w:val="0"/>
        <w:autoSpaceDE w:val="0"/>
        <w:autoSpaceDN w:val="0"/>
        <w:adjustRightInd w:val="0"/>
        <w:ind w:left="480" w:hanging="480"/>
        <w:rPr>
          <w:noProof/>
        </w:rPr>
      </w:pPr>
      <w:r w:rsidRPr="004849CC">
        <w:rPr>
          <w:noProof/>
        </w:rPr>
        <w:lastRenderedPageBreak/>
        <w:t xml:space="preserve">Halkitis, P. N., Levy, M. D., Moreira, A. D., &amp; Ferrusi, C. N. (2014). Crystal Methamphetamine Use and HIV Transmission Among Gay and Bisexual Men. </w:t>
      </w:r>
      <w:r w:rsidRPr="004849CC">
        <w:rPr>
          <w:i/>
          <w:iCs/>
          <w:noProof/>
        </w:rPr>
        <w:t>Current Addiction Reports</w:t>
      </w:r>
      <w:r w:rsidRPr="004849CC">
        <w:rPr>
          <w:noProof/>
        </w:rPr>
        <w:t xml:space="preserve">, </w:t>
      </w:r>
      <w:r w:rsidRPr="004849CC">
        <w:rPr>
          <w:i/>
          <w:iCs/>
          <w:noProof/>
        </w:rPr>
        <w:t>1</w:t>
      </w:r>
      <w:r w:rsidRPr="004849CC">
        <w:rPr>
          <w:noProof/>
        </w:rPr>
        <w:t>(3), 206–213. https://doi.org/10.1007/s40429-014-0023-x</w:t>
      </w:r>
    </w:p>
    <w:p w14:paraId="39E6B198"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Halkitis, P. N., Levy, M. D., &amp; Solomon, T. M. (2016). Temporal relations between methamphetamine use and HIV seroconversion in gay, bisexual, and other men who have sex with men. </w:t>
      </w:r>
      <w:r w:rsidRPr="004849CC">
        <w:rPr>
          <w:i/>
          <w:iCs/>
          <w:noProof/>
        </w:rPr>
        <w:t>Journal of Health Psychology</w:t>
      </w:r>
      <w:r w:rsidRPr="004849CC">
        <w:rPr>
          <w:noProof/>
        </w:rPr>
        <w:t xml:space="preserve">, </w:t>
      </w:r>
      <w:r w:rsidRPr="004849CC">
        <w:rPr>
          <w:i/>
          <w:iCs/>
          <w:noProof/>
        </w:rPr>
        <w:t>21</w:t>
      </w:r>
      <w:r w:rsidRPr="004849CC">
        <w:rPr>
          <w:noProof/>
        </w:rPr>
        <w:t>(1), 93–99. https://doi.org/10.1177/1359105314522675</w:t>
      </w:r>
    </w:p>
    <w:p w14:paraId="6237D601"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Heckathorn, D. D. (1997). Respondent-Driven Sampling: A New Approach to the Study of Hidden Populations. </w:t>
      </w:r>
      <w:r w:rsidRPr="004849CC">
        <w:rPr>
          <w:i/>
          <w:iCs/>
          <w:noProof/>
        </w:rPr>
        <w:t>Social Problems</w:t>
      </w:r>
      <w:r w:rsidRPr="004849CC">
        <w:rPr>
          <w:noProof/>
        </w:rPr>
        <w:t xml:space="preserve">, </w:t>
      </w:r>
      <w:r w:rsidRPr="004849CC">
        <w:rPr>
          <w:i/>
          <w:iCs/>
          <w:noProof/>
        </w:rPr>
        <w:t>44</w:t>
      </w:r>
      <w:r w:rsidRPr="004849CC">
        <w:rPr>
          <w:noProof/>
        </w:rPr>
        <w:t>(2), 174–199. https://doi.org/10.2307/3096941</w:t>
      </w:r>
    </w:p>
    <w:p w14:paraId="1319D0A3"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Hopwood, M., Lea, T., &amp; Aggleton, P. (2015). Drug, sex and sociality: Factors associated with the recent sharing of injecting equipment among gay and bisexual men in Australia. </w:t>
      </w:r>
      <w:r w:rsidRPr="004849CC">
        <w:rPr>
          <w:i/>
          <w:iCs/>
          <w:noProof/>
        </w:rPr>
        <w:t>International Journal of Drug Policy</w:t>
      </w:r>
      <w:r w:rsidRPr="004849CC">
        <w:rPr>
          <w:noProof/>
        </w:rPr>
        <w:t xml:space="preserve">, </w:t>
      </w:r>
      <w:r w:rsidRPr="004849CC">
        <w:rPr>
          <w:i/>
          <w:iCs/>
          <w:noProof/>
        </w:rPr>
        <w:t>26</w:t>
      </w:r>
      <w:r w:rsidRPr="004849CC">
        <w:rPr>
          <w:noProof/>
        </w:rPr>
        <w:t>(2), 210–213. https://doi.org/10.1016/j.drugpo.2014.10.013</w:t>
      </w:r>
    </w:p>
    <w:p w14:paraId="6065C2BF"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Isaiah Green, A., &amp; Halkitis, P. N. (2006). Crystal methamphetamine and sexual sociality in an urban gay subculture: An elective affinity. </w:t>
      </w:r>
      <w:r w:rsidRPr="004849CC">
        <w:rPr>
          <w:i/>
          <w:iCs/>
          <w:noProof/>
        </w:rPr>
        <w:t>Culture, Health &amp; Sexuality</w:t>
      </w:r>
      <w:r w:rsidRPr="004849CC">
        <w:rPr>
          <w:noProof/>
        </w:rPr>
        <w:t xml:space="preserve">, </w:t>
      </w:r>
      <w:r w:rsidRPr="004849CC">
        <w:rPr>
          <w:i/>
          <w:iCs/>
          <w:noProof/>
        </w:rPr>
        <w:t>8</w:t>
      </w:r>
      <w:r w:rsidRPr="004849CC">
        <w:rPr>
          <w:noProof/>
        </w:rPr>
        <w:t>(4), 317–333. https://doi.org/10.1080/13691050600783320</w:t>
      </w:r>
    </w:p>
    <w:p w14:paraId="3AED08CE"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Jaffe, A., Shoptaw, S., Stein, J. A., Reback, C. J., &amp; Rotheram-Fuller, E. (2007). Depression ratings, reported sexual risk behaviors, and methamphetamine use: Latent growth curve models of positive change among gay and bisexual men in an outpatient treatment program. </w:t>
      </w:r>
      <w:r w:rsidRPr="004849CC">
        <w:rPr>
          <w:i/>
          <w:iCs/>
          <w:noProof/>
        </w:rPr>
        <w:t>Experimental and Clinical Psychopharmacology</w:t>
      </w:r>
      <w:r w:rsidRPr="004849CC">
        <w:rPr>
          <w:noProof/>
        </w:rPr>
        <w:t xml:space="preserve">, </w:t>
      </w:r>
      <w:r w:rsidRPr="004849CC">
        <w:rPr>
          <w:i/>
          <w:iCs/>
          <w:noProof/>
        </w:rPr>
        <w:t>15</w:t>
      </w:r>
      <w:r w:rsidRPr="004849CC">
        <w:rPr>
          <w:noProof/>
        </w:rPr>
        <w:t>(3), 301–307. https://doi.org/10.1037/1064-1297.15.3.301</w:t>
      </w:r>
    </w:p>
    <w:p w14:paraId="3277A47F"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Jerome, R. C., &amp; Halkitis, P. N. (2009). Stigmatization, Stress, and the Search for Belonging in Black Men Who Have Sex With Men Who Use Methamphetamine. </w:t>
      </w:r>
      <w:r w:rsidRPr="004849CC">
        <w:rPr>
          <w:i/>
          <w:iCs/>
          <w:noProof/>
        </w:rPr>
        <w:t>Journal of Black Psychology</w:t>
      </w:r>
      <w:r w:rsidRPr="004849CC">
        <w:rPr>
          <w:noProof/>
        </w:rPr>
        <w:t xml:space="preserve">, </w:t>
      </w:r>
      <w:r w:rsidRPr="004849CC">
        <w:rPr>
          <w:i/>
          <w:iCs/>
          <w:noProof/>
        </w:rPr>
        <w:t>35</w:t>
      </w:r>
      <w:r w:rsidRPr="004849CC">
        <w:rPr>
          <w:noProof/>
        </w:rPr>
        <w:t>(3), 343–365. https://doi.org/10.1177/0095798409333620</w:t>
      </w:r>
    </w:p>
    <w:p w14:paraId="32EE77ED"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Kalichman, S. C., &amp; Rompa, D. (1995). Sexual Sensation Seeking and Sexual Compulsivity Scales: Validity, and Predicting HIV Risk Behavior. </w:t>
      </w:r>
      <w:r w:rsidRPr="004849CC">
        <w:rPr>
          <w:i/>
          <w:iCs/>
          <w:noProof/>
        </w:rPr>
        <w:t>Journal of Personality Assessment</w:t>
      </w:r>
      <w:r w:rsidRPr="004849CC">
        <w:rPr>
          <w:noProof/>
        </w:rPr>
        <w:t xml:space="preserve">, </w:t>
      </w:r>
      <w:r w:rsidRPr="004849CC">
        <w:rPr>
          <w:i/>
          <w:iCs/>
          <w:noProof/>
        </w:rPr>
        <w:t>65</w:t>
      </w:r>
      <w:r w:rsidRPr="004849CC">
        <w:rPr>
          <w:noProof/>
        </w:rPr>
        <w:t>(3), 586–601. https://doi.org/10.1207/s15327752jpa6503_16</w:t>
      </w:r>
    </w:p>
    <w:p w14:paraId="017B8622"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Lea, T., Kolstee, J., Lambert, S., Ness, R., Hannan, S., &amp; Holt, M. (2017). Methamphetamine treatment outcomes among gay men attending a LGBTI-specific treatment service in Sydney, Australia. </w:t>
      </w:r>
      <w:r w:rsidRPr="004849CC">
        <w:rPr>
          <w:i/>
          <w:iCs/>
          <w:noProof/>
        </w:rPr>
        <w:t>PloS One</w:t>
      </w:r>
      <w:r w:rsidRPr="004849CC">
        <w:rPr>
          <w:noProof/>
        </w:rPr>
        <w:t xml:space="preserve">, </w:t>
      </w:r>
      <w:r w:rsidRPr="004849CC">
        <w:rPr>
          <w:i/>
          <w:iCs/>
          <w:noProof/>
        </w:rPr>
        <w:t>12</w:t>
      </w:r>
      <w:r w:rsidRPr="004849CC">
        <w:rPr>
          <w:noProof/>
        </w:rPr>
        <w:t>(2), e0172560. https://doi.org/10.1371/journal.pone.0172560</w:t>
      </w:r>
    </w:p>
    <w:p w14:paraId="7AD58151"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Liechti, M. E., Kunz, I., Greminger, P., Speich, R., &amp; Kupferschmidt, H. (2006). Clinical features of gamma-hydroxybutyrate and gamma-butyrolactone toxicity and concomitant drug and alcohol use. </w:t>
      </w:r>
      <w:r w:rsidRPr="004849CC">
        <w:rPr>
          <w:i/>
          <w:iCs/>
          <w:noProof/>
        </w:rPr>
        <w:t>Drug and Alcohol Dependence</w:t>
      </w:r>
      <w:r w:rsidRPr="004849CC">
        <w:rPr>
          <w:noProof/>
        </w:rPr>
        <w:t xml:space="preserve">, </w:t>
      </w:r>
      <w:r w:rsidRPr="004849CC">
        <w:rPr>
          <w:i/>
          <w:iCs/>
          <w:noProof/>
        </w:rPr>
        <w:t>81</w:t>
      </w:r>
      <w:r w:rsidRPr="004849CC">
        <w:rPr>
          <w:noProof/>
        </w:rPr>
        <w:t>(3), 323–326. https://doi.org/10.1016/J.DRUGALCDEP.2005.07.010</w:t>
      </w:r>
    </w:p>
    <w:p w14:paraId="6BCEFEC1"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Lima, V. D., Geller, J., Bangsberg, D. R., Patterson, T. L., Daniel, M., Kerr, T., Montaner, J. S., &amp; Hogg, R. S. (2007). The effect of adherence on the association between depressive symptoms and mortality among HIV-infected individuals first initiating HAART. </w:t>
      </w:r>
      <w:r w:rsidRPr="004849CC">
        <w:rPr>
          <w:i/>
          <w:iCs/>
          <w:noProof/>
        </w:rPr>
        <w:t>AIDS</w:t>
      </w:r>
      <w:r w:rsidRPr="004849CC">
        <w:rPr>
          <w:noProof/>
        </w:rPr>
        <w:t xml:space="preserve">, </w:t>
      </w:r>
      <w:r w:rsidRPr="004849CC">
        <w:rPr>
          <w:i/>
          <w:iCs/>
          <w:noProof/>
        </w:rPr>
        <w:t>21</w:t>
      </w:r>
      <w:r w:rsidRPr="004849CC">
        <w:rPr>
          <w:noProof/>
        </w:rPr>
        <w:t>(9), 1175–1183. https://doi.org/10.1097/QAD.0b013e32811ebf57</w:t>
      </w:r>
    </w:p>
    <w:p w14:paraId="7F1020EE"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Lubben, J., Blozik, E., Gillmann, G., Iliffe, S., von Renteln Kruse, W., Beck, J. C., &amp; Stuck, A. E. (2006). Performance of an abbreviated version of the Lubben Social Network Scale among three European community-dwelling older adult populations. </w:t>
      </w:r>
      <w:r w:rsidRPr="004849CC">
        <w:rPr>
          <w:i/>
          <w:iCs/>
          <w:noProof/>
        </w:rPr>
        <w:t>The Gerontologist</w:t>
      </w:r>
      <w:r w:rsidRPr="004849CC">
        <w:rPr>
          <w:noProof/>
        </w:rPr>
        <w:t xml:space="preserve">, </w:t>
      </w:r>
      <w:r w:rsidRPr="004849CC">
        <w:rPr>
          <w:i/>
          <w:iCs/>
          <w:noProof/>
        </w:rPr>
        <w:t>46</w:t>
      </w:r>
      <w:r w:rsidRPr="004849CC">
        <w:rPr>
          <w:noProof/>
        </w:rPr>
        <w:t>(4), 503–513. https://doi.org/10.1093/geront/46.4.503</w:t>
      </w:r>
    </w:p>
    <w:p w14:paraId="28CC3D2E"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Marquez, C., Mitchell, S. J., Hare, C. B., John, M., &amp; Klausner, J. D. (2009). Methamphetamine use, sexual activity, patient-provider communication, and medication adherence among HIV-infected patients in care, San Francisco 2004-2006. </w:t>
      </w:r>
      <w:r w:rsidRPr="004849CC">
        <w:rPr>
          <w:i/>
          <w:iCs/>
          <w:noProof/>
        </w:rPr>
        <w:t>AIDS Care</w:t>
      </w:r>
      <w:r w:rsidRPr="004849CC">
        <w:rPr>
          <w:noProof/>
        </w:rPr>
        <w:t xml:space="preserve">, </w:t>
      </w:r>
      <w:r w:rsidRPr="004849CC">
        <w:rPr>
          <w:i/>
          <w:iCs/>
          <w:noProof/>
        </w:rPr>
        <w:t>21</w:t>
      </w:r>
      <w:r w:rsidRPr="004849CC">
        <w:rPr>
          <w:noProof/>
        </w:rPr>
        <w:t xml:space="preserve">(5), 575–582. </w:t>
      </w:r>
      <w:r w:rsidRPr="004849CC">
        <w:rPr>
          <w:noProof/>
        </w:rPr>
        <w:lastRenderedPageBreak/>
        <w:t>https://doi.org/10.1080/09540120802385579</w:t>
      </w:r>
    </w:p>
    <w:p w14:paraId="3E53C4C9"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Marshall, B. D. L., Wood, E., Shoveller, J. A., Patterson, T. L., Montaner, J. S. G., &amp; Kerr, T. (2011). Pathways to HIV risk and vulnerability among lesbian, gay, bisexual, and transgendered methamphetamine users: a multi-cohort gender-based analysis. </w:t>
      </w:r>
      <w:r w:rsidRPr="004849CC">
        <w:rPr>
          <w:i/>
          <w:iCs/>
          <w:noProof/>
        </w:rPr>
        <w:t>BMC Public Health</w:t>
      </w:r>
      <w:r w:rsidRPr="004849CC">
        <w:rPr>
          <w:noProof/>
        </w:rPr>
        <w:t xml:space="preserve">, </w:t>
      </w:r>
      <w:r w:rsidRPr="004849CC">
        <w:rPr>
          <w:i/>
          <w:iCs/>
          <w:noProof/>
        </w:rPr>
        <w:t>11</w:t>
      </w:r>
      <w:r w:rsidRPr="004849CC">
        <w:rPr>
          <w:noProof/>
        </w:rPr>
        <w:t>, 20. https://doi.org/10.1186/1471-2458-11-20</w:t>
      </w:r>
    </w:p>
    <w:p w14:paraId="2EB119E7"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McKirnan, D. J., Vanable, P. A., Ostrow, D. G., &amp; Hope, B. (2001). Expectancies of sexual escape and sexual risk among drug and alcohol-involved gay and bisexual men. </w:t>
      </w:r>
      <w:r w:rsidRPr="004849CC">
        <w:rPr>
          <w:i/>
          <w:iCs/>
          <w:noProof/>
        </w:rPr>
        <w:t>Journal of Substance Abuse</w:t>
      </w:r>
      <w:r w:rsidRPr="004849CC">
        <w:rPr>
          <w:noProof/>
        </w:rPr>
        <w:t xml:space="preserve">, </w:t>
      </w:r>
      <w:r w:rsidRPr="004849CC">
        <w:rPr>
          <w:i/>
          <w:iCs/>
          <w:noProof/>
        </w:rPr>
        <w:t>13</w:t>
      </w:r>
      <w:r w:rsidRPr="004849CC">
        <w:rPr>
          <w:noProof/>
        </w:rPr>
        <w:t>(1–2), 137–154. http://www.ncbi.nlm.nih.gov/pubmed/11547615</w:t>
      </w:r>
    </w:p>
    <w:p w14:paraId="5B3B8650"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Melendez-Torres, G. J., &amp; Bourne, A. (2016). Illicit drug use and its association with sexual risk behaviour among MSM: more questions than answers? </w:t>
      </w:r>
      <w:r w:rsidRPr="004849CC">
        <w:rPr>
          <w:i/>
          <w:iCs/>
          <w:noProof/>
        </w:rPr>
        <w:t>Current Opinion in Infectious Diseases</w:t>
      </w:r>
      <w:r w:rsidRPr="004849CC">
        <w:rPr>
          <w:noProof/>
        </w:rPr>
        <w:t xml:space="preserve">, </w:t>
      </w:r>
      <w:r w:rsidRPr="004849CC">
        <w:rPr>
          <w:i/>
          <w:iCs/>
          <w:noProof/>
        </w:rPr>
        <w:t>29</w:t>
      </w:r>
      <w:r w:rsidRPr="004849CC">
        <w:rPr>
          <w:noProof/>
        </w:rPr>
        <w:t>(1), 58–63. https://doi.org/10.1097/QCO.0000000000000234</w:t>
      </w:r>
    </w:p>
    <w:p w14:paraId="159C8B46"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Mimiaga, M. J., Pantalone, D. W., Biello, K. B., Glynn, T. R., Santostefano, C. M., Olson, J., Pardee, D. J., Hughto, J. M. W., Garcia Valles, J., Carrico, A. W., Mayer, K. H., &amp; Safren, S. A. (2018). A randomized controlled efficacy trial of behavioral activation for concurrent stimulant use and sexual risk for HIV acquisition among MSM: project IMPACT study protocol. </w:t>
      </w:r>
      <w:r w:rsidRPr="004849CC">
        <w:rPr>
          <w:i/>
          <w:iCs/>
          <w:noProof/>
        </w:rPr>
        <w:t>BMC Public Health</w:t>
      </w:r>
      <w:r w:rsidRPr="004849CC">
        <w:rPr>
          <w:noProof/>
        </w:rPr>
        <w:t xml:space="preserve">, </w:t>
      </w:r>
      <w:r w:rsidRPr="004849CC">
        <w:rPr>
          <w:i/>
          <w:iCs/>
          <w:noProof/>
        </w:rPr>
        <w:t>18</w:t>
      </w:r>
      <w:r w:rsidRPr="004849CC">
        <w:rPr>
          <w:noProof/>
        </w:rPr>
        <w:t>(1), 914. https://doi.org/10.1186/s12889-018-5856-0</w:t>
      </w:r>
    </w:p>
    <w:p w14:paraId="3197B899"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Mimiaga, M. J., Reisner, S. L., Pantalone, D. W., O’Cleirigh, C., Mayer, K. H., &amp; Safren, S. A. (2012). A pilot trial of integrated behavioral activation and sexual risk reduction counseling for HIV-uninfected men who have sex with men abusing crystal methamphetamine. </w:t>
      </w:r>
      <w:r w:rsidRPr="004849CC">
        <w:rPr>
          <w:i/>
          <w:iCs/>
          <w:noProof/>
        </w:rPr>
        <w:t>AIDS Patient Care and STDs</w:t>
      </w:r>
      <w:r w:rsidRPr="004849CC">
        <w:rPr>
          <w:noProof/>
        </w:rPr>
        <w:t xml:space="preserve">, </w:t>
      </w:r>
      <w:r w:rsidRPr="004849CC">
        <w:rPr>
          <w:i/>
          <w:iCs/>
          <w:noProof/>
        </w:rPr>
        <w:t>26</w:t>
      </w:r>
      <w:r w:rsidRPr="004849CC">
        <w:rPr>
          <w:noProof/>
        </w:rPr>
        <w:t>(11), 681–693. https://doi.org/10.1089/apc.2012.0216</w:t>
      </w:r>
    </w:p>
    <w:p w14:paraId="249199F4"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Moore, D. M., Cui, Z., Lachowsky, N., Raymond, H. F., Roth, E., Rich, A., Sereda, P., Howard, T., McFarland, W., Lal, A., Montaner, J., Corneil, T., Hogg, R. S., &amp; Momentum Health Study team. (2016). HIV Community Viral Load and Factors Associated With Elevated Viremia Among a Community-Based Sample of Men Who Have Sex With Men in Vancouver, Canada. </w:t>
      </w:r>
      <w:r w:rsidRPr="004849CC">
        <w:rPr>
          <w:i/>
          <w:iCs/>
          <w:noProof/>
        </w:rPr>
        <w:t>JAIDS Journal of Acquired Immune Deficiency Syndromes</w:t>
      </w:r>
      <w:r w:rsidRPr="004849CC">
        <w:rPr>
          <w:noProof/>
        </w:rPr>
        <w:t xml:space="preserve">, </w:t>
      </w:r>
      <w:r w:rsidRPr="004849CC">
        <w:rPr>
          <w:i/>
          <w:iCs/>
          <w:noProof/>
        </w:rPr>
        <w:t>72</w:t>
      </w:r>
      <w:r w:rsidRPr="004849CC">
        <w:rPr>
          <w:noProof/>
        </w:rPr>
        <w:t>(1), 87–95. https://doi.org/10.1097/QAI.0000000000000934</w:t>
      </w:r>
    </w:p>
    <w:p w14:paraId="00CBED5A"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Nimmons, D., &amp; Folkman, S. (1999). Other-Sensitive Motivation for Safer Sex Among Gay Men: Expanding Paradigms for HIV Prevention. </w:t>
      </w:r>
      <w:r w:rsidRPr="004849CC">
        <w:rPr>
          <w:i/>
          <w:iCs/>
          <w:noProof/>
        </w:rPr>
        <w:t>AIDS and Behavior</w:t>
      </w:r>
      <w:r w:rsidRPr="004849CC">
        <w:rPr>
          <w:noProof/>
        </w:rPr>
        <w:t xml:space="preserve">, </w:t>
      </w:r>
      <w:r w:rsidRPr="004849CC">
        <w:rPr>
          <w:i/>
          <w:iCs/>
          <w:noProof/>
        </w:rPr>
        <w:t>3</w:t>
      </w:r>
      <w:r w:rsidRPr="004849CC">
        <w:rPr>
          <w:noProof/>
        </w:rPr>
        <w:t>(4), 313–324. https://doi.org/10.1023/A:1025437418276</w:t>
      </w:r>
    </w:p>
    <w:p w14:paraId="2A5D42A7"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O’Dell, B. L., Rosser, B. R. S., Miner, M. H., &amp; Jacoby, S. M. (2008). HIV Prevention Altruism and Sexual Risk Behavior in HIV-Positive Men Who Have Sex with Men. </w:t>
      </w:r>
      <w:r w:rsidRPr="004849CC">
        <w:rPr>
          <w:i/>
          <w:iCs/>
          <w:noProof/>
        </w:rPr>
        <w:t>AIDS and Behavior</w:t>
      </w:r>
      <w:r w:rsidRPr="004849CC">
        <w:rPr>
          <w:noProof/>
        </w:rPr>
        <w:t xml:space="preserve">, </w:t>
      </w:r>
      <w:r w:rsidRPr="004849CC">
        <w:rPr>
          <w:i/>
          <w:iCs/>
          <w:noProof/>
        </w:rPr>
        <w:t>12</w:t>
      </w:r>
      <w:r w:rsidRPr="004849CC">
        <w:rPr>
          <w:noProof/>
        </w:rPr>
        <w:t>(5), 713–720. https://doi.org/10.1007/s10461-007-9321-9</w:t>
      </w:r>
    </w:p>
    <w:p w14:paraId="56D2D9E8"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Prestage, G., Hammoud, M., Jin, F., Degenhardt, L., Bourne, A., &amp; Maher, L. (2018). Mental health, drug use and sexual risk behavior among gay and bisexual men. </w:t>
      </w:r>
      <w:r w:rsidRPr="004849CC">
        <w:rPr>
          <w:i/>
          <w:iCs/>
          <w:noProof/>
        </w:rPr>
        <w:t>International Journal of Drug Policy</w:t>
      </w:r>
      <w:r w:rsidRPr="004849CC">
        <w:rPr>
          <w:noProof/>
        </w:rPr>
        <w:t xml:space="preserve">, </w:t>
      </w:r>
      <w:r w:rsidRPr="004849CC">
        <w:rPr>
          <w:i/>
          <w:iCs/>
          <w:noProof/>
        </w:rPr>
        <w:t>55</w:t>
      </w:r>
      <w:r w:rsidRPr="004849CC">
        <w:rPr>
          <w:noProof/>
        </w:rPr>
        <w:t>, 169–179. https://doi.org/10.1016/j.drugpo.2018.01.020</w:t>
      </w:r>
    </w:p>
    <w:p w14:paraId="71FE8B6F"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Rawson, R. A., Gonzales, R., Marinelli-Casey, P., &amp; Ang, A. (2007). Methamphetamine Dependence: A Closer Look at Treatment Response and Clinical Characteristics Associated with Route of Administration in Outpatient Treatment. </w:t>
      </w:r>
      <w:r w:rsidRPr="004849CC">
        <w:rPr>
          <w:i/>
          <w:iCs/>
          <w:noProof/>
        </w:rPr>
        <w:t>American Journal on Addictions</w:t>
      </w:r>
      <w:r w:rsidRPr="004849CC">
        <w:rPr>
          <w:noProof/>
        </w:rPr>
        <w:t xml:space="preserve">, </w:t>
      </w:r>
      <w:r w:rsidRPr="004849CC">
        <w:rPr>
          <w:i/>
          <w:iCs/>
          <w:noProof/>
        </w:rPr>
        <w:t>16</w:t>
      </w:r>
      <w:r w:rsidRPr="004849CC">
        <w:rPr>
          <w:noProof/>
        </w:rPr>
        <w:t>(4), 291–299. https://doi.org/10.1080/10550490701389864</w:t>
      </w:r>
    </w:p>
    <w:p w14:paraId="4D3803EE"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Reback, C. J., &amp; Fletcher, J. B. (2018). Elevated HIV and STI Prevalence and Incidence Among Methamphetamine-Using Men Who Have Sex With Men in Los Angeles County. </w:t>
      </w:r>
      <w:r w:rsidRPr="004849CC">
        <w:rPr>
          <w:i/>
          <w:iCs/>
          <w:noProof/>
        </w:rPr>
        <w:t>AIDS Education and Prevention : Official Publication of the International Society for AIDS Education</w:t>
      </w:r>
      <w:r w:rsidRPr="004849CC">
        <w:rPr>
          <w:noProof/>
        </w:rPr>
        <w:t xml:space="preserve">, </w:t>
      </w:r>
      <w:r w:rsidRPr="004849CC">
        <w:rPr>
          <w:i/>
          <w:iCs/>
          <w:noProof/>
        </w:rPr>
        <w:t>30</w:t>
      </w:r>
      <w:r w:rsidRPr="004849CC">
        <w:rPr>
          <w:noProof/>
        </w:rPr>
        <w:t>(4), 350–356. https://doi.org/10.1521/aeap.2018.30.4.350</w:t>
      </w:r>
    </w:p>
    <w:p w14:paraId="78FB9CCC"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Reback, C. J., Fletcher, J. B., Swendeman, D. A., &amp; Metzner, M. (2019). Theory-Based Text-Messaging to Reduce Methamphetamine Use and HIV Sexual Risk Behaviors Among Men Who Have Sex with Men: Automated Unidirectional Delivery Outperforms Bidirectional </w:t>
      </w:r>
      <w:r w:rsidRPr="004849CC">
        <w:rPr>
          <w:noProof/>
        </w:rPr>
        <w:lastRenderedPageBreak/>
        <w:t xml:space="preserve">Peer Interactive Delivery. </w:t>
      </w:r>
      <w:r w:rsidRPr="004849CC">
        <w:rPr>
          <w:i/>
          <w:iCs/>
          <w:noProof/>
        </w:rPr>
        <w:t>AIDS and Behavior</w:t>
      </w:r>
      <w:r w:rsidRPr="004849CC">
        <w:rPr>
          <w:noProof/>
        </w:rPr>
        <w:t xml:space="preserve">, </w:t>
      </w:r>
      <w:r w:rsidRPr="004849CC">
        <w:rPr>
          <w:i/>
          <w:iCs/>
          <w:noProof/>
        </w:rPr>
        <w:t>23</w:t>
      </w:r>
      <w:r w:rsidRPr="004849CC">
        <w:rPr>
          <w:noProof/>
        </w:rPr>
        <w:t>(1), 37–47. https://doi.org/10.1007/s10461-018-2225-z</w:t>
      </w:r>
    </w:p>
    <w:p w14:paraId="67BB280E"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Reback, C. J., Peck, J. A., Dierst-Davies, R., Nuno, M., Kamien, J. B., &amp; Amass, L. (2010). Contingency management among homeless, out-of-treatment men who have sex with men. </w:t>
      </w:r>
      <w:r w:rsidRPr="004849CC">
        <w:rPr>
          <w:i/>
          <w:iCs/>
          <w:noProof/>
        </w:rPr>
        <w:t>Journal of Substance Abuse Treatment</w:t>
      </w:r>
      <w:r w:rsidRPr="004849CC">
        <w:rPr>
          <w:noProof/>
        </w:rPr>
        <w:t xml:space="preserve">, </w:t>
      </w:r>
      <w:r w:rsidRPr="004849CC">
        <w:rPr>
          <w:i/>
          <w:iCs/>
          <w:noProof/>
        </w:rPr>
        <w:t>39</w:t>
      </w:r>
      <w:r w:rsidRPr="004849CC">
        <w:rPr>
          <w:noProof/>
        </w:rPr>
        <w:t>(3), 255–263. https://doi.org/10.1016/j.jsat.2010.06.007</w:t>
      </w:r>
    </w:p>
    <w:p w14:paraId="11FC9B4C"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Rich, A. J., Lachowsky, N. J., Cui, Z., Sereda, P., Lal, A., Birch, R., Montaner, J., Moore, D., Hogg, R. S., &amp; Roth, E. A. (2016). Substance use, sexual behaviour and prevention strategies of Vancouver gay and bisexual men who recently attended group sex events. </w:t>
      </w:r>
      <w:r w:rsidRPr="004849CC">
        <w:rPr>
          <w:i/>
          <w:iCs/>
          <w:noProof/>
        </w:rPr>
        <w:t>Culture, Health &amp; Sexuality</w:t>
      </w:r>
      <w:r w:rsidRPr="004849CC">
        <w:rPr>
          <w:noProof/>
        </w:rPr>
        <w:t xml:space="preserve">, </w:t>
      </w:r>
      <w:r w:rsidRPr="004849CC">
        <w:rPr>
          <w:i/>
          <w:iCs/>
          <w:noProof/>
        </w:rPr>
        <w:t>18</w:t>
      </w:r>
      <w:r w:rsidRPr="004849CC">
        <w:rPr>
          <w:noProof/>
        </w:rPr>
        <w:t>(4), 361–376. https://doi.org/10.1080/13691058.2015.1084649</w:t>
      </w:r>
    </w:p>
    <w:p w14:paraId="22DE6FE7"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Schwarcz, S., Scheer, S., McFarland, W., Katz, M., Valleroy, L., Chen, S., &amp; Catania, J. (2007). Prevalence of HIV infection and predictors of high-transmission sexual risk behaviors among men who have sex with men. </w:t>
      </w:r>
      <w:r w:rsidRPr="004849CC">
        <w:rPr>
          <w:i/>
          <w:iCs/>
          <w:noProof/>
        </w:rPr>
        <w:t>American Journal of Public Health</w:t>
      </w:r>
      <w:r w:rsidRPr="004849CC">
        <w:rPr>
          <w:noProof/>
        </w:rPr>
        <w:t xml:space="preserve">, </w:t>
      </w:r>
      <w:r w:rsidRPr="004849CC">
        <w:rPr>
          <w:i/>
          <w:iCs/>
          <w:noProof/>
        </w:rPr>
        <w:t>97</w:t>
      </w:r>
      <w:r w:rsidRPr="004849CC">
        <w:rPr>
          <w:noProof/>
        </w:rPr>
        <w:t>(6), 1067–1075. https://doi.org/10.2105/AJPH.2005.072249</w:t>
      </w:r>
    </w:p>
    <w:p w14:paraId="4A77BAB9"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Semple, S. J., Strathdee, S. A., Zians, J., &amp; Patterson, T. L. (2010). Social and behavioral characteristics of HIV-positive MSM who trade sex for methamphetamine. </w:t>
      </w:r>
      <w:r w:rsidRPr="004849CC">
        <w:rPr>
          <w:i/>
          <w:iCs/>
          <w:noProof/>
        </w:rPr>
        <w:t>The American Journal of Drug and Alcohol Abuse</w:t>
      </w:r>
      <w:r w:rsidRPr="004849CC">
        <w:rPr>
          <w:noProof/>
        </w:rPr>
        <w:t xml:space="preserve">, </w:t>
      </w:r>
      <w:r w:rsidRPr="004849CC">
        <w:rPr>
          <w:i/>
          <w:iCs/>
          <w:noProof/>
        </w:rPr>
        <w:t>36</w:t>
      </w:r>
      <w:r w:rsidRPr="004849CC">
        <w:rPr>
          <w:noProof/>
        </w:rPr>
        <w:t>(6), 325–331. https://doi.org/10.3109/00952990.2010.505273</w:t>
      </w:r>
    </w:p>
    <w:p w14:paraId="6E4321D2"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Smith, J. P., &amp; Randall, C. L. (2012). Anxiety and alcohol use disorders: Comorbidity and treatment considerations. </w:t>
      </w:r>
      <w:r w:rsidRPr="004849CC">
        <w:rPr>
          <w:i/>
          <w:iCs/>
          <w:noProof/>
        </w:rPr>
        <w:t>Alcohol Research: Current Reviews</w:t>
      </w:r>
      <w:r w:rsidRPr="004849CC">
        <w:rPr>
          <w:noProof/>
        </w:rPr>
        <w:t xml:space="preserve">, </w:t>
      </w:r>
      <w:r w:rsidRPr="004849CC">
        <w:rPr>
          <w:i/>
          <w:iCs/>
          <w:noProof/>
        </w:rPr>
        <w:t>34</w:t>
      </w:r>
      <w:r w:rsidRPr="004849CC">
        <w:rPr>
          <w:noProof/>
        </w:rPr>
        <w:t>(4), 414–431.</w:t>
      </w:r>
    </w:p>
    <w:p w14:paraId="20757498"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Starks, T. J., Millar, B. M., Lassiter, J. M., &amp; Parsons, J. T. (2017). Preintervention Profiles of Information, Motivational, and Behavioral Self-Efficacy for Methamphetamine Use and HIV Medication Adherence Among Gay and Bisexual Men. </w:t>
      </w:r>
      <w:r w:rsidRPr="004849CC">
        <w:rPr>
          <w:i/>
          <w:iCs/>
          <w:noProof/>
        </w:rPr>
        <w:t>AIDS Patient Care and STDs</w:t>
      </w:r>
      <w:r w:rsidRPr="004849CC">
        <w:rPr>
          <w:noProof/>
        </w:rPr>
        <w:t xml:space="preserve">, </w:t>
      </w:r>
      <w:r w:rsidRPr="004849CC">
        <w:rPr>
          <w:i/>
          <w:iCs/>
          <w:noProof/>
        </w:rPr>
        <w:t>31</w:t>
      </w:r>
      <w:r w:rsidRPr="004849CC">
        <w:rPr>
          <w:noProof/>
        </w:rPr>
        <w:t>(2), 78–86. https://doi.org/10.1089/apc.2016.0196</w:t>
      </w:r>
    </w:p>
    <w:p w14:paraId="5506B612"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Sumnall, H. R., Woolfall, K., Edwards, S., Cole, J. C., &amp; Beynon, C. M. (2008). Use, function, and subjective experiences of gamma-hydroxybutyrate (GHB). </w:t>
      </w:r>
      <w:r w:rsidRPr="004849CC">
        <w:rPr>
          <w:i/>
          <w:iCs/>
          <w:noProof/>
        </w:rPr>
        <w:t>Drug and Alcohol Dependence</w:t>
      </w:r>
      <w:r w:rsidRPr="004849CC">
        <w:rPr>
          <w:noProof/>
        </w:rPr>
        <w:t xml:space="preserve">, </w:t>
      </w:r>
      <w:r w:rsidRPr="004849CC">
        <w:rPr>
          <w:i/>
          <w:iCs/>
          <w:noProof/>
        </w:rPr>
        <w:t>92</w:t>
      </w:r>
      <w:r w:rsidRPr="004849CC">
        <w:rPr>
          <w:noProof/>
        </w:rPr>
        <w:t>(1–3), 286–290. https://doi.org/10.1016/J.DRUGALCDEP.2007.07.009</w:t>
      </w:r>
    </w:p>
    <w:p w14:paraId="7D83BBFC"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Tallóczy, Z., Martinez, J., Joset, D., Ray, Y., Gácser, A., Toussi, S., Mizushima, N., Nosanchuk, J. D., Nosanchuk, J., Goldstein, H., Loike, J., Sulzer, D., &amp; Santambrogio, L. (2008). Methamphetamine inhibits antigen processing, presentation, and phagocytosis. </w:t>
      </w:r>
      <w:r w:rsidRPr="004849CC">
        <w:rPr>
          <w:i/>
          <w:iCs/>
          <w:noProof/>
        </w:rPr>
        <w:t>PLoS Pathogens</w:t>
      </w:r>
      <w:r w:rsidRPr="004849CC">
        <w:rPr>
          <w:noProof/>
        </w:rPr>
        <w:t xml:space="preserve">, </w:t>
      </w:r>
      <w:r w:rsidRPr="004849CC">
        <w:rPr>
          <w:i/>
          <w:iCs/>
          <w:noProof/>
        </w:rPr>
        <w:t>4</w:t>
      </w:r>
      <w:r w:rsidRPr="004849CC">
        <w:rPr>
          <w:noProof/>
        </w:rPr>
        <w:t>(2), e28. https://doi.org/10.1371/journal.ppat.0040028</w:t>
      </w:r>
    </w:p>
    <w:p w14:paraId="41CF9E85"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Van de Ven, P., Crawford, J., Kippax, S., Knox, S., &amp; Prestage, G. (2000). A scale of optimism-scepticism in the context of HIV treatments. </w:t>
      </w:r>
      <w:r w:rsidRPr="004849CC">
        <w:rPr>
          <w:i/>
          <w:iCs/>
          <w:noProof/>
        </w:rPr>
        <w:t>AIDS Care</w:t>
      </w:r>
      <w:r w:rsidRPr="004849CC">
        <w:rPr>
          <w:noProof/>
        </w:rPr>
        <w:t xml:space="preserve">, </w:t>
      </w:r>
      <w:r w:rsidRPr="004849CC">
        <w:rPr>
          <w:i/>
          <w:iCs/>
          <w:noProof/>
        </w:rPr>
        <w:t>12</w:t>
      </w:r>
      <w:r w:rsidRPr="004849CC">
        <w:rPr>
          <w:noProof/>
        </w:rPr>
        <w:t>(2), 171–176. https://doi.org/10.1080/09540120050001841</w:t>
      </w:r>
    </w:p>
    <w:p w14:paraId="5501246A" w14:textId="77777777" w:rsidR="004849CC" w:rsidRPr="004849CC" w:rsidRDefault="004849CC" w:rsidP="004849CC">
      <w:pPr>
        <w:widowControl w:val="0"/>
        <w:autoSpaceDE w:val="0"/>
        <w:autoSpaceDN w:val="0"/>
        <w:adjustRightInd w:val="0"/>
        <w:ind w:left="480" w:hanging="480"/>
        <w:rPr>
          <w:noProof/>
        </w:rPr>
      </w:pPr>
      <w:r w:rsidRPr="004849CC">
        <w:rPr>
          <w:noProof/>
        </w:rPr>
        <w:t xml:space="preserve">Zigmond, A. S., &amp; Snaith, R. P. (1983). The hospital anxiety and depression scale. </w:t>
      </w:r>
      <w:r w:rsidRPr="004849CC">
        <w:rPr>
          <w:i/>
          <w:iCs/>
          <w:noProof/>
        </w:rPr>
        <w:t>Acta Psychiatrica Scandinavica</w:t>
      </w:r>
      <w:r w:rsidRPr="004849CC">
        <w:rPr>
          <w:noProof/>
        </w:rPr>
        <w:t xml:space="preserve">, </w:t>
      </w:r>
      <w:r w:rsidRPr="004849CC">
        <w:rPr>
          <w:i/>
          <w:iCs/>
          <w:noProof/>
        </w:rPr>
        <w:t>67</w:t>
      </w:r>
      <w:r w:rsidRPr="004849CC">
        <w:rPr>
          <w:noProof/>
        </w:rPr>
        <w:t>(6), 361–370. http://www.ncbi.nlm.nih.gov/pubmed/6880820</w:t>
      </w:r>
    </w:p>
    <w:p w14:paraId="68D23553" w14:textId="5DCF7CE4" w:rsidR="002F2BB2" w:rsidRDefault="004849CC" w:rsidP="002F2BB2">
      <w:pPr>
        <w:widowControl w:val="0"/>
        <w:autoSpaceDE w:val="0"/>
        <w:autoSpaceDN w:val="0"/>
        <w:adjustRightInd w:val="0"/>
        <w:ind w:left="480" w:hanging="480"/>
        <w:rPr>
          <w:noProof/>
        </w:rPr>
        <w:sectPr w:rsidR="002F2BB2" w:rsidSect="000F59B2">
          <w:pgSz w:w="12240" w:h="15840"/>
          <w:pgMar w:top="1440" w:right="1440" w:bottom="1440" w:left="1440" w:header="708" w:footer="708" w:gutter="0"/>
          <w:cols w:space="708"/>
          <w:docGrid w:linePitch="360"/>
        </w:sectPr>
      </w:pPr>
      <w:r w:rsidRPr="004849CC">
        <w:rPr>
          <w:noProof/>
        </w:rPr>
        <w:t xml:space="preserve">Zule, W. A., Poulton, W. E., Coomes, C. M., Mansergh, G., Charania, M., Wechsberg, W. M., &amp; Jones, H. E. (2012). Results of a Pilot Study to Reduce Methamphetamine Use and Sexual Risk Behaviors Among Methamphetamine-Using Men Who Have Sex with Men (MSM) Not Currently in Treatment. </w:t>
      </w:r>
      <w:r w:rsidRPr="004849CC">
        <w:rPr>
          <w:i/>
          <w:iCs/>
          <w:noProof/>
        </w:rPr>
        <w:t>Journal of Psychoactive Drugs</w:t>
      </w:r>
      <w:r w:rsidRPr="004849CC">
        <w:rPr>
          <w:noProof/>
        </w:rPr>
        <w:t xml:space="preserve">, </w:t>
      </w:r>
      <w:r w:rsidRPr="004849CC">
        <w:rPr>
          <w:i/>
          <w:iCs/>
          <w:noProof/>
        </w:rPr>
        <w:t>44</w:t>
      </w:r>
      <w:r w:rsidRPr="004849CC">
        <w:rPr>
          <w:noProof/>
        </w:rPr>
        <w:t>(5), 351–358. https://doi.org/10.1080/02791072.2012.73679</w:t>
      </w:r>
    </w:p>
    <w:p w14:paraId="5F565E81" w14:textId="77777777" w:rsidR="002F2BB2" w:rsidRDefault="002F2BB2" w:rsidP="002F2BB2">
      <w:pPr>
        <w:pStyle w:val="NoSpacing"/>
        <w:rPr>
          <w:rFonts w:ascii="Times New Roman" w:hAnsi="Times New Roman" w:cs="Times New Roman"/>
          <w:b/>
        </w:rPr>
        <w:sectPr w:rsidR="002F2BB2" w:rsidSect="000F59B2">
          <w:pgSz w:w="12240" w:h="15840"/>
          <w:pgMar w:top="1440" w:right="1440" w:bottom="1440" w:left="1440" w:header="708" w:footer="708" w:gutter="0"/>
          <w:cols w:space="708"/>
          <w:docGrid w:linePitch="360"/>
        </w:sectPr>
      </w:pPr>
      <w:bookmarkStart w:id="1" w:name="_GoBack"/>
      <w:bookmarkEnd w:id="1"/>
    </w:p>
    <w:p w14:paraId="63549734" w14:textId="0BD401D1" w:rsidR="002F2BB2" w:rsidRDefault="002F2BB2" w:rsidP="002F2BB2">
      <w:pPr>
        <w:pStyle w:val="NoSpacing"/>
        <w:pageBreakBefore/>
        <w:rPr>
          <w:rFonts w:ascii="Times New Roman" w:hAnsi="Times New Roman" w:cs="Times New Roman"/>
          <w:b/>
        </w:rPr>
      </w:pPr>
      <w:r>
        <w:rPr>
          <w:rFonts w:ascii="Times New Roman" w:hAnsi="Times New Roman" w:cs="Times New Roman"/>
          <w:b/>
        </w:rPr>
        <w:lastRenderedPageBreak/>
        <w:t xml:space="preserve">Table 1: Demographic characteristics of gbMSM in Vancouver, Canada who reported frequent methamphetamine use at enrollment or at subsequent study visit between 2012-2015 (n=67) </w:t>
      </w:r>
    </w:p>
    <w:p w14:paraId="3F398EDE" w14:textId="77777777" w:rsidR="002F2BB2" w:rsidRDefault="002F2BB2" w:rsidP="002F2BB2">
      <w:pPr>
        <w:pStyle w:val="NoSpacing"/>
        <w:rPr>
          <w:rFonts w:ascii="Times New Roman" w:hAnsi="Times New Roman" w:cs="Times New Roman"/>
          <w:b/>
        </w:rPr>
      </w:pPr>
    </w:p>
    <w:tbl>
      <w:tblPr>
        <w:tblW w:w="3029" w:type="pct"/>
        <w:tblCellMar>
          <w:left w:w="0" w:type="dxa"/>
          <w:right w:w="0" w:type="dxa"/>
        </w:tblCellMar>
        <w:tblLook w:val="04A0" w:firstRow="1" w:lastRow="0" w:firstColumn="1" w:lastColumn="0" w:noHBand="0" w:noVBand="1"/>
      </w:tblPr>
      <w:tblGrid>
        <w:gridCol w:w="2977"/>
        <w:gridCol w:w="992"/>
        <w:gridCol w:w="1701"/>
      </w:tblGrid>
      <w:tr w:rsidR="002F2BB2" w:rsidRPr="00532C61" w14:paraId="7873C3E6" w14:textId="77777777" w:rsidTr="0072694B">
        <w:trPr>
          <w:trHeight w:val="300"/>
        </w:trPr>
        <w:tc>
          <w:tcPr>
            <w:tcW w:w="2625" w:type="pct"/>
            <w:tcBorders>
              <w:top w:val="single" w:sz="4" w:space="0" w:color="auto"/>
              <w:bottom w:val="single" w:sz="4" w:space="0" w:color="auto"/>
            </w:tcBorders>
            <w:tcMar>
              <w:top w:w="0" w:type="dxa"/>
              <w:left w:w="45" w:type="dxa"/>
              <w:bottom w:w="0" w:type="dxa"/>
              <w:right w:w="45" w:type="dxa"/>
            </w:tcMar>
            <w:vAlign w:val="center"/>
          </w:tcPr>
          <w:p w14:paraId="1E2AA07C" w14:textId="77777777" w:rsidR="002F2BB2" w:rsidRPr="00733789" w:rsidRDefault="002F2BB2" w:rsidP="0072694B">
            <w:pPr>
              <w:jc w:val="center"/>
              <w:rPr>
                <w:b/>
                <w:bCs/>
                <w:color w:val="000000"/>
                <w:sz w:val="22"/>
                <w:szCs w:val="22"/>
              </w:rPr>
            </w:pPr>
          </w:p>
        </w:tc>
        <w:tc>
          <w:tcPr>
            <w:tcW w:w="875" w:type="pct"/>
            <w:tcBorders>
              <w:top w:val="single" w:sz="4" w:space="0" w:color="auto"/>
              <w:bottom w:val="single" w:sz="4" w:space="0" w:color="auto"/>
            </w:tcBorders>
            <w:tcMar>
              <w:top w:w="0" w:type="dxa"/>
              <w:left w:w="45" w:type="dxa"/>
              <w:bottom w:w="0" w:type="dxa"/>
              <w:right w:w="45" w:type="dxa"/>
            </w:tcMar>
            <w:vAlign w:val="center"/>
          </w:tcPr>
          <w:p w14:paraId="645B739C" w14:textId="77777777" w:rsidR="002F2BB2" w:rsidRPr="00532C61" w:rsidRDefault="002F2BB2" w:rsidP="0072694B">
            <w:pPr>
              <w:jc w:val="center"/>
              <w:rPr>
                <w:b/>
                <w:bCs/>
                <w:color w:val="000000"/>
                <w:sz w:val="22"/>
                <w:szCs w:val="22"/>
              </w:rPr>
            </w:pPr>
            <w:r>
              <w:rPr>
                <w:b/>
                <w:bCs/>
                <w:color w:val="000000"/>
                <w:sz w:val="22"/>
                <w:szCs w:val="22"/>
              </w:rPr>
              <w:t>n or (median)</w:t>
            </w:r>
          </w:p>
        </w:tc>
        <w:tc>
          <w:tcPr>
            <w:tcW w:w="1500" w:type="pct"/>
            <w:tcBorders>
              <w:top w:val="single" w:sz="4" w:space="0" w:color="auto"/>
              <w:bottom w:val="single" w:sz="4" w:space="0" w:color="auto"/>
            </w:tcBorders>
            <w:tcMar>
              <w:top w:w="0" w:type="dxa"/>
              <w:left w:w="45" w:type="dxa"/>
              <w:bottom w:w="0" w:type="dxa"/>
              <w:right w:w="45" w:type="dxa"/>
            </w:tcMar>
            <w:vAlign w:val="center"/>
          </w:tcPr>
          <w:p w14:paraId="236F1B37" w14:textId="77777777" w:rsidR="002F2BB2" w:rsidRPr="00DC7656" w:rsidRDefault="002F2BB2" w:rsidP="0072694B">
            <w:pPr>
              <w:jc w:val="center"/>
              <w:rPr>
                <w:b/>
                <w:color w:val="000000"/>
                <w:sz w:val="22"/>
                <w:szCs w:val="22"/>
              </w:rPr>
            </w:pPr>
            <w:r w:rsidRPr="00DC7656">
              <w:rPr>
                <w:b/>
                <w:color w:val="000000"/>
                <w:sz w:val="22"/>
                <w:szCs w:val="22"/>
              </w:rPr>
              <w:t>% or (Q1, Q3)</w:t>
            </w:r>
          </w:p>
        </w:tc>
      </w:tr>
      <w:tr w:rsidR="002F2BB2" w:rsidRPr="00532C61" w14:paraId="7B4A3430" w14:textId="77777777" w:rsidTr="0072694B">
        <w:trPr>
          <w:trHeight w:val="300"/>
        </w:trPr>
        <w:tc>
          <w:tcPr>
            <w:tcW w:w="2625" w:type="pct"/>
            <w:tcBorders>
              <w:top w:val="single" w:sz="4" w:space="0" w:color="auto"/>
            </w:tcBorders>
            <w:tcMar>
              <w:top w:w="0" w:type="dxa"/>
              <w:left w:w="45" w:type="dxa"/>
              <w:bottom w:w="0" w:type="dxa"/>
              <w:right w:w="45" w:type="dxa"/>
            </w:tcMar>
            <w:vAlign w:val="center"/>
            <w:hideMark/>
          </w:tcPr>
          <w:p w14:paraId="0C2F543B" w14:textId="77777777" w:rsidR="002F2BB2" w:rsidRPr="00532C61" w:rsidRDefault="002F2BB2" w:rsidP="0072694B">
            <w:pPr>
              <w:rPr>
                <w:b/>
                <w:bCs/>
                <w:sz w:val="22"/>
                <w:szCs w:val="22"/>
              </w:rPr>
            </w:pPr>
            <w:r w:rsidRPr="00532C61">
              <w:rPr>
                <w:b/>
                <w:bCs/>
                <w:sz w:val="22"/>
                <w:szCs w:val="22"/>
              </w:rPr>
              <w:t>Age</w:t>
            </w:r>
          </w:p>
        </w:tc>
        <w:tc>
          <w:tcPr>
            <w:tcW w:w="875" w:type="pct"/>
            <w:tcBorders>
              <w:top w:val="single" w:sz="4" w:space="0" w:color="auto"/>
            </w:tcBorders>
            <w:tcMar>
              <w:top w:w="0" w:type="dxa"/>
              <w:left w:w="45" w:type="dxa"/>
              <w:bottom w:w="0" w:type="dxa"/>
              <w:right w:w="45" w:type="dxa"/>
            </w:tcMar>
            <w:vAlign w:val="center"/>
            <w:hideMark/>
          </w:tcPr>
          <w:p w14:paraId="0EBF10B6" w14:textId="77777777" w:rsidR="002F2BB2" w:rsidRPr="00532C61" w:rsidRDefault="002F2BB2" w:rsidP="0072694B">
            <w:pPr>
              <w:jc w:val="right"/>
              <w:rPr>
                <w:bCs/>
                <w:sz w:val="22"/>
                <w:szCs w:val="22"/>
              </w:rPr>
            </w:pPr>
            <w:r w:rsidRPr="00532C61">
              <w:rPr>
                <w:bCs/>
                <w:sz w:val="22"/>
                <w:szCs w:val="22"/>
              </w:rPr>
              <w:t>(45)</w:t>
            </w:r>
          </w:p>
        </w:tc>
        <w:tc>
          <w:tcPr>
            <w:tcW w:w="1500" w:type="pct"/>
            <w:tcBorders>
              <w:top w:val="single" w:sz="4" w:space="0" w:color="auto"/>
            </w:tcBorders>
            <w:tcMar>
              <w:top w:w="0" w:type="dxa"/>
              <w:left w:w="45" w:type="dxa"/>
              <w:bottom w:w="0" w:type="dxa"/>
              <w:right w:w="45" w:type="dxa"/>
            </w:tcMar>
            <w:vAlign w:val="center"/>
            <w:hideMark/>
          </w:tcPr>
          <w:p w14:paraId="52F0CF36" w14:textId="77777777" w:rsidR="002F2BB2" w:rsidRPr="00532C61" w:rsidRDefault="002F2BB2" w:rsidP="0072694B">
            <w:pPr>
              <w:jc w:val="right"/>
              <w:rPr>
                <w:sz w:val="22"/>
                <w:szCs w:val="22"/>
              </w:rPr>
            </w:pPr>
            <w:r w:rsidRPr="00532C61">
              <w:rPr>
                <w:sz w:val="22"/>
                <w:szCs w:val="22"/>
              </w:rPr>
              <w:t>(34, 51)</w:t>
            </w:r>
          </w:p>
        </w:tc>
      </w:tr>
      <w:tr w:rsidR="002F2BB2" w:rsidRPr="00532C61" w14:paraId="4D97D0B5" w14:textId="77777777" w:rsidTr="0072694B">
        <w:trPr>
          <w:trHeight w:val="300"/>
        </w:trPr>
        <w:tc>
          <w:tcPr>
            <w:tcW w:w="2625" w:type="pct"/>
            <w:tcMar>
              <w:top w:w="0" w:type="dxa"/>
              <w:left w:w="45" w:type="dxa"/>
              <w:bottom w:w="0" w:type="dxa"/>
              <w:right w:w="45" w:type="dxa"/>
            </w:tcMar>
            <w:vAlign w:val="center"/>
          </w:tcPr>
          <w:p w14:paraId="68C11304" w14:textId="77777777" w:rsidR="002F2BB2" w:rsidRPr="00532C61" w:rsidRDefault="002F2BB2" w:rsidP="0072694B">
            <w:pPr>
              <w:rPr>
                <w:b/>
                <w:bCs/>
                <w:sz w:val="22"/>
                <w:szCs w:val="22"/>
              </w:rPr>
            </w:pPr>
            <w:r w:rsidRPr="00532C61">
              <w:rPr>
                <w:b/>
                <w:bCs/>
                <w:sz w:val="22"/>
                <w:szCs w:val="22"/>
              </w:rPr>
              <w:t xml:space="preserve">HIV </w:t>
            </w:r>
            <w:proofErr w:type="spellStart"/>
            <w:r w:rsidRPr="00532C61">
              <w:rPr>
                <w:b/>
                <w:bCs/>
                <w:sz w:val="22"/>
                <w:szCs w:val="22"/>
              </w:rPr>
              <w:t>Sero</w:t>
            </w:r>
            <w:proofErr w:type="spellEnd"/>
            <w:r w:rsidRPr="00532C61">
              <w:rPr>
                <w:b/>
                <w:bCs/>
                <w:sz w:val="22"/>
                <w:szCs w:val="22"/>
              </w:rPr>
              <w:t>-Status</w:t>
            </w:r>
          </w:p>
        </w:tc>
        <w:tc>
          <w:tcPr>
            <w:tcW w:w="875" w:type="pct"/>
            <w:tcMar>
              <w:top w:w="0" w:type="dxa"/>
              <w:left w:w="45" w:type="dxa"/>
              <w:bottom w:w="0" w:type="dxa"/>
              <w:right w:w="45" w:type="dxa"/>
            </w:tcMar>
            <w:vAlign w:val="center"/>
          </w:tcPr>
          <w:p w14:paraId="52036AC7" w14:textId="77777777" w:rsidR="002F2BB2" w:rsidRPr="00532C61" w:rsidRDefault="002F2BB2" w:rsidP="0072694B">
            <w:pPr>
              <w:jc w:val="right"/>
              <w:rPr>
                <w:bCs/>
                <w:sz w:val="22"/>
                <w:szCs w:val="22"/>
              </w:rPr>
            </w:pPr>
          </w:p>
        </w:tc>
        <w:tc>
          <w:tcPr>
            <w:tcW w:w="1500" w:type="pct"/>
            <w:tcMar>
              <w:top w:w="0" w:type="dxa"/>
              <w:left w:w="45" w:type="dxa"/>
              <w:bottom w:w="0" w:type="dxa"/>
              <w:right w:w="45" w:type="dxa"/>
            </w:tcMar>
            <w:vAlign w:val="center"/>
          </w:tcPr>
          <w:p w14:paraId="68242477" w14:textId="77777777" w:rsidR="002F2BB2" w:rsidRPr="00532C61" w:rsidRDefault="002F2BB2" w:rsidP="0072694B">
            <w:pPr>
              <w:jc w:val="right"/>
              <w:rPr>
                <w:sz w:val="22"/>
                <w:szCs w:val="22"/>
              </w:rPr>
            </w:pPr>
          </w:p>
        </w:tc>
      </w:tr>
      <w:tr w:rsidR="002F2BB2" w:rsidRPr="00532C61" w14:paraId="5A4FEB8D" w14:textId="77777777" w:rsidTr="0072694B">
        <w:trPr>
          <w:trHeight w:val="349"/>
        </w:trPr>
        <w:tc>
          <w:tcPr>
            <w:tcW w:w="2625" w:type="pct"/>
            <w:tcMar>
              <w:top w:w="0" w:type="dxa"/>
              <w:left w:w="45" w:type="dxa"/>
              <w:bottom w:w="0" w:type="dxa"/>
              <w:right w:w="45" w:type="dxa"/>
            </w:tcMar>
            <w:vAlign w:val="center"/>
          </w:tcPr>
          <w:p w14:paraId="542E83AC" w14:textId="77777777" w:rsidR="002F2BB2" w:rsidRPr="00532C61" w:rsidRDefault="002F2BB2" w:rsidP="0072694B">
            <w:pPr>
              <w:rPr>
                <w:b/>
                <w:bCs/>
                <w:sz w:val="22"/>
                <w:szCs w:val="22"/>
              </w:rPr>
            </w:pPr>
            <w:r w:rsidRPr="00532C61">
              <w:rPr>
                <w:sz w:val="22"/>
                <w:szCs w:val="22"/>
              </w:rPr>
              <w:t xml:space="preserve">    Negative</w:t>
            </w:r>
          </w:p>
        </w:tc>
        <w:tc>
          <w:tcPr>
            <w:tcW w:w="875" w:type="pct"/>
            <w:tcMar>
              <w:top w:w="0" w:type="dxa"/>
              <w:left w:w="45" w:type="dxa"/>
              <w:bottom w:w="0" w:type="dxa"/>
              <w:right w:w="45" w:type="dxa"/>
            </w:tcMar>
            <w:vAlign w:val="center"/>
          </w:tcPr>
          <w:p w14:paraId="177E481C" w14:textId="77777777" w:rsidR="002F2BB2" w:rsidRPr="00532C61" w:rsidRDefault="002F2BB2" w:rsidP="0072694B">
            <w:pPr>
              <w:jc w:val="right"/>
              <w:rPr>
                <w:bCs/>
                <w:sz w:val="22"/>
                <w:szCs w:val="22"/>
              </w:rPr>
            </w:pPr>
            <w:r w:rsidRPr="00532C61">
              <w:rPr>
                <w:bCs/>
                <w:sz w:val="22"/>
                <w:szCs w:val="22"/>
              </w:rPr>
              <w:t>14</w:t>
            </w:r>
          </w:p>
        </w:tc>
        <w:tc>
          <w:tcPr>
            <w:tcW w:w="1500" w:type="pct"/>
            <w:tcMar>
              <w:top w:w="0" w:type="dxa"/>
              <w:left w:w="45" w:type="dxa"/>
              <w:bottom w:w="0" w:type="dxa"/>
              <w:right w:w="45" w:type="dxa"/>
            </w:tcMar>
            <w:vAlign w:val="center"/>
          </w:tcPr>
          <w:p w14:paraId="62A11FDA" w14:textId="77777777" w:rsidR="002F2BB2" w:rsidRPr="00532C61" w:rsidRDefault="002F2BB2" w:rsidP="0072694B">
            <w:pPr>
              <w:jc w:val="right"/>
              <w:rPr>
                <w:sz w:val="22"/>
                <w:szCs w:val="22"/>
              </w:rPr>
            </w:pPr>
            <w:r w:rsidRPr="00532C61">
              <w:rPr>
                <w:sz w:val="22"/>
                <w:szCs w:val="22"/>
              </w:rPr>
              <w:t>20.9</w:t>
            </w:r>
          </w:p>
        </w:tc>
      </w:tr>
      <w:tr w:rsidR="002F2BB2" w:rsidRPr="00532C61" w14:paraId="186101F4" w14:textId="77777777" w:rsidTr="0072694B">
        <w:trPr>
          <w:trHeight w:val="300"/>
        </w:trPr>
        <w:tc>
          <w:tcPr>
            <w:tcW w:w="2625" w:type="pct"/>
            <w:tcMar>
              <w:top w:w="0" w:type="dxa"/>
              <w:left w:w="45" w:type="dxa"/>
              <w:bottom w:w="0" w:type="dxa"/>
              <w:right w:w="45" w:type="dxa"/>
            </w:tcMar>
            <w:vAlign w:val="center"/>
          </w:tcPr>
          <w:p w14:paraId="470C55A4" w14:textId="77777777" w:rsidR="002F2BB2" w:rsidRPr="00532C61" w:rsidRDefault="002F2BB2" w:rsidP="0072694B">
            <w:pPr>
              <w:rPr>
                <w:b/>
                <w:bCs/>
                <w:sz w:val="22"/>
                <w:szCs w:val="22"/>
              </w:rPr>
            </w:pPr>
            <w:r w:rsidRPr="00532C61">
              <w:rPr>
                <w:sz w:val="22"/>
                <w:szCs w:val="22"/>
              </w:rPr>
              <w:t xml:space="preserve">    Positive</w:t>
            </w:r>
          </w:p>
        </w:tc>
        <w:tc>
          <w:tcPr>
            <w:tcW w:w="875" w:type="pct"/>
            <w:tcMar>
              <w:top w:w="0" w:type="dxa"/>
              <w:left w:w="45" w:type="dxa"/>
              <w:bottom w:w="0" w:type="dxa"/>
              <w:right w:w="45" w:type="dxa"/>
            </w:tcMar>
            <w:vAlign w:val="center"/>
          </w:tcPr>
          <w:p w14:paraId="3F3E511D" w14:textId="77777777" w:rsidR="002F2BB2" w:rsidRPr="00532C61" w:rsidRDefault="002F2BB2" w:rsidP="0072694B">
            <w:pPr>
              <w:jc w:val="right"/>
              <w:rPr>
                <w:bCs/>
                <w:sz w:val="22"/>
                <w:szCs w:val="22"/>
              </w:rPr>
            </w:pPr>
            <w:r w:rsidRPr="00532C61">
              <w:rPr>
                <w:bCs/>
                <w:sz w:val="22"/>
                <w:szCs w:val="22"/>
              </w:rPr>
              <w:t>53</w:t>
            </w:r>
          </w:p>
        </w:tc>
        <w:tc>
          <w:tcPr>
            <w:tcW w:w="1500" w:type="pct"/>
            <w:tcMar>
              <w:top w:w="0" w:type="dxa"/>
              <w:left w:w="45" w:type="dxa"/>
              <w:bottom w:w="0" w:type="dxa"/>
              <w:right w:w="45" w:type="dxa"/>
            </w:tcMar>
            <w:vAlign w:val="center"/>
          </w:tcPr>
          <w:p w14:paraId="54BAABE3" w14:textId="77777777" w:rsidR="002F2BB2" w:rsidRPr="00532C61" w:rsidRDefault="002F2BB2" w:rsidP="0072694B">
            <w:pPr>
              <w:jc w:val="right"/>
              <w:rPr>
                <w:sz w:val="22"/>
                <w:szCs w:val="22"/>
              </w:rPr>
            </w:pPr>
            <w:r w:rsidRPr="00532C61">
              <w:rPr>
                <w:sz w:val="22"/>
                <w:szCs w:val="22"/>
              </w:rPr>
              <w:t>79.1</w:t>
            </w:r>
          </w:p>
        </w:tc>
      </w:tr>
      <w:tr w:rsidR="002F2BB2" w:rsidRPr="00532C61" w14:paraId="4921A641" w14:textId="77777777" w:rsidTr="0072694B">
        <w:trPr>
          <w:trHeight w:val="300"/>
        </w:trPr>
        <w:tc>
          <w:tcPr>
            <w:tcW w:w="2625" w:type="pct"/>
            <w:tcMar>
              <w:top w:w="0" w:type="dxa"/>
              <w:left w:w="45" w:type="dxa"/>
              <w:bottom w:w="0" w:type="dxa"/>
              <w:right w:w="45" w:type="dxa"/>
            </w:tcMar>
            <w:vAlign w:val="center"/>
          </w:tcPr>
          <w:p w14:paraId="5C94A2FD" w14:textId="77777777" w:rsidR="002F2BB2" w:rsidRPr="00532C61" w:rsidRDefault="002F2BB2" w:rsidP="0072694B">
            <w:pPr>
              <w:rPr>
                <w:sz w:val="22"/>
                <w:szCs w:val="22"/>
              </w:rPr>
            </w:pPr>
            <w:r w:rsidRPr="00532C61">
              <w:rPr>
                <w:b/>
                <w:bCs/>
                <w:sz w:val="22"/>
                <w:szCs w:val="22"/>
              </w:rPr>
              <w:t>Sexual Orientation</w:t>
            </w:r>
          </w:p>
        </w:tc>
        <w:tc>
          <w:tcPr>
            <w:tcW w:w="875" w:type="pct"/>
            <w:tcMar>
              <w:top w:w="0" w:type="dxa"/>
              <w:left w:w="45" w:type="dxa"/>
              <w:bottom w:w="0" w:type="dxa"/>
              <w:right w:w="45" w:type="dxa"/>
            </w:tcMar>
            <w:vAlign w:val="center"/>
          </w:tcPr>
          <w:p w14:paraId="4D3DAA56" w14:textId="77777777" w:rsidR="002F2BB2" w:rsidRPr="00532C61" w:rsidRDefault="002F2BB2" w:rsidP="0072694B">
            <w:pPr>
              <w:jc w:val="right"/>
              <w:rPr>
                <w:bCs/>
                <w:sz w:val="22"/>
                <w:szCs w:val="22"/>
              </w:rPr>
            </w:pPr>
          </w:p>
        </w:tc>
        <w:tc>
          <w:tcPr>
            <w:tcW w:w="1500" w:type="pct"/>
            <w:tcMar>
              <w:top w:w="0" w:type="dxa"/>
              <w:left w:w="45" w:type="dxa"/>
              <w:bottom w:w="0" w:type="dxa"/>
              <w:right w:w="45" w:type="dxa"/>
            </w:tcMar>
            <w:vAlign w:val="center"/>
          </w:tcPr>
          <w:p w14:paraId="51BC8AB2" w14:textId="77777777" w:rsidR="002F2BB2" w:rsidRPr="00532C61" w:rsidRDefault="002F2BB2" w:rsidP="0072694B">
            <w:pPr>
              <w:jc w:val="right"/>
              <w:rPr>
                <w:sz w:val="22"/>
                <w:szCs w:val="22"/>
              </w:rPr>
            </w:pPr>
          </w:p>
        </w:tc>
      </w:tr>
      <w:tr w:rsidR="002F2BB2" w:rsidRPr="00532C61" w14:paraId="01618A19" w14:textId="77777777" w:rsidTr="0072694B">
        <w:trPr>
          <w:trHeight w:val="300"/>
        </w:trPr>
        <w:tc>
          <w:tcPr>
            <w:tcW w:w="2625" w:type="pct"/>
            <w:tcMar>
              <w:top w:w="0" w:type="dxa"/>
              <w:left w:w="45" w:type="dxa"/>
              <w:bottom w:w="0" w:type="dxa"/>
              <w:right w:w="45" w:type="dxa"/>
            </w:tcMar>
            <w:vAlign w:val="center"/>
          </w:tcPr>
          <w:p w14:paraId="2AF3F26B" w14:textId="77777777" w:rsidR="002F2BB2" w:rsidRPr="00532C61" w:rsidRDefault="002F2BB2" w:rsidP="0072694B">
            <w:pPr>
              <w:rPr>
                <w:sz w:val="22"/>
                <w:szCs w:val="22"/>
              </w:rPr>
            </w:pPr>
            <w:r w:rsidRPr="00532C61">
              <w:rPr>
                <w:sz w:val="22"/>
                <w:szCs w:val="22"/>
              </w:rPr>
              <w:t xml:space="preserve">    Gay</w:t>
            </w:r>
          </w:p>
        </w:tc>
        <w:tc>
          <w:tcPr>
            <w:tcW w:w="875" w:type="pct"/>
            <w:tcMar>
              <w:top w:w="0" w:type="dxa"/>
              <w:left w:w="45" w:type="dxa"/>
              <w:bottom w:w="0" w:type="dxa"/>
              <w:right w:w="45" w:type="dxa"/>
            </w:tcMar>
            <w:vAlign w:val="center"/>
          </w:tcPr>
          <w:p w14:paraId="6BA7AE70" w14:textId="77777777" w:rsidR="002F2BB2" w:rsidRPr="00532C61" w:rsidRDefault="002F2BB2" w:rsidP="0072694B">
            <w:pPr>
              <w:jc w:val="right"/>
              <w:rPr>
                <w:bCs/>
                <w:sz w:val="22"/>
                <w:szCs w:val="22"/>
              </w:rPr>
            </w:pPr>
            <w:r w:rsidRPr="00532C61">
              <w:rPr>
                <w:bCs/>
                <w:sz w:val="22"/>
                <w:szCs w:val="22"/>
              </w:rPr>
              <w:t>54</w:t>
            </w:r>
          </w:p>
        </w:tc>
        <w:tc>
          <w:tcPr>
            <w:tcW w:w="1500" w:type="pct"/>
            <w:tcMar>
              <w:top w:w="0" w:type="dxa"/>
              <w:left w:w="45" w:type="dxa"/>
              <w:bottom w:w="0" w:type="dxa"/>
              <w:right w:w="45" w:type="dxa"/>
            </w:tcMar>
            <w:vAlign w:val="center"/>
          </w:tcPr>
          <w:p w14:paraId="1ADBE80A" w14:textId="77777777" w:rsidR="002F2BB2" w:rsidRPr="00532C61" w:rsidRDefault="002F2BB2" w:rsidP="0072694B">
            <w:pPr>
              <w:jc w:val="right"/>
              <w:rPr>
                <w:sz w:val="22"/>
                <w:szCs w:val="22"/>
              </w:rPr>
            </w:pPr>
            <w:r w:rsidRPr="00532C61">
              <w:rPr>
                <w:sz w:val="22"/>
                <w:szCs w:val="22"/>
              </w:rPr>
              <w:t>80.6</w:t>
            </w:r>
          </w:p>
        </w:tc>
      </w:tr>
      <w:tr w:rsidR="002F2BB2" w:rsidRPr="00532C61" w14:paraId="3A53928B" w14:textId="77777777" w:rsidTr="0072694B">
        <w:trPr>
          <w:trHeight w:val="300"/>
        </w:trPr>
        <w:tc>
          <w:tcPr>
            <w:tcW w:w="2625" w:type="pct"/>
            <w:tcMar>
              <w:top w:w="0" w:type="dxa"/>
              <w:left w:w="45" w:type="dxa"/>
              <w:bottom w:w="0" w:type="dxa"/>
              <w:right w:w="45" w:type="dxa"/>
            </w:tcMar>
            <w:vAlign w:val="center"/>
          </w:tcPr>
          <w:p w14:paraId="15FB98FB" w14:textId="77777777" w:rsidR="002F2BB2" w:rsidRPr="00532C61" w:rsidRDefault="002F2BB2" w:rsidP="0072694B">
            <w:pPr>
              <w:rPr>
                <w:sz w:val="22"/>
                <w:szCs w:val="22"/>
              </w:rPr>
            </w:pPr>
            <w:r w:rsidRPr="00532C61">
              <w:rPr>
                <w:sz w:val="22"/>
                <w:szCs w:val="22"/>
              </w:rPr>
              <w:t xml:space="preserve">    Bisexual/Other</w:t>
            </w:r>
          </w:p>
        </w:tc>
        <w:tc>
          <w:tcPr>
            <w:tcW w:w="875" w:type="pct"/>
            <w:tcMar>
              <w:top w:w="0" w:type="dxa"/>
              <w:left w:w="45" w:type="dxa"/>
              <w:bottom w:w="0" w:type="dxa"/>
              <w:right w:w="45" w:type="dxa"/>
            </w:tcMar>
            <w:vAlign w:val="center"/>
          </w:tcPr>
          <w:p w14:paraId="70289BFD" w14:textId="77777777" w:rsidR="002F2BB2" w:rsidRPr="00532C61" w:rsidRDefault="002F2BB2" w:rsidP="0072694B">
            <w:pPr>
              <w:jc w:val="right"/>
              <w:rPr>
                <w:bCs/>
                <w:sz w:val="22"/>
                <w:szCs w:val="22"/>
              </w:rPr>
            </w:pPr>
            <w:r w:rsidRPr="00532C61">
              <w:rPr>
                <w:bCs/>
                <w:sz w:val="22"/>
                <w:szCs w:val="22"/>
              </w:rPr>
              <w:t>13</w:t>
            </w:r>
          </w:p>
        </w:tc>
        <w:tc>
          <w:tcPr>
            <w:tcW w:w="1500" w:type="pct"/>
            <w:tcMar>
              <w:top w:w="0" w:type="dxa"/>
              <w:left w:w="45" w:type="dxa"/>
              <w:bottom w:w="0" w:type="dxa"/>
              <w:right w:w="45" w:type="dxa"/>
            </w:tcMar>
            <w:vAlign w:val="center"/>
          </w:tcPr>
          <w:p w14:paraId="60F53733" w14:textId="77777777" w:rsidR="002F2BB2" w:rsidRPr="00532C61" w:rsidRDefault="002F2BB2" w:rsidP="0072694B">
            <w:pPr>
              <w:jc w:val="right"/>
              <w:rPr>
                <w:sz w:val="22"/>
                <w:szCs w:val="22"/>
              </w:rPr>
            </w:pPr>
            <w:r w:rsidRPr="00532C61">
              <w:rPr>
                <w:sz w:val="22"/>
                <w:szCs w:val="22"/>
              </w:rPr>
              <w:t>19.4</w:t>
            </w:r>
          </w:p>
        </w:tc>
      </w:tr>
      <w:tr w:rsidR="002F2BB2" w:rsidRPr="00532C61" w14:paraId="3229E26C" w14:textId="77777777" w:rsidTr="0072694B">
        <w:trPr>
          <w:trHeight w:val="300"/>
        </w:trPr>
        <w:tc>
          <w:tcPr>
            <w:tcW w:w="2625" w:type="pct"/>
            <w:tcMar>
              <w:top w:w="0" w:type="dxa"/>
              <w:left w:w="45" w:type="dxa"/>
              <w:bottom w:w="0" w:type="dxa"/>
              <w:right w:w="45" w:type="dxa"/>
            </w:tcMar>
            <w:vAlign w:val="center"/>
          </w:tcPr>
          <w:p w14:paraId="3329B15E" w14:textId="77777777" w:rsidR="002F2BB2" w:rsidRPr="00433D38" w:rsidRDefault="002F2BB2" w:rsidP="0072694B">
            <w:pPr>
              <w:rPr>
                <w:b/>
                <w:bCs/>
                <w:sz w:val="22"/>
                <w:szCs w:val="22"/>
              </w:rPr>
            </w:pPr>
            <w:r w:rsidRPr="00433D38">
              <w:rPr>
                <w:b/>
                <w:bCs/>
                <w:sz w:val="22"/>
                <w:szCs w:val="22"/>
              </w:rPr>
              <w:t xml:space="preserve">Gender Identity </w:t>
            </w:r>
          </w:p>
        </w:tc>
        <w:tc>
          <w:tcPr>
            <w:tcW w:w="875" w:type="pct"/>
            <w:tcMar>
              <w:top w:w="0" w:type="dxa"/>
              <w:left w:w="45" w:type="dxa"/>
              <w:bottom w:w="0" w:type="dxa"/>
              <w:right w:w="45" w:type="dxa"/>
            </w:tcMar>
            <w:vAlign w:val="center"/>
          </w:tcPr>
          <w:p w14:paraId="618638F1" w14:textId="77777777" w:rsidR="002F2BB2" w:rsidRPr="00532C61" w:rsidRDefault="002F2BB2" w:rsidP="0072694B">
            <w:pPr>
              <w:jc w:val="right"/>
              <w:rPr>
                <w:bCs/>
                <w:sz w:val="22"/>
                <w:szCs w:val="22"/>
              </w:rPr>
            </w:pPr>
          </w:p>
        </w:tc>
        <w:tc>
          <w:tcPr>
            <w:tcW w:w="1500" w:type="pct"/>
            <w:tcMar>
              <w:top w:w="0" w:type="dxa"/>
              <w:left w:w="45" w:type="dxa"/>
              <w:bottom w:w="0" w:type="dxa"/>
              <w:right w:w="45" w:type="dxa"/>
            </w:tcMar>
            <w:vAlign w:val="center"/>
          </w:tcPr>
          <w:p w14:paraId="75434E90" w14:textId="77777777" w:rsidR="002F2BB2" w:rsidRPr="00532C61" w:rsidRDefault="002F2BB2" w:rsidP="0072694B">
            <w:pPr>
              <w:jc w:val="right"/>
              <w:rPr>
                <w:sz w:val="22"/>
                <w:szCs w:val="22"/>
              </w:rPr>
            </w:pPr>
          </w:p>
        </w:tc>
      </w:tr>
      <w:tr w:rsidR="002F2BB2" w:rsidRPr="00532C61" w14:paraId="1BD954D1" w14:textId="77777777" w:rsidTr="0072694B">
        <w:trPr>
          <w:trHeight w:val="300"/>
        </w:trPr>
        <w:tc>
          <w:tcPr>
            <w:tcW w:w="2625" w:type="pct"/>
            <w:tcMar>
              <w:top w:w="0" w:type="dxa"/>
              <w:left w:w="45" w:type="dxa"/>
              <w:bottom w:w="0" w:type="dxa"/>
              <w:right w:w="45" w:type="dxa"/>
            </w:tcMar>
            <w:vAlign w:val="center"/>
          </w:tcPr>
          <w:p w14:paraId="0BE029AC" w14:textId="77777777" w:rsidR="002F2BB2" w:rsidRPr="00433D38" w:rsidRDefault="002F2BB2" w:rsidP="0072694B">
            <w:pPr>
              <w:rPr>
                <w:sz w:val="22"/>
                <w:szCs w:val="22"/>
              </w:rPr>
            </w:pPr>
            <w:r w:rsidRPr="00433D38">
              <w:rPr>
                <w:sz w:val="22"/>
                <w:szCs w:val="22"/>
              </w:rPr>
              <w:t xml:space="preserve">   Cisgender</w:t>
            </w:r>
            <w:r>
              <w:rPr>
                <w:sz w:val="22"/>
                <w:szCs w:val="22"/>
              </w:rPr>
              <w:t xml:space="preserve"> Man</w:t>
            </w:r>
          </w:p>
        </w:tc>
        <w:tc>
          <w:tcPr>
            <w:tcW w:w="875" w:type="pct"/>
            <w:tcMar>
              <w:top w:w="0" w:type="dxa"/>
              <w:left w:w="45" w:type="dxa"/>
              <w:bottom w:w="0" w:type="dxa"/>
              <w:right w:w="45" w:type="dxa"/>
            </w:tcMar>
            <w:vAlign w:val="center"/>
          </w:tcPr>
          <w:p w14:paraId="31AB5632" w14:textId="77777777" w:rsidR="002F2BB2" w:rsidRPr="00532C61" w:rsidRDefault="002F2BB2" w:rsidP="0072694B">
            <w:pPr>
              <w:jc w:val="right"/>
              <w:rPr>
                <w:bCs/>
                <w:sz w:val="22"/>
                <w:szCs w:val="22"/>
              </w:rPr>
            </w:pPr>
            <w:r>
              <w:rPr>
                <w:bCs/>
                <w:sz w:val="22"/>
                <w:szCs w:val="22"/>
              </w:rPr>
              <w:t>65</w:t>
            </w:r>
          </w:p>
        </w:tc>
        <w:tc>
          <w:tcPr>
            <w:tcW w:w="1500" w:type="pct"/>
            <w:tcMar>
              <w:top w:w="0" w:type="dxa"/>
              <w:left w:w="45" w:type="dxa"/>
              <w:bottom w:w="0" w:type="dxa"/>
              <w:right w:w="45" w:type="dxa"/>
            </w:tcMar>
            <w:vAlign w:val="center"/>
          </w:tcPr>
          <w:p w14:paraId="1516842C" w14:textId="77777777" w:rsidR="002F2BB2" w:rsidRPr="00532C61" w:rsidRDefault="002F2BB2" w:rsidP="0072694B">
            <w:pPr>
              <w:jc w:val="right"/>
              <w:rPr>
                <w:sz w:val="22"/>
                <w:szCs w:val="22"/>
              </w:rPr>
            </w:pPr>
            <w:r>
              <w:rPr>
                <w:sz w:val="22"/>
                <w:szCs w:val="22"/>
              </w:rPr>
              <w:t>97.0</w:t>
            </w:r>
          </w:p>
        </w:tc>
      </w:tr>
      <w:tr w:rsidR="002F2BB2" w:rsidRPr="00532C61" w14:paraId="600F1BF1" w14:textId="77777777" w:rsidTr="0072694B">
        <w:trPr>
          <w:trHeight w:val="300"/>
        </w:trPr>
        <w:tc>
          <w:tcPr>
            <w:tcW w:w="2625" w:type="pct"/>
            <w:tcMar>
              <w:top w:w="0" w:type="dxa"/>
              <w:left w:w="45" w:type="dxa"/>
              <w:bottom w:w="0" w:type="dxa"/>
              <w:right w:w="45" w:type="dxa"/>
            </w:tcMar>
            <w:vAlign w:val="center"/>
          </w:tcPr>
          <w:p w14:paraId="7B979EAE" w14:textId="77777777" w:rsidR="002F2BB2" w:rsidRPr="00433D38" w:rsidRDefault="002F2BB2" w:rsidP="0072694B">
            <w:pPr>
              <w:rPr>
                <w:sz w:val="22"/>
                <w:szCs w:val="22"/>
              </w:rPr>
            </w:pPr>
            <w:r w:rsidRPr="00433D38">
              <w:rPr>
                <w:sz w:val="22"/>
                <w:szCs w:val="22"/>
              </w:rPr>
              <w:t xml:space="preserve">   Transgender </w:t>
            </w:r>
            <w:r>
              <w:rPr>
                <w:sz w:val="22"/>
                <w:szCs w:val="22"/>
              </w:rPr>
              <w:t>Man</w:t>
            </w:r>
          </w:p>
        </w:tc>
        <w:tc>
          <w:tcPr>
            <w:tcW w:w="875" w:type="pct"/>
            <w:tcMar>
              <w:top w:w="0" w:type="dxa"/>
              <w:left w:w="45" w:type="dxa"/>
              <w:bottom w:w="0" w:type="dxa"/>
              <w:right w:w="45" w:type="dxa"/>
            </w:tcMar>
            <w:vAlign w:val="center"/>
          </w:tcPr>
          <w:p w14:paraId="02AF615E" w14:textId="77777777" w:rsidR="002F2BB2" w:rsidRPr="00532C61" w:rsidRDefault="002F2BB2" w:rsidP="0072694B">
            <w:pPr>
              <w:jc w:val="right"/>
              <w:rPr>
                <w:bCs/>
                <w:sz w:val="22"/>
                <w:szCs w:val="22"/>
              </w:rPr>
            </w:pPr>
            <w:r>
              <w:rPr>
                <w:bCs/>
                <w:sz w:val="22"/>
                <w:szCs w:val="22"/>
              </w:rPr>
              <w:t>2</w:t>
            </w:r>
          </w:p>
        </w:tc>
        <w:tc>
          <w:tcPr>
            <w:tcW w:w="1500" w:type="pct"/>
            <w:tcMar>
              <w:top w:w="0" w:type="dxa"/>
              <w:left w:w="45" w:type="dxa"/>
              <w:bottom w:w="0" w:type="dxa"/>
              <w:right w:w="45" w:type="dxa"/>
            </w:tcMar>
            <w:vAlign w:val="center"/>
          </w:tcPr>
          <w:p w14:paraId="1D36F2D8" w14:textId="77777777" w:rsidR="002F2BB2" w:rsidRPr="00532C61" w:rsidRDefault="002F2BB2" w:rsidP="0072694B">
            <w:pPr>
              <w:jc w:val="right"/>
              <w:rPr>
                <w:sz w:val="22"/>
                <w:szCs w:val="22"/>
              </w:rPr>
            </w:pPr>
            <w:r>
              <w:rPr>
                <w:sz w:val="22"/>
                <w:szCs w:val="22"/>
              </w:rPr>
              <w:t>3.0</w:t>
            </w:r>
          </w:p>
        </w:tc>
      </w:tr>
      <w:tr w:rsidR="002F2BB2" w:rsidRPr="00532C61" w14:paraId="3DF9C63B" w14:textId="77777777" w:rsidTr="0072694B">
        <w:trPr>
          <w:trHeight w:val="300"/>
        </w:trPr>
        <w:tc>
          <w:tcPr>
            <w:tcW w:w="2625" w:type="pct"/>
            <w:tcMar>
              <w:top w:w="0" w:type="dxa"/>
              <w:left w:w="45" w:type="dxa"/>
              <w:bottom w:w="0" w:type="dxa"/>
              <w:right w:w="45" w:type="dxa"/>
            </w:tcMar>
            <w:vAlign w:val="center"/>
          </w:tcPr>
          <w:p w14:paraId="3EAFC45E" w14:textId="77777777" w:rsidR="002F2BB2" w:rsidRPr="00532C61" w:rsidRDefault="002F2BB2" w:rsidP="0072694B">
            <w:pPr>
              <w:rPr>
                <w:sz w:val="22"/>
                <w:szCs w:val="22"/>
              </w:rPr>
            </w:pPr>
            <w:r w:rsidRPr="00532C61">
              <w:rPr>
                <w:b/>
                <w:bCs/>
                <w:sz w:val="22"/>
                <w:szCs w:val="22"/>
              </w:rPr>
              <w:t>Ethnicity</w:t>
            </w:r>
          </w:p>
        </w:tc>
        <w:tc>
          <w:tcPr>
            <w:tcW w:w="875" w:type="pct"/>
            <w:tcMar>
              <w:top w:w="0" w:type="dxa"/>
              <w:left w:w="45" w:type="dxa"/>
              <w:bottom w:w="0" w:type="dxa"/>
              <w:right w:w="45" w:type="dxa"/>
            </w:tcMar>
            <w:vAlign w:val="center"/>
          </w:tcPr>
          <w:p w14:paraId="780D1F7D" w14:textId="77777777" w:rsidR="002F2BB2" w:rsidRPr="00532C61" w:rsidRDefault="002F2BB2" w:rsidP="0072694B">
            <w:pPr>
              <w:jc w:val="right"/>
              <w:rPr>
                <w:bCs/>
                <w:sz w:val="22"/>
                <w:szCs w:val="22"/>
              </w:rPr>
            </w:pPr>
          </w:p>
        </w:tc>
        <w:tc>
          <w:tcPr>
            <w:tcW w:w="1500" w:type="pct"/>
            <w:tcMar>
              <w:top w:w="0" w:type="dxa"/>
              <w:left w:w="45" w:type="dxa"/>
              <w:bottom w:w="0" w:type="dxa"/>
              <w:right w:w="45" w:type="dxa"/>
            </w:tcMar>
            <w:vAlign w:val="center"/>
          </w:tcPr>
          <w:p w14:paraId="2A7DFA58" w14:textId="77777777" w:rsidR="002F2BB2" w:rsidRPr="00532C61" w:rsidRDefault="002F2BB2" w:rsidP="0072694B">
            <w:pPr>
              <w:jc w:val="right"/>
              <w:rPr>
                <w:sz w:val="22"/>
                <w:szCs w:val="22"/>
              </w:rPr>
            </w:pPr>
          </w:p>
        </w:tc>
      </w:tr>
      <w:tr w:rsidR="002F2BB2" w:rsidRPr="00532C61" w14:paraId="152EC16D" w14:textId="77777777" w:rsidTr="0072694B">
        <w:trPr>
          <w:trHeight w:val="300"/>
        </w:trPr>
        <w:tc>
          <w:tcPr>
            <w:tcW w:w="2625" w:type="pct"/>
            <w:tcMar>
              <w:top w:w="0" w:type="dxa"/>
              <w:left w:w="45" w:type="dxa"/>
              <w:bottom w:w="0" w:type="dxa"/>
              <w:right w:w="45" w:type="dxa"/>
            </w:tcMar>
            <w:vAlign w:val="center"/>
          </w:tcPr>
          <w:p w14:paraId="32368B1E" w14:textId="77777777" w:rsidR="002F2BB2" w:rsidRPr="00532C61" w:rsidRDefault="002F2BB2" w:rsidP="0072694B">
            <w:pPr>
              <w:rPr>
                <w:sz w:val="22"/>
                <w:szCs w:val="22"/>
              </w:rPr>
            </w:pPr>
            <w:r w:rsidRPr="00532C61">
              <w:rPr>
                <w:sz w:val="22"/>
                <w:szCs w:val="22"/>
              </w:rPr>
              <w:t xml:space="preserve">    White</w:t>
            </w:r>
          </w:p>
        </w:tc>
        <w:tc>
          <w:tcPr>
            <w:tcW w:w="875" w:type="pct"/>
            <w:tcMar>
              <w:top w:w="0" w:type="dxa"/>
              <w:left w:w="45" w:type="dxa"/>
              <w:bottom w:w="0" w:type="dxa"/>
              <w:right w:w="45" w:type="dxa"/>
            </w:tcMar>
            <w:vAlign w:val="center"/>
          </w:tcPr>
          <w:p w14:paraId="7183D4E3" w14:textId="77777777" w:rsidR="002F2BB2" w:rsidRPr="00532C61" w:rsidRDefault="002F2BB2" w:rsidP="0072694B">
            <w:pPr>
              <w:jc w:val="right"/>
              <w:rPr>
                <w:bCs/>
                <w:sz w:val="22"/>
                <w:szCs w:val="22"/>
              </w:rPr>
            </w:pPr>
            <w:r w:rsidRPr="00532C61">
              <w:rPr>
                <w:bCs/>
                <w:sz w:val="22"/>
                <w:szCs w:val="22"/>
              </w:rPr>
              <w:t>57</w:t>
            </w:r>
          </w:p>
        </w:tc>
        <w:tc>
          <w:tcPr>
            <w:tcW w:w="1500" w:type="pct"/>
            <w:tcMar>
              <w:top w:w="0" w:type="dxa"/>
              <w:left w:w="45" w:type="dxa"/>
              <w:bottom w:w="0" w:type="dxa"/>
              <w:right w:w="45" w:type="dxa"/>
            </w:tcMar>
            <w:vAlign w:val="center"/>
          </w:tcPr>
          <w:p w14:paraId="698B043F" w14:textId="77777777" w:rsidR="002F2BB2" w:rsidRPr="00532C61" w:rsidRDefault="002F2BB2" w:rsidP="0072694B">
            <w:pPr>
              <w:jc w:val="right"/>
              <w:rPr>
                <w:sz w:val="22"/>
                <w:szCs w:val="22"/>
              </w:rPr>
            </w:pPr>
            <w:r w:rsidRPr="00532C61">
              <w:rPr>
                <w:sz w:val="22"/>
                <w:szCs w:val="22"/>
              </w:rPr>
              <w:t>85.1</w:t>
            </w:r>
          </w:p>
        </w:tc>
      </w:tr>
      <w:tr w:rsidR="002F2BB2" w:rsidRPr="00532C61" w14:paraId="4D1923D5" w14:textId="77777777" w:rsidTr="0072694B">
        <w:trPr>
          <w:trHeight w:val="300"/>
        </w:trPr>
        <w:tc>
          <w:tcPr>
            <w:tcW w:w="2625" w:type="pct"/>
            <w:tcMar>
              <w:top w:w="0" w:type="dxa"/>
              <w:left w:w="45" w:type="dxa"/>
              <w:bottom w:w="0" w:type="dxa"/>
              <w:right w:w="45" w:type="dxa"/>
            </w:tcMar>
            <w:vAlign w:val="center"/>
          </w:tcPr>
          <w:p w14:paraId="3DBF3296" w14:textId="77777777" w:rsidR="002F2BB2" w:rsidRPr="00532C61" w:rsidRDefault="002F2BB2" w:rsidP="0072694B">
            <w:pPr>
              <w:rPr>
                <w:sz w:val="22"/>
                <w:szCs w:val="22"/>
              </w:rPr>
            </w:pPr>
            <w:r w:rsidRPr="00532C61">
              <w:rPr>
                <w:sz w:val="22"/>
                <w:szCs w:val="22"/>
              </w:rPr>
              <w:t xml:space="preserve">    Asian</w:t>
            </w:r>
          </w:p>
        </w:tc>
        <w:tc>
          <w:tcPr>
            <w:tcW w:w="875" w:type="pct"/>
            <w:tcMar>
              <w:top w:w="0" w:type="dxa"/>
              <w:left w:w="45" w:type="dxa"/>
              <w:bottom w:w="0" w:type="dxa"/>
              <w:right w:w="45" w:type="dxa"/>
            </w:tcMar>
            <w:vAlign w:val="center"/>
          </w:tcPr>
          <w:p w14:paraId="6B0482F9" w14:textId="77777777" w:rsidR="002F2BB2" w:rsidRPr="00532C61" w:rsidRDefault="002F2BB2" w:rsidP="0072694B">
            <w:pPr>
              <w:jc w:val="right"/>
              <w:rPr>
                <w:bCs/>
                <w:sz w:val="22"/>
                <w:szCs w:val="22"/>
              </w:rPr>
            </w:pPr>
            <w:r w:rsidRPr="00532C61">
              <w:rPr>
                <w:bCs/>
                <w:sz w:val="22"/>
                <w:szCs w:val="22"/>
              </w:rPr>
              <w:t>3</w:t>
            </w:r>
          </w:p>
        </w:tc>
        <w:tc>
          <w:tcPr>
            <w:tcW w:w="1500" w:type="pct"/>
            <w:tcMar>
              <w:top w:w="0" w:type="dxa"/>
              <w:left w:w="45" w:type="dxa"/>
              <w:bottom w:w="0" w:type="dxa"/>
              <w:right w:w="45" w:type="dxa"/>
            </w:tcMar>
            <w:vAlign w:val="center"/>
          </w:tcPr>
          <w:p w14:paraId="27218C89" w14:textId="77777777" w:rsidR="002F2BB2" w:rsidRPr="00532C61" w:rsidRDefault="002F2BB2" w:rsidP="0072694B">
            <w:pPr>
              <w:jc w:val="right"/>
              <w:rPr>
                <w:sz w:val="22"/>
                <w:szCs w:val="22"/>
              </w:rPr>
            </w:pPr>
            <w:r w:rsidRPr="00532C61">
              <w:rPr>
                <w:sz w:val="22"/>
                <w:szCs w:val="22"/>
              </w:rPr>
              <w:t>4.5</w:t>
            </w:r>
          </w:p>
        </w:tc>
      </w:tr>
      <w:tr w:rsidR="002F2BB2" w:rsidRPr="00532C61" w14:paraId="7317F81F" w14:textId="77777777" w:rsidTr="0072694B">
        <w:trPr>
          <w:trHeight w:val="300"/>
        </w:trPr>
        <w:tc>
          <w:tcPr>
            <w:tcW w:w="2625" w:type="pct"/>
            <w:tcMar>
              <w:top w:w="0" w:type="dxa"/>
              <w:left w:w="45" w:type="dxa"/>
              <w:bottom w:w="0" w:type="dxa"/>
              <w:right w:w="45" w:type="dxa"/>
            </w:tcMar>
            <w:vAlign w:val="center"/>
          </w:tcPr>
          <w:p w14:paraId="588087D5" w14:textId="77777777" w:rsidR="002F2BB2" w:rsidRPr="00532C61" w:rsidRDefault="002F2BB2" w:rsidP="0072694B">
            <w:pPr>
              <w:rPr>
                <w:sz w:val="22"/>
                <w:szCs w:val="22"/>
              </w:rPr>
            </w:pPr>
            <w:r w:rsidRPr="00532C61">
              <w:rPr>
                <w:sz w:val="22"/>
                <w:szCs w:val="22"/>
              </w:rPr>
              <w:t xml:space="preserve">    Indigenous</w:t>
            </w:r>
          </w:p>
        </w:tc>
        <w:tc>
          <w:tcPr>
            <w:tcW w:w="875" w:type="pct"/>
            <w:tcMar>
              <w:top w:w="0" w:type="dxa"/>
              <w:left w:w="45" w:type="dxa"/>
              <w:bottom w:w="0" w:type="dxa"/>
              <w:right w:w="45" w:type="dxa"/>
            </w:tcMar>
            <w:vAlign w:val="center"/>
          </w:tcPr>
          <w:p w14:paraId="55E7CDF8" w14:textId="77777777" w:rsidR="002F2BB2" w:rsidRPr="00532C61" w:rsidRDefault="002F2BB2" w:rsidP="0072694B">
            <w:pPr>
              <w:jc w:val="right"/>
              <w:rPr>
                <w:bCs/>
                <w:sz w:val="22"/>
                <w:szCs w:val="22"/>
              </w:rPr>
            </w:pPr>
            <w:r w:rsidRPr="00532C61">
              <w:rPr>
                <w:bCs/>
                <w:sz w:val="22"/>
                <w:szCs w:val="22"/>
              </w:rPr>
              <w:t>7</w:t>
            </w:r>
          </w:p>
        </w:tc>
        <w:tc>
          <w:tcPr>
            <w:tcW w:w="1500" w:type="pct"/>
            <w:tcMar>
              <w:top w:w="0" w:type="dxa"/>
              <w:left w:w="45" w:type="dxa"/>
              <w:bottom w:w="0" w:type="dxa"/>
              <w:right w:w="45" w:type="dxa"/>
            </w:tcMar>
            <w:vAlign w:val="center"/>
          </w:tcPr>
          <w:p w14:paraId="38D589E5" w14:textId="77777777" w:rsidR="002F2BB2" w:rsidRPr="00532C61" w:rsidRDefault="002F2BB2" w:rsidP="0072694B">
            <w:pPr>
              <w:jc w:val="right"/>
              <w:rPr>
                <w:sz w:val="22"/>
                <w:szCs w:val="22"/>
              </w:rPr>
            </w:pPr>
            <w:r w:rsidRPr="00532C61">
              <w:rPr>
                <w:sz w:val="22"/>
                <w:szCs w:val="22"/>
              </w:rPr>
              <w:t>10.5</w:t>
            </w:r>
          </w:p>
        </w:tc>
      </w:tr>
      <w:tr w:rsidR="002F2BB2" w:rsidRPr="00532C61" w14:paraId="25DD0CBC" w14:textId="77777777" w:rsidTr="0072694B">
        <w:trPr>
          <w:trHeight w:val="300"/>
        </w:trPr>
        <w:tc>
          <w:tcPr>
            <w:tcW w:w="2625" w:type="pct"/>
            <w:shd w:val="clear" w:color="auto" w:fill="FFFFFF"/>
            <w:tcMar>
              <w:top w:w="0" w:type="dxa"/>
              <w:left w:w="45" w:type="dxa"/>
              <w:bottom w:w="0" w:type="dxa"/>
              <w:right w:w="45" w:type="dxa"/>
            </w:tcMar>
            <w:vAlign w:val="bottom"/>
          </w:tcPr>
          <w:p w14:paraId="7996A69C" w14:textId="77777777" w:rsidR="002F2BB2" w:rsidRPr="00532C61" w:rsidRDefault="002F2BB2" w:rsidP="0072694B">
            <w:pPr>
              <w:rPr>
                <w:sz w:val="22"/>
                <w:szCs w:val="22"/>
              </w:rPr>
            </w:pPr>
            <w:r w:rsidRPr="00532C61">
              <w:rPr>
                <w:b/>
                <w:bCs/>
                <w:sz w:val="22"/>
                <w:szCs w:val="22"/>
              </w:rPr>
              <w:t>Born in Canada</w:t>
            </w:r>
          </w:p>
        </w:tc>
        <w:tc>
          <w:tcPr>
            <w:tcW w:w="875" w:type="pct"/>
            <w:shd w:val="clear" w:color="auto" w:fill="FFFFFF"/>
            <w:tcMar>
              <w:top w:w="0" w:type="dxa"/>
              <w:left w:w="45" w:type="dxa"/>
              <w:bottom w:w="0" w:type="dxa"/>
              <w:right w:w="45" w:type="dxa"/>
            </w:tcMar>
            <w:vAlign w:val="center"/>
          </w:tcPr>
          <w:p w14:paraId="23829780" w14:textId="77777777" w:rsidR="002F2BB2" w:rsidRPr="00532C61" w:rsidRDefault="002F2BB2" w:rsidP="0072694B">
            <w:pPr>
              <w:jc w:val="right"/>
              <w:rPr>
                <w:bCs/>
                <w:sz w:val="22"/>
                <w:szCs w:val="22"/>
              </w:rPr>
            </w:pPr>
          </w:p>
        </w:tc>
        <w:tc>
          <w:tcPr>
            <w:tcW w:w="1500" w:type="pct"/>
            <w:shd w:val="clear" w:color="auto" w:fill="FFFFFF"/>
            <w:tcMar>
              <w:top w:w="0" w:type="dxa"/>
              <w:left w:w="45" w:type="dxa"/>
              <w:bottom w:w="0" w:type="dxa"/>
              <w:right w:w="45" w:type="dxa"/>
            </w:tcMar>
            <w:vAlign w:val="center"/>
          </w:tcPr>
          <w:p w14:paraId="63FAC178" w14:textId="77777777" w:rsidR="002F2BB2" w:rsidRPr="00532C61" w:rsidRDefault="002F2BB2" w:rsidP="0072694B">
            <w:pPr>
              <w:jc w:val="right"/>
              <w:rPr>
                <w:sz w:val="22"/>
                <w:szCs w:val="22"/>
              </w:rPr>
            </w:pPr>
          </w:p>
        </w:tc>
      </w:tr>
      <w:tr w:rsidR="002F2BB2" w:rsidRPr="00532C61" w14:paraId="73282EE9" w14:textId="77777777" w:rsidTr="0072694B">
        <w:trPr>
          <w:trHeight w:val="300"/>
        </w:trPr>
        <w:tc>
          <w:tcPr>
            <w:tcW w:w="2625" w:type="pct"/>
            <w:shd w:val="clear" w:color="auto" w:fill="FFFFFF"/>
            <w:tcMar>
              <w:top w:w="0" w:type="dxa"/>
              <w:left w:w="45" w:type="dxa"/>
              <w:bottom w:w="0" w:type="dxa"/>
              <w:right w:w="45" w:type="dxa"/>
            </w:tcMar>
            <w:vAlign w:val="center"/>
          </w:tcPr>
          <w:p w14:paraId="2C3E509B" w14:textId="77777777" w:rsidR="002F2BB2" w:rsidRPr="00532C61" w:rsidRDefault="002F2BB2" w:rsidP="0072694B">
            <w:pPr>
              <w:rPr>
                <w:sz w:val="22"/>
                <w:szCs w:val="22"/>
              </w:rPr>
            </w:pPr>
            <w:r w:rsidRPr="00532C61">
              <w:rPr>
                <w:sz w:val="22"/>
                <w:szCs w:val="22"/>
              </w:rPr>
              <w:t xml:space="preserve">    No</w:t>
            </w:r>
          </w:p>
        </w:tc>
        <w:tc>
          <w:tcPr>
            <w:tcW w:w="875" w:type="pct"/>
            <w:shd w:val="clear" w:color="auto" w:fill="FFFFFF"/>
            <w:tcMar>
              <w:top w:w="0" w:type="dxa"/>
              <w:left w:w="45" w:type="dxa"/>
              <w:bottom w:w="0" w:type="dxa"/>
              <w:right w:w="45" w:type="dxa"/>
            </w:tcMar>
            <w:vAlign w:val="center"/>
          </w:tcPr>
          <w:p w14:paraId="6DA708A5" w14:textId="77777777" w:rsidR="002F2BB2" w:rsidRPr="00532C61" w:rsidRDefault="002F2BB2" w:rsidP="0072694B">
            <w:pPr>
              <w:jc w:val="right"/>
              <w:rPr>
                <w:bCs/>
                <w:sz w:val="22"/>
                <w:szCs w:val="22"/>
              </w:rPr>
            </w:pPr>
            <w:r w:rsidRPr="00532C61">
              <w:rPr>
                <w:bCs/>
                <w:sz w:val="22"/>
                <w:szCs w:val="22"/>
              </w:rPr>
              <w:t>8</w:t>
            </w:r>
          </w:p>
        </w:tc>
        <w:tc>
          <w:tcPr>
            <w:tcW w:w="1500" w:type="pct"/>
            <w:shd w:val="clear" w:color="auto" w:fill="FFFFFF"/>
            <w:tcMar>
              <w:top w:w="0" w:type="dxa"/>
              <w:left w:w="45" w:type="dxa"/>
              <w:bottom w:w="0" w:type="dxa"/>
              <w:right w:w="45" w:type="dxa"/>
            </w:tcMar>
            <w:vAlign w:val="center"/>
          </w:tcPr>
          <w:p w14:paraId="3C03A6F1" w14:textId="77777777" w:rsidR="002F2BB2" w:rsidRPr="00532C61" w:rsidRDefault="002F2BB2" w:rsidP="0072694B">
            <w:pPr>
              <w:jc w:val="right"/>
              <w:rPr>
                <w:sz w:val="22"/>
                <w:szCs w:val="22"/>
              </w:rPr>
            </w:pPr>
            <w:r w:rsidRPr="00532C61">
              <w:rPr>
                <w:sz w:val="22"/>
                <w:szCs w:val="22"/>
              </w:rPr>
              <w:t>11.9</w:t>
            </w:r>
          </w:p>
        </w:tc>
      </w:tr>
      <w:tr w:rsidR="002F2BB2" w:rsidRPr="00532C61" w14:paraId="2EB0A293" w14:textId="77777777" w:rsidTr="0072694B">
        <w:trPr>
          <w:trHeight w:val="300"/>
        </w:trPr>
        <w:tc>
          <w:tcPr>
            <w:tcW w:w="2625" w:type="pct"/>
            <w:shd w:val="clear" w:color="auto" w:fill="FFFFFF"/>
            <w:tcMar>
              <w:top w:w="0" w:type="dxa"/>
              <w:left w:w="45" w:type="dxa"/>
              <w:bottom w:w="0" w:type="dxa"/>
              <w:right w:w="45" w:type="dxa"/>
            </w:tcMar>
            <w:vAlign w:val="bottom"/>
          </w:tcPr>
          <w:p w14:paraId="679C85CC" w14:textId="77777777" w:rsidR="002F2BB2" w:rsidRPr="00532C61" w:rsidRDefault="002F2BB2" w:rsidP="0072694B">
            <w:pPr>
              <w:rPr>
                <w:sz w:val="22"/>
                <w:szCs w:val="22"/>
              </w:rPr>
            </w:pPr>
            <w:r w:rsidRPr="00532C61">
              <w:rPr>
                <w:sz w:val="22"/>
                <w:szCs w:val="22"/>
              </w:rPr>
              <w:t xml:space="preserve">    Yes</w:t>
            </w:r>
          </w:p>
        </w:tc>
        <w:tc>
          <w:tcPr>
            <w:tcW w:w="875" w:type="pct"/>
            <w:shd w:val="clear" w:color="auto" w:fill="FFFFFF"/>
            <w:tcMar>
              <w:top w:w="0" w:type="dxa"/>
              <w:left w:w="45" w:type="dxa"/>
              <w:bottom w:w="0" w:type="dxa"/>
              <w:right w:w="45" w:type="dxa"/>
            </w:tcMar>
            <w:vAlign w:val="center"/>
          </w:tcPr>
          <w:p w14:paraId="7AC5C556" w14:textId="77777777" w:rsidR="002F2BB2" w:rsidRPr="00532C61" w:rsidRDefault="002F2BB2" w:rsidP="0072694B">
            <w:pPr>
              <w:jc w:val="right"/>
              <w:rPr>
                <w:bCs/>
                <w:sz w:val="22"/>
                <w:szCs w:val="22"/>
              </w:rPr>
            </w:pPr>
            <w:r w:rsidRPr="00532C61">
              <w:rPr>
                <w:bCs/>
                <w:sz w:val="22"/>
                <w:szCs w:val="22"/>
              </w:rPr>
              <w:t>59</w:t>
            </w:r>
          </w:p>
        </w:tc>
        <w:tc>
          <w:tcPr>
            <w:tcW w:w="1500" w:type="pct"/>
            <w:shd w:val="clear" w:color="auto" w:fill="FFFFFF"/>
            <w:tcMar>
              <w:top w:w="0" w:type="dxa"/>
              <w:left w:w="45" w:type="dxa"/>
              <w:bottom w:w="0" w:type="dxa"/>
              <w:right w:w="45" w:type="dxa"/>
            </w:tcMar>
            <w:vAlign w:val="center"/>
          </w:tcPr>
          <w:p w14:paraId="10307978" w14:textId="77777777" w:rsidR="002F2BB2" w:rsidRPr="00532C61" w:rsidRDefault="002F2BB2" w:rsidP="0072694B">
            <w:pPr>
              <w:jc w:val="right"/>
              <w:rPr>
                <w:sz w:val="22"/>
                <w:szCs w:val="22"/>
              </w:rPr>
            </w:pPr>
            <w:r w:rsidRPr="00532C61">
              <w:rPr>
                <w:sz w:val="22"/>
                <w:szCs w:val="22"/>
              </w:rPr>
              <w:t>88.1</w:t>
            </w:r>
          </w:p>
        </w:tc>
      </w:tr>
      <w:tr w:rsidR="002F2BB2" w:rsidRPr="00532C61" w14:paraId="073CAC04" w14:textId="77777777" w:rsidTr="0072694B">
        <w:trPr>
          <w:trHeight w:val="300"/>
        </w:trPr>
        <w:tc>
          <w:tcPr>
            <w:tcW w:w="2625" w:type="pct"/>
            <w:shd w:val="clear" w:color="auto" w:fill="FFFFFF"/>
            <w:tcMar>
              <w:top w:w="0" w:type="dxa"/>
              <w:left w:w="45" w:type="dxa"/>
              <w:bottom w:w="0" w:type="dxa"/>
              <w:right w:w="45" w:type="dxa"/>
            </w:tcMar>
            <w:vAlign w:val="center"/>
          </w:tcPr>
          <w:p w14:paraId="49599ACC" w14:textId="77777777" w:rsidR="002F2BB2" w:rsidRPr="00532C61" w:rsidRDefault="002F2BB2" w:rsidP="0072694B">
            <w:pPr>
              <w:rPr>
                <w:sz w:val="22"/>
                <w:szCs w:val="22"/>
              </w:rPr>
            </w:pPr>
            <w:r>
              <w:rPr>
                <w:b/>
                <w:sz w:val="22"/>
                <w:szCs w:val="22"/>
              </w:rPr>
              <w:t>Diagnosed with Depression Ever</w:t>
            </w:r>
          </w:p>
        </w:tc>
        <w:tc>
          <w:tcPr>
            <w:tcW w:w="875" w:type="pct"/>
            <w:shd w:val="clear" w:color="auto" w:fill="FFFFFF"/>
            <w:tcMar>
              <w:top w:w="0" w:type="dxa"/>
              <w:left w:w="45" w:type="dxa"/>
              <w:bottom w:w="0" w:type="dxa"/>
              <w:right w:w="45" w:type="dxa"/>
            </w:tcMar>
            <w:vAlign w:val="center"/>
          </w:tcPr>
          <w:p w14:paraId="0D946332" w14:textId="77777777" w:rsidR="002F2BB2" w:rsidRPr="00532C61" w:rsidRDefault="002F2BB2" w:rsidP="0072694B">
            <w:pPr>
              <w:jc w:val="right"/>
              <w:rPr>
                <w:bCs/>
                <w:sz w:val="22"/>
                <w:szCs w:val="22"/>
              </w:rPr>
            </w:pPr>
          </w:p>
        </w:tc>
        <w:tc>
          <w:tcPr>
            <w:tcW w:w="1500" w:type="pct"/>
            <w:shd w:val="clear" w:color="auto" w:fill="FFFFFF"/>
            <w:tcMar>
              <w:top w:w="0" w:type="dxa"/>
              <w:left w:w="45" w:type="dxa"/>
              <w:bottom w:w="0" w:type="dxa"/>
              <w:right w:w="45" w:type="dxa"/>
            </w:tcMar>
            <w:vAlign w:val="center"/>
          </w:tcPr>
          <w:p w14:paraId="10AE3BE6" w14:textId="77777777" w:rsidR="002F2BB2" w:rsidRPr="00532C61" w:rsidRDefault="002F2BB2" w:rsidP="0072694B">
            <w:pPr>
              <w:jc w:val="right"/>
              <w:rPr>
                <w:sz w:val="22"/>
                <w:szCs w:val="22"/>
              </w:rPr>
            </w:pPr>
          </w:p>
        </w:tc>
      </w:tr>
      <w:tr w:rsidR="002F2BB2" w:rsidRPr="00532C61" w14:paraId="26912FCA" w14:textId="77777777" w:rsidTr="0072694B">
        <w:trPr>
          <w:trHeight w:val="300"/>
        </w:trPr>
        <w:tc>
          <w:tcPr>
            <w:tcW w:w="2625" w:type="pct"/>
            <w:shd w:val="clear" w:color="auto" w:fill="FFFFFF"/>
            <w:tcMar>
              <w:top w:w="0" w:type="dxa"/>
              <w:left w:w="45" w:type="dxa"/>
              <w:bottom w:w="0" w:type="dxa"/>
              <w:right w:w="45" w:type="dxa"/>
            </w:tcMar>
            <w:vAlign w:val="bottom"/>
          </w:tcPr>
          <w:p w14:paraId="3D9FD78A" w14:textId="77777777" w:rsidR="002F2BB2" w:rsidRPr="00532C61" w:rsidRDefault="002F2BB2" w:rsidP="0072694B">
            <w:pPr>
              <w:rPr>
                <w:sz w:val="22"/>
                <w:szCs w:val="22"/>
              </w:rPr>
            </w:pPr>
            <w:r w:rsidRPr="00532C61">
              <w:rPr>
                <w:sz w:val="22"/>
                <w:szCs w:val="22"/>
              </w:rPr>
              <w:t xml:space="preserve">    </w:t>
            </w:r>
            <w:r>
              <w:rPr>
                <w:sz w:val="22"/>
                <w:szCs w:val="22"/>
              </w:rPr>
              <w:t>No</w:t>
            </w:r>
          </w:p>
        </w:tc>
        <w:tc>
          <w:tcPr>
            <w:tcW w:w="875" w:type="pct"/>
            <w:shd w:val="clear" w:color="auto" w:fill="FFFFFF"/>
            <w:tcMar>
              <w:top w:w="0" w:type="dxa"/>
              <w:left w:w="45" w:type="dxa"/>
              <w:bottom w:w="0" w:type="dxa"/>
              <w:right w:w="45" w:type="dxa"/>
            </w:tcMar>
            <w:vAlign w:val="center"/>
          </w:tcPr>
          <w:p w14:paraId="381CAAEA" w14:textId="77777777" w:rsidR="002F2BB2" w:rsidRPr="00532C61" w:rsidRDefault="002F2BB2" w:rsidP="0072694B">
            <w:pPr>
              <w:jc w:val="right"/>
              <w:rPr>
                <w:bCs/>
                <w:sz w:val="22"/>
                <w:szCs w:val="22"/>
              </w:rPr>
            </w:pPr>
            <w:r>
              <w:rPr>
                <w:bCs/>
                <w:sz w:val="22"/>
                <w:szCs w:val="22"/>
              </w:rPr>
              <w:t>59</w:t>
            </w:r>
          </w:p>
        </w:tc>
        <w:tc>
          <w:tcPr>
            <w:tcW w:w="1500" w:type="pct"/>
            <w:shd w:val="clear" w:color="auto" w:fill="FFFFFF"/>
            <w:tcMar>
              <w:top w:w="0" w:type="dxa"/>
              <w:left w:w="45" w:type="dxa"/>
              <w:bottom w:w="0" w:type="dxa"/>
              <w:right w:w="45" w:type="dxa"/>
            </w:tcMar>
            <w:vAlign w:val="center"/>
          </w:tcPr>
          <w:p w14:paraId="3ED5AE6C" w14:textId="77777777" w:rsidR="002F2BB2" w:rsidRPr="00532C61" w:rsidRDefault="002F2BB2" w:rsidP="0072694B">
            <w:pPr>
              <w:jc w:val="right"/>
              <w:rPr>
                <w:sz w:val="22"/>
                <w:szCs w:val="22"/>
              </w:rPr>
            </w:pPr>
            <w:r>
              <w:rPr>
                <w:sz w:val="22"/>
                <w:szCs w:val="22"/>
              </w:rPr>
              <w:t>88.1</w:t>
            </w:r>
          </w:p>
        </w:tc>
      </w:tr>
      <w:tr w:rsidR="002F2BB2" w:rsidRPr="00532C61" w14:paraId="78FDD2EE" w14:textId="77777777" w:rsidTr="0072694B">
        <w:trPr>
          <w:trHeight w:val="300"/>
        </w:trPr>
        <w:tc>
          <w:tcPr>
            <w:tcW w:w="2625" w:type="pct"/>
            <w:shd w:val="clear" w:color="auto" w:fill="FFFFFF"/>
            <w:tcMar>
              <w:top w:w="0" w:type="dxa"/>
              <w:left w:w="45" w:type="dxa"/>
              <w:bottom w:w="0" w:type="dxa"/>
              <w:right w:w="45" w:type="dxa"/>
            </w:tcMar>
            <w:vAlign w:val="bottom"/>
          </w:tcPr>
          <w:p w14:paraId="2AE327F5" w14:textId="77777777" w:rsidR="002F2BB2" w:rsidRPr="00532C61" w:rsidRDefault="002F2BB2" w:rsidP="0072694B">
            <w:pPr>
              <w:rPr>
                <w:sz w:val="22"/>
                <w:szCs w:val="22"/>
              </w:rPr>
            </w:pPr>
            <w:r w:rsidRPr="00532C61">
              <w:rPr>
                <w:sz w:val="22"/>
                <w:szCs w:val="22"/>
              </w:rPr>
              <w:t xml:space="preserve">    </w:t>
            </w:r>
            <w:r>
              <w:rPr>
                <w:sz w:val="22"/>
                <w:szCs w:val="22"/>
              </w:rPr>
              <w:t>Yes</w:t>
            </w:r>
          </w:p>
        </w:tc>
        <w:tc>
          <w:tcPr>
            <w:tcW w:w="875" w:type="pct"/>
            <w:shd w:val="clear" w:color="auto" w:fill="FFFFFF"/>
            <w:tcMar>
              <w:top w:w="0" w:type="dxa"/>
              <w:left w:w="45" w:type="dxa"/>
              <w:bottom w:w="0" w:type="dxa"/>
              <w:right w:w="45" w:type="dxa"/>
            </w:tcMar>
            <w:vAlign w:val="center"/>
          </w:tcPr>
          <w:p w14:paraId="6780B818" w14:textId="77777777" w:rsidR="002F2BB2" w:rsidRPr="00532C61" w:rsidRDefault="002F2BB2" w:rsidP="0072694B">
            <w:pPr>
              <w:jc w:val="right"/>
              <w:rPr>
                <w:bCs/>
                <w:sz w:val="22"/>
                <w:szCs w:val="22"/>
              </w:rPr>
            </w:pPr>
            <w:r>
              <w:rPr>
                <w:bCs/>
                <w:sz w:val="22"/>
                <w:szCs w:val="22"/>
              </w:rPr>
              <w:t>8</w:t>
            </w:r>
          </w:p>
        </w:tc>
        <w:tc>
          <w:tcPr>
            <w:tcW w:w="1500" w:type="pct"/>
            <w:shd w:val="clear" w:color="auto" w:fill="FFFFFF"/>
            <w:tcMar>
              <w:top w:w="0" w:type="dxa"/>
              <w:left w:w="45" w:type="dxa"/>
              <w:bottom w:w="0" w:type="dxa"/>
              <w:right w:w="45" w:type="dxa"/>
            </w:tcMar>
            <w:vAlign w:val="center"/>
          </w:tcPr>
          <w:p w14:paraId="5023659B" w14:textId="77777777" w:rsidR="002F2BB2" w:rsidRPr="00532C61" w:rsidRDefault="002F2BB2" w:rsidP="0072694B">
            <w:pPr>
              <w:jc w:val="right"/>
              <w:rPr>
                <w:sz w:val="22"/>
                <w:szCs w:val="22"/>
              </w:rPr>
            </w:pPr>
            <w:r>
              <w:rPr>
                <w:sz w:val="22"/>
                <w:szCs w:val="22"/>
              </w:rPr>
              <w:t>11.9</w:t>
            </w:r>
          </w:p>
        </w:tc>
      </w:tr>
      <w:tr w:rsidR="002F2BB2" w:rsidRPr="00532C61" w14:paraId="69BC2C65" w14:textId="77777777" w:rsidTr="0072694B">
        <w:trPr>
          <w:trHeight w:val="300"/>
        </w:trPr>
        <w:tc>
          <w:tcPr>
            <w:tcW w:w="2625" w:type="pct"/>
            <w:shd w:val="clear" w:color="auto" w:fill="FFFFFF"/>
            <w:tcMar>
              <w:top w:w="0" w:type="dxa"/>
              <w:left w:w="45" w:type="dxa"/>
              <w:bottom w:w="0" w:type="dxa"/>
              <w:right w:w="45" w:type="dxa"/>
            </w:tcMar>
            <w:vAlign w:val="bottom"/>
          </w:tcPr>
          <w:p w14:paraId="3C91FCAE" w14:textId="77777777" w:rsidR="002F2BB2" w:rsidRPr="00CE4E3D" w:rsidRDefault="002F2BB2" w:rsidP="0072694B">
            <w:pPr>
              <w:rPr>
                <w:b/>
                <w:bCs/>
                <w:sz w:val="22"/>
                <w:szCs w:val="22"/>
              </w:rPr>
            </w:pPr>
            <w:r w:rsidRPr="00CE4E3D">
              <w:rPr>
                <w:b/>
                <w:bCs/>
                <w:sz w:val="22"/>
                <w:szCs w:val="22"/>
              </w:rPr>
              <w:t>Diagnosed with Anxiety Ever</w:t>
            </w:r>
          </w:p>
        </w:tc>
        <w:tc>
          <w:tcPr>
            <w:tcW w:w="875" w:type="pct"/>
            <w:shd w:val="clear" w:color="auto" w:fill="FFFFFF"/>
            <w:tcMar>
              <w:top w:w="0" w:type="dxa"/>
              <w:left w:w="45" w:type="dxa"/>
              <w:bottom w:w="0" w:type="dxa"/>
              <w:right w:w="45" w:type="dxa"/>
            </w:tcMar>
            <w:vAlign w:val="center"/>
          </w:tcPr>
          <w:p w14:paraId="479781BE" w14:textId="77777777" w:rsidR="002F2BB2" w:rsidRPr="00532C61" w:rsidRDefault="002F2BB2" w:rsidP="0072694B">
            <w:pPr>
              <w:jc w:val="right"/>
              <w:rPr>
                <w:bCs/>
                <w:sz w:val="22"/>
                <w:szCs w:val="22"/>
              </w:rPr>
            </w:pPr>
          </w:p>
        </w:tc>
        <w:tc>
          <w:tcPr>
            <w:tcW w:w="1500" w:type="pct"/>
            <w:shd w:val="clear" w:color="auto" w:fill="FFFFFF"/>
            <w:tcMar>
              <w:top w:w="0" w:type="dxa"/>
              <w:left w:w="45" w:type="dxa"/>
              <w:bottom w:w="0" w:type="dxa"/>
              <w:right w:w="45" w:type="dxa"/>
            </w:tcMar>
            <w:vAlign w:val="center"/>
          </w:tcPr>
          <w:p w14:paraId="1A592A65" w14:textId="77777777" w:rsidR="002F2BB2" w:rsidRPr="00532C61" w:rsidRDefault="002F2BB2" w:rsidP="0072694B">
            <w:pPr>
              <w:jc w:val="right"/>
              <w:rPr>
                <w:sz w:val="22"/>
                <w:szCs w:val="22"/>
              </w:rPr>
            </w:pPr>
          </w:p>
        </w:tc>
      </w:tr>
      <w:tr w:rsidR="002F2BB2" w:rsidRPr="00532C61" w14:paraId="41235C4E" w14:textId="77777777" w:rsidTr="0072694B">
        <w:trPr>
          <w:trHeight w:val="300"/>
        </w:trPr>
        <w:tc>
          <w:tcPr>
            <w:tcW w:w="2625" w:type="pct"/>
            <w:shd w:val="clear" w:color="auto" w:fill="FFFFFF"/>
            <w:tcMar>
              <w:top w:w="0" w:type="dxa"/>
              <w:left w:w="45" w:type="dxa"/>
              <w:bottom w:w="0" w:type="dxa"/>
              <w:right w:w="45" w:type="dxa"/>
            </w:tcMar>
            <w:vAlign w:val="bottom"/>
          </w:tcPr>
          <w:p w14:paraId="7300185F" w14:textId="77777777" w:rsidR="002F2BB2" w:rsidRPr="00532C61" w:rsidRDefault="002F2BB2" w:rsidP="0072694B">
            <w:pPr>
              <w:rPr>
                <w:sz w:val="22"/>
                <w:szCs w:val="22"/>
              </w:rPr>
            </w:pPr>
            <w:r>
              <w:rPr>
                <w:sz w:val="22"/>
                <w:szCs w:val="22"/>
              </w:rPr>
              <w:t xml:space="preserve">     No</w:t>
            </w:r>
          </w:p>
        </w:tc>
        <w:tc>
          <w:tcPr>
            <w:tcW w:w="875" w:type="pct"/>
            <w:shd w:val="clear" w:color="auto" w:fill="FFFFFF"/>
            <w:tcMar>
              <w:top w:w="0" w:type="dxa"/>
              <w:left w:w="45" w:type="dxa"/>
              <w:bottom w:w="0" w:type="dxa"/>
              <w:right w:w="45" w:type="dxa"/>
            </w:tcMar>
            <w:vAlign w:val="center"/>
          </w:tcPr>
          <w:p w14:paraId="65B3F41D" w14:textId="77777777" w:rsidR="002F2BB2" w:rsidRPr="00532C61" w:rsidRDefault="002F2BB2" w:rsidP="0072694B">
            <w:pPr>
              <w:jc w:val="right"/>
              <w:rPr>
                <w:bCs/>
                <w:sz w:val="22"/>
                <w:szCs w:val="22"/>
              </w:rPr>
            </w:pPr>
            <w:r>
              <w:rPr>
                <w:bCs/>
                <w:sz w:val="22"/>
                <w:szCs w:val="22"/>
              </w:rPr>
              <w:t>62</w:t>
            </w:r>
          </w:p>
        </w:tc>
        <w:tc>
          <w:tcPr>
            <w:tcW w:w="1500" w:type="pct"/>
            <w:shd w:val="clear" w:color="auto" w:fill="FFFFFF"/>
            <w:tcMar>
              <w:top w:w="0" w:type="dxa"/>
              <w:left w:w="45" w:type="dxa"/>
              <w:bottom w:w="0" w:type="dxa"/>
              <w:right w:w="45" w:type="dxa"/>
            </w:tcMar>
            <w:vAlign w:val="center"/>
          </w:tcPr>
          <w:p w14:paraId="43A8E343" w14:textId="77777777" w:rsidR="002F2BB2" w:rsidRPr="00532C61" w:rsidRDefault="002F2BB2" w:rsidP="0072694B">
            <w:pPr>
              <w:jc w:val="right"/>
              <w:rPr>
                <w:sz w:val="22"/>
                <w:szCs w:val="22"/>
              </w:rPr>
            </w:pPr>
            <w:r>
              <w:rPr>
                <w:sz w:val="22"/>
                <w:szCs w:val="22"/>
              </w:rPr>
              <w:t>92.5</w:t>
            </w:r>
          </w:p>
        </w:tc>
      </w:tr>
      <w:tr w:rsidR="002F2BB2" w:rsidRPr="00532C61" w14:paraId="380DDFDD" w14:textId="77777777" w:rsidTr="0072694B">
        <w:trPr>
          <w:trHeight w:val="300"/>
        </w:trPr>
        <w:tc>
          <w:tcPr>
            <w:tcW w:w="2625" w:type="pct"/>
            <w:shd w:val="clear" w:color="auto" w:fill="FFFFFF"/>
            <w:tcMar>
              <w:top w:w="0" w:type="dxa"/>
              <w:left w:w="45" w:type="dxa"/>
              <w:bottom w:w="0" w:type="dxa"/>
              <w:right w:w="45" w:type="dxa"/>
            </w:tcMar>
            <w:vAlign w:val="bottom"/>
          </w:tcPr>
          <w:p w14:paraId="0498E372" w14:textId="77777777" w:rsidR="002F2BB2" w:rsidRPr="00532C61" w:rsidRDefault="002F2BB2" w:rsidP="0072694B">
            <w:pPr>
              <w:rPr>
                <w:sz w:val="22"/>
                <w:szCs w:val="22"/>
              </w:rPr>
            </w:pPr>
            <w:r>
              <w:rPr>
                <w:sz w:val="22"/>
                <w:szCs w:val="22"/>
              </w:rPr>
              <w:t xml:space="preserve">     Yes</w:t>
            </w:r>
          </w:p>
        </w:tc>
        <w:tc>
          <w:tcPr>
            <w:tcW w:w="875" w:type="pct"/>
            <w:shd w:val="clear" w:color="auto" w:fill="FFFFFF"/>
            <w:tcMar>
              <w:top w:w="0" w:type="dxa"/>
              <w:left w:w="45" w:type="dxa"/>
              <w:bottom w:w="0" w:type="dxa"/>
              <w:right w:w="45" w:type="dxa"/>
            </w:tcMar>
            <w:vAlign w:val="center"/>
          </w:tcPr>
          <w:p w14:paraId="785A4E59" w14:textId="77777777" w:rsidR="002F2BB2" w:rsidRPr="00532C61" w:rsidRDefault="002F2BB2" w:rsidP="0072694B">
            <w:pPr>
              <w:jc w:val="right"/>
              <w:rPr>
                <w:bCs/>
                <w:sz w:val="22"/>
                <w:szCs w:val="22"/>
              </w:rPr>
            </w:pPr>
            <w:r>
              <w:rPr>
                <w:bCs/>
                <w:sz w:val="22"/>
                <w:szCs w:val="22"/>
              </w:rPr>
              <w:t>5</w:t>
            </w:r>
          </w:p>
        </w:tc>
        <w:tc>
          <w:tcPr>
            <w:tcW w:w="1500" w:type="pct"/>
            <w:shd w:val="clear" w:color="auto" w:fill="FFFFFF"/>
            <w:tcMar>
              <w:top w:w="0" w:type="dxa"/>
              <w:left w:w="45" w:type="dxa"/>
              <w:bottom w:w="0" w:type="dxa"/>
              <w:right w:w="45" w:type="dxa"/>
            </w:tcMar>
            <w:vAlign w:val="center"/>
          </w:tcPr>
          <w:p w14:paraId="3B7CA68A" w14:textId="77777777" w:rsidR="002F2BB2" w:rsidRPr="00532C61" w:rsidRDefault="002F2BB2" w:rsidP="0072694B">
            <w:pPr>
              <w:jc w:val="right"/>
              <w:rPr>
                <w:sz w:val="22"/>
                <w:szCs w:val="22"/>
              </w:rPr>
            </w:pPr>
            <w:r>
              <w:rPr>
                <w:sz w:val="22"/>
                <w:szCs w:val="22"/>
              </w:rPr>
              <w:t>7.5</w:t>
            </w:r>
          </w:p>
        </w:tc>
      </w:tr>
      <w:tr w:rsidR="002F2BB2" w:rsidRPr="00532C61" w14:paraId="73463AB0" w14:textId="77777777" w:rsidTr="0072694B">
        <w:trPr>
          <w:trHeight w:val="300"/>
        </w:trPr>
        <w:tc>
          <w:tcPr>
            <w:tcW w:w="2625" w:type="pct"/>
            <w:shd w:val="clear" w:color="auto" w:fill="FFFFFF"/>
            <w:tcMar>
              <w:top w:w="0" w:type="dxa"/>
              <w:left w:w="45" w:type="dxa"/>
              <w:bottom w:w="0" w:type="dxa"/>
              <w:right w:w="45" w:type="dxa"/>
            </w:tcMar>
            <w:vAlign w:val="bottom"/>
          </w:tcPr>
          <w:p w14:paraId="0751F210" w14:textId="77777777" w:rsidR="002F2BB2" w:rsidRPr="00CE4E3D" w:rsidRDefault="002F2BB2" w:rsidP="0072694B">
            <w:pPr>
              <w:rPr>
                <w:b/>
                <w:bCs/>
                <w:sz w:val="22"/>
                <w:szCs w:val="22"/>
              </w:rPr>
            </w:pPr>
            <w:r w:rsidRPr="00CE4E3D">
              <w:rPr>
                <w:b/>
                <w:bCs/>
                <w:sz w:val="22"/>
                <w:szCs w:val="22"/>
              </w:rPr>
              <w:t xml:space="preserve">Diagnosed with Substance Use Disorder Ever </w:t>
            </w:r>
          </w:p>
        </w:tc>
        <w:tc>
          <w:tcPr>
            <w:tcW w:w="875" w:type="pct"/>
            <w:shd w:val="clear" w:color="auto" w:fill="FFFFFF"/>
            <w:tcMar>
              <w:top w:w="0" w:type="dxa"/>
              <w:left w:w="45" w:type="dxa"/>
              <w:bottom w:w="0" w:type="dxa"/>
              <w:right w:w="45" w:type="dxa"/>
            </w:tcMar>
            <w:vAlign w:val="center"/>
          </w:tcPr>
          <w:p w14:paraId="6DBFFBF1" w14:textId="77777777" w:rsidR="002F2BB2" w:rsidRPr="00532C61" w:rsidRDefault="002F2BB2" w:rsidP="0072694B">
            <w:pPr>
              <w:jc w:val="right"/>
              <w:rPr>
                <w:bCs/>
                <w:sz w:val="22"/>
                <w:szCs w:val="22"/>
              </w:rPr>
            </w:pPr>
          </w:p>
        </w:tc>
        <w:tc>
          <w:tcPr>
            <w:tcW w:w="1500" w:type="pct"/>
            <w:shd w:val="clear" w:color="auto" w:fill="FFFFFF"/>
            <w:tcMar>
              <w:top w:w="0" w:type="dxa"/>
              <w:left w:w="45" w:type="dxa"/>
              <w:bottom w:w="0" w:type="dxa"/>
              <w:right w:w="45" w:type="dxa"/>
            </w:tcMar>
            <w:vAlign w:val="center"/>
          </w:tcPr>
          <w:p w14:paraId="79314C3A" w14:textId="77777777" w:rsidR="002F2BB2" w:rsidRPr="00532C61" w:rsidRDefault="002F2BB2" w:rsidP="0072694B">
            <w:pPr>
              <w:jc w:val="right"/>
              <w:rPr>
                <w:sz w:val="22"/>
                <w:szCs w:val="22"/>
              </w:rPr>
            </w:pPr>
          </w:p>
        </w:tc>
      </w:tr>
      <w:tr w:rsidR="002F2BB2" w:rsidRPr="00532C61" w14:paraId="6752A594" w14:textId="77777777" w:rsidTr="0072694B">
        <w:trPr>
          <w:trHeight w:val="300"/>
        </w:trPr>
        <w:tc>
          <w:tcPr>
            <w:tcW w:w="2625" w:type="pct"/>
            <w:shd w:val="clear" w:color="auto" w:fill="FFFFFF"/>
            <w:tcMar>
              <w:top w:w="0" w:type="dxa"/>
              <w:left w:w="45" w:type="dxa"/>
              <w:bottom w:w="0" w:type="dxa"/>
              <w:right w:w="45" w:type="dxa"/>
            </w:tcMar>
            <w:vAlign w:val="bottom"/>
          </w:tcPr>
          <w:p w14:paraId="6846683F" w14:textId="77777777" w:rsidR="002F2BB2" w:rsidRDefault="002F2BB2" w:rsidP="0072694B">
            <w:pPr>
              <w:rPr>
                <w:sz w:val="22"/>
                <w:szCs w:val="22"/>
              </w:rPr>
            </w:pPr>
            <w:r>
              <w:rPr>
                <w:sz w:val="22"/>
                <w:szCs w:val="22"/>
              </w:rPr>
              <w:t xml:space="preserve">     No</w:t>
            </w:r>
          </w:p>
        </w:tc>
        <w:tc>
          <w:tcPr>
            <w:tcW w:w="875" w:type="pct"/>
            <w:shd w:val="clear" w:color="auto" w:fill="FFFFFF"/>
            <w:tcMar>
              <w:top w:w="0" w:type="dxa"/>
              <w:left w:w="45" w:type="dxa"/>
              <w:bottom w:w="0" w:type="dxa"/>
              <w:right w:w="45" w:type="dxa"/>
            </w:tcMar>
            <w:vAlign w:val="center"/>
          </w:tcPr>
          <w:p w14:paraId="701A31E5" w14:textId="77777777" w:rsidR="002F2BB2" w:rsidRPr="00532C61" w:rsidRDefault="002F2BB2" w:rsidP="0072694B">
            <w:pPr>
              <w:jc w:val="right"/>
              <w:rPr>
                <w:bCs/>
                <w:sz w:val="22"/>
                <w:szCs w:val="22"/>
              </w:rPr>
            </w:pPr>
            <w:r>
              <w:rPr>
                <w:bCs/>
                <w:sz w:val="22"/>
                <w:szCs w:val="22"/>
              </w:rPr>
              <w:t>61</w:t>
            </w:r>
          </w:p>
        </w:tc>
        <w:tc>
          <w:tcPr>
            <w:tcW w:w="1500" w:type="pct"/>
            <w:shd w:val="clear" w:color="auto" w:fill="FFFFFF"/>
            <w:tcMar>
              <w:top w:w="0" w:type="dxa"/>
              <w:left w:w="45" w:type="dxa"/>
              <w:bottom w:w="0" w:type="dxa"/>
              <w:right w:w="45" w:type="dxa"/>
            </w:tcMar>
            <w:vAlign w:val="center"/>
          </w:tcPr>
          <w:p w14:paraId="37F90572" w14:textId="77777777" w:rsidR="002F2BB2" w:rsidRPr="00532C61" w:rsidRDefault="002F2BB2" w:rsidP="0072694B">
            <w:pPr>
              <w:jc w:val="right"/>
              <w:rPr>
                <w:sz w:val="22"/>
                <w:szCs w:val="22"/>
              </w:rPr>
            </w:pPr>
            <w:r>
              <w:rPr>
                <w:sz w:val="22"/>
                <w:szCs w:val="22"/>
              </w:rPr>
              <w:t>91.0</w:t>
            </w:r>
          </w:p>
        </w:tc>
      </w:tr>
      <w:tr w:rsidR="002F2BB2" w:rsidRPr="00532C61" w14:paraId="4F31EB67" w14:textId="77777777" w:rsidTr="0072694B">
        <w:trPr>
          <w:trHeight w:val="300"/>
        </w:trPr>
        <w:tc>
          <w:tcPr>
            <w:tcW w:w="2625" w:type="pct"/>
            <w:tcBorders>
              <w:bottom w:val="single" w:sz="4" w:space="0" w:color="auto"/>
            </w:tcBorders>
            <w:shd w:val="clear" w:color="auto" w:fill="FFFFFF"/>
            <w:tcMar>
              <w:top w:w="0" w:type="dxa"/>
              <w:left w:w="45" w:type="dxa"/>
              <w:bottom w:w="0" w:type="dxa"/>
              <w:right w:w="45" w:type="dxa"/>
            </w:tcMar>
            <w:vAlign w:val="bottom"/>
          </w:tcPr>
          <w:p w14:paraId="68A6FD53" w14:textId="77777777" w:rsidR="002F2BB2" w:rsidRDefault="002F2BB2" w:rsidP="0072694B">
            <w:pPr>
              <w:rPr>
                <w:sz w:val="22"/>
                <w:szCs w:val="22"/>
              </w:rPr>
            </w:pPr>
            <w:r>
              <w:rPr>
                <w:sz w:val="22"/>
                <w:szCs w:val="22"/>
              </w:rPr>
              <w:t xml:space="preserve">     Yes</w:t>
            </w:r>
          </w:p>
        </w:tc>
        <w:tc>
          <w:tcPr>
            <w:tcW w:w="875" w:type="pct"/>
            <w:tcBorders>
              <w:bottom w:val="single" w:sz="4" w:space="0" w:color="auto"/>
            </w:tcBorders>
            <w:shd w:val="clear" w:color="auto" w:fill="FFFFFF"/>
            <w:tcMar>
              <w:top w:w="0" w:type="dxa"/>
              <w:left w:w="45" w:type="dxa"/>
              <w:bottom w:w="0" w:type="dxa"/>
              <w:right w:w="45" w:type="dxa"/>
            </w:tcMar>
            <w:vAlign w:val="center"/>
          </w:tcPr>
          <w:p w14:paraId="69513BD5" w14:textId="77777777" w:rsidR="002F2BB2" w:rsidRPr="00532C61" w:rsidRDefault="002F2BB2" w:rsidP="0072694B">
            <w:pPr>
              <w:jc w:val="right"/>
              <w:rPr>
                <w:bCs/>
                <w:sz w:val="22"/>
                <w:szCs w:val="22"/>
              </w:rPr>
            </w:pPr>
            <w:r>
              <w:rPr>
                <w:bCs/>
                <w:sz w:val="22"/>
                <w:szCs w:val="22"/>
              </w:rPr>
              <w:t>6</w:t>
            </w:r>
          </w:p>
        </w:tc>
        <w:tc>
          <w:tcPr>
            <w:tcW w:w="1500" w:type="pct"/>
            <w:tcBorders>
              <w:bottom w:val="single" w:sz="4" w:space="0" w:color="auto"/>
            </w:tcBorders>
            <w:shd w:val="clear" w:color="auto" w:fill="FFFFFF"/>
            <w:tcMar>
              <w:top w:w="0" w:type="dxa"/>
              <w:left w:w="45" w:type="dxa"/>
              <w:bottom w:w="0" w:type="dxa"/>
              <w:right w:w="45" w:type="dxa"/>
            </w:tcMar>
            <w:vAlign w:val="center"/>
          </w:tcPr>
          <w:p w14:paraId="6C713CAF" w14:textId="77777777" w:rsidR="002F2BB2" w:rsidRPr="00532C61" w:rsidRDefault="002F2BB2" w:rsidP="0072694B">
            <w:pPr>
              <w:jc w:val="right"/>
              <w:rPr>
                <w:sz w:val="22"/>
                <w:szCs w:val="22"/>
              </w:rPr>
            </w:pPr>
            <w:r>
              <w:rPr>
                <w:sz w:val="22"/>
                <w:szCs w:val="22"/>
              </w:rPr>
              <w:t>9.0</w:t>
            </w:r>
          </w:p>
        </w:tc>
      </w:tr>
    </w:tbl>
    <w:p w14:paraId="4920A290" w14:textId="77777777" w:rsidR="002F2BB2" w:rsidRPr="00D156A8" w:rsidRDefault="002F2BB2" w:rsidP="002F2BB2">
      <w:pPr>
        <w:pStyle w:val="NoSpacing"/>
        <w:rPr>
          <w:rFonts w:ascii="Times New Roman" w:hAnsi="Times New Roman" w:cs="Times New Roman"/>
          <w:b/>
          <w:i/>
          <w:iCs/>
        </w:rPr>
      </w:pPr>
      <w:r w:rsidRPr="00D156A8">
        <w:rPr>
          <w:rFonts w:ascii="Times New Roman" w:hAnsi="Times New Roman" w:cs="Times New Roman"/>
          <w:i/>
          <w:iCs/>
        </w:rPr>
        <w:t>gbMSM = gay and bisexual men who have sex with men</w:t>
      </w:r>
      <w:r>
        <w:rPr>
          <w:rFonts w:ascii="Times New Roman" w:hAnsi="Times New Roman" w:cs="Times New Roman"/>
          <w:i/>
          <w:iCs/>
        </w:rPr>
        <w:t>;</w:t>
      </w:r>
      <w:r w:rsidRPr="00D156A8">
        <w:rPr>
          <w:rFonts w:ascii="Times New Roman" w:hAnsi="Times New Roman" w:cs="Times New Roman"/>
          <w:i/>
          <w:iCs/>
        </w:rPr>
        <w:t xml:space="preserve"> Q</w:t>
      </w:r>
      <w:proofErr w:type="gramStart"/>
      <w:r w:rsidRPr="00D156A8">
        <w:rPr>
          <w:rFonts w:ascii="Times New Roman" w:hAnsi="Times New Roman" w:cs="Times New Roman"/>
          <w:i/>
          <w:iCs/>
        </w:rPr>
        <w:t>1,Q</w:t>
      </w:r>
      <w:proofErr w:type="gramEnd"/>
      <w:r w:rsidRPr="00D156A8">
        <w:rPr>
          <w:rFonts w:ascii="Times New Roman" w:hAnsi="Times New Roman" w:cs="Times New Roman"/>
          <w:i/>
          <w:iCs/>
        </w:rPr>
        <w:t>3 = first quartile, third quartile values</w:t>
      </w:r>
    </w:p>
    <w:p w14:paraId="0409477B" w14:textId="77777777" w:rsidR="002F2BB2" w:rsidRDefault="002F2BB2" w:rsidP="002F2BB2">
      <w:pPr>
        <w:pStyle w:val="NoSpacing"/>
        <w:rPr>
          <w:rFonts w:ascii="Times New Roman" w:hAnsi="Times New Roman" w:cs="Times New Roman"/>
          <w:b/>
        </w:rPr>
      </w:pPr>
    </w:p>
    <w:p w14:paraId="7307F300" w14:textId="77777777" w:rsidR="002F2BB2" w:rsidRDefault="002F2BB2" w:rsidP="002F2BB2">
      <w:pPr>
        <w:pStyle w:val="NoSpacing"/>
        <w:rPr>
          <w:rFonts w:ascii="Times New Roman" w:hAnsi="Times New Roman" w:cs="Times New Roman"/>
          <w:b/>
        </w:rPr>
      </w:pPr>
    </w:p>
    <w:p w14:paraId="1302457B" w14:textId="77777777" w:rsidR="002F2BB2" w:rsidRDefault="002F2BB2" w:rsidP="002F2BB2">
      <w:pPr>
        <w:pStyle w:val="NoSpacing"/>
        <w:rPr>
          <w:rFonts w:ascii="Times New Roman" w:hAnsi="Times New Roman" w:cs="Times New Roman"/>
          <w:b/>
        </w:rPr>
      </w:pPr>
    </w:p>
    <w:p w14:paraId="59304A89" w14:textId="77777777" w:rsidR="002F2BB2" w:rsidRDefault="002F2BB2" w:rsidP="002F2BB2">
      <w:pPr>
        <w:pStyle w:val="NoSpacing"/>
        <w:rPr>
          <w:rFonts w:ascii="Times New Roman" w:hAnsi="Times New Roman" w:cs="Times New Roman"/>
          <w:b/>
        </w:rPr>
      </w:pPr>
    </w:p>
    <w:p w14:paraId="2CA85538" w14:textId="77777777" w:rsidR="002F2BB2" w:rsidRDefault="002F2BB2" w:rsidP="002F2BB2">
      <w:pPr>
        <w:pStyle w:val="NoSpacing"/>
        <w:rPr>
          <w:rFonts w:ascii="Times New Roman" w:hAnsi="Times New Roman" w:cs="Times New Roman"/>
          <w:b/>
        </w:rPr>
      </w:pPr>
    </w:p>
    <w:p w14:paraId="50DA0AF4" w14:textId="77777777" w:rsidR="002F2BB2" w:rsidRDefault="002F2BB2" w:rsidP="002F2BB2">
      <w:pPr>
        <w:pStyle w:val="NoSpacing"/>
        <w:rPr>
          <w:rFonts w:ascii="Times New Roman" w:hAnsi="Times New Roman" w:cs="Times New Roman"/>
          <w:b/>
        </w:rPr>
      </w:pPr>
    </w:p>
    <w:p w14:paraId="57E302AA" w14:textId="77777777" w:rsidR="002F2BB2" w:rsidRDefault="002F2BB2" w:rsidP="002F2BB2">
      <w:pPr>
        <w:pStyle w:val="NoSpacing"/>
        <w:rPr>
          <w:rFonts w:ascii="Times New Roman" w:hAnsi="Times New Roman" w:cs="Times New Roman"/>
          <w:b/>
        </w:rPr>
      </w:pPr>
    </w:p>
    <w:p w14:paraId="3AEA0D4C" w14:textId="77777777" w:rsidR="002F2BB2" w:rsidRDefault="002F2BB2" w:rsidP="002F2BB2">
      <w:pPr>
        <w:pStyle w:val="NoSpacing"/>
        <w:rPr>
          <w:rFonts w:ascii="Times New Roman" w:hAnsi="Times New Roman" w:cs="Times New Roman"/>
          <w:b/>
        </w:rPr>
      </w:pPr>
    </w:p>
    <w:p w14:paraId="400CF8C6" w14:textId="77777777" w:rsidR="002F2BB2" w:rsidRDefault="002F2BB2" w:rsidP="002F2BB2">
      <w:pPr>
        <w:pStyle w:val="NoSpacing"/>
        <w:rPr>
          <w:rFonts w:ascii="Times New Roman" w:hAnsi="Times New Roman" w:cs="Times New Roman"/>
          <w:b/>
        </w:rPr>
      </w:pPr>
    </w:p>
    <w:p w14:paraId="4CB08771" w14:textId="77777777" w:rsidR="002F2BB2" w:rsidRDefault="002F2BB2" w:rsidP="002F2BB2">
      <w:pPr>
        <w:pStyle w:val="NoSpacing"/>
        <w:rPr>
          <w:rFonts w:ascii="Times New Roman" w:hAnsi="Times New Roman" w:cs="Times New Roman"/>
          <w:b/>
        </w:rPr>
        <w:sectPr w:rsidR="002F2BB2" w:rsidSect="000F59B2">
          <w:pgSz w:w="12240" w:h="15840"/>
          <w:pgMar w:top="1440" w:right="1440" w:bottom="1440" w:left="1440" w:header="708" w:footer="708" w:gutter="0"/>
          <w:cols w:space="708"/>
          <w:docGrid w:linePitch="360"/>
        </w:sectPr>
      </w:pPr>
    </w:p>
    <w:p w14:paraId="2B48C6C7" w14:textId="77777777" w:rsidR="002F2BB2" w:rsidRDefault="002F2BB2" w:rsidP="002F2BB2">
      <w:pPr>
        <w:pStyle w:val="NoSpacing"/>
        <w:rPr>
          <w:rFonts w:ascii="Times New Roman" w:hAnsi="Times New Roman" w:cs="Times New Roman"/>
          <w:b/>
        </w:rPr>
      </w:pPr>
      <w:r w:rsidRPr="00532C61">
        <w:rPr>
          <w:rFonts w:ascii="Times New Roman" w:hAnsi="Times New Roman" w:cs="Times New Roman"/>
          <w:b/>
        </w:rPr>
        <w:lastRenderedPageBreak/>
        <w:t xml:space="preserve">Table </w:t>
      </w:r>
      <w:r>
        <w:rPr>
          <w:rFonts w:ascii="Times New Roman" w:hAnsi="Times New Roman" w:cs="Times New Roman"/>
          <w:b/>
        </w:rPr>
        <w:t>2</w:t>
      </w:r>
      <w:r w:rsidRPr="00532C61">
        <w:rPr>
          <w:rFonts w:ascii="Times New Roman" w:hAnsi="Times New Roman" w:cs="Times New Roman"/>
          <w:b/>
        </w:rPr>
        <w:t>: Bivariate analysis of associations of methamphetamine use reduction versus no reduction</w:t>
      </w:r>
      <w:r>
        <w:rPr>
          <w:rFonts w:ascii="Times New Roman" w:hAnsi="Times New Roman" w:cs="Times New Roman"/>
          <w:b/>
        </w:rPr>
        <w:t xml:space="preserve"> among gbMSM who reported frequent use between 2012-2015 in Vancouver, Canada (n=67)</w:t>
      </w:r>
    </w:p>
    <w:p w14:paraId="21FE9A22" w14:textId="77777777" w:rsidR="002F2BB2" w:rsidRPr="00DC7656" w:rsidRDefault="002F2BB2" w:rsidP="002F2BB2">
      <w:pPr>
        <w:pStyle w:val="NoSpacing"/>
        <w:rPr>
          <w:rFonts w:ascii="Times New Roman" w:hAnsi="Times New Roman" w:cs="Times New Roman"/>
          <w:b/>
        </w:rPr>
      </w:pPr>
    </w:p>
    <w:tbl>
      <w:tblPr>
        <w:tblW w:w="5000" w:type="pct"/>
        <w:tblCellMar>
          <w:left w:w="0" w:type="dxa"/>
          <w:right w:w="0" w:type="dxa"/>
        </w:tblCellMar>
        <w:tblLook w:val="04A0" w:firstRow="1" w:lastRow="0" w:firstColumn="1" w:lastColumn="0" w:noHBand="0" w:noVBand="1"/>
      </w:tblPr>
      <w:tblGrid>
        <w:gridCol w:w="3722"/>
        <w:gridCol w:w="876"/>
        <w:gridCol w:w="732"/>
        <w:gridCol w:w="876"/>
        <w:gridCol w:w="818"/>
        <w:gridCol w:w="876"/>
        <w:gridCol w:w="700"/>
        <w:gridCol w:w="760"/>
      </w:tblGrid>
      <w:tr w:rsidR="002F2BB2" w:rsidRPr="00532C61" w14:paraId="0695B592" w14:textId="77777777" w:rsidTr="0072694B">
        <w:trPr>
          <w:trHeight w:val="300"/>
        </w:trPr>
        <w:tc>
          <w:tcPr>
            <w:tcW w:w="1988" w:type="pct"/>
            <w:tcBorders>
              <w:top w:val="single" w:sz="4" w:space="0" w:color="auto"/>
            </w:tcBorders>
            <w:tcMar>
              <w:top w:w="0" w:type="dxa"/>
              <w:left w:w="45" w:type="dxa"/>
              <w:bottom w:w="0" w:type="dxa"/>
              <w:right w:w="45" w:type="dxa"/>
            </w:tcMar>
            <w:vAlign w:val="center"/>
            <w:hideMark/>
          </w:tcPr>
          <w:p w14:paraId="3F6BDC06" w14:textId="77777777" w:rsidR="002F2BB2" w:rsidRPr="00532C61" w:rsidRDefault="002F2BB2" w:rsidP="0072694B">
            <w:pPr>
              <w:jc w:val="center"/>
              <w:rPr>
                <w:b/>
                <w:bCs/>
                <w:color w:val="000000"/>
                <w:sz w:val="22"/>
                <w:szCs w:val="22"/>
              </w:rPr>
            </w:pPr>
          </w:p>
        </w:tc>
        <w:tc>
          <w:tcPr>
            <w:tcW w:w="859" w:type="pct"/>
            <w:gridSpan w:val="2"/>
            <w:tcBorders>
              <w:top w:val="single" w:sz="4" w:space="0" w:color="auto"/>
            </w:tcBorders>
            <w:tcMar>
              <w:top w:w="0" w:type="dxa"/>
              <w:left w:w="45" w:type="dxa"/>
              <w:bottom w:w="0" w:type="dxa"/>
              <w:right w:w="45" w:type="dxa"/>
            </w:tcMar>
            <w:vAlign w:val="bottom"/>
            <w:hideMark/>
          </w:tcPr>
          <w:p w14:paraId="27E4AB92" w14:textId="77777777" w:rsidR="002F2BB2" w:rsidRPr="00532C61" w:rsidRDefault="002F2BB2" w:rsidP="0072694B">
            <w:pPr>
              <w:jc w:val="center"/>
              <w:rPr>
                <w:b/>
                <w:bCs/>
                <w:color w:val="000000"/>
                <w:sz w:val="22"/>
                <w:szCs w:val="22"/>
              </w:rPr>
            </w:pPr>
            <w:r w:rsidRPr="00532C61">
              <w:rPr>
                <w:b/>
                <w:bCs/>
                <w:color w:val="000000"/>
                <w:sz w:val="22"/>
                <w:szCs w:val="22"/>
              </w:rPr>
              <w:t>All Participants</w:t>
            </w:r>
          </w:p>
        </w:tc>
        <w:tc>
          <w:tcPr>
            <w:tcW w:w="905" w:type="pct"/>
            <w:gridSpan w:val="2"/>
            <w:tcBorders>
              <w:top w:val="single" w:sz="4" w:space="0" w:color="auto"/>
            </w:tcBorders>
            <w:tcMar>
              <w:top w:w="0" w:type="dxa"/>
              <w:left w:w="45" w:type="dxa"/>
              <w:bottom w:w="0" w:type="dxa"/>
              <w:right w:w="45" w:type="dxa"/>
            </w:tcMar>
            <w:vAlign w:val="bottom"/>
            <w:hideMark/>
          </w:tcPr>
          <w:p w14:paraId="0A96CE45" w14:textId="77777777" w:rsidR="002F2BB2" w:rsidRPr="00532C61" w:rsidRDefault="002F2BB2" w:rsidP="0072694B">
            <w:pPr>
              <w:jc w:val="center"/>
              <w:rPr>
                <w:b/>
                <w:bCs/>
                <w:color w:val="000000"/>
                <w:sz w:val="22"/>
                <w:szCs w:val="22"/>
              </w:rPr>
            </w:pPr>
            <w:r w:rsidRPr="00532C61">
              <w:rPr>
                <w:b/>
                <w:bCs/>
                <w:color w:val="000000"/>
                <w:sz w:val="22"/>
                <w:szCs w:val="22"/>
              </w:rPr>
              <w:t>Never reduced</w:t>
            </w:r>
          </w:p>
        </w:tc>
        <w:tc>
          <w:tcPr>
            <w:tcW w:w="842" w:type="pct"/>
            <w:gridSpan w:val="2"/>
            <w:tcBorders>
              <w:top w:val="single" w:sz="4" w:space="0" w:color="auto"/>
            </w:tcBorders>
            <w:tcMar>
              <w:top w:w="0" w:type="dxa"/>
              <w:left w:w="45" w:type="dxa"/>
              <w:bottom w:w="0" w:type="dxa"/>
              <w:right w:w="45" w:type="dxa"/>
            </w:tcMar>
            <w:vAlign w:val="center"/>
            <w:hideMark/>
          </w:tcPr>
          <w:p w14:paraId="5673D274" w14:textId="77777777" w:rsidR="002F2BB2" w:rsidRPr="00532C61" w:rsidRDefault="002F2BB2" w:rsidP="0072694B">
            <w:pPr>
              <w:jc w:val="center"/>
              <w:rPr>
                <w:sz w:val="22"/>
                <w:szCs w:val="22"/>
              </w:rPr>
            </w:pPr>
            <w:r w:rsidRPr="00532C61">
              <w:rPr>
                <w:b/>
                <w:bCs/>
                <w:color w:val="000000"/>
                <w:sz w:val="22"/>
                <w:szCs w:val="22"/>
              </w:rPr>
              <w:t>Ever reduced</w:t>
            </w:r>
          </w:p>
        </w:tc>
        <w:tc>
          <w:tcPr>
            <w:tcW w:w="406" w:type="pct"/>
            <w:tcBorders>
              <w:top w:val="single" w:sz="4" w:space="0" w:color="auto"/>
            </w:tcBorders>
            <w:vAlign w:val="bottom"/>
          </w:tcPr>
          <w:p w14:paraId="345D9E7B" w14:textId="77777777" w:rsidR="002F2BB2" w:rsidRPr="00532C61" w:rsidRDefault="002F2BB2" w:rsidP="0072694B">
            <w:pPr>
              <w:rPr>
                <w:sz w:val="22"/>
                <w:szCs w:val="22"/>
              </w:rPr>
            </w:pPr>
          </w:p>
        </w:tc>
      </w:tr>
      <w:tr w:rsidR="002F2BB2" w:rsidRPr="00532C61" w14:paraId="29CB30CC" w14:textId="77777777" w:rsidTr="0072694B">
        <w:trPr>
          <w:trHeight w:val="315"/>
        </w:trPr>
        <w:tc>
          <w:tcPr>
            <w:tcW w:w="1988" w:type="pct"/>
            <w:tcBorders>
              <w:bottom w:val="single" w:sz="4" w:space="0" w:color="auto"/>
            </w:tcBorders>
            <w:tcMar>
              <w:top w:w="0" w:type="dxa"/>
              <w:left w:w="45" w:type="dxa"/>
              <w:bottom w:w="0" w:type="dxa"/>
              <w:right w:w="45" w:type="dxa"/>
            </w:tcMar>
            <w:vAlign w:val="center"/>
            <w:hideMark/>
          </w:tcPr>
          <w:p w14:paraId="38635032" w14:textId="77777777" w:rsidR="002F2BB2" w:rsidRPr="00532C61" w:rsidRDefault="002F2BB2" w:rsidP="0072694B">
            <w:pPr>
              <w:jc w:val="center"/>
              <w:rPr>
                <w:b/>
                <w:bCs/>
                <w:color w:val="000000"/>
                <w:sz w:val="22"/>
                <w:szCs w:val="22"/>
              </w:rPr>
            </w:pPr>
          </w:p>
        </w:tc>
        <w:tc>
          <w:tcPr>
            <w:tcW w:w="468" w:type="pct"/>
            <w:tcBorders>
              <w:bottom w:val="single" w:sz="4" w:space="0" w:color="auto"/>
            </w:tcBorders>
            <w:tcMar>
              <w:top w:w="0" w:type="dxa"/>
              <w:left w:w="45" w:type="dxa"/>
              <w:bottom w:w="0" w:type="dxa"/>
              <w:right w:w="45" w:type="dxa"/>
            </w:tcMar>
            <w:vAlign w:val="center"/>
            <w:hideMark/>
          </w:tcPr>
          <w:p w14:paraId="550863CE" w14:textId="77777777" w:rsidR="002F2BB2" w:rsidRPr="00532C61" w:rsidRDefault="002F2BB2" w:rsidP="0072694B">
            <w:pPr>
              <w:jc w:val="center"/>
              <w:rPr>
                <w:b/>
                <w:bCs/>
                <w:color w:val="000000"/>
                <w:sz w:val="22"/>
                <w:szCs w:val="22"/>
              </w:rPr>
            </w:pPr>
            <w:r w:rsidRPr="00532C61">
              <w:rPr>
                <w:b/>
                <w:bCs/>
                <w:color w:val="000000"/>
                <w:sz w:val="22"/>
                <w:szCs w:val="22"/>
              </w:rPr>
              <w:t>67</w:t>
            </w:r>
          </w:p>
        </w:tc>
        <w:tc>
          <w:tcPr>
            <w:tcW w:w="391" w:type="pct"/>
            <w:tcBorders>
              <w:bottom w:val="single" w:sz="4" w:space="0" w:color="auto"/>
            </w:tcBorders>
            <w:tcMar>
              <w:top w:w="0" w:type="dxa"/>
              <w:left w:w="45" w:type="dxa"/>
              <w:bottom w:w="0" w:type="dxa"/>
              <w:right w:w="45" w:type="dxa"/>
            </w:tcMar>
            <w:vAlign w:val="center"/>
            <w:hideMark/>
          </w:tcPr>
          <w:p w14:paraId="3DE9C747" w14:textId="77777777" w:rsidR="002F2BB2" w:rsidRPr="00532C61" w:rsidRDefault="002F2BB2" w:rsidP="0072694B">
            <w:pPr>
              <w:jc w:val="center"/>
              <w:rPr>
                <w:sz w:val="22"/>
                <w:szCs w:val="22"/>
              </w:rPr>
            </w:pPr>
          </w:p>
        </w:tc>
        <w:tc>
          <w:tcPr>
            <w:tcW w:w="468" w:type="pct"/>
            <w:tcBorders>
              <w:bottom w:val="single" w:sz="4" w:space="0" w:color="auto"/>
            </w:tcBorders>
            <w:tcMar>
              <w:top w:w="0" w:type="dxa"/>
              <w:left w:w="45" w:type="dxa"/>
              <w:bottom w:w="0" w:type="dxa"/>
              <w:right w:w="45" w:type="dxa"/>
            </w:tcMar>
            <w:vAlign w:val="center"/>
            <w:hideMark/>
          </w:tcPr>
          <w:p w14:paraId="4C8EC8C8" w14:textId="77777777" w:rsidR="002F2BB2" w:rsidRPr="00532C61" w:rsidRDefault="002F2BB2" w:rsidP="0072694B">
            <w:pPr>
              <w:jc w:val="center"/>
              <w:rPr>
                <w:b/>
                <w:bCs/>
                <w:color w:val="000000"/>
                <w:sz w:val="22"/>
                <w:szCs w:val="22"/>
              </w:rPr>
            </w:pPr>
            <w:r w:rsidRPr="00532C61">
              <w:rPr>
                <w:b/>
                <w:bCs/>
                <w:color w:val="000000"/>
                <w:sz w:val="22"/>
                <w:szCs w:val="22"/>
              </w:rPr>
              <w:t>21</w:t>
            </w:r>
          </w:p>
        </w:tc>
        <w:tc>
          <w:tcPr>
            <w:tcW w:w="437" w:type="pct"/>
            <w:tcBorders>
              <w:bottom w:val="single" w:sz="4" w:space="0" w:color="auto"/>
            </w:tcBorders>
            <w:tcMar>
              <w:top w:w="0" w:type="dxa"/>
              <w:left w:w="45" w:type="dxa"/>
              <w:bottom w:w="0" w:type="dxa"/>
              <w:right w:w="45" w:type="dxa"/>
            </w:tcMar>
            <w:vAlign w:val="center"/>
            <w:hideMark/>
          </w:tcPr>
          <w:p w14:paraId="1CB98044" w14:textId="77777777" w:rsidR="002F2BB2" w:rsidRPr="00532C61" w:rsidRDefault="002F2BB2" w:rsidP="0072694B">
            <w:pPr>
              <w:jc w:val="center"/>
              <w:rPr>
                <w:color w:val="000000"/>
                <w:sz w:val="22"/>
                <w:szCs w:val="22"/>
              </w:rPr>
            </w:pPr>
          </w:p>
        </w:tc>
        <w:tc>
          <w:tcPr>
            <w:tcW w:w="468" w:type="pct"/>
            <w:tcBorders>
              <w:bottom w:val="single" w:sz="4" w:space="0" w:color="auto"/>
            </w:tcBorders>
            <w:tcMar>
              <w:top w:w="0" w:type="dxa"/>
              <w:left w:w="45" w:type="dxa"/>
              <w:bottom w:w="0" w:type="dxa"/>
              <w:right w:w="45" w:type="dxa"/>
            </w:tcMar>
            <w:vAlign w:val="bottom"/>
            <w:hideMark/>
          </w:tcPr>
          <w:p w14:paraId="137A81DA" w14:textId="77777777" w:rsidR="002F2BB2" w:rsidRPr="00532C61" w:rsidRDefault="002F2BB2" w:rsidP="0072694B">
            <w:pPr>
              <w:jc w:val="center"/>
              <w:rPr>
                <w:b/>
                <w:bCs/>
                <w:color w:val="000000"/>
                <w:sz w:val="22"/>
                <w:szCs w:val="22"/>
              </w:rPr>
            </w:pPr>
            <w:r w:rsidRPr="00532C61">
              <w:rPr>
                <w:b/>
                <w:bCs/>
                <w:color w:val="000000"/>
                <w:sz w:val="22"/>
                <w:szCs w:val="22"/>
              </w:rPr>
              <w:t>46</w:t>
            </w:r>
          </w:p>
        </w:tc>
        <w:tc>
          <w:tcPr>
            <w:tcW w:w="374" w:type="pct"/>
            <w:tcBorders>
              <w:bottom w:val="single" w:sz="4" w:space="0" w:color="auto"/>
            </w:tcBorders>
            <w:tcMar>
              <w:top w:w="0" w:type="dxa"/>
              <w:left w:w="45" w:type="dxa"/>
              <w:bottom w:w="0" w:type="dxa"/>
              <w:right w:w="45" w:type="dxa"/>
            </w:tcMar>
            <w:vAlign w:val="center"/>
            <w:hideMark/>
          </w:tcPr>
          <w:p w14:paraId="5DD4572B" w14:textId="77777777" w:rsidR="002F2BB2" w:rsidRPr="00532C61" w:rsidRDefault="002F2BB2" w:rsidP="0072694B">
            <w:pPr>
              <w:jc w:val="center"/>
              <w:rPr>
                <w:color w:val="000000"/>
                <w:sz w:val="22"/>
                <w:szCs w:val="22"/>
              </w:rPr>
            </w:pPr>
          </w:p>
        </w:tc>
        <w:tc>
          <w:tcPr>
            <w:tcW w:w="406" w:type="pct"/>
            <w:tcBorders>
              <w:bottom w:val="single" w:sz="4" w:space="0" w:color="auto"/>
            </w:tcBorders>
            <w:tcMar>
              <w:top w:w="0" w:type="dxa"/>
              <w:left w:w="45" w:type="dxa"/>
              <w:bottom w:w="0" w:type="dxa"/>
              <w:right w:w="45" w:type="dxa"/>
            </w:tcMar>
            <w:vAlign w:val="center"/>
            <w:hideMark/>
          </w:tcPr>
          <w:p w14:paraId="3620F7B2" w14:textId="77777777" w:rsidR="002F2BB2" w:rsidRPr="00532C61" w:rsidRDefault="002F2BB2" w:rsidP="0072694B">
            <w:pPr>
              <w:jc w:val="center"/>
              <w:rPr>
                <w:b/>
                <w:bCs/>
                <w:color w:val="000000"/>
                <w:sz w:val="22"/>
                <w:szCs w:val="22"/>
              </w:rPr>
            </w:pPr>
          </w:p>
        </w:tc>
      </w:tr>
      <w:tr w:rsidR="002F2BB2" w:rsidRPr="00532C61" w14:paraId="293F4AF5" w14:textId="77777777" w:rsidTr="0072694B">
        <w:trPr>
          <w:trHeight w:val="300"/>
        </w:trPr>
        <w:tc>
          <w:tcPr>
            <w:tcW w:w="1988" w:type="pct"/>
            <w:tcBorders>
              <w:top w:val="single" w:sz="4" w:space="0" w:color="auto"/>
              <w:bottom w:val="single" w:sz="4" w:space="0" w:color="auto"/>
            </w:tcBorders>
            <w:tcMar>
              <w:top w:w="0" w:type="dxa"/>
              <w:left w:w="45" w:type="dxa"/>
              <w:bottom w:w="0" w:type="dxa"/>
              <w:right w:w="45" w:type="dxa"/>
            </w:tcMar>
            <w:vAlign w:val="center"/>
          </w:tcPr>
          <w:p w14:paraId="731BC05F" w14:textId="77777777" w:rsidR="002F2BB2" w:rsidRPr="00733789" w:rsidRDefault="002F2BB2" w:rsidP="0072694B">
            <w:pPr>
              <w:jc w:val="center"/>
              <w:rPr>
                <w:b/>
                <w:bCs/>
                <w:color w:val="000000"/>
                <w:sz w:val="22"/>
                <w:szCs w:val="22"/>
              </w:rPr>
            </w:pPr>
            <w:r w:rsidRPr="00733789">
              <w:rPr>
                <w:b/>
                <w:bCs/>
                <w:color w:val="000000"/>
                <w:sz w:val="22"/>
                <w:szCs w:val="22"/>
              </w:rPr>
              <w:t>Categorical Variables</w:t>
            </w:r>
          </w:p>
        </w:tc>
        <w:tc>
          <w:tcPr>
            <w:tcW w:w="468" w:type="pct"/>
            <w:tcBorders>
              <w:top w:val="single" w:sz="4" w:space="0" w:color="auto"/>
              <w:bottom w:val="single" w:sz="4" w:space="0" w:color="auto"/>
            </w:tcBorders>
            <w:tcMar>
              <w:top w:w="0" w:type="dxa"/>
              <w:left w:w="45" w:type="dxa"/>
              <w:bottom w:w="0" w:type="dxa"/>
              <w:right w:w="45" w:type="dxa"/>
            </w:tcMar>
            <w:vAlign w:val="center"/>
          </w:tcPr>
          <w:p w14:paraId="0AAFFA8B" w14:textId="77777777" w:rsidR="002F2BB2" w:rsidRPr="00532C61" w:rsidRDefault="002F2BB2" w:rsidP="0072694B">
            <w:pPr>
              <w:jc w:val="center"/>
              <w:rPr>
                <w:b/>
                <w:bCs/>
                <w:color w:val="000000"/>
                <w:sz w:val="22"/>
                <w:szCs w:val="22"/>
              </w:rPr>
            </w:pPr>
            <w:r w:rsidRPr="00532C61">
              <w:rPr>
                <w:b/>
                <w:bCs/>
                <w:color w:val="000000"/>
                <w:sz w:val="22"/>
                <w:szCs w:val="22"/>
              </w:rPr>
              <w:t>n</w:t>
            </w:r>
          </w:p>
        </w:tc>
        <w:tc>
          <w:tcPr>
            <w:tcW w:w="391" w:type="pct"/>
            <w:tcBorders>
              <w:top w:val="single" w:sz="4" w:space="0" w:color="auto"/>
              <w:bottom w:val="single" w:sz="4" w:space="0" w:color="auto"/>
            </w:tcBorders>
            <w:tcMar>
              <w:top w:w="0" w:type="dxa"/>
              <w:left w:w="45" w:type="dxa"/>
              <w:bottom w:w="0" w:type="dxa"/>
              <w:right w:w="45" w:type="dxa"/>
            </w:tcMar>
            <w:vAlign w:val="center"/>
          </w:tcPr>
          <w:p w14:paraId="1C2B6E0E" w14:textId="77777777" w:rsidR="002F2BB2" w:rsidRPr="00532C61" w:rsidRDefault="002F2BB2" w:rsidP="0072694B">
            <w:pPr>
              <w:jc w:val="center"/>
              <w:rPr>
                <w:color w:val="000000"/>
                <w:sz w:val="22"/>
                <w:szCs w:val="22"/>
              </w:rPr>
            </w:pPr>
            <w:r w:rsidRPr="00532C61">
              <w:rPr>
                <w:color w:val="000000"/>
                <w:sz w:val="22"/>
                <w:szCs w:val="22"/>
              </w:rPr>
              <w:t>%</w:t>
            </w:r>
          </w:p>
        </w:tc>
        <w:tc>
          <w:tcPr>
            <w:tcW w:w="468" w:type="pct"/>
            <w:tcBorders>
              <w:top w:val="single" w:sz="4" w:space="0" w:color="auto"/>
              <w:bottom w:val="single" w:sz="4" w:space="0" w:color="auto"/>
            </w:tcBorders>
            <w:tcMar>
              <w:top w:w="0" w:type="dxa"/>
              <w:left w:w="45" w:type="dxa"/>
              <w:bottom w:w="0" w:type="dxa"/>
              <w:right w:w="45" w:type="dxa"/>
            </w:tcMar>
            <w:vAlign w:val="center"/>
          </w:tcPr>
          <w:p w14:paraId="4929D478" w14:textId="77777777" w:rsidR="002F2BB2" w:rsidRPr="00532C61" w:rsidRDefault="002F2BB2" w:rsidP="0072694B">
            <w:pPr>
              <w:jc w:val="center"/>
              <w:rPr>
                <w:b/>
                <w:bCs/>
                <w:color w:val="000000"/>
                <w:sz w:val="22"/>
                <w:szCs w:val="22"/>
              </w:rPr>
            </w:pPr>
            <w:r w:rsidRPr="00532C61">
              <w:rPr>
                <w:b/>
                <w:bCs/>
                <w:color w:val="000000"/>
                <w:sz w:val="22"/>
                <w:szCs w:val="22"/>
              </w:rPr>
              <w:t>n</w:t>
            </w:r>
          </w:p>
        </w:tc>
        <w:tc>
          <w:tcPr>
            <w:tcW w:w="437" w:type="pct"/>
            <w:tcBorders>
              <w:top w:val="single" w:sz="4" w:space="0" w:color="auto"/>
              <w:bottom w:val="single" w:sz="4" w:space="0" w:color="auto"/>
            </w:tcBorders>
            <w:tcMar>
              <w:top w:w="0" w:type="dxa"/>
              <w:left w:w="45" w:type="dxa"/>
              <w:bottom w:w="0" w:type="dxa"/>
              <w:right w:w="45" w:type="dxa"/>
            </w:tcMar>
            <w:vAlign w:val="center"/>
          </w:tcPr>
          <w:p w14:paraId="64C8E113" w14:textId="77777777" w:rsidR="002F2BB2" w:rsidRPr="00532C61" w:rsidRDefault="002F2BB2" w:rsidP="0072694B">
            <w:pPr>
              <w:jc w:val="center"/>
              <w:rPr>
                <w:color w:val="000000"/>
                <w:sz w:val="22"/>
                <w:szCs w:val="22"/>
              </w:rPr>
            </w:pPr>
            <w:r w:rsidRPr="00532C61">
              <w:rPr>
                <w:color w:val="000000"/>
                <w:sz w:val="22"/>
                <w:szCs w:val="22"/>
              </w:rPr>
              <w:t>%</w:t>
            </w:r>
          </w:p>
        </w:tc>
        <w:tc>
          <w:tcPr>
            <w:tcW w:w="468" w:type="pct"/>
            <w:tcBorders>
              <w:top w:val="single" w:sz="4" w:space="0" w:color="auto"/>
              <w:bottom w:val="single" w:sz="4" w:space="0" w:color="auto"/>
            </w:tcBorders>
            <w:tcMar>
              <w:top w:w="0" w:type="dxa"/>
              <w:left w:w="45" w:type="dxa"/>
              <w:bottom w:w="0" w:type="dxa"/>
              <w:right w:w="45" w:type="dxa"/>
            </w:tcMar>
            <w:vAlign w:val="center"/>
          </w:tcPr>
          <w:p w14:paraId="096F7BCF" w14:textId="77777777" w:rsidR="002F2BB2" w:rsidRPr="00532C61" w:rsidRDefault="002F2BB2" w:rsidP="0072694B">
            <w:pPr>
              <w:jc w:val="center"/>
              <w:rPr>
                <w:b/>
                <w:bCs/>
                <w:color w:val="000000"/>
                <w:sz w:val="22"/>
                <w:szCs w:val="22"/>
              </w:rPr>
            </w:pPr>
            <w:r w:rsidRPr="00532C61">
              <w:rPr>
                <w:b/>
                <w:bCs/>
                <w:color w:val="000000"/>
                <w:sz w:val="22"/>
                <w:szCs w:val="22"/>
              </w:rPr>
              <w:t>n</w:t>
            </w:r>
          </w:p>
        </w:tc>
        <w:tc>
          <w:tcPr>
            <w:tcW w:w="374" w:type="pct"/>
            <w:tcBorders>
              <w:top w:val="single" w:sz="4" w:space="0" w:color="auto"/>
              <w:bottom w:val="single" w:sz="4" w:space="0" w:color="auto"/>
            </w:tcBorders>
            <w:tcMar>
              <w:top w:w="0" w:type="dxa"/>
              <w:left w:w="45" w:type="dxa"/>
              <w:bottom w:w="0" w:type="dxa"/>
              <w:right w:w="45" w:type="dxa"/>
            </w:tcMar>
            <w:vAlign w:val="center"/>
          </w:tcPr>
          <w:p w14:paraId="14ED68E0" w14:textId="77777777" w:rsidR="002F2BB2" w:rsidRPr="00532C61" w:rsidRDefault="002F2BB2" w:rsidP="0072694B">
            <w:pPr>
              <w:jc w:val="center"/>
              <w:rPr>
                <w:color w:val="000000"/>
                <w:sz w:val="22"/>
                <w:szCs w:val="22"/>
              </w:rPr>
            </w:pPr>
            <w:r w:rsidRPr="00532C61">
              <w:rPr>
                <w:color w:val="000000"/>
                <w:sz w:val="22"/>
                <w:szCs w:val="22"/>
              </w:rPr>
              <w:t>%</w:t>
            </w:r>
          </w:p>
        </w:tc>
        <w:tc>
          <w:tcPr>
            <w:tcW w:w="406" w:type="pct"/>
            <w:tcBorders>
              <w:top w:val="single" w:sz="4" w:space="0" w:color="auto"/>
              <w:bottom w:val="single" w:sz="4" w:space="0" w:color="auto"/>
            </w:tcBorders>
            <w:tcMar>
              <w:top w:w="0" w:type="dxa"/>
              <w:left w:w="45" w:type="dxa"/>
              <w:bottom w:w="0" w:type="dxa"/>
              <w:right w:w="45" w:type="dxa"/>
            </w:tcMar>
            <w:vAlign w:val="bottom"/>
          </w:tcPr>
          <w:p w14:paraId="72DD2773" w14:textId="77777777" w:rsidR="002F2BB2" w:rsidRPr="00532C61" w:rsidRDefault="002F2BB2" w:rsidP="0072694B">
            <w:pPr>
              <w:jc w:val="center"/>
              <w:rPr>
                <w:b/>
                <w:bCs/>
                <w:i/>
                <w:color w:val="000000"/>
                <w:sz w:val="22"/>
                <w:szCs w:val="22"/>
              </w:rPr>
            </w:pPr>
            <w:r w:rsidRPr="00532C61">
              <w:rPr>
                <w:b/>
                <w:bCs/>
                <w:i/>
                <w:color w:val="000000"/>
                <w:sz w:val="22"/>
                <w:szCs w:val="22"/>
              </w:rPr>
              <w:t>p</w:t>
            </w:r>
          </w:p>
        </w:tc>
      </w:tr>
      <w:tr w:rsidR="002F2BB2" w:rsidRPr="00532C61" w14:paraId="45C37FF7" w14:textId="77777777" w:rsidTr="0072694B">
        <w:trPr>
          <w:trHeight w:val="300"/>
        </w:trPr>
        <w:tc>
          <w:tcPr>
            <w:tcW w:w="1988" w:type="pct"/>
            <w:tcBorders>
              <w:top w:val="single" w:sz="4" w:space="0" w:color="auto"/>
            </w:tcBorders>
            <w:shd w:val="clear" w:color="auto" w:fill="FFFFFF"/>
            <w:tcMar>
              <w:top w:w="0" w:type="dxa"/>
              <w:left w:w="45" w:type="dxa"/>
              <w:bottom w:w="0" w:type="dxa"/>
              <w:right w:w="45" w:type="dxa"/>
            </w:tcMar>
            <w:vAlign w:val="center"/>
          </w:tcPr>
          <w:p w14:paraId="7C2B6D4B" w14:textId="77777777" w:rsidR="002F2BB2" w:rsidRPr="00532C61" w:rsidRDefault="002F2BB2" w:rsidP="0072694B">
            <w:pPr>
              <w:rPr>
                <w:b/>
                <w:bCs/>
                <w:i/>
                <w:sz w:val="22"/>
                <w:szCs w:val="22"/>
                <w:u w:val="single"/>
              </w:rPr>
            </w:pPr>
            <w:r w:rsidRPr="00532C61">
              <w:rPr>
                <w:b/>
                <w:bCs/>
                <w:i/>
                <w:sz w:val="22"/>
                <w:szCs w:val="22"/>
                <w:u w:val="single"/>
              </w:rPr>
              <w:t>Psychosocial Factors</w:t>
            </w:r>
          </w:p>
        </w:tc>
        <w:tc>
          <w:tcPr>
            <w:tcW w:w="468" w:type="pct"/>
            <w:tcBorders>
              <w:top w:val="single" w:sz="4" w:space="0" w:color="auto"/>
            </w:tcBorders>
            <w:shd w:val="clear" w:color="auto" w:fill="FFFFFF"/>
            <w:tcMar>
              <w:top w:w="0" w:type="dxa"/>
              <w:left w:w="45" w:type="dxa"/>
              <w:bottom w:w="0" w:type="dxa"/>
              <w:right w:w="45" w:type="dxa"/>
            </w:tcMar>
            <w:vAlign w:val="center"/>
          </w:tcPr>
          <w:p w14:paraId="290CE3B6" w14:textId="77777777" w:rsidR="002F2BB2" w:rsidRPr="00532C61" w:rsidRDefault="002F2BB2" w:rsidP="0072694B">
            <w:pPr>
              <w:jc w:val="right"/>
              <w:rPr>
                <w:bCs/>
                <w:sz w:val="22"/>
                <w:szCs w:val="22"/>
              </w:rPr>
            </w:pPr>
          </w:p>
        </w:tc>
        <w:tc>
          <w:tcPr>
            <w:tcW w:w="391" w:type="pct"/>
            <w:tcBorders>
              <w:top w:val="single" w:sz="4" w:space="0" w:color="auto"/>
            </w:tcBorders>
            <w:shd w:val="clear" w:color="auto" w:fill="FFFFFF"/>
            <w:tcMar>
              <w:top w:w="0" w:type="dxa"/>
              <w:left w:w="45" w:type="dxa"/>
              <w:bottom w:w="0" w:type="dxa"/>
              <w:right w:w="45" w:type="dxa"/>
            </w:tcMar>
            <w:vAlign w:val="center"/>
          </w:tcPr>
          <w:p w14:paraId="6E88948E" w14:textId="77777777" w:rsidR="002F2BB2" w:rsidRPr="00532C61" w:rsidRDefault="002F2BB2" w:rsidP="0072694B">
            <w:pPr>
              <w:jc w:val="right"/>
              <w:rPr>
                <w:sz w:val="22"/>
                <w:szCs w:val="22"/>
              </w:rPr>
            </w:pPr>
          </w:p>
        </w:tc>
        <w:tc>
          <w:tcPr>
            <w:tcW w:w="468" w:type="pct"/>
            <w:tcBorders>
              <w:top w:val="single" w:sz="4" w:space="0" w:color="auto"/>
            </w:tcBorders>
            <w:shd w:val="clear" w:color="auto" w:fill="FFFFFF"/>
            <w:tcMar>
              <w:top w:w="0" w:type="dxa"/>
              <w:left w:w="45" w:type="dxa"/>
              <w:bottom w:w="0" w:type="dxa"/>
              <w:right w:w="45" w:type="dxa"/>
            </w:tcMar>
            <w:vAlign w:val="center"/>
          </w:tcPr>
          <w:p w14:paraId="08B80AD1" w14:textId="77777777" w:rsidR="002F2BB2" w:rsidRPr="00532C61" w:rsidRDefault="002F2BB2" w:rsidP="0072694B">
            <w:pPr>
              <w:jc w:val="right"/>
              <w:rPr>
                <w:bCs/>
                <w:sz w:val="22"/>
                <w:szCs w:val="22"/>
              </w:rPr>
            </w:pPr>
          </w:p>
        </w:tc>
        <w:tc>
          <w:tcPr>
            <w:tcW w:w="437" w:type="pct"/>
            <w:tcBorders>
              <w:top w:val="single" w:sz="4" w:space="0" w:color="auto"/>
            </w:tcBorders>
            <w:shd w:val="clear" w:color="auto" w:fill="FFFFFF"/>
            <w:tcMar>
              <w:top w:w="0" w:type="dxa"/>
              <w:left w:w="45" w:type="dxa"/>
              <w:bottom w:w="0" w:type="dxa"/>
              <w:right w:w="45" w:type="dxa"/>
            </w:tcMar>
            <w:vAlign w:val="center"/>
          </w:tcPr>
          <w:p w14:paraId="1783B7E3" w14:textId="77777777" w:rsidR="002F2BB2" w:rsidRPr="00532C61" w:rsidRDefault="002F2BB2" w:rsidP="0072694B">
            <w:pPr>
              <w:jc w:val="right"/>
              <w:rPr>
                <w:sz w:val="22"/>
                <w:szCs w:val="22"/>
              </w:rPr>
            </w:pPr>
          </w:p>
        </w:tc>
        <w:tc>
          <w:tcPr>
            <w:tcW w:w="468" w:type="pct"/>
            <w:tcBorders>
              <w:top w:val="single" w:sz="4" w:space="0" w:color="auto"/>
            </w:tcBorders>
            <w:shd w:val="clear" w:color="auto" w:fill="FFFFFF"/>
            <w:tcMar>
              <w:top w:w="0" w:type="dxa"/>
              <w:left w:w="45" w:type="dxa"/>
              <w:bottom w:w="0" w:type="dxa"/>
              <w:right w:w="45" w:type="dxa"/>
            </w:tcMar>
            <w:vAlign w:val="center"/>
          </w:tcPr>
          <w:p w14:paraId="33324FA4" w14:textId="77777777" w:rsidR="002F2BB2" w:rsidRPr="00532C61" w:rsidRDefault="002F2BB2" w:rsidP="0072694B">
            <w:pPr>
              <w:jc w:val="right"/>
              <w:rPr>
                <w:bCs/>
                <w:sz w:val="22"/>
                <w:szCs w:val="22"/>
              </w:rPr>
            </w:pPr>
          </w:p>
        </w:tc>
        <w:tc>
          <w:tcPr>
            <w:tcW w:w="374" w:type="pct"/>
            <w:tcBorders>
              <w:top w:val="single" w:sz="4" w:space="0" w:color="auto"/>
            </w:tcBorders>
            <w:shd w:val="clear" w:color="auto" w:fill="FFFFFF"/>
            <w:tcMar>
              <w:top w:w="0" w:type="dxa"/>
              <w:left w:w="45" w:type="dxa"/>
              <w:bottom w:w="0" w:type="dxa"/>
              <w:right w:w="45" w:type="dxa"/>
            </w:tcMar>
            <w:vAlign w:val="center"/>
          </w:tcPr>
          <w:p w14:paraId="2C2607B1" w14:textId="77777777" w:rsidR="002F2BB2" w:rsidRPr="00532C61" w:rsidRDefault="002F2BB2" w:rsidP="0072694B">
            <w:pPr>
              <w:jc w:val="right"/>
              <w:rPr>
                <w:sz w:val="22"/>
                <w:szCs w:val="22"/>
              </w:rPr>
            </w:pPr>
          </w:p>
        </w:tc>
        <w:tc>
          <w:tcPr>
            <w:tcW w:w="406" w:type="pct"/>
            <w:tcBorders>
              <w:top w:val="single" w:sz="4" w:space="0" w:color="auto"/>
            </w:tcBorders>
            <w:shd w:val="clear" w:color="auto" w:fill="FFFFFF"/>
            <w:tcMar>
              <w:top w:w="0" w:type="dxa"/>
              <w:left w:w="45" w:type="dxa"/>
              <w:bottom w:w="0" w:type="dxa"/>
              <w:right w:w="45" w:type="dxa"/>
            </w:tcMar>
            <w:vAlign w:val="bottom"/>
          </w:tcPr>
          <w:p w14:paraId="4A01E538" w14:textId="77777777" w:rsidR="002F2BB2" w:rsidRPr="00532C61" w:rsidRDefault="002F2BB2" w:rsidP="0072694B">
            <w:pPr>
              <w:jc w:val="right"/>
              <w:rPr>
                <w:sz w:val="22"/>
                <w:szCs w:val="22"/>
              </w:rPr>
            </w:pPr>
          </w:p>
        </w:tc>
      </w:tr>
      <w:tr w:rsidR="002F2BB2" w:rsidRPr="00532C61" w14:paraId="453C3145" w14:textId="77777777" w:rsidTr="0072694B">
        <w:trPr>
          <w:trHeight w:val="301"/>
        </w:trPr>
        <w:tc>
          <w:tcPr>
            <w:tcW w:w="1988" w:type="pct"/>
            <w:tcMar>
              <w:top w:w="0" w:type="dxa"/>
              <w:left w:w="45" w:type="dxa"/>
              <w:bottom w:w="0" w:type="dxa"/>
              <w:right w:w="45" w:type="dxa"/>
            </w:tcMar>
            <w:vAlign w:val="center"/>
          </w:tcPr>
          <w:p w14:paraId="781112C6" w14:textId="77777777" w:rsidR="002F2BB2" w:rsidRPr="00532C61" w:rsidRDefault="002F2BB2" w:rsidP="0072694B">
            <w:pPr>
              <w:rPr>
                <w:b/>
                <w:bCs/>
                <w:sz w:val="22"/>
                <w:szCs w:val="22"/>
              </w:rPr>
            </w:pPr>
            <w:r w:rsidRPr="00532C61">
              <w:rPr>
                <w:b/>
                <w:bCs/>
                <w:sz w:val="22"/>
                <w:szCs w:val="22"/>
              </w:rPr>
              <w:t>HADS Anxiety Sub-Scale (α=0.87)</w:t>
            </w:r>
          </w:p>
        </w:tc>
        <w:tc>
          <w:tcPr>
            <w:tcW w:w="468" w:type="pct"/>
            <w:tcMar>
              <w:top w:w="0" w:type="dxa"/>
              <w:left w:w="45" w:type="dxa"/>
              <w:bottom w:w="0" w:type="dxa"/>
              <w:right w:w="45" w:type="dxa"/>
            </w:tcMar>
            <w:vAlign w:val="center"/>
          </w:tcPr>
          <w:p w14:paraId="420A3349" w14:textId="77777777" w:rsidR="002F2BB2" w:rsidRPr="00532C61" w:rsidRDefault="002F2BB2" w:rsidP="0072694B">
            <w:pPr>
              <w:jc w:val="right"/>
              <w:rPr>
                <w:bCs/>
                <w:sz w:val="22"/>
                <w:szCs w:val="22"/>
              </w:rPr>
            </w:pPr>
          </w:p>
        </w:tc>
        <w:tc>
          <w:tcPr>
            <w:tcW w:w="391" w:type="pct"/>
            <w:tcMar>
              <w:top w:w="0" w:type="dxa"/>
              <w:left w:w="45" w:type="dxa"/>
              <w:bottom w:w="0" w:type="dxa"/>
              <w:right w:w="45" w:type="dxa"/>
            </w:tcMar>
            <w:vAlign w:val="center"/>
          </w:tcPr>
          <w:p w14:paraId="1C5E4D04"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68BD4F98" w14:textId="77777777" w:rsidR="002F2BB2" w:rsidRPr="00532C61" w:rsidRDefault="002F2BB2" w:rsidP="0072694B">
            <w:pPr>
              <w:jc w:val="right"/>
              <w:rPr>
                <w:bCs/>
                <w:sz w:val="22"/>
                <w:szCs w:val="22"/>
              </w:rPr>
            </w:pPr>
          </w:p>
        </w:tc>
        <w:tc>
          <w:tcPr>
            <w:tcW w:w="437" w:type="pct"/>
            <w:tcMar>
              <w:top w:w="0" w:type="dxa"/>
              <w:left w:w="45" w:type="dxa"/>
              <w:bottom w:w="0" w:type="dxa"/>
              <w:right w:w="45" w:type="dxa"/>
            </w:tcMar>
            <w:vAlign w:val="center"/>
          </w:tcPr>
          <w:p w14:paraId="41A35C73"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331E86A3" w14:textId="77777777" w:rsidR="002F2BB2" w:rsidRPr="00532C61" w:rsidRDefault="002F2BB2" w:rsidP="0072694B">
            <w:pPr>
              <w:jc w:val="right"/>
              <w:rPr>
                <w:bCs/>
                <w:sz w:val="22"/>
                <w:szCs w:val="22"/>
              </w:rPr>
            </w:pPr>
          </w:p>
        </w:tc>
        <w:tc>
          <w:tcPr>
            <w:tcW w:w="374" w:type="pct"/>
            <w:tcMar>
              <w:top w:w="0" w:type="dxa"/>
              <w:left w:w="45" w:type="dxa"/>
              <w:bottom w:w="0" w:type="dxa"/>
              <w:right w:w="45" w:type="dxa"/>
            </w:tcMar>
            <w:vAlign w:val="center"/>
          </w:tcPr>
          <w:p w14:paraId="351FF368" w14:textId="77777777" w:rsidR="002F2BB2" w:rsidRPr="00532C61" w:rsidRDefault="002F2BB2" w:rsidP="0072694B">
            <w:pPr>
              <w:jc w:val="right"/>
              <w:rPr>
                <w:sz w:val="22"/>
                <w:szCs w:val="22"/>
              </w:rPr>
            </w:pPr>
          </w:p>
        </w:tc>
        <w:tc>
          <w:tcPr>
            <w:tcW w:w="406" w:type="pct"/>
            <w:tcMar>
              <w:top w:w="0" w:type="dxa"/>
              <w:left w:w="45" w:type="dxa"/>
              <w:bottom w:w="0" w:type="dxa"/>
              <w:right w:w="45" w:type="dxa"/>
            </w:tcMar>
            <w:vAlign w:val="bottom"/>
          </w:tcPr>
          <w:p w14:paraId="25C9AE9B" w14:textId="77777777" w:rsidR="002F2BB2" w:rsidRPr="00532C61" w:rsidRDefault="002F2BB2" w:rsidP="0072694B">
            <w:pPr>
              <w:jc w:val="right"/>
              <w:rPr>
                <w:sz w:val="22"/>
                <w:szCs w:val="22"/>
              </w:rPr>
            </w:pPr>
          </w:p>
        </w:tc>
      </w:tr>
      <w:tr w:rsidR="002F2BB2" w:rsidRPr="00532C61" w14:paraId="09A9EB79" w14:textId="77777777" w:rsidTr="0072694B">
        <w:trPr>
          <w:trHeight w:val="301"/>
        </w:trPr>
        <w:tc>
          <w:tcPr>
            <w:tcW w:w="1988" w:type="pct"/>
            <w:tcMar>
              <w:top w:w="0" w:type="dxa"/>
              <w:left w:w="45" w:type="dxa"/>
              <w:bottom w:w="0" w:type="dxa"/>
              <w:right w:w="45" w:type="dxa"/>
            </w:tcMar>
            <w:vAlign w:val="bottom"/>
          </w:tcPr>
          <w:p w14:paraId="313B106A" w14:textId="77777777" w:rsidR="002F2BB2" w:rsidRPr="00532C61" w:rsidRDefault="002F2BB2" w:rsidP="0072694B">
            <w:pPr>
              <w:rPr>
                <w:b/>
                <w:bCs/>
                <w:sz w:val="22"/>
                <w:szCs w:val="22"/>
              </w:rPr>
            </w:pPr>
            <w:r w:rsidRPr="00532C61">
              <w:rPr>
                <w:sz w:val="22"/>
                <w:szCs w:val="22"/>
              </w:rPr>
              <w:t xml:space="preserve">    &lt;11</w:t>
            </w:r>
          </w:p>
        </w:tc>
        <w:tc>
          <w:tcPr>
            <w:tcW w:w="468" w:type="pct"/>
            <w:tcMar>
              <w:top w:w="0" w:type="dxa"/>
              <w:left w:w="45" w:type="dxa"/>
              <w:bottom w:w="0" w:type="dxa"/>
              <w:right w:w="45" w:type="dxa"/>
            </w:tcMar>
            <w:vAlign w:val="center"/>
          </w:tcPr>
          <w:p w14:paraId="41F17F03" w14:textId="77777777" w:rsidR="002F2BB2" w:rsidRPr="00532C61" w:rsidRDefault="002F2BB2" w:rsidP="0072694B">
            <w:pPr>
              <w:jc w:val="right"/>
              <w:rPr>
                <w:bCs/>
                <w:sz w:val="22"/>
                <w:szCs w:val="22"/>
              </w:rPr>
            </w:pPr>
            <w:r w:rsidRPr="00532C61">
              <w:rPr>
                <w:bCs/>
                <w:sz w:val="22"/>
                <w:szCs w:val="22"/>
              </w:rPr>
              <w:t>46</w:t>
            </w:r>
          </w:p>
        </w:tc>
        <w:tc>
          <w:tcPr>
            <w:tcW w:w="391" w:type="pct"/>
            <w:tcMar>
              <w:top w:w="0" w:type="dxa"/>
              <w:left w:w="45" w:type="dxa"/>
              <w:bottom w:w="0" w:type="dxa"/>
              <w:right w:w="45" w:type="dxa"/>
            </w:tcMar>
            <w:vAlign w:val="center"/>
          </w:tcPr>
          <w:p w14:paraId="68A25B06" w14:textId="77777777" w:rsidR="002F2BB2" w:rsidRPr="00532C61" w:rsidRDefault="002F2BB2" w:rsidP="0072694B">
            <w:pPr>
              <w:jc w:val="right"/>
              <w:rPr>
                <w:sz w:val="22"/>
                <w:szCs w:val="22"/>
              </w:rPr>
            </w:pPr>
            <w:r w:rsidRPr="00532C61">
              <w:rPr>
                <w:sz w:val="22"/>
                <w:szCs w:val="22"/>
              </w:rPr>
              <w:t>74.2</w:t>
            </w:r>
          </w:p>
        </w:tc>
        <w:tc>
          <w:tcPr>
            <w:tcW w:w="468" w:type="pct"/>
            <w:tcMar>
              <w:top w:w="0" w:type="dxa"/>
              <w:left w:w="45" w:type="dxa"/>
              <w:bottom w:w="0" w:type="dxa"/>
              <w:right w:w="45" w:type="dxa"/>
            </w:tcMar>
            <w:vAlign w:val="center"/>
          </w:tcPr>
          <w:p w14:paraId="378AD337" w14:textId="77777777" w:rsidR="002F2BB2" w:rsidRPr="00532C61" w:rsidRDefault="002F2BB2" w:rsidP="0072694B">
            <w:pPr>
              <w:jc w:val="right"/>
              <w:rPr>
                <w:bCs/>
                <w:sz w:val="22"/>
                <w:szCs w:val="22"/>
              </w:rPr>
            </w:pPr>
            <w:r w:rsidRPr="00532C61">
              <w:rPr>
                <w:bCs/>
                <w:sz w:val="22"/>
                <w:szCs w:val="22"/>
              </w:rPr>
              <w:t>16</w:t>
            </w:r>
          </w:p>
        </w:tc>
        <w:tc>
          <w:tcPr>
            <w:tcW w:w="437" w:type="pct"/>
            <w:tcMar>
              <w:top w:w="0" w:type="dxa"/>
              <w:left w:w="45" w:type="dxa"/>
              <w:bottom w:w="0" w:type="dxa"/>
              <w:right w:w="45" w:type="dxa"/>
            </w:tcMar>
            <w:vAlign w:val="center"/>
          </w:tcPr>
          <w:p w14:paraId="63D5BD3E" w14:textId="77777777" w:rsidR="002F2BB2" w:rsidRPr="00532C61" w:rsidRDefault="002F2BB2" w:rsidP="0072694B">
            <w:pPr>
              <w:jc w:val="right"/>
              <w:rPr>
                <w:sz w:val="22"/>
                <w:szCs w:val="22"/>
              </w:rPr>
            </w:pPr>
            <w:r w:rsidRPr="00532C61">
              <w:rPr>
                <w:sz w:val="22"/>
                <w:szCs w:val="22"/>
              </w:rPr>
              <w:t>76.2</w:t>
            </w:r>
          </w:p>
        </w:tc>
        <w:tc>
          <w:tcPr>
            <w:tcW w:w="468" w:type="pct"/>
            <w:tcMar>
              <w:top w:w="0" w:type="dxa"/>
              <w:left w:w="45" w:type="dxa"/>
              <w:bottom w:w="0" w:type="dxa"/>
              <w:right w:w="45" w:type="dxa"/>
            </w:tcMar>
            <w:vAlign w:val="center"/>
          </w:tcPr>
          <w:p w14:paraId="19C9F2AE" w14:textId="77777777" w:rsidR="002F2BB2" w:rsidRPr="00532C61" w:rsidRDefault="002F2BB2" w:rsidP="0072694B">
            <w:pPr>
              <w:jc w:val="right"/>
              <w:rPr>
                <w:bCs/>
                <w:sz w:val="22"/>
                <w:szCs w:val="22"/>
              </w:rPr>
            </w:pPr>
            <w:r w:rsidRPr="00532C61">
              <w:rPr>
                <w:bCs/>
                <w:sz w:val="22"/>
                <w:szCs w:val="22"/>
              </w:rPr>
              <w:t>30</w:t>
            </w:r>
          </w:p>
        </w:tc>
        <w:tc>
          <w:tcPr>
            <w:tcW w:w="374" w:type="pct"/>
            <w:tcMar>
              <w:top w:w="0" w:type="dxa"/>
              <w:left w:w="45" w:type="dxa"/>
              <w:bottom w:w="0" w:type="dxa"/>
              <w:right w:w="45" w:type="dxa"/>
            </w:tcMar>
            <w:vAlign w:val="center"/>
          </w:tcPr>
          <w:p w14:paraId="736FBA0D" w14:textId="77777777" w:rsidR="002F2BB2" w:rsidRPr="00532C61" w:rsidRDefault="002F2BB2" w:rsidP="0072694B">
            <w:pPr>
              <w:jc w:val="right"/>
              <w:rPr>
                <w:sz w:val="22"/>
                <w:szCs w:val="22"/>
              </w:rPr>
            </w:pPr>
            <w:r w:rsidRPr="00532C61">
              <w:rPr>
                <w:sz w:val="22"/>
                <w:szCs w:val="22"/>
              </w:rPr>
              <w:t>73.2</w:t>
            </w:r>
          </w:p>
        </w:tc>
        <w:tc>
          <w:tcPr>
            <w:tcW w:w="406" w:type="pct"/>
            <w:tcMar>
              <w:top w:w="0" w:type="dxa"/>
              <w:left w:w="45" w:type="dxa"/>
              <w:bottom w:w="0" w:type="dxa"/>
              <w:right w:w="45" w:type="dxa"/>
            </w:tcMar>
            <w:vAlign w:val="bottom"/>
          </w:tcPr>
          <w:p w14:paraId="20417172" w14:textId="77777777" w:rsidR="002F2BB2" w:rsidRPr="00532C61" w:rsidRDefault="002F2BB2" w:rsidP="0072694B">
            <w:pPr>
              <w:jc w:val="right"/>
              <w:rPr>
                <w:sz w:val="22"/>
                <w:szCs w:val="22"/>
              </w:rPr>
            </w:pPr>
            <w:r w:rsidRPr="00532C61">
              <w:rPr>
                <w:sz w:val="22"/>
                <w:szCs w:val="22"/>
              </w:rPr>
              <w:t>1.000</w:t>
            </w:r>
          </w:p>
        </w:tc>
      </w:tr>
      <w:tr w:rsidR="002F2BB2" w:rsidRPr="00532C61" w14:paraId="741D2DFF" w14:textId="77777777" w:rsidTr="0072694B">
        <w:trPr>
          <w:trHeight w:val="301"/>
        </w:trPr>
        <w:tc>
          <w:tcPr>
            <w:tcW w:w="1988" w:type="pct"/>
            <w:tcMar>
              <w:top w:w="0" w:type="dxa"/>
              <w:left w:w="45" w:type="dxa"/>
              <w:bottom w:w="0" w:type="dxa"/>
              <w:right w:w="45" w:type="dxa"/>
            </w:tcMar>
            <w:vAlign w:val="bottom"/>
          </w:tcPr>
          <w:p w14:paraId="56BB3841" w14:textId="77777777" w:rsidR="002F2BB2" w:rsidRPr="00532C61" w:rsidRDefault="002F2BB2" w:rsidP="0072694B">
            <w:pPr>
              <w:rPr>
                <w:b/>
                <w:bCs/>
                <w:sz w:val="22"/>
                <w:szCs w:val="22"/>
              </w:rPr>
            </w:pPr>
            <w:r w:rsidRPr="00532C61">
              <w:rPr>
                <w:sz w:val="22"/>
                <w:szCs w:val="22"/>
              </w:rPr>
              <w:t xml:space="preserve">    11+</w:t>
            </w:r>
          </w:p>
        </w:tc>
        <w:tc>
          <w:tcPr>
            <w:tcW w:w="468" w:type="pct"/>
            <w:tcMar>
              <w:top w:w="0" w:type="dxa"/>
              <w:left w:w="45" w:type="dxa"/>
              <w:bottom w:w="0" w:type="dxa"/>
              <w:right w:w="45" w:type="dxa"/>
            </w:tcMar>
            <w:vAlign w:val="center"/>
          </w:tcPr>
          <w:p w14:paraId="6769F166" w14:textId="77777777" w:rsidR="002F2BB2" w:rsidRPr="00532C61" w:rsidRDefault="002F2BB2" w:rsidP="0072694B">
            <w:pPr>
              <w:jc w:val="right"/>
              <w:rPr>
                <w:bCs/>
                <w:sz w:val="22"/>
                <w:szCs w:val="22"/>
              </w:rPr>
            </w:pPr>
            <w:r w:rsidRPr="00532C61">
              <w:rPr>
                <w:bCs/>
                <w:sz w:val="22"/>
                <w:szCs w:val="22"/>
              </w:rPr>
              <w:t>16</w:t>
            </w:r>
          </w:p>
        </w:tc>
        <w:tc>
          <w:tcPr>
            <w:tcW w:w="391" w:type="pct"/>
            <w:tcMar>
              <w:top w:w="0" w:type="dxa"/>
              <w:left w:w="45" w:type="dxa"/>
              <w:bottom w:w="0" w:type="dxa"/>
              <w:right w:w="45" w:type="dxa"/>
            </w:tcMar>
            <w:vAlign w:val="center"/>
          </w:tcPr>
          <w:p w14:paraId="665EC373" w14:textId="77777777" w:rsidR="002F2BB2" w:rsidRPr="00532C61" w:rsidRDefault="002F2BB2" w:rsidP="0072694B">
            <w:pPr>
              <w:jc w:val="right"/>
              <w:rPr>
                <w:sz w:val="22"/>
                <w:szCs w:val="22"/>
              </w:rPr>
            </w:pPr>
            <w:r w:rsidRPr="00532C61">
              <w:rPr>
                <w:sz w:val="22"/>
                <w:szCs w:val="22"/>
              </w:rPr>
              <w:t>25.8</w:t>
            </w:r>
          </w:p>
        </w:tc>
        <w:tc>
          <w:tcPr>
            <w:tcW w:w="468" w:type="pct"/>
            <w:tcMar>
              <w:top w:w="0" w:type="dxa"/>
              <w:left w:w="45" w:type="dxa"/>
              <w:bottom w:w="0" w:type="dxa"/>
              <w:right w:w="45" w:type="dxa"/>
            </w:tcMar>
            <w:vAlign w:val="center"/>
          </w:tcPr>
          <w:p w14:paraId="5C7CF41C" w14:textId="77777777" w:rsidR="002F2BB2" w:rsidRPr="00532C61" w:rsidRDefault="002F2BB2" w:rsidP="0072694B">
            <w:pPr>
              <w:jc w:val="right"/>
              <w:rPr>
                <w:bCs/>
                <w:sz w:val="22"/>
                <w:szCs w:val="22"/>
              </w:rPr>
            </w:pPr>
            <w:r w:rsidRPr="00532C61">
              <w:rPr>
                <w:bCs/>
                <w:sz w:val="22"/>
                <w:szCs w:val="22"/>
              </w:rPr>
              <w:t>5</w:t>
            </w:r>
          </w:p>
        </w:tc>
        <w:tc>
          <w:tcPr>
            <w:tcW w:w="437" w:type="pct"/>
            <w:tcMar>
              <w:top w:w="0" w:type="dxa"/>
              <w:left w:w="45" w:type="dxa"/>
              <w:bottom w:w="0" w:type="dxa"/>
              <w:right w:w="45" w:type="dxa"/>
            </w:tcMar>
            <w:vAlign w:val="center"/>
          </w:tcPr>
          <w:p w14:paraId="40ADAE23" w14:textId="77777777" w:rsidR="002F2BB2" w:rsidRPr="00532C61" w:rsidRDefault="002F2BB2" w:rsidP="0072694B">
            <w:pPr>
              <w:jc w:val="right"/>
              <w:rPr>
                <w:sz w:val="22"/>
                <w:szCs w:val="22"/>
              </w:rPr>
            </w:pPr>
            <w:r w:rsidRPr="00532C61">
              <w:rPr>
                <w:sz w:val="22"/>
                <w:szCs w:val="22"/>
              </w:rPr>
              <w:t>23.8</w:t>
            </w:r>
          </w:p>
        </w:tc>
        <w:tc>
          <w:tcPr>
            <w:tcW w:w="468" w:type="pct"/>
            <w:tcMar>
              <w:top w:w="0" w:type="dxa"/>
              <w:left w:w="45" w:type="dxa"/>
              <w:bottom w:w="0" w:type="dxa"/>
              <w:right w:w="45" w:type="dxa"/>
            </w:tcMar>
            <w:vAlign w:val="center"/>
          </w:tcPr>
          <w:p w14:paraId="61FE57FE" w14:textId="77777777" w:rsidR="002F2BB2" w:rsidRPr="00532C61" w:rsidRDefault="002F2BB2" w:rsidP="0072694B">
            <w:pPr>
              <w:jc w:val="right"/>
              <w:rPr>
                <w:bCs/>
                <w:sz w:val="22"/>
                <w:szCs w:val="22"/>
              </w:rPr>
            </w:pPr>
            <w:r w:rsidRPr="00532C61">
              <w:rPr>
                <w:bCs/>
                <w:sz w:val="22"/>
                <w:szCs w:val="22"/>
              </w:rPr>
              <w:t>11</w:t>
            </w:r>
          </w:p>
        </w:tc>
        <w:tc>
          <w:tcPr>
            <w:tcW w:w="374" w:type="pct"/>
            <w:tcMar>
              <w:top w:w="0" w:type="dxa"/>
              <w:left w:w="45" w:type="dxa"/>
              <w:bottom w:w="0" w:type="dxa"/>
              <w:right w:w="45" w:type="dxa"/>
            </w:tcMar>
            <w:vAlign w:val="center"/>
          </w:tcPr>
          <w:p w14:paraId="75829EF6" w14:textId="77777777" w:rsidR="002F2BB2" w:rsidRPr="00532C61" w:rsidRDefault="002F2BB2" w:rsidP="0072694B">
            <w:pPr>
              <w:jc w:val="right"/>
              <w:rPr>
                <w:sz w:val="22"/>
                <w:szCs w:val="22"/>
              </w:rPr>
            </w:pPr>
            <w:r w:rsidRPr="00532C61">
              <w:rPr>
                <w:sz w:val="22"/>
                <w:szCs w:val="22"/>
              </w:rPr>
              <w:t>26.8</w:t>
            </w:r>
          </w:p>
        </w:tc>
        <w:tc>
          <w:tcPr>
            <w:tcW w:w="406" w:type="pct"/>
            <w:tcMar>
              <w:top w:w="0" w:type="dxa"/>
              <w:left w:w="45" w:type="dxa"/>
              <w:bottom w:w="0" w:type="dxa"/>
              <w:right w:w="45" w:type="dxa"/>
            </w:tcMar>
            <w:vAlign w:val="bottom"/>
          </w:tcPr>
          <w:p w14:paraId="2F192E97" w14:textId="77777777" w:rsidR="002F2BB2" w:rsidRPr="00532C61" w:rsidRDefault="002F2BB2" w:rsidP="0072694B">
            <w:pPr>
              <w:jc w:val="right"/>
              <w:rPr>
                <w:sz w:val="22"/>
                <w:szCs w:val="22"/>
              </w:rPr>
            </w:pPr>
          </w:p>
        </w:tc>
      </w:tr>
      <w:tr w:rsidR="002F2BB2" w:rsidRPr="00532C61" w14:paraId="06463BB2" w14:textId="77777777" w:rsidTr="0072694B">
        <w:trPr>
          <w:trHeight w:val="301"/>
        </w:trPr>
        <w:tc>
          <w:tcPr>
            <w:tcW w:w="1988" w:type="pct"/>
            <w:tcMar>
              <w:top w:w="0" w:type="dxa"/>
              <w:left w:w="45" w:type="dxa"/>
              <w:bottom w:w="0" w:type="dxa"/>
              <w:right w:w="45" w:type="dxa"/>
            </w:tcMar>
            <w:vAlign w:val="center"/>
          </w:tcPr>
          <w:p w14:paraId="1E7A72FE" w14:textId="77777777" w:rsidR="002F2BB2" w:rsidRPr="00532C61" w:rsidRDefault="002F2BB2" w:rsidP="0072694B">
            <w:pPr>
              <w:rPr>
                <w:b/>
                <w:bCs/>
                <w:sz w:val="22"/>
                <w:szCs w:val="22"/>
              </w:rPr>
            </w:pPr>
            <w:r w:rsidRPr="00532C61">
              <w:rPr>
                <w:b/>
                <w:bCs/>
                <w:sz w:val="22"/>
                <w:szCs w:val="22"/>
              </w:rPr>
              <w:t>HADS Depression Sub-Scale (α=0.84)</w:t>
            </w:r>
          </w:p>
        </w:tc>
        <w:tc>
          <w:tcPr>
            <w:tcW w:w="468" w:type="pct"/>
            <w:tcMar>
              <w:top w:w="0" w:type="dxa"/>
              <w:left w:w="45" w:type="dxa"/>
              <w:bottom w:w="0" w:type="dxa"/>
              <w:right w:w="45" w:type="dxa"/>
            </w:tcMar>
            <w:vAlign w:val="center"/>
          </w:tcPr>
          <w:p w14:paraId="5A9A4EB7" w14:textId="77777777" w:rsidR="002F2BB2" w:rsidRPr="00532C61" w:rsidRDefault="002F2BB2" w:rsidP="0072694B">
            <w:pPr>
              <w:jc w:val="right"/>
              <w:rPr>
                <w:bCs/>
                <w:sz w:val="22"/>
                <w:szCs w:val="22"/>
              </w:rPr>
            </w:pPr>
          </w:p>
        </w:tc>
        <w:tc>
          <w:tcPr>
            <w:tcW w:w="391" w:type="pct"/>
            <w:tcMar>
              <w:top w:w="0" w:type="dxa"/>
              <w:left w:w="45" w:type="dxa"/>
              <w:bottom w:w="0" w:type="dxa"/>
              <w:right w:w="45" w:type="dxa"/>
            </w:tcMar>
            <w:vAlign w:val="center"/>
          </w:tcPr>
          <w:p w14:paraId="6CCAB784"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37EF3884" w14:textId="77777777" w:rsidR="002F2BB2" w:rsidRPr="00532C61" w:rsidRDefault="002F2BB2" w:rsidP="0072694B">
            <w:pPr>
              <w:jc w:val="right"/>
              <w:rPr>
                <w:bCs/>
                <w:sz w:val="22"/>
                <w:szCs w:val="22"/>
              </w:rPr>
            </w:pPr>
          </w:p>
        </w:tc>
        <w:tc>
          <w:tcPr>
            <w:tcW w:w="437" w:type="pct"/>
            <w:tcMar>
              <w:top w:w="0" w:type="dxa"/>
              <w:left w:w="45" w:type="dxa"/>
              <w:bottom w:w="0" w:type="dxa"/>
              <w:right w:w="45" w:type="dxa"/>
            </w:tcMar>
            <w:vAlign w:val="center"/>
          </w:tcPr>
          <w:p w14:paraId="6F57F9A4"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1D10F2AE" w14:textId="77777777" w:rsidR="002F2BB2" w:rsidRPr="00532C61" w:rsidRDefault="002F2BB2" w:rsidP="0072694B">
            <w:pPr>
              <w:jc w:val="right"/>
              <w:rPr>
                <w:bCs/>
                <w:sz w:val="22"/>
                <w:szCs w:val="22"/>
              </w:rPr>
            </w:pPr>
          </w:p>
        </w:tc>
        <w:tc>
          <w:tcPr>
            <w:tcW w:w="374" w:type="pct"/>
            <w:tcMar>
              <w:top w:w="0" w:type="dxa"/>
              <w:left w:w="45" w:type="dxa"/>
              <w:bottom w:w="0" w:type="dxa"/>
              <w:right w:w="45" w:type="dxa"/>
            </w:tcMar>
            <w:vAlign w:val="center"/>
          </w:tcPr>
          <w:p w14:paraId="2E3AB87B" w14:textId="77777777" w:rsidR="002F2BB2" w:rsidRPr="00532C61" w:rsidRDefault="002F2BB2" w:rsidP="0072694B">
            <w:pPr>
              <w:jc w:val="right"/>
              <w:rPr>
                <w:sz w:val="22"/>
                <w:szCs w:val="22"/>
              </w:rPr>
            </w:pPr>
          </w:p>
        </w:tc>
        <w:tc>
          <w:tcPr>
            <w:tcW w:w="406" w:type="pct"/>
            <w:tcMar>
              <w:top w:w="0" w:type="dxa"/>
              <w:left w:w="45" w:type="dxa"/>
              <w:bottom w:w="0" w:type="dxa"/>
              <w:right w:w="45" w:type="dxa"/>
            </w:tcMar>
            <w:vAlign w:val="bottom"/>
          </w:tcPr>
          <w:p w14:paraId="1DC41429" w14:textId="77777777" w:rsidR="002F2BB2" w:rsidRPr="00532C61" w:rsidRDefault="002F2BB2" w:rsidP="0072694B">
            <w:pPr>
              <w:jc w:val="right"/>
              <w:rPr>
                <w:sz w:val="22"/>
                <w:szCs w:val="22"/>
              </w:rPr>
            </w:pPr>
          </w:p>
        </w:tc>
      </w:tr>
      <w:tr w:rsidR="002F2BB2" w:rsidRPr="00532C61" w14:paraId="1C589D5C" w14:textId="77777777" w:rsidTr="0072694B">
        <w:trPr>
          <w:trHeight w:val="301"/>
        </w:trPr>
        <w:tc>
          <w:tcPr>
            <w:tcW w:w="1988" w:type="pct"/>
            <w:tcMar>
              <w:top w:w="0" w:type="dxa"/>
              <w:left w:w="45" w:type="dxa"/>
              <w:bottom w:w="0" w:type="dxa"/>
              <w:right w:w="45" w:type="dxa"/>
            </w:tcMar>
            <w:vAlign w:val="bottom"/>
          </w:tcPr>
          <w:p w14:paraId="4F6CC420" w14:textId="77777777" w:rsidR="002F2BB2" w:rsidRPr="00532C61" w:rsidRDefault="002F2BB2" w:rsidP="0072694B">
            <w:pPr>
              <w:rPr>
                <w:b/>
                <w:bCs/>
                <w:sz w:val="22"/>
                <w:szCs w:val="22"/>
              </w:rPr>
            </w:pPr>
            <w:r w:rsidRPr="00532C61">
              <w:rPr>
                <w:sz w:val="22"/>
                <w:szCs w:val="22"/>
              </w:rPr>
              <w:t xml:space="preserve">    &lt;11</w:t>
            </w:r>
          </w:p>
        </w:tc>
        <w:tc>
          <w:tcPr>
            <w:tcW w:w="468" w:type="pct"/>
            <w:tcMar>
              <w:top w:w="0" w:type="dxa"/>
              <w:left w:w="45" w:type="dxa"/>
              <w:bottom w:w="0" w:type="dxa"/>
              <w:right w:w="45" w:type="dxa"/>
            </w:tcMar>
            <w:vAlign w:val="center"/>
          </w:tcPr>
          <w:p w14:paraId="1AACDCC3" w14:textId="77777777" w:rsidR="002F2BB2" w:rsidRPr="00532C61" w:rsidRDefault="002F2BB2" w:rsidP="0072694B">
            <w:pPr>
              <w:jc w:val="right"/>
              <w:rPr>
                <w:bCs/>
                <w:sz w:val="22"/>
                <w:szCs w:val="22"/>
              </w:rPr>
            </w:pPr>
            <w:r w:rsidRPr="00532C61">
              <w:rPr>
                <w:bCs/>
                <w:sz w:val="22"/>
                <w:szCs w:val="22"/>
              </w:rPr>
              <w:t>54</w:t>
            </w:r>
          </w:p>
        </w:tc>
        <w:tc>
          <w:tcPr>
            <w:tcW w:w="391" w:type="pct"/>
            <w:tcMar>
              <w:top w:w="0" w:type="dxa"/>
              <w:left w:w="45" w:type="dxa"/>
              <w:bottom w:w="0" w:type="dxa"/>
              <w:right w:w="45" w:type="dxa"/>
            </w:tcMar>
            <w:vAlign w:val="center"/>
          </w:tcPr>
          <w:p w14:paraId="749DF636" w14:textId="77777777" w:rsidR="002F2BB2" w:rsidRPr="00532C61" w:rsidRDefault="002F2BB2" w:rsidP="0072694B">
            <w:pPr>
              <w:jc w:val="right"/>
              <w:rPr>
                <w:sz w:val="22"/>
                <w:szCs w:val="22"/>
              </w:rPr>
            </w:pPr>
            <w:r w:rsidRPr="00532C61">
              <w:rPr>
                <w:sz w:val="22"/>
                <w:szCs w:val="22"/>
              </w:rPr>
              <w:t>87.1</w:t>
            </w:r>
          </w:p>
        </w:tc>
        <w:tc>
          <w:tcPr>
            <w:tcW w:w="468" w:type="pct"/>
            <w:tcMar>
              <w:top w:w="0" w:type="dxa"/>
              <w:left w:w="45" w:type="dxa"/>
              <w:bottom w:w="0" w:type="dxa"/>
              <w:right w:w="45" w:type="dxa"/>
            </w:tcMar>
            <w:vAlign w:val="center"/>
          </w:tcPr>
          <w:p w14:paraId="6AFB597F" w14:textId="77777777" w:rsidR="002F2BB2" w:rsidRPr="00532C61" w:rsidRDefault="002F2BB2" w:rsidP="0072694B">
            <w:pPr>
              <w:jc w:val="right"/>
              <w:rPr>
                <w:bCs/>
                <w:sz w:val="22"/>
                <w:szCs w:val="22"/>
              </w:rPr>
            </w:pPr>
            <w:r w:rsidRPr="00532C61">
              <w:rPr>
                <w:bCs/>
                <w:sz w:val="22"/>
                <w:szCs w:val="22"/>
              </w:rPr>
              <w:t>20</w:t>
            </w:r>
          </w:p>
        </w:tc>
        <w:tc>
          <w:tcPr>
            <w:tcW w:w="437" w:type="pct"/>
            <w:tcMar>
              <w:top w:w="0" w:type="dxa"/>
              <w:left w:w="45" w:type="dxa"/>
              <w:bottom w:w="0" w:type="dxa"/>
              <w:right w:w="45" w:type="dxa"/>
            </w:tcMar>
            <w:vAlign w:val="center"/>
          </w:tcPr>
          <w:p w14:paraId="47A53BEC" w14:textId="77777777" w:rsidR="002F2BB2" w:rsidRPr="00532C61" w:rsidRDefault="002F2BB2" w:rsidP="0072694B">
            <w:pPr>
              <w:jc w:val="right"/>
              <w:rPr>
                <w:sz w:val="22"/>
                <w:szCs w:val="22"/>
              </w:rPr>
            </w:pPr>
            <w:r w:rsidRPr="00532C61">
              <w:rPr>
                <w:sz w:val="22"/>
                <w:szCs w:val="22"/>
              </w:rPr>
              <w:t>95.2</w:t>
            </w:r>
          </w:p>
        </w:tc>
        <w:tc>
          <w:tcPr>
            <w:tcW w:w="468" w:type="pct"/>
            <w:tcMar>
              <w:top w:w="0" w:type="dxa"/>
              <w:left w:w="45" w:type="dxa"/>
              <w:bottom w:w="0" w:type="dxa"/>
              <w:right w:w="45" w:type="dxa"/>
            </w:tcMar>
            <w:vAlign w:val="center"/>
          </w:tcPr>
          <w:p w14:paraId="28F89E09" w14:textId="77777777" w:rsidR="002F2BB2" w:rsidRPr="00532C61" w:rsidRDefault="002F2BB2" w:rsidP="0072694B">
            <w:pPr>
              <w:jc w:val="right"/>
              <w:rPr>
                <w:bCs/>
                <w:sz w:val="22"/>
                <w:szCs w:val="22"/>
              </w:rPr>
            </w:pPr>
            <w:r w:rsidRPr="00532C61">
              <w:rPr>
                <w:bCs/>
                <w:sz w:val="22"/>
                <w:szCs w:val="22"/>
              </w:rPr>
              <w:t>34</w:t>
            </w:r>
          </w:p>
        </w:tc>
        <w:tc>
          <w:tcPr>
            <w:tcW w:w="374" w:type="pct"/>
            <w:tcMar>
              <w:top w:w="0" w:type="dxa"/>
              <w:left w:w="45" w:type="dxa"/>
              <w:bottom w:w="0" w:type="dxa"/>
              <w:right w:w="45" w:type="dxa"/>
            </w:tcMar>
            <w:vAlign w:val="center"/>
          </w:tcPr>
          <w:p w14:paraId="64D375D1" w14:textId="77777777" w:rsidR="002F2BB2" w:rsidRPr="00532C61" w:rsidRDefault="002F2BB2" w:rsidP="0072694B">
            <w:pPr>
              <w:jc w:val="right"/>
              <w:rPr>
                <w:sz w:val="22"/>
                <w:szCs w:val="22"/>
              </w:rPr>
            </w:pPr>
            <w:r w:rsidRPr="00532C61">
              <w:rPr>
                <w:sz w:val="22"/>
                <w:szCs w:val="22"/>
              </w:rPr>
              <w:t>82.9</w:t>
            </w:r>
          </w:p>
        </w:tc>
        <w:tc>
          <w:tcPr>
            <w:tcW w:w="406" w:type="pct"/>
            <w:tcMar>
              <w:top w:w="0" w:type="dxa"/>
              <w:left w:w="45" w:type="dxa"/>
              <w:bottom w:w="0" w:type="dxa"/>
              <w:right w:w="45" w:type="dxa"/>
            </w:tcMar>
            <w:vAlign w:val="bottom"/>
          </w:tcPr>
          <w:p w14:paraId="1F5BB5C2" w14:textId="77777777" w:rsidR="002F2BB2" w:rsidRPr="00532C61" w:rsidRDefault="002F2BB2" w:rsidP="0072694B">
            <w:pPr>
              <w:jc w:val="right"/>
              <w:rPr>
                <w:sz w:val="22"/>
                <w:szCs w:val="22"/>
              </w:rPr>
            </w:pPr>
            <w:r w:rsidRPr="00532C61">
              <w:rPr>
                <w:sz w:val="22"/>
                <w:szCs w:val="22"/>
              </w:rPr>
              <w:t>0.247</w:t>
            </w:r>
          </w:p>
        </w:tc>
      </w:tr>
      <w:tr w:rsidR="002F2BB2" w:rsidRPr="00532C61" w14:paraId="4EACEBF7" w14:textId="77777777" w:rsidTr="0072694B">
        <w:trPr>
          <w:trHeight w:val="301"/>
        </w:trPr>
        <w:tc>
          <w:tcPr>
            <w:tcW w:w="1988" w:type="pct"/>
            <w:tcMar>
              <w:top w:w="0" w:type="dxa"/>
              <w:left w:w="45" w:type="dxa"/>
              <w:bottom w:w="0" w:type="dxa"/>
              <w:right w:w="45" w:type="dxa"/>
            </w:tcMar>
            <w:vAlign w:val="bottom"/>
          </w:tcPr>
          <w:p w14:paraId="0E9989A6" w14:textId="77777777" w:rsidR="002F2BB2" w:rsidRPr="00532C61" w:rsidRDefault="002F2BB2" w:rsidP="0072694B">
            <w:pPr>
              <w:rPr>
                <w:b/>
                <w:bCs/>
                <w:sz w:val="22"/>
                <w:szCs w:val="22"/>
              </w:rPr>
            </w:pPr>
            <w:r w:rsidRPr="00532C61">
              <w:rPr>
                <w:sz w:val="22"/>
                <w:szCs w:val="22"/>
              </w:rPr>
              <w:t xml:space="preserve">    11+</w:t>
            </w:r>
          </w:p>
        </w:tc>
        <w:tc>
          <w:tcPr>
            <w:tcW w:w="468" w:type="pct"/>
            <w:tcMar>
              <w:top w:w="0" w:type="dxa"/>
              <w:left w:w="45" w:type="dxa"/>
              <w:bottom w:w="0" w:type="dxa"/>
              <w:right w:w="45" w:type="dxa"/>
            </w:tcMar>
            <w:vAlign w:val="center"/>
          </w:tcPr>
          <w:p w14:paraId="334253C3" w14:textId="77777777" w:rsidR="002F2BB2" w:rsidRPr="00532C61" w:rsidRDefault="002F2BB2" w:rsidP="0072694B">
            <w:pPr>
              <w:jc w:val="right"/>
              <w:rPr>
                <w:bCs/>
                <w:sz w:val="22"/>
                <w:szCs w:val="22"/>
              </w:rPr>
            </w:pPr>
            <w:r w:rsidRPr="00532C61">
              <w:rPr>
                <w:bCs/>
                <w:sz w:val="22"/>
                <w:szCs w:val="22"/>
              </w:rPr>
              <w:t>8</w:t>
            </w:r>
          </w:p>
        </w:tc>
        <w:tc>
          <w:tcPr>
            <w:tcW w:w="391" w:type="pct"/>
            <w:tcMar>
              <w:top w:w="0" w:type="dxa"/>
              <w:left w:w="45" w:type="dxa"/>
              <w:bottom w:w="0" w:type="dxa"/>
              <w:right w:w="45" w:type="dxa"/>
            </w:tcMar>
            <w:vAlign w:val="center"/>
          </w:tcPr>
          <w:p w14:paraId="12942AFF" w14:textId="77777777" w:rsidR="002F2BB2" w:rsidRPr="00532C61" w:rsidRDefault="002F2BB2" w:rsidP="0072694B">
            <w:pPr>
              <w:jc w:val="right"/>
              <w:rPr>
                <w:sz w:val="22"/>
                <w:szCs w:val="22"/>
              </w:rPr>
            </w:pPr>
            <w:r w:rsidRPr="00532C61">
              <w:rPr>
                <w:sz w:val="22"/>
                <w:szCs w:val="22"/>
              </w:rPr>
              <w:t>12.9</w:t>
            </w:r>
          </w:p>
        </w:tc>
        <w:tc>
          <w:tcPr>
            <w:tcW w:w="468" w:type="pct"/>
            <w:tcMar>
              <w:top w:w="0" w:type="dxa"/>
              <w:left w:w="45" w:type="dxa"/>
              <w:bottom w:w="0" w:type="dxa"/>
              <w:right w:w="45" w:type="dxa"/>
            </w:tcMar>
            <w:vAlign w:val="center"/>
          </w:tcPr>
          <w:p w14:paraId="5942333B" w14:textId="77777777" w:rsidR="002F2BB2" w:rsidRPr="00532C61" w:rsidRDefault="002F2BB2" w:rsidP="0072694B">
            <w:pPr>
              <w:jc w:val="right"/>
              <w:rPr>
                <w:bCs/>
                <w:sz w:val="22"/>
                <w:szCs w:val="22"/>
              </w:rPr>
            </w:pPr>
            <w:r w:rsidRPr="00532C61">
              <w:rPr>
                <w:bCs/>
                <w:sz w:val="22"/>
                <w:szCs w:val="22"/>
              </w:rPr>
              <w:t>1</w:t>
            </w:r>
          </w:p>
        </w:tc>
        <w:tc>
          <w:tcPr>
            <w:tcW w:w="437" w:type="pct"/>
            <w:tcMar>
              <w:top w:w="0" w:type="dxa"/>
              <w:left w:w="45" w:type="dxa"/>
              <w:bottom w:w="0" w:type="dxa"/>
              <w:right w:w="45" w:type="dxa"/>
            </w:tcMar>
            <w:vAlign w:val="center"/>
          </w:tcPr>
          <w:p w14:paraId="5BB439EB" w14:textId="77777777" w:rsidR="002F2BB2" w:rsidRPr="00532C61" w:rsidRDefault="002F2BB2" w:rsidP="0072694B">
            <w:pPr>
              <w:jc w:val="right"/>
              <w:rPr>
                <w:sz w:val="22"/>
                <w:szCs w:val="22"/>
              </w:rPr>
            </w:pPr>
            <w:r w:rsidRPr="00532C61">
              <w:rPr>
                <w:sz w:val="22"/>
                <w:szCs w:val="22"/>
              </w:rPr>
              <w:t>4.8</w:t>
            </w:r>
          </w:p>
        </w:tc>
        <w:tc>
          <w:tcPr>
            <w:tcW w:w="468" w:type="pct"/>
            <w:tcMar>
              <w:top w:w="0" w:type="dxa"/>
              <w:left w:w="45" w:type="dxa"/>
              <w:bottom w:w="0" w:type="dxa"/>
              <w:right w:w="45" w:type="dxa"/>
            </w:tcMar>
            <w:vAlign w:val="center"/>
          </w:tcPr>
          <w:p w14:paraId="2C1EE442" w14:textId="77777777" w:rsidR="002F2BB2" w:rsidRPr="00532C61" w:rsidRDefault="002F2BB2" w:rsidP="0072694B">
            <w:pPr>
              <w:jc w:val="right"/>
              <w:rPr>
                <w:bCs/>
                <w:sz w:val="22"/>
                <w:szCs w:val="22"/>
              </w:rPr>
            </w:pPr>
            <w:r w:rsidRPr="00532C61">
              <w:rPr>
                <w:bCs/>
                <w:sz w:val="22"/>
                <w:szCs w:val="22"/>
              </w:rPr>
              <w:t>7</w:t>
            </w:r>
          </w:p>
        </w:tc>
        <w:tc>
          <w:tcPr>
            <w:tcW w:w="374" w:type="pct"/>
            <w:tcMar>
              <w:top w:w="0" w:type="dxa"/>
              <w:left w:w="45" w:type="dxa"/>
              <w:bottom w:w="0" w:type="dxa"/>
              <w:right w:w="45" w:type="dxa"/>
            </w:tcMar>
            <w:vAlign w:val="center"/>
          </w:tcPr>
          <w:p w14:paraId="3827836E" w14:textId="77777777" w:rsidR="002F2BB2" w:rsidRPr="00532C61" w:rsidRDefault="002F2BB2" w:rsidP="0072694B">
            <w:pPr>
              <w:jc w:val="right"/>
              <w:rPr>
                <w:sz w:val="22"/>
                <w:szCs w:val="22"/>
              </w:rPr>
            </w:pPr>
            <w:r w:rsidRPr="00532C61">
              <w:rPr>
                <w:sz w:val="22"/>
                <w:szCs w:val="22"/>
              </w:rPr>
              <w:t>17.1</w:t>
            </w:r>
          </w:p>
        </w:tc>
        <w:tc>
          <w:tcPr>
            <w:tcW w:w="406" w:type="pct"/>
            <w:tcMar>
              <w:top w:w="0" w:type="dxa"/>
              <w:left w:w="45" w:type="dxa"/>
              <w:bottom w:w="0" w:type="dxa"/>
              <w:right w:w="45" w:type="dxa"/>
            </w:tcMar>
            <w:vAlign w:val="bottom"/>
          </w:tcPr>
          <w:p w14:paraId="5EE9E96D" w14:textId="77777777" w:rsidR="002F2BB2" w:rsidRPr="00532C61" w:rsidRDefault="002F2BB2" w:rsidP="0072694B">
            <w:pPr>
              <w:jc w:val="right"/>
              <w:rPr>
                <w:sz w:val="22"/>
                <w:szCs w:val="22"/>
              </w:rPr>
            </w:pPr>
          </w:p>
        </w:tc>
      </w:tr>
      <w:tr w:rsidR="002F2BB2" w:rsidRPr="00532C61" w14:paraId="170D5CA5" w14:textId="77777777" w:rsidTr="0072694B">
        <w:trPr>
          <w:trHeight w:val="301"/>
        </w:trPr>
        <w:tc>
          <w:tcPr>
            <w:tcW w:w="1988" w:type="pct"/>
            <w:tcMar>
              <w:top w:w="0" w:type="dxa"/>
              <w:left w:w="45" w:type="dxa"/>
              <w:bottom w:w="0" w:type="dxa"/>
              <w:right w:w="45" w:type="dxa"/>
            </w:tcMar>
            <w:vAlign w:val="center"/>
          </w:tcPr>
          <w:p w14:paraId="5AE535C0" w14:textId="77777777" w:rsidR="002F2BB2" w:rsidRPr="00532C61" w:rsidRDefault="002F2BB2" w:rsidP="0072694B">
            <w:pPr>
              <w:rPr>
                <w:sz w:val="22"/>
                <w:szCs w:val="22"/>
              </w:rPr>
            </w:pPr>
            <w:r w:rsidRPr="00532C61">
              <w:rPr>
                <w:b/>
                <w:bCs/>
                <w:sz w:val="22"/>
                <w:szCs w:val="22"/>
              </w:rPr>
              <w:t>How important is it to you to be connected to and involved in the gay community?</w:t>
            </w:r>
          </w:p>
        </w:tc>
        <w:tc>
          <w:tcPr>
            <w:tcW w:w="468" w:type="pct"/>
            <w:tcMar>
              <w:top w:w="0" w:type="dxa"/>
              <w:left w:w="45" w:type="dxa"/>
              <w:bottom w:w="0" w:type="dxa"/>
              <w:right w:w="45" w:type="dxa"/>
            </w:tcMar>
            <w:vAlign w:val="center"/>
          </w:tcPr>
          <w:p w14:paraId="264BEA7B" w14:textId="77777777" w:rsidR="002F2BB2" w:rsidRPr="00532C61" w:rsidRDefault="002F2BB2" w:rsidP="0072694B">
            <w:pPr>
              <w:jc w:val="right"/>
              <w:rPr>
                <w:bCs/>
                <w:sz w:val="22"/>
                <w:szCs w:val="22"/>
              </w:rPr>
            </w:pPr>
          </w:p>
        </w:tc>
        <w:tc>
          <w:tcPr>
            <w:tcW w:w="391" w:type="pct"/>
            <w:tcMar>
              <w:top w:w="0" w:type="dxa"/>
              <w:left w:w="45" w:type="dxa"/>
              <w:bottom w:w="0" w:type="dxa"/>
              <w:right w:w="45" w:type="dxa"/>
            </w:tcMar>
            <w:vAlign w:val="center"/>
          </w:tcPr>
          <w:p w14:paraId="496F4175"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4C2EF800" w14:textId="77777777" w:rsidR="002F2BB2" w:rsidRPr="00532C61" w:rsidRDefault="002F2BB2" w:rsidP="0072694B">
            <w:pPr>
              <w:jc w:val="right"/>
              <w:rPr>
                <w:bCs/>
                <w:sz w:val="22"/>
                <w:szCs w:val="22"/>
              </w:rPr>
            </w:pPr>
          </w:p>
        </w:tc>
        <w:tc>
          <w:tcPr>
            <w:tcW w:w="437" w:type="pct"/>
            <w:tcMar>
              <w:top w:w="0" w:type="dxa"/>
              <w:left w:w="45" w:type="dxa"/>
              <w:bottom w:w="0" w:type="dxa"/>
              <w:right w:w="45" w:type="dxa"/>
            </w:tcMar>
            <w:vAlign w:val="center"/>
          </w:tcPr>
          <w:p w14:paraId="40ECF151"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5CF277AE" w14:textId="77777777" w:rsidR="002F2BB2" w:rsidRPr="00532C61" w:rsidRDefault="002F2BB2" w:rsidP="0072694B">
            <w:pPr>
              <w:jc w:val="right"/>
              <w:rPr>
                <w:bCs/>
                <w:sz w:val="22"/>
                <w:szCs w:val="22"/>
              </w:rPr>
            </w:pPr>
          </w:p>
        </w:tc>
        <w:tc>
          <w:tcPr>
            <w:tcW w:w="374" w:type="pct"/>
            <w:tcMar>
              <w:top w:w="0" w:type="dxa"/>
              <w:left w:w="45" w:type="dxa"/>
              <w:bottom w:w="0" w:type="dxa"/>
              <w:right w:w="45" w:type="dxa"/>
            </w:tcMar>
            <w:vAlign w:val="center"/>
          </w:tcPr>
          <w:p w14:paraId="5CE64472" w14:textId="77777777" w:rsidR="002F2BB2" w:rsidRPr="00532C61" w:rsidRDefault="002F2BB2" w:rsidP="0072694B">
            <w:pPr>
              <w:jc w:val="right"/>
              <w:rPr>
                <w:sz w:val="22"/>
                <w:szCs w:val="22"/>
              </w:rPr>
            </w:pPr>
          </w:p>
        </w:tc>
        <w:tc>
          <w:tcPr>
            <w:tcW w:w="406" w:type="pct"/>
            <w:tcMar>
              <w:top w:w="0" w:type="dxa"/>
              <w:left w:w="45" w:type="dxa"/>
              <w:bottom w:w="0" w:type="dxa"/>
              <w:right w:w="45" w:type="dxa"/>
            </w:tcMar>
            <w:vAlign w:val="bottom"/>
          </w:tcPr>
          <w:p w14:paraId="08DCBB62" w14:textId="77777777" w:rsidR="002F2BB2" w:rsidRPr="00532C61" w:rsidRDefault="002F2BB2" w:rsidP="0072694B">
            <w:pPr>
              <w:jc w:val="right"/>
              <w:rPr>
                <w:sz w:val="22"/>
                <w:szCs w:val="22"/>
              </w:rPr>
            </w:pPr>
          </w:p>
        </w:tc>
      </w:tr>
      <w:tr w:rsidR="002F2BB2" w:rsidRPr="00532C61" w14:paraId="187067F0" w14:textId="77777777" w:rsidTr="0072694B">
        <w:trPr>
          <w:trHeight w:val="301"/>
        </w:trPr>
        <w:tc>
          <w:tcPr>
            <w:tcW w:w="1988" w:type="pct"/>
            <w:tcMar>
              <w:top w:w="0" w:type="dxa"/>
              <w:left w:w="45" w:type="dxa"/>
              <w:bottom w:w="0" w:type="dxa"/>
              <w:right w:w="45" w:type="dxa"/>
            </w:tcMar>
            <w:vAlign w:val="bottom"/>
          </w:tcPr>
          <w:p w14:paraId="76A7E8B3" w14:textId="77777777" w:rsidR="002F2BB2" w:rsidRPr="00532C61" w:rsidRDefault="002F2BB2" w:rsidP="0072694B">
            <w:pPr>
              <w:rPr>
                <w:sz w:val="22"/>
                <w:szCs w:val="22"/>
              </w:rPr>
            </w:pPr>
            <w:r w:rsidRPr="00532C61">
              <w:rPr>
                <w:sz w:val="22"/>
                <w:szCs w:val="22"/>
              </w:rPr>
              <w:t xml:space="preserve">    Very/Somewhat Important</w:t>
            </w:r>
          </w:p>
        </w:tc>
        <w:tc>
          <w:tcPr>
            <w:tcW w:w="468" w:type="pct"/>
            <w:tcMar>
              <w:top w:w="0" w:type="dxa"/>
              <w:left w:w="45" w:type="dxa"/>
              <w:bottom w:w="0" w:type="dxa"/>
              <w:right w:w="45" w:type="dxa"/>
            </w:tcMar>
            <w:vAlign w:val="center"/>
          </w:tcPr>
          <w:p w14:paraId="2297152A" w14:textId="77777777" w:rsidR="002F2BB2" w:rsidRPr="00532C61" w:rsidRDefault="002F2BB2" w:rsidP="0072694B">
            <w:pPr>
              <w:jc w:val="right"/>
              <w:rPr>
                <w:bCs/>
                <w:sz w:val="22"/>
                <w:szCs w:val="22"/>
              </w:rPr>
            </w:pPr>
            <w:r w:rsidRPr="00532C61">
              <w:rPr>
                <w:bCs/>
                <w:sz w:val="22"/>
                <w:szCs w:val="22"/>
              </w:rPr>
              <w:t>37</w:t>
            </w:r>
          </w:p>
        </w:tc>
        <w:tc>
          <w:tcPr>
            <w:tcW w:w="391" w:type="pct"/>
            <w:tcMar>
              <w:top w:w="0" w:type="dxa"/>
              <w:left w:w="45" w:type="dxa"/>
              <w:bottom w:w="0" w:type="dxa"/>
              <w:right w:w="45" w:type="dxa"/>
            </w:tcMar>
            <w:vAlign w:val="center"/>
          </w:tcPr>
          <w:p w14:paraId="1913A2BC" w14:textId="77777777" w:rsidR="002F2BB2" w:rsidRPr="00532C61" w:rsidRDefault="002F2BB2" w:rsidP="0072694B">
            <w:pPr>
              <w:jc w:val="right"/>
              <w:rPr>
                <w:sz w:val="22"/>
                <w:szCs w:val="22"/>
              </w:rPr>
            </w:pPr>
            <w:r w:rsidRPr="00532C61">
              <w:rPr>
                <w:sz w:val="22"/>
                <w:szCs w:val="22"/>
              </w:rPr>
              <w:t>55.2</w:t>
            </w:r>
          </w:p>
        </w:tc>
        <w:tc>
          <w:tcPr>
            <w:tcW w:w="468" w:type="pct"/>
            <w:tcMar>
              <w:top w:w="0" w:type="dxa"/>
              <w:left w:w="45" w:type="dxa"/>
              <w:bottom w:w="0" w:type="dxa"/>
              <w:right w:w="45" w:type="dxa"/>
            </w:tcMar>
            <w:vAlign w:val="center"/>
          </w:tcPr>
          <w:p w14:paraId="2156BBCC" w14:textId="77777777" w:rsidR="002F2BB2" w:rsidRPr="00532C61" w:rsidRDefault="002F2BB2" w:rsidP="0072694B">
            <w:pPr>
              <w:jc w:val="right"/>
              <w:rPr>
                <w:bCs/>
                <w:sz w:val="22"/>
                <w:szCs w:val="22"/>
              </w:rPr>
            </w:pPr>
            <w:r w:rsidRPr="00532C61">
              <w:rPr>
                <w:bCs/>
                <w:sz w:val="22"/>
                <w:szCs w:val="22"/>
              </w:rPr>
              <w:t>12</w:t>
            </w:r>
          </w:p>
        </w:tc>
        <w:tc>
          <w:tcPr>
            <w:tcW w:w="437" w:type="pct"/>
            <w:tcMar>
              <w:top w:w="0" w:type="dxa"/>
              <w:left w:w="45" w:type="dxa"/>
              <w:bottom w:w="0" w:type="dxa"/>
              <w:right w:w="45" w:type="dxa"/>
            </w:tcMar>
            <w:vAlign w:val="center"/>
          </w:tcPr>
          <w:p w14:paraId="176F4F1D" w14:textId="77777777" w:rsidR="002F2BB2" w:rsidRPr="00532C61" w:rsidRDefault="002F2BB2" w:rsidP="0072694B">
            <w:pPr>
              <w:jc w:val="right"/>
              <w:rPr>
                <w:sz w:val="22"/>
                <w:szCs w:val="22"/>
              </w:rPr>
            </w:pPr>
            <w:r w:rsidRPr="00532C61">
              <w:rPr>
                <w:sz w:val="22"/>
                <w:szCs w:val="22"/>
              </w:rPr>
              <w:t>57.1</w:t>
            </w:r>
          </w:p>
        </w:tc>
        <w:tc>
          <w:tcPr>
            <w:tcW w:w="468" w:type="pct"/>
            <w:tcMar>
              <w:top w:w="0" w:type="dxa"/>
              <w:left w:w="45" w:type="dxa"/>
              <w:bottom w:w="0" w:type="dxa"/>
              <w:right w:w="45" w:type="dxa"/>
            </w:tcMar>
            <w:vAlign w:val="center"/>
          </w:tcPr>
          <w:p w14:paraId="243AC262" w14:textId="77777777" w:rsidR="002F2BB2" w:rsidRPr="00532C61" w:rsidRDefault="002F2BB2" w:rsidP="0072694B">
            <w:pPr>
              <w:jc w:val="right"/>
              <w:rPr>
                <w:bCs/>
                <w:sz w:val="22"/>
                <w:szCs w:val="22"/>
              </w:rPr>
            </w:pPr>
            <w:r w:rsidRPr="00532C61">
              <w:rPr>
                <w:bCs/>
                <w:sz w:val="22"/>
                <w:szCs w:val="22"/>
              </w:rPr>
              <w:t>25</w:t>
            </w:r>
          </w:p>
        </w:tc>
        <w:tc>
          <w:tcPr>
            <w:tcW w:w="374" w:type="pct"/>
            <w:tcMar>
              <w:top w:w="0" w:type="dxa"/>
              <w:left w:w="45" w:type="dxa"/>
              <w:bottom w:w="0" w:type="dxa"/>
              <w:right w:w="45" w:type="dxa"/>
            </w:tcMar>
            <w:vAlign w:val="center"/>
          </w:tcPr>
          <w:p w14:paraId="7D4001F0" w14:textId="77777777" w:rsidR="002F2BB2" w:rsidRPr="00532C61" w:rsidRDefault="002F2BB2" w:rsidP="0072694B">
            <w:pPr>
              <w:jc w:val="right"/>
              <w:rPr>
                <w:sz w:val="22"/>
                <w:szCs w:val="22"/>
              </w:rPr>
            </w:pPr>
            <w:r w:rsidRPr="00532C61">
              <w:rPr>
                <w:sz w:val="22"/>
                <w:szCs w:val="22"/>
              </w:rPr>
              <w:t>54.4</w:t>
            </w:r>
          </w:p>
        </w:tc>
        <w:tc>
          <w:tcPr>
            <w:tcW w:w="406" w:type="pct"/>
            <w:tcMar>
              <w:top w:w="0" w:type="dxa"/>
              <w:left w:w="45" w:type="dxa"/>
              <w:bottom w:w="0" w:type="dxa"/>
              <w:right w:w="45" w:type="dxa"/>
            </w:tcMar>
            <w:vAlign w:val="bottom"/>
          </w:tcPr>
          <w:p w14:paraId="1B975A50" w14:textId="77777777" w:rsidR="002F2BB2" w:rsidRPr="00532C61" w:rsidRDefault="002F2BB2" w:rsidP="0072694B">
            <w:pPr>
              <w:jc w:val="right"/>
              <w:rPr>
                <w:sz w:val="22"/>
                <w:szCs w:val="22"/>
              </w:rPr>
            </w:pPr>
            <w:r w:rsidRPr="00532C61">
              <w:rPr>
                <w:sz w:val="22"/>
                <w:szCs w:val="22"/>
              </w:rPr>
              <w:t>1.000</w:t>
            </w:r>
          </w:p>
        </w:tc>
      </w:tr>
      <w:tr w:rsidR="002F2BB2" w:rsidRPr="00532C61" w14:paraId="4ABFE44A" w14:textId="77777777" w:rsidTr="0072694B">
        <w:trPr>
          <w:trHeight w:val="301"/>
        </w:trPr>
        <w:tc>
          <w:tcPr>
            <w:tcW w:w="1988" w:type="pct"/>
            <w:tcMar>
              <w:top w:w="0" w:type="dxa"/>
              <w:left w:w="45" w:type="dxa"/>
              <w:bottom w:w="0" w:type="dxa"/>
              <w:right w:w="45" w:type="dxa"/>
            </w:tcMar>
            <w:vAlign w:val="bottom"/>
          </w:tcPr>
          <w:p w14:paraId="2B50107F" w14:textId="77777777" w:rsidR="002F2BB2" w:rsidRPr="00532C61" w:rsidRDefault="002F2BB2" w:rsidP="0072694B">
            <w:pPr>
              <w:rPr>
                <w:sz w:val="22"/>
                <w:szCs w:val="22"/>
              </w:rPr>
            </w:pPr>
            <w:r w:rsidRPr="00532C61">
              <w:rPr>
                <w:sz w:val="22"/>
                <w:szCs w:val="22"/>
              </w:rPr>
              <w:t xml:space="preserve">    Not very/Not at all important</w:t>
            </w:r>
          </w:p>
        </w:tc>
        <w:tc>
          <w:tcPr>
            <w:tcW w:w="468" w:type="pct"/>
            <w:tcMar>
              <w:top w:w="0" w:type="dxa"/>
              <w:left w:w="45" w:type="dxa"/>
              <w:bottom w:w="0" w:type="dxa"/>
              <w:right w:w="45" w:type="dxa"/>
            </w:tcMar>
            <w:vAlign w:val="center"/>
          </w:tcPr>
          <w:p w14:paraId="3995955B" w14:textId="77777777" w:rsidR="002F2BB2" w:rsidRPr="00532C61" w:rsidRDefault="002F2BB2" w:rsidP="0072694B">
            <w:pPr>
              <w:jc w:val="right"/>
              <w:rPr>
                <w:bCs/>
                <w:sz w:val="22"/>
                <w:szCs w:val="22"/>
              </w:rPr>
            </w:pPr>
            <w:r w:rsidRPr="00532C61">
              <w:rPr>
                <w:bCs/>
                <w:sz w:val="22"/>
                <w:szCs w:val="22"/>
              </w:rPr>
              <w:t>30</w:t>
            </w:r>
          </w:p>
        </w:tc>
        <w:tc>
          <w:tcPr>
            <w:tcW w:w="391" w:type="pct"/>
            <w:tcMar>
              <w:top w:w="0" w:type="dxa"/>
              <w:left w:w="45" w:type="dxa"/>
              <w:bottom w:w="0" w:type="dxa"/>
              <w:right w:w="45" w:type="dxa"/>
            </w:tcMar>
            <w:vAlign w:val="center"/>
          </w:tcPr>
          <w:p w14:paraId="3A8F86E5" w14:textId="77777777" w:rsidR="002F2BB2" w:rsidRPr="00532C61" w:rsidRDefault="002F2BB2" w:rsidP="0072694B">
            <w:pPr>
              <w:jc w:val="right"/>
              <w:rPr>
                <w:sz w:val="22"/>
                <w:szCs w:val="22"/>
              </w:rPr>
            </w:pPr>
            <w:r w:rsidRPr="00532C61">
              <w:rPr>
                <w:sz w:val="22"/>
                <w:szCs w:val="22"/>
              </w:rPr>
              <w:t>44.8</w:t>
            </w:r>
          </w:p>
        </w:tc>
        <w:tc>
          <w:tcPr>
            <w:tcW w:w="468" w:type="pct"/>
            <w:tcMar>
              <w:top w:w="0" w:type="dxa"/>
              <w:left w:w="45" w:type="dxa"/>
              <w:bottom w:w="0" w:type="dxa"/>
              <w:right w:w="45" w:type="dxa"/>
            </w:tcMar>
            <w:vAlign w:val="center"/>
          </w:tcPr>
          <w:p w14:paraId="2F36D9EE" w14:textId="77777777" w:rsidR="002F2BB2" w:rsidRPr="00532C61" w:rsidRDefault="002F2BB2" w:rsidP="0072694B">
            <w:pPr>
              <w:jc w:val="right"/>
              <w:rPr>
                <w:bCs/>
                <w:sz w:val="22"/>
                <w:szCs w:val="22"/>
              </w:rPr>
            </w:pPr>
            <w:r w:rsidRPr="00532C61">
              <w:rPr>
                <w:bCs/>
                <w:sz w:val="22"/>
                <w:szCs w:val="22"/>
              </w:rPr>
              <w:t>9</w:t>
            </w:r>
          </w:p>
        </w:tc>
        <w:tc>
          <w:tcPr>
            <w:tcW w:w="437" w:type="pct"/>
            <w:tcMar>
              <w:top w:w="0" w:type="dxa"/>
              <w:left w:w="45" w:type="dxa"/>
              <w:bottom w:w="0" w:type="dxa"/>
              <w:right w:w="45" w:type="dxa"/>
            </w:tcMar>
            <w:vAlign w:val="center"/>
          </w:tcPr>
          <w:p w14:paraId="66535806" w14:textId="77777777" w:rsidR="002F2BB2" w:rsidRPr="00532C61" w:rsidRDefault="002F2BB2" w:rsidP="0072694B">
            <w:pPr>
              <w:jc w:val="right"/>
              <w:rPr>
                <w:sz w:val="22"/>
                <w:szCs w:val="22"/>
              </w:rPr>
            </w:pPr>
            <w:r w:rsidRPr="00532C61">
              <w:rPr>
                <w:sz w:val="22"/>
                <w:szCs w:val="22"/>
              </w:rPr>
              <w:t>42.9</w:t>
            </w:r>
          </w:p>
        </w:tc>
        <w:tc>
          <w:tcPr>
            <w:tcW w:w="468" w:type="pct"/>
            <w:tcMar>
              <w:top w:w="0" w:type="dxa"/>
              <w:left w:w="45" w:type="dxa"/>
              <w:bottom w:w="0" w:type="dxa"/>
              <w:right w:w="45" w:type="dxa"/>
            </w:tcMar>
            <w:vAlign w:val="center"/>
          </w:tcPr>
          <w:p w14:paraId="2664D2D8" w14:textId="77777777" w:rsidR="002F2BB2" w:rsidRPr="00532C61" w:rsidRDefault="002F2BB2" w:rsidP="0072694B">
            <w:pPr>
              <w:jc w:val="right"/>
              <w:rPr>
                <w:bCs/>
                <w:sz w:val="22"/>
                <w:szCs w:val="22"/>
              </w:rPr>
            </w:pPr>
            <w:r w:rsidRPr="00532C61">
              <w:rPr>
                <w:bCs/>
                <w:sz w:val="22"/>
                <w:szCs w:val="22"/>
              </w:rPr>
              <w:t>21</w:t>
            </w:r>
          </w:p>
        </w:tc>
        <w:tc>
          <w:tcPr>
            <w:tcW w:w="374" w:type="pct"/>
            <w:tcMar>
              <w:top w:w="0" w:type="dxa"/>
              <w:left w:w="45" w:type="dxa"/>
              <w:bottom w:w="0" w:type="dxa"/>
              <w:right w:w="45" w:type="dxa"/>
            </w:tcMar>
            <w:vAlign w:val="center"/>
          </w:tcPr>
          <w:p w14:paraId="04F97B32" w14:textId="77777777" w:rsidR="002F2BB2" w:rsidRPr="00532C61" w:rsidRDefault="002F2BB2" w:rsidP="0072694B">
            <w:pPr>
              <w:jc w:val="right"/>
              <w:rPr>
                <w:sz w:val="22"/>
                <w:szCs w:val="22"/>
              </w:rPr>
            </w:pPr>
            <w:r w:rsidRPr="00532C61">
              <w:rPr>
                <w:sz w:val="22"/>
                <w:szCs w:val="22"/>
              </w:rPr>
              <w:t>45.7</w:t>
            </w:r>
          </w:p>
        </w:tc>
        <w:tc>
          <w:tcPr>
            <w:tcW w:w="406" w:type="pct"/>
            <w:tcMar>
              <w:top w:w="0" w:type="dxa"/>
              <w:left w:w="45" w:type="dxa"/>
              <w:bottom w:w="0" w:type="dxa"/>
              <w:right w:w="45" w:type="dxa"/>
            </w:tcMar>
            <w:vAlign w:val="bottom"/>
          </w:tcPr>
          <w:p w14:paraId="71F7CEA7" w14:textId="77777777" w:rsidR="002F2BB2" w:rsidRPr="00532C61" w:rsidRDefault="002F2BB2" w:rsidP="0072694B">
            <w:pPr>
              <w:jc w:val="right"/>
              <w:rPr>
                <w:sz w:val="22"/>
                <w:szCs w:val="22"/>
              </w:rPr>
            </w:pPr>
          </w:p>
        </w:tc>
      </w:tr>
      <w:tr w:rsidR="002F2BB2" w:rsidRPr="00532C61" w14:paraId="3BE6B721" w14:textId="77777777" w:rsidTr="0072694B">
        <w:trPr>
          <w:trHeight w:val="315"/>
        </w:trPr>
        <w:tc>
          <w:tcPr>
            <w:tcW w:w="1988" w:type="pct"/>
            <w:tcMar>
              <w:top w:w="0" w:type="dxa"/>
              <w:left w:w="45" w:type="dxa"/>
              <w:bottom w:w="0" w:type="dxa"/>
              <w:right w:w="45" w:type="dxa"/>
            </w:tcMar>
            <w:vAlign w:val="center"/>
          </w:tcPr>
          <w:p w14:paraId="3EA5BC08" w14:textId="77777777" w:rsidR="002F2BB2" w:rsidRPr="00532C61" w:rsidRDefault="002F2BB2" w:rsidP="0072694B">
            <w:pPr>
              <w:rPr>
                <w:b/>
                <w:bCs/>
                <w:i/>
                <w:sz w:val="22"/>
                <w:szCs w:val="22"/>
                <w:u w:val="single"/>
              </w:rPr>
            </w:pPr>
            <w:r w:rsidRPr="00532C61">
              <w:rPr>
                <w:b/>
                <w:bCs/>
                <w:i/>
                <w:sz w:val="22"/>
                <w:szCs w:val="22"/>
                <w:u w:val="single"/>
              </w:rPr>
              <w:t>HIV Prevention Practices and Risk Behaviours</w:t>
            </w:r>
          </w:p>
        </w:tc>
        <w:tc>
          <w:tcPr>
            <w:tcW w:w="468" w:type="pct"/>
            <w:tcMar>
              <w:top w:w="0" w:type="dxa"/>
              <w:left w:w="45" w:type="dxa"/>
              <w:bottom w:w="0" w:type="dxa"/>
              <w:right w:w="45" w:type="dxa"/>
            </w:tcMar>
            <w:vAlign w:val="center"/>
          </w:tcPr>
          <w:p w14:paraId="772B4DE1" w14:textId="77777777" w:rsidR="002F2BB2" w:rsidRPr="00532C61" w:rsidRDefault="002F2BB2" w:rsidP="0072694B">
            <w:pPr>
              <w:rPr>
                <w:bCs/>
                <w:sz w:val="22"/>
                <w:szCs w:val="22"/>
              </w:rPr>
            </w:pPr>
          </w:p>
        </w:tc>
        <w:tc>
          <w:tcPr>
            <w:tcW w:w="391" w:type="pct"/>
            <w:tcMar>
              <w:top w:w="0" w:type="dxa"/>
              <w:left w:w="45" w:type="dxa"/>
              <w:bottom w:w="0" w:type="dxa"/>
              <w:right w:w="45" w:type="dxa"/>
            </w:tcMar>
            <w:vAlign w:val="center"/>
          </w:tcPr>
          <w:p w14:paraId="53579BCF"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tcPr>
          <w:p w14:paraId="630143C4" w14:textId="77777777" w:rsidR="002F2BB2" w:rsidRPr="00532C61" w:rsidRDefault="002F2BB2" w:rsidP="0072694B">
            <w:pPr>
              <w:rPr>
                <w:bCs/>
                <w:sz w:val="22"/>
                <w:szCs w:val="22"/>
              </w:rPr>
            </w:pPr>
          </w:p>
        </w:tc>
        <w:tc>
          <w:tcPr>
            <w:tcW w:w="437" w:type="pct"/>
            <w:tcMar>
              <w:top w:w="0" w:type="dxa"/>
              <w:left w:w="45" w:type="dxa"/>
              <w:bottom w:w="0" w:type="dxa"/>
              <w:right w:w="45" w:type="dxa"/>
            </w:tcMar>
            <w:vAlign w:val="center"/>
          </w:tcPr>
          <w:p w14:paraId="4291A1CD"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tcPr>
          <w:p w14:paraId="67F90904" w14:textId="77777777" w:rsidR="002F2BB2" w:rsidRPr="00532C61" w:rsidRDefault="002F2BB2" w:rsidP="0072694B">
            <w:pPr>
              <w:rPr>
                <w:bCs/>
                <w:sz w:val="22"/>
                <w:szCs w:val="22"/>
              </w:rPr>
            </w:pPr>
          </w:p>
        </w:tc>
        <w:tc>
          <w:tcPr>
            <w:tcW w:w="374" w:type="pct"/>
            <w:tcMar>
              <w:top w:w="0" w:type="dxa"/>
              <w:left w:w="45" w:type="dxa"/>
              <w:bottom w:w="0" w:type="dxa"/>
              <w:right w:w="45" w:type="dxa"/>
            </w:tcMar>
            <w:vAlign w:val="center"/>
          </w:tcPr>
          <w:p w14:paraId="57DBCC99" w14:textId="77777777" w:rsidR="002F2BB2" w:rsidRPr="00532C61" w:rsidRDefault="002F2BB2" w:rsidP="0072694B">
            <w:pPr>
              <w:rPr>
                <w:sz w:val="22"/>
                <w:szCs w:val="22"/>
              </w:rPr>
            </w:pPr>
          </w:p>
        </w:tc>
        <w:tc>
          <w:tcPr>
            <w:tcW w:w="406" w:type="pct"/>
            <w:tcMar>
              <w:top w:w="0" w:type="dxa"/>
              <w:left w:w="45" w:type="dxa"/>
              <w:bottom w:w="0" w:type="dxa"/>
              <w:right w:w="45" w:type="dxa"/>
            </w:tcMar>
            <w:vAlign w:val="bottom"/>
          </w:tcPr>
          <w:p w14:paraId="2644E3DF" w14:textId="77777777" w:rsidR="002F2BB2" w:rsidRPr="00532C61" w:rsidRDefault="002F2BB2" w:rsidP="0072694B">
            <w:pPr>
              <w:jc w:val="right"/>
              <w:rPr>
                <w:sz w:val="22"/>
                <w:szCs w:val="22"/>
              </w:rPr>
            </w:pPr>
          </w:p>
        </w:tc>
      </w:tr>
      <w:tr w:rsidR="002F2BB2" w:rsidRPr="00532C61" w14:paraId="422D04E9" w14:textId="77777777" w:rsidTr="0072694B">
        <w:trPr>
          <w:trHeight w:val="301"/>
        </w:trPr>
        <w:tc>
          <w:tcPr>
            <w:tcW w:w="1988" w:type="pct"/>
            <w:tcMar>
              <w:top w:w="0" w:type="dxa"/>
              <w:left w:w="45" w:type="dxa"/>
              <w:bottom w:w="0" w:type="dxa"/>
              <w:right w:w="45" w:type="dxa"/>
            </w:tcMar>
            <w:vAlign w:val="center"/>
            <w:hideMark/>
          </w:tcPr>
          <w:p w14:paraId="1D0C5404" w14:textId="77777777" w:rsidR="002F2BB2" w:rsidRPr="00532C61" w:rsidRDefault="002F2BB2" w:rsidP="0072694B">
            <w:pPr>
              <w:rPr>
                <w:b/>
                <w:bCs/>
                <w:sz w:val="22"/>
                <w:szCs w:val="22"/>
              </w:rPr>
            </w:pPr>
            <w:r w:rsidRPr="00532C61">
              <w:rPr>
                <w:b/>
                <w:bCs/>
                <w:sz w:val="22"/>
                <w:szCs w:val="22"/>
              </w:rPr>
              <w:t xml:space="preserve">Consistent Condom Use </w:t>
            </w:r>
          </w:p>
        </w:tc>
        <w:tc>
          <w:tcPr>
            <w:tcW w:w="468" w:type="pct"/>
            <w:tcMar>
              <w:top w:w="0" w:type="dxa"/>
              <w:left w:w="45" w:type="dxa"/>
              <w:bottom w:w="0" w:type="dxa"/>
              <w:right w:w="45" w:type="dxa"/>
            </w:tcMar>
            <w:vAlign w:val="center"/>
            <w:hideMark/>
          </w:tcPr>
          <w:p w14:paraId="7CFFEDEC" w14:textId="77777777" w:rsidR="002F2BB2" w:rsidRPr="00532C61" w:rsidRDefault="002F2BB2" w:rsidP="0072694B">
            <w:pPr>
              <w:rPr>
                <w:bCs/>
                <w:sz w:val="22"/>
                <w:szCs w:val="22"/>
              </w:rPr>
            </w:pPr>
          </w:p>
        </w:tc>
        <w:tc>
          <w:tcPr>
            <w:tcW w:w="391" w:type="pct"/>
            <w:tcMar>
              <w:top w:w="0" w:type="dxa"/>
              <w:left w:w="45" w:type="dxa"/>
              <w:bottom w:w="0" w:type="dxa"/>
              <w:right w:w="45" w:type="dxa"/>
            </w:tcMar>
            <w:vAlign w:val="center"/>
            <w:hideMark/>
          </w:tcPr>
          <w:p w14:paraId="01577A16"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13F36181" w14:textId="77777777" w:rsidR="002F2BB2" w:rsidRPr="00532C61" w:rsidRDefault="002F2BB2" w:rsidP="0072694B">
            <w:pPr>
              <w:rPr>
                <w:bCs/>
                <w:sz w:val="22"/>
                <w:szCs w:val="22"/>
              </w:rPr>
            </w:pPr>
          </w:p>
        </w:tc>
        <w:tc>
          <w:tcPr>
            <w:tcW w:w="437" w:type="pct"/>
            <w:tcMar>
              <w:top w:w="0" w:type="dxa"/>
              <w:left w:w="45" w:type="dxa"/>
              <w:bottom w:w="0" w:type="dxa"/>
              <w:right w:w="45" w:type="dxa"/>
            </w:tcMar>
            <w:vAlign w:val="center"/>
            <w:hideMark/>
          </w:tcPr>
          <w:p w14:paraId="7AF05E96"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7269AC31" w14:textId="77777777" w:rsidR="002F2BB2" w:rsidRPr="00532C61" w:rsidRDefault="002F2BB2" w:rsidP="0072694B">
            <w:pPr>
              <w:rPr>
                <w:bCs/>
                <w:sz w:val="22"/>
                <w:szCs w:val="22"/>
              </w:rPr>
            </w:pPr>
          </w:p>
        </w:tc>
        <w:tc>
          <w:tcPr>
            <w:tcW w:w="374" w:type="pct"/>
            <w:tcMar>
              <w:top w:w="0" w:type="dxa"/>
              <w:left w:w="45" w:type="dxa"/>
              <w:bottom w:w="0" w:type="dxa"/>
              <w:right w:w="45" w:type="dxa"/>
            </w:tcMar>
            <w:vAlign w:val="center"/>
            <w:hideMark/>
          </w:tcPr>
          <w:p w14:paraId="5AFFDA98" w14:textId="77777777" w:rsidR="002F2BB2" w:rsidRPr="00532C61" w:rsidRDefault="002F2BB2" w:rsidP="0072694B">
            <w:pPr>
              <w:rPr>
                <w:sz w:val="22"/>
                <w:szCs w:val="22"/>
              </w:rPr>
            </w:pPr>
          </w:p>
        </w:tc>
        <w:tc>
          <w:tcPr>
            <w:tcW w:w="406" w:type="pct"/>
            <w:tcMar>
              <w:top w:w="0" w:type="dxa"/>
              <w:left w:w="45" w:type="dxa"/>
              <w:bottom w:w="0" w:type="dxa"/>
              <w:right w:w="45" w:type="dxa"/>
            </w:tcMar>
            <w:vAlign w:val="bottom"/>
            <w:hideMark/>
          </w:tcPr>
          <w:p w14:paraId="2471F0BB" w14:textId="77777777" w:rsidR="002F2BB2" w:rsidRPr="00532C61" w:rsidRDefault="002F2BB2" w:rsidP="0072694B">
            <w:pPr>
              <w:jc w:val="right"/>
              <w:rPr>
                <w:sz w:val="22"/>
                <w:szCs w:val="22"/>
              </w:rPr>
            </w:pPr>
          </w:p>
        </w:tc>
      </w:tr>
      <w:tr w:rsidR="002F2BB2" w:rsidRPr="00532C61" w14:paraId="0B4C2EA1" w14:textId="77777777" w:rsidTr="0072694B">
        <w:trPr>
          <w:trHeight w:val="315"/>
        </w:trPr>
        <w:tc>
          <w:tcPr>
            <w:tcW w:w="1988" w:type="pct"/>
            <w:tcMar>
              <w:top w:w="0" w:type="dxa"/>
              <w:left w:w="45" w:type="dxa"/>
              <w:bottom w:w="0" w:type="dxa"/>
              <w:right w:w="45" w:type="dxa"/>
            </w:tcMar>
            <w:vAlign w:val="center"/>
            <w:hideMark/>
          </w:tcPr>
          <w:p w14:paraId="5422235A" w14:textId="77777777" w:rsidR="002F2BB2" w:rsidRPr="00532C61" w:rsidRDefault="002F2BB2" w:rsidP="0072694B">
            <w:pPr>
              <w:rPr>
                <w:sz w:val="22"/>
                <w:szCs w:val="22"/>
              </w:rPr>
            </w:pPr>
            <w:r w:rsidRPr="00532C61">
              <w:rPr>
                <w:sz w:val="22"/>
                <w:szCs w:val="22"/>
              </w:rPr>
              <w:t xml:space="preserve">    No</w:t>
            </w:r>
          </w:p>
        </w:tc>
        <w:tc>
          <w:tcPr>
            <w:tcW w:w="468" w:type="pct"/>
            <w:tcMar>
              <w:top w:w="0" w:type="dxa"/>
              <w:left w:w="45" w:type="dxa"/>
              <w:bottom w:w="0" w:type="dxa"/>
              <w:right w:w="45" w:type="dxa"/>
            </w:tcMar>
            <w:vAlign w:val="center"/>
            <w:hideMark/>
          </w:tcPr>
          <w:p w14:paraId="3CB32330" w14:textId="77777777" w:rsidR="002F2BB2" w:rsidRPr="00532C61" w:rsidRDefault="002F2BB2" w:rsidP="0072694B">
            <w:pPr>
              <w:jc w:val="right"/>
              <w:rPr>
                <w:bCs/>
                <w:sz w:val="22"/>
                <w:szCs w:val="22"/>
              </w:rPr>
            </w:pPr>
            <w:r w:rsidRPr="00532C61">
              <w:rPr>
                <w:bCs/>
                <w:sz w:val="22"/>
                <w:szCs w:val="22"/>
              </w:rPr>
              <w:t>49</w:t>
            </w:r>
          </w:p>
        </w:tc>
        <w:tc>
          <w:tcPr>
            <w:tcW w:w="391" w:type="pct"/>
            <w:tcMar>
              <w:top w:w="0" w:type="dxa"/>
              <w:left w:w="45" w:type="dxa"/>
              <w:bottom w:w="0" w:type="dxa"/>
              <w:right w:w="45" w:type="dxa"/>
            </w:tcMar>
            <w:vAlign w:val="center"/>
            <w:hideMark/>
          </w:tcPr>
          <w:p w14:paraId="3F59CD11" w14:textId="77777777" w:rsidR="002F2BB2" w:rsidRPr="00532C61" w:rsidRDefault="002F2BB2" w:rsidP="0072694B">
            <w:pPr>
              <w:jc w:val="right"/>
              <w:rPr>
                <w:sz w:val="22"/>
                <w:szCs w:val="22"/>
              </w:rPr>
            </w:pPr>
            <w:r w:rsidRPr="00532C61">
              <w:rPr>
                <w:sz w:val="22"/>
                <w:szCs w:val="22"/>
              </w:rPr>
              <w:t>74.2</w:t>
            </w:r>
          </w:p>
        </w:tc>
        <w:tc>
          <w:tcPr>
            <w:tcW w:w="468" w:type="pct"/>
            <w:tcMar>
              <w:top w:w="0" w:type="dxa"/>
              <w:left w:w="45" w:type="dxa"/>
              <w:bottom w:w="0" w:type="dxa"/>
              <w:right w:w="45" w:type="dxa"/>
            </w:tcMar>
            <w:vAlign w:val="center"/>
            <w:hideMark/>
          </w:tcPr>
          <w:p w14:paraId="731CDCD7" w14:textId="77777777" w:rsidR="002F2BB2" w:rsidRPr="00532C61" w:rsidRDefault="002F2BB2" w:rsidP="0072694B">
            <w:pPr>
              <w:jc w:val="right"/>
              <w:rPr>
                <w:bCs/>
                <w:sz w:val="22"/>
                <w:szCs w:val="22"/>
              </w:rPr>
            </w:pPr>
            <w:r w:rsidRPr="00532C61">
              <w:rPr>
                <w:bCs/>
                <w:sz w:val="22"/>
                <w:szCs w:val="22"/>
              </w:rPr>
              <w:t>15</w:t>
            </w:r>
          </w:p>
        </w:tc>
        <w:tc>
          <w:tcPr>
            <w:tcW w:w="437" w:type="pct"/>
            <w:tcMar>
              <w:top w:w="0" w:type="dxa"/>
              <w:left w:w="45" w:type="dxa"/>
              <w:bottom w:w="0" w:type="dxa"/>
              <w:right w:w="45" w:type="dxa"/>
            </w:tcMar>
            <w:vAlign w:val="center"/>
            <w:hideMark/>
          </w:tcPr>
          <w:p w14:paraId="355111E0" w14:textId="77777777" w:rsidR="002F2BB2" w:rsidRPr="00532C61" w:rsidRDefault="002F2BB2" w:rsidP="0072694B">
            <w:pPr>
              <w:jc w:val="right"/>
              <w:rPr>
                <w:sz w:val="22"/>
                <w:szCs w:val="22"/>
              </w:rPr>
            </w:pPr>
            <w:r w:rsidRPr="00532C61">
              <w:rPr>
                <w:sz w:val="22"/>
                <w:szCs w:val="22"/>
              </w:rPr>
              <w:t>71.4</w:t>
            </w:r>
          </w:p>
        </w:tc>
        <w:tc>
          <w:tcPr>
            <w:tcW w:w="468" w:type="pct"/>
            <w:tcMar>
              <w:top w:w="0" w:type="dxa"/>
              <w:left w:w="45" w:type="dxa"/>
              <w:bottom w:w="0" w:type="dxa"/>
              <w:right w:w="45" w:type="dxa"/>
            </w:tcMar>
            <w:vAlign w:val="center"/>
            <w:hideMark/>
          </w:tcPr>
          <w:p w14:paraId="02279C44" w14:textId="77777777" w:rsidR="002F2BB2" w:rsidRPr="00532C61" w:rsidRDefault="002F2BB2" w:rsidP="0072694B">
            <w:pPr>
              <w:jc w:val="right"/>
              <w:rPr>
                <w:bCs/>
                <w:sz w:val="22"/>
                <w:szCs w:val="22"/>
              </w:rPr>
            </w:pPr>
            <w:r w:rsidRPr="00532C61">
              <w:rPr>
                <w:bCs/>
                <w:sz w:val="22"/>
                <w:szCs w:val="22"/>
              </w:rPr>
              <w:t>34</w:t>
            </w:r>
          </w:p>
        </w:tc>
        <w:tc>
          <w:tcPr>
            <w:tcW w:w="374" w:type="pct"/>
            <w:tcMar>
              <w:top w:w="0" w:type="dxa"/>
              <w:left w:w="45" w:type="dxa"/>
              <w:bottom w:w="0" w:type="dxa"/>
              <w:right w:w="45" w:type="dxa"/>
            </w:tcMar>
            <w:vAlign w:val="center"/>
            <w:hideMark/>
          </w:tcPr>
          <w:p w14:paraId="44A280AB" w14:textId="77777777" w:rsidR="002F2BB2" w:rsidRPr="00532C61" w:rsidRDefault="002F2BB2" w:rsidP="0072694B">
            <w:pPr>
              <w:jc w:val="right"/>
              <w:rPr>
                <w:sz w:val="22"/>
                <w:szCs w:val="22"/>
              </w:rPr>
            </w:pPr>
            <w:r w:rsidRPr="00532C61">
              <w:rPr>
                <w:sz w:val="22"/>
                <w:szCs w:val="22"/>
              </w:rPr>
              <w:t>75.6</w:t>
            </w:r>
          </w:p>
        </w:tc>
        <w:tc>
          <w:tcPr>
            <w:tcW w:w="406" w:type="pct"/>
            <w:tcMar>
              <w:top w:w="0" w:type="dxa"/>
              <w:left w:w="45" w:type="dxa"/>
              <w:bottom w:w="0" w:type="dxa"/>
              <w:right w:w="45" w:type="dxa"/>
            </w:tcMar>
            <w:vAlign w:val="bottom"/>
            <w:hideMark/>
          </w:tcPr>
          <w:p w14:paraId="292F0128" w14:textId="77777777" w:rsidR="002F2BB2" w:rsidRPr="00532C61" w:rsidRDefault="002F2BB2" w:rsidP="0072694B">
            <w:pPr>
              <w:jc w:val="right"/>
              <w:rPr>
                <w:sz w:val="22"/>
                <w:szCs w:val="22"/>
              </w:rPr>
            </w:pPr>
            <w:r w:rsidRPr="00532C61">
              <w:rPr>
                <w:sz w:val="22"/>
                <w:szCs w:val="22"/>
              </w:rPr>
              <w:t>0.767</w:t>
            </w:r>
          </w:p>
        </w:tc>
      </w:tr>
      <w:tr w:rsidR="002F2BB2" w:rsidRPr="00532C61" w14:paraId="5013E946" w14:textId="77777777" w:rsidTr="0072694B">
        <w:trPr>
          <w:trHeight w:val="315"/>
        </w:trPr>
        <w:tc>
          <w:tcPr>
            <w:tcW w:w="1988" w:type="pct"/>
            <w:tcMar>
              <w:top w:w="0" w:type="dxa"/>
              <w:left w:w="45" w:type="dxa"/>
              <w:bottom w:w="0" w:type="dxa"/>
              <w:right w:w="45" w:type="dxa"/>
            </w:tcMar>
            <w:vAlign w:val="center"/>
            <w:hideMark/>
          </w:tcPr>
          <w:p w14:paraId="04A59AD4" w14:textId="77777777" w:rsidR="002F2BB2" w:rsidRPr="00532C61" w:rsidRDefault="002F2BB2" w:rsidP="0072694B">
            <w:pPr>
              <w:rPr>
                <w:sz w:val="22"/>
                <w:szCs w:val="22"/>
              </w:rPr>
            </w:pPr>
            <w:r w:rsidRPr="00532C61">
              <w:rPr>
                <w:sz w:val="22"/>
                <w:szCs w:val="22"/>
              </w:rPr>
              <w:t xml:space="preserve">    Yes</w:t>
            </w:r>
          </w:p>
        </w:tc>
        <w:tc>
          <w:tcPr>
            <w:tcW w:w="468" w:type="pct"/>
            <w:tcMar>
              <w:top w:w="0" w:type="dxa"/>
              <w:left w:w="45" w:type="dxa"/>
              <w:bottom w:w="0" w:type="dxa"/>
              <w:right w:w="45" w:type="dxa"/>
            </w:tcMar>
            <w:vAlign w:val="center"/>
            <w:hideMark/>
          </w:tcPr>
          <w:p w14:paraId="60315D4D" w14:textId="77777777" w:rsidR="002F2BB2" w:rsidRPr="00532C61" w:rsidRDefault="002F2BB2" w:rsidP="0072694B">
            <w:pPr>
              <w:jc w:val="right"/>
              <w:rPr>
                <w:bCs/>
                <w:sz w:val="22"/>
                <w:szCs w:val="22"/>
              </w:rPr>
            </w:pPr>
            <w:r w:rsidRPr="00532C61">
              <w:rPr>
                <w:bCs/>
                <w:sz w:val="22"/>
                <w:szCs w:val="22"/>
              </w:rPr>
              <w:t>17</w:t>
            </w:r>
          </w:p>
        </w:tc>
        <w:tc>
          <w:tcPr>
            <w:tcW w:w="391" w:type="pct"/>
            <w:tcMar>
              <w:top w:w="0" w:type="dxa"/>
              <w:left w:w="45" w:type="dxa"/>
              <w:bottom w:w="0" w:type="dxa"/>
              <w:right w:w="45" w:type="dxa"/>
            </w:tcMar>
            <w:vAlign w:val="center"/>
            <w:hideMark/>
          </w:tcPr>
          <w:p w14:paraId="60D54C34" w14:textId="77777777" w:rsidR="002F2BB2" w:rsidRPr="00532C61" w:rsidRDefault="002F2BB2" w:rsidP="0072694B">
            <w:pPr>
              <w:jc w:val="right"/>
              <w:rPr>
                <w:sz w:val="22"/>
                <w:szCs w:val="22"/>
              </w:rPr>
            </w:pPr>
            <w:r w:rsidRPr="00532C61">
              <w:rPr>
                <w:sz w:val="22"/>
                <w:szCs w:val="22"/>
              </w:rPr>
              <w:t>25.8</w:t>
            </w:r>
          </w:p>
        </w:tc>
        <w:tc>
          <w:tcPr>
            <w:tcW w:w="468" w:type="pct"/>
            <w:tcMar>
              <w:top w:w="0" w:type="dxa"/>
              <w:left w:w="45" w:type="dxa"/>
              <w:bottom w:w="0" w:type="dxa"/>
              <w:right w:w="45" w:type="dxa"/>
            </w:tcMar>
            <w:vAlign w:val="center"/>
            <w:hideMark/>
          </w:tcPr>
          <w:p w14:paraId="71D9630B" w14:textId="77777777" w:rsidR="002F2BB2" w:rsidRPr="00532C61" w:rsidRDefault="002F2BB2" w:rsidP="0072694B">
            <w:pPr>
              <w:jc w:val="right"/>
              <w:rPr>
                <w:bCs/>
                <w:sz w:val="22"/>
                <w:szCs w:val="22"/>
              </w:rPr>
            </w:pPr>
            <w:r w:rsidRPr="00532C61">
              <w:rPr>
                <w:bCs/>
                <w:sz w:val="22"/>
                <w:szCs w:val="22"/>
              </w:rPr>
              <w:t>6</w:t>
            </w:r>
          </w:p>
        </w:tc>
        <w:tc>
          <w:tcPr>
            <w:tcW w:w="437" w:type="pct"/>
            <w:tcMar>
              <w:top w:w="0" w:type="dxa"/>
              <w:left w:w="45" w:type="dxa"/>
              <w:bottom w:w="0" w:type="dxa"/>
              <w:right w:w="45" w:type="dxa"/>
            </w:tcMar>
            <w:vAlign w:val="center"/>
            <w:hideMark/>
          </w:tcPr>
          <w:p w14:paraId="3BB99C60" w14:textId="77777777" w:rsidR="002F2BB2" w:rsidRPr="00532C61" w:rsidRDefault="002F2BB2" w:rsidP="0072694B">
            <w:pPr>
              <w:jc w:val="right"/>
              <w:rPr>
                <w:sz w:val="22"/>
                <w:szCs w:val="22"/>
              </w:rPr>
            </w:pPr>
            <w:r w:rsidRPr="00532C61">
              <w:rPr>
                <w:sz w:val="22"/>
                <w:szCs w:val="22"/>
              </w:rPr>
              <w:t>28.6</w:t>
            </w:r>
          </w:p>
        </w:tc>
        <w:tc>
          <w:tcPr>
            <w:tcW w:w="468" w:type="pct"/>
            <w:tcMar>
              <w:top w:w="0" w:type="dxa"/>
              <w:left w:w="45" w:type="dxa"/>
              <w:bottom w:w="0" w:type="dxa"/>
              <w:right w:w="45" w:type="dxa"/>
            </w:tcMar>
            <w:vAlign w:val="center"/>
            <w:hideMark/>
          </w:tcPr>
          <w:p w14:paraId="5AB0E09F" w14:textId="77777777" w:rsidR="002F2BB2" w:rsidRPr="00532C61" w:rsidRDefault="002F2BB2" w:rsidP="0072694B">
            <w:pPr>
              <w:jc w:val="right"/>
              <w:rPr>
                <w:bCs/>
                <w:sz w:val="22"/>
                <w:szCs w:val="22"/>
              </w:rPr>
            </w:pPr>
            <w:r w:rsidRPr="00532C61">
              <w:rPr>
                <w:bCs/>
                <w:sz w:val="22"/>
                <w:szCs w:val="22"/>
              </w:rPr>
              <w:t>11</w:t>
            </w:r>
          </w:p>
        </w:tc>
        <w:tc>
          <w:tcPr>
            <w:tcW w:w="374" w:type="pct"/>
            <w:tcMar>
              <w:top w:w="0" w:type="dxa"/>
              <w:left w:w="45" w:type="dxa"/>
              <w:bottom w:w="0" w:type="dxa"/>
              <w:right w:w="45" w:type="dxa"/>
            </w:tcMar>
            <w:vAlign w:val="center"/>
            <w:hideMark/>
          </w:tcPr>
          <w:p w14:paraId="4EA6141E" w14:textId="77777777" w:rsidR="002F2BB2" w:rsidRPr="00532C61" w:rsidRDefault="002F2BB2" w:rsidP="0072694B">
            <w:pPr>
              <w:jc w:val="right"/>
              <w:rPr>
                <w:sz w:val="22"/>
                <w:szCs w:val="22"/>
              </w:rPr>
            </w:pPr>
            <w:r w:rsidRPr="00532C61">
              <w:rPr>
                <w:sz w:val="22"/>
                <w:szCs w:val="22"/>
              </w:rPr>
              <w:t>24.4</w:t>
            </w:r>
          </w:p>
        </w:tc>
        <w:tc>
          <w:tcPr>
            <w:tcW w:w="406" w:type="pct"/>
            <w:tcMar>
              <w:top w:w="0" w:type="dxa"/>
              <w:left w:w="45" w:type="dxa"/>
              <w:bottom w:w="0" w:type="dxa"/>
              <w:right w:w="45" w:type="dxa"/>
            </w:tcMar>
            <w:vAlign w:val="bottom"/>
            <w:hideMark/>
          </w:tcPr>
          <w:p w14:paraId="545EB35D" w14:textId="77777777" w:rsidR="002F2BB2" w:rsidRPr="00532C61" w:rsidRDefault="002F2BB2" w:rsidP="0072694B">
            <w:pPr>
              <w:jc w:val="right"/>
              <w:rPr>
                <w:sz w:val="22"/>
                <w:szCs w:val="22"/>
              </w:rPr>
            </w:pPr>
          </w:p>
        </w:tc>
      </w:tr>
      <w:tr w:rsidR="002F2BB2" w:rsidRPr="00532C61" w14:paraId="3003FB36" w14:textId="77777777" w:rsidTr="0072694B">
        <w:trPr>
          <w:trHeight w:val="315"/>
        </w:trPr>
        <w:tc>
          <w:tcPr>
            <w:tcW w:w="1988" w:type="pct"/>
            <w:shd w:val="clear" w:color="auto" w:fill="auto"/>
            <w:tcMar>
              <w:top w:w="0" w:type="dxa"/>
              <w:left w:w="45" w:type="dxa"/>
              <w:bottom w:w="0" w:type="dxa"/>
              <w:right w:w="45" w:type="dxa"/>
            </w:tcMar>
            <w:vAlign w:val="center"/>
            <w:hideMark/>
          </w:tcPr>
          <w:p w14:paraId="26E91140" w14:textId="77777777" w:rsidR="002F2BB2" w:rsidRPr="00532C61" w:rsidRDefault="002F2BB2" w:rsidP="0072694B">
            <w:pPr>
              <w:rPr>
                <w:b/>
                <w:bCs/>
                <w:sz w:val="22"/>
                <w:szCs w:val="22"/>
              </w:rPr>
            </w:pPr>
            <w:r w:rsidRPr="00532C61">
              <w:rPr>
                <w:b/>
                <w:bCs/>
                <w:sz w:val="22"/>
                <w:szCs w:val="22"/>
              </w:rPr>
              <w:t xml:space="preserve">Self-Perceived Likelihood of HIV Transmission/Acquisition </w:t>
            </w:r>
          </w:p>
        </w:tc>
        <w:tc>
          <w:tcPr>
            <w:tcW w:w="468" w:type="pct"/>
            <w:tcMar>
              <w:top w:w="0" w:type="dxa"/>
              <w:left w:w="45" w:type="dxa"/>
              <w:bottom w:w="0" w:type="dxa"/>
              <w:right w:w="45" w:type="dxa"/>
            </w:tcMar>
            <w:vAlign w:val="center"/>
            <w:hideMark/>
          </w:tcPr>
          <w:p w14:paraId="56479087" w14:textId="77777777" w:rsidR="002F2BB2" w:rsidRPr="00532C61" w:rsidRDefault="002F2BB2" w:rsidP="0072694B">
            <w:pPr>
              <w:rPr>
                <w:bCs/>
                <w:sz w:val="22"/>
                <w:szCs w:val="22"/>
              </w:rPr>
            </w:pPr>
          </w:p>
        </w:tc>
        <w:tc>
          <w:tcPr>
            <w:tcW w:w="391" w:type="pct"/>
            <w:tcMar>
              <w:top w:w="0" w:type="dxa"/>
              <w:left w:w="45" w:type="dxa"/>
              <w:bottom w:w="0" w:type="dxa"/>
              <w:right w:w="45" w:type="dxa"/>
            </w:tcMar>
            <w:vAlign w:val="center"/>
            <w:hideMark/>
          </w:tcPr>
          <w:p w14:paraId="12806170"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6226C9B8" w14:textId="77777777" w:rsidR="002F2BB2" w:rsidRPr="00532C61" w:rsidRDefault="002F2BB2" w:rsidP="0072694B">
            <w:pPr>
              <w:rPr>
                <w:bCs/>
                <w:sz w:val="22"/>
                <w:szCs w:val="22"/>
              </w:rPr>
            </w:pPr>
          </w:p>
        </w:tc>
        <w:tc>
          <w:tcPr>
            <w:tcW w:w="437" w:type="pct"/>
            <w:tcMar>
              <w:top w:w="0" w:type="dxa"/>
              <w:left w:w="45" w:type="dxa"/>
              <w:bottom w:w="0" w:type="dxa"/>
              <w:right w:w="45" w:type="dxa"/>
            </w:tcMar>
            <w:vAlign w:val="center"/>
            <w:hideMark/>
          </w:tcPr>
          <w:p w14:paraId="0515955A"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280F5AB0" w14:textId="77777777" w:rsidR="002F2BB2" w:rsidRPr="00532C61" w:rsidRDefault="002F2BB2" w:rsidP="0072694B">
            <w:pPr>
              <w:rPr>
                <w:bCs/>
                <w:sz w:val="22"/>
                <w:szCs w:val="22"/>
              </w:rPr>
            </w:pPr>
          </w:p>
        </w:tc>
        <w:tc>
          <w:tcPr>
            <w:tcW w:w="374" w:type="pct"/>
            <w:tcMar>
              <w:top w:w="0" w:type="dxa"/>
              <w:left w:w="45" w:type="dxa"/>
              <w:bottom w:w="0" w:type="dxa"/>
              <w:right w:w="45" w:type="dxa"/>
            </w:tcMar>
            <w:vAlign w:val="center"/>
            <w:hideMark/>
          </w:tcPr>
          <w:p w14:paraId="7016E63B" w14:textId="77777777" w:rsidR="002F2BB2" w:rsidRPr="00532C61" w:rsidRDefault="002F2BB2" w:rsidP="0072694B">
            <w:pPr>
              <w:rPr>
                <w:sz w:val="22"/>
                <w:szCs w:val="22"/>
              </w:rPr>
            </w:pPr>
          </w:p>
        </w:tc>
        <w:tc>
          <w:tcPr>
            <w:tcW w:w="406" w:type="pct"/>
            <w:tcMar>
              <w:top w:w="0" w:type="dxa"/>
              <w:left w:w="45" w:type="dxa"/>
              <w:bottom w:w="0" w:type="dxa"/>
              <w:right w:w="45" w:type="dxa"/>
            </w:tcMar>
            <w:vAlign w:val="bottom"/>
            <w:hideMark/>
          </w:tcPr>
          <w:p w14:paraId="398B4C89" w14:textId="77777777" w:rsidR="002F2BB2" w:rsidRPr="00532C61" w:rsidRDefault="002F2BB2" w:rsidP="0072694B">
            <w:pPr>
              <w:jc w:val="right"/>
              <w:rPr>
                <w:sz w:val="22"/>
                <w:szCs w:val="22"/>
              </w:rPr>
            </w:pPr>
          </w:p>
        </w:tc>
      </w:tr>
      <w:tr w:rsidR="002F2BB2" w:rsidRPr="00532C61" w14:paraId="59E03AB5" w14:textId="77777777" w:rsidTr="0072694B">
        <w:trPr>
          <w:trHeight w:val="315"/>
        </w:trPr>
        <w:tc>
          <w:tcPr>
            <w:tcW w:w="1988" w:type="pct"/>
            <w:shd w:val="clear" w:color="auto" w:fill="auto"/>
            <w:tcMar>
              <w:top w:w="0" w:type="dxa"/>
              <w:left w:w="45" w:type="dxa"/>
              <w:bottom w:w="0" w:type="dxa"/>
              <w:right w:w="45" w:type="dxa"/>
            </w:tcMar>
            <w:vAlign w:val="center"/>
            <w:hideMark/>
          </w:tcPr>
          <w:p w14:paraId="23C91F7C" w14:textId="77777777" w:rsidR="002F2BB2" w:rsidRPr="00532C61" w:rsidRDefault="002F2BB2" w:rsidP="0072694B">
            <w:pPr>
              <w:rPr>
                <w:sz w:val="22"/>
                <w:szCs w:val="22"/>
              </w:rPr>
            </w:pPr>
            <w:r w:rsidRPr="00532C61">
              <w:rPr>
                <w:sz w:val="22"/>
                <w:szCs w:val="22"/>
              </w:rPr>
              <w:t xml:space="preserve">    Unlikely (&lt; 40%)</w:t>
            </w:r>
          </w:p>
        </w:tc>
        <w:tc>
          <w:tcPr>
            <w:tcW w:w="468" w:type="pct"/>
            <w:tcMar>
              <w:top w:w="0" w:type="dxa"/>
              <w:left w:w="45" w:type="dxa"/>
              <w:bottom w:w="0" w:type="dxa"/>
              <w:right w:w="45" w:type="dxa"/>
            </w:tcMar>
            <w:vAlign w:val="center"/>
            <w:hideMark/>
          </w:tcPr>
          <w:p w14:paraId="75C99BDB" w14:textId="77777777" w:rsidR="002F2BB2" w:rsidRPr="00532C61" w:rsidRDefault="002F2BB2" w:rsidP="0072694B">
            <w:pPr>
              <w:jc w:val="right"/>
              <w:rPr>
                <w:bCs/>
                <w:sz w:val="22"/>
                <w:szCs w:val="22"/>
              </w:rPr>
            </w:pPr>
            <w:r w:rsidRPr="00532C61">
              <w:rPr>
                <w:bCs/>
                <w:sz w:val="22"/>
                <w:szCs w:val="22"/>
              </w:rPr>
              <w:t>51</w:t>
            </w:r>
          </w:p>
        </w:tc>
        <w:tc>
          <w:tcPr>
            <w:tcW w:w="391" w:type="pct"/>
            <w:tcMar>
              <w:top w:w="0" w:type="dxa"/>
              <w:left w:w="45" w:type="dxa"/>
              <w:bottom w:w="0" w:type="dxa"/>
              <w:right w:w="45" w:type="dxa"/>
            </w:tcMar>
            <w:vAlign w:val="center"/>
            <w:hideMark/>
          </w:tcPr>
          <w:p w14:paraId="526D0928" w14:textId="77777777" w:rsidR="002F2BB2" w:rsidRPr="00532C61" w:rsidRDefault="002F2BB2" w:rsidP="0072694B">
            <w:pPr>
              <w:jc w:val="right"/>
              <w:rPr>
                <w:sz w:val="22"/>
                <w:szCs w:val="22"/>
              </w:rPr>
            </w:pPr>
            <w:r w:rsidRPr="00532C61">
              <w:rPr>
                <w:sz w:val="22"/>
                <w:szCs w:val="22"/>
              </w:rPr>
              <w:t>77.3</w:t>
            </w:r>
          </w:p>
        </w:tc>
        <w:tc>
          <w:tcPr>
            <w:tcW w:w="468" w:type="pct"/>
            <w:tcMar>
              <w:top w:w="0" w:type="dxa"/>
              <w:left w:w="45" w:type="dxa"/>
              <w:bottom w:w="0" w:type="dxa"/>
              <w:right w:w="45" w:type="dxa"/>
            </w:tcMar>
            <w:vAlign w:val="center"/>
            <w:hideMark/>
          </w:tcPr>
          <w:p w14:paraId="3C053340" w14:textId="77777777" w:rsidR="002F2BB2" w:rsidRPr="00532C61" w:rsidRDefault="002F2BB2" w:rsidP="0072694B">
            <w:pPr>
              <w:jc w:val="right"/>
              <w:rPr>
                <w:bCs/>
                <w:sz w:val="22"/>
                <w:szCs w:val="22"/>
              </w:rPr>
            </w:pPr>
            <w:r w:rsidRPr="00532C61">
              <w:rPr>
                <w:bCs/>
                <w:sz w:val="22"/>
                <w:szCs w:val="22"/>
              </w:rPr>
              <w:t>14</w:t>
            </w:r>
          </w:p>
        </w:tc>
        <w:tc>
          <w:tcPr>
            <w:tcW w:w="437" w:type="pct"/>
            <w:tcMar>
              <w:top w:w="0" w:type="dxa"/>
              <w:left w:w="45" w:type="dxa"/>
              <w:bottom w:w="0" w:type="dxa"/>
              <w:right w:w="45" w:type="dxa"/>
            </w:tcMar>
            <w:vAlign w:val="center"/>
            <w:hideMark/>
          </w:tcPr>
          <w:p w14:paraId="2E8BF16C" w14:textId="77777777" w:rsidR="002F2BB2" w:rsidRPr="00532C61" w:rsidRDefault="002F2BB2" w:rsidP="0072694B">
            <w:pPr>
              <w:jc w:val="right"/>
              <w:rPr>
                <w:sz w:val="22"/>
                <w:szCs w:val="22"/>
              </w:rPr>
            </w:pPr>
            <w:r w:rsidRPr="00532C61">
              <w:rPr>
                <w:sz w:val="22"/>
                <w:szCs w:val="22"/>
              </w:rPr>
              <w:t>66.7</w:t>
            </w:r>
          </w:p>
        </w:tc>
        <w:tc>
          <w:tcPr>
            <w:tcW w:w="468" w:type="pct"/>
            <w:tcMar>
              <w:top w:w="0" w:type="dxa"/>
              <w:left w:w="45" w:type="dxa"/>
              <w:bottom w:w="0" w:type="dxa"/>
              <w:right w:w="45" w:type="dxa"/>
            </w:tcMar>
            <w:vAlign w:val="center"/>
            <w:hideMark/>
          </w:tcPr>
          <w:p w14:paraId="49B98789" w14:textId="77777777" w:rsidR="002F2BB2" w:rsidRPr="00532C61" w:rsidRDefault="002F2BB2" w:rsidP="0072694B">
            <w:pPr>
              <w:jc w:val="right"/>
              <w:rPr>
                <w:bCs/>
                <w:sz w:val="22"/>
                <w:szCs w:val="22"/>
              </w:rPr>
            </w:pPr>
            <w:r w:rsidRPr="00532C61">
              <w:rPr>
                <w:bCs/>
                <w:sz w:val="22"/>
                <w:szCs w:val="22"/>
              </w:rPr>
              <w:t>37</w:t>
            </w:r>
          </w:p>
        </w:tc>
        <w:tc>
          <w:tcPr>
            <w:tcW w:w="374" w:type="pct"/>
            <w:tcMar>
              <w:top w:w="0" w:type="dxa"/>
              <w:left w:w="45" w:type="dxa"/>
              <w:bottom w:w="0" w:type="dxa"/>
              <w:right w:w="45" w:type="dxa"/>
            </w:tcMar>
            <w:vAlign w:val="center"/>
            <w:hideMark/>
          </w:tcPr>
          <w:p w14:paraId="6D9181A9" w14:textId="77777777" w:rsidR="002F2BB2" w:rsidRPr="00532C61" w:rsidRDefault="002F2BB2" w:rsidP="0072694B">
            <w:pPr>
              <w:jc w:val="right"/>
              <w:rPr>
                <w:sz w:val="22"/>
                <w:szCs w:val="22"/>
              </w:rPr>
            </w:pPr>
            <w:r w:rsidRPr="00532C61">
              <w:rPr>
                <w:sz w:val="22"/>
                <w:szCs w:val="22"/>
              </w:rPr>
              <w:t>82.2</w:t>
            </w:r>
          </w:p>
        </w:tc>
        <w:tc>
          <w:tcPr>
            <w:tcW w:w="406" w:type="pct"/>
            <w:tcMar>
              <w:top w:w="0" w:type="dxa"/>
              <w:left w:w="45" w:type="dxa"/>
              <w:bottom w:w="0" w:type="dxa"/>
              <w:right w:w="45" w:type="dxa"/>
            </w:tcMar>
            <w:vAlign w:val="bottom"/>
            <w:hideMark/>
          </w:tcPr>
          <w:p w14:paraId="02282A02" w14:textId="77777777" w:rsidR="002F2BB2" w:rsidRPr="00532C61" w:rsidRDefault="002F2BB2" w:rsidP="0072694B">
            <w:pPr>
              <w:jc w:val="right"/>
              <w:rPr>
                <w:sz w:val="22"/>
                <w:szCs w:val="22"/>
              </w:rPr>
            </w:pPr>
            <w:r w:rsidRPr="00532C61">
              <w:rPr>
                <w:sz w:val="22"/>
                <w:szCs w:val="22"/>
              </w:rPr>
              <w:t>0.303</w:t>
            </w:r>
          </w:p>
        </w:tc>
      </w:tr>
      <w:tr w:rsidR="002F2BB2" w:rsidRPr="00532C61" w14:paraId="4D1A07EB" w14:textId="77777777" w:rsidTr="0072694B">
        <w:trPr>
          <w:trHeight w:val="300"/>
        </w:trPr>
        <w:tc>
          <w:tcPr>
            <w:tcW w:w="1988" w:type="pct"/>
            <w:shd w:val="clear" w:color="auto" w:fill="auto"/>
            <w:tcMar>
              <w:top w:w="0" w:type="dxa"/>
              <w:left w:w="45" w:type="dxa"/>
              <w:bottom w:w="0" w:type="dxa"/>
              <w:right w:w="45" w:type="dxa"/>
            </w:tcMar>
            <w:vAlign w:val="center"/>
            <w:hideMark/>
          </w:tcPr>
          <w:p w14:paraId="0A392380" w14:textId="77777777" w:rsidR="002F2BB2" w:rsidRPr="00532C61" w:rsidRDefault="002F2BB2" w:rsidP="0072694B">
            <w:pPr>
              <w:rPr>
                <w:sz w:val="22"/>
                <w:szCs w:val="22"/>
              </w:rPr>
            </w:pPr>
            <w:r w:rsidRPr="00532C61">
              <w:rPr>
                <w:sz w:val="22"/>
                <w:szCs w:val="22"/>
              </w:rPr>
              <w:t xml:space="preserve">    Somewhat Likely (40-60%)</w:t>
            </w:r>
          </w:p>
        </w:tc>
        <w:tc>
          <w:tcPr>
            <w:tcW w:w="468" w:type="pct"/>
            <w:tcMar>
              <w:top w:w="0" w:type="dxa"/>
              <w:left w:w="45" w:type="dxa"/>
              <w:bottom w:w="0" w:type="dxa"/>
              <w:right w:w="45" w:type="dxa"/>
            </w:tcMar>
            <w:vAlign w:val="center"/>
            <w:hideMark/>
          </w:tcPr>
          <w:p w14:paraId="4D13A5A3" w14:textId="77777777" w:rsidR="002F2BB2" w:rsidRPr="00532C61" w:rsidRDefault="002F2BB2" w:rsidP="0072694B">
            <w:pPr>
              <w:jc w:val="right"/>
              <w:rPr>
                <w:bCs/>
                <w:sz w:val="22"/>
                <w:szCs w:val="22"/>
              </w:rPr>
            </w:pPr>
            <w:r w:rsidRPr="00532C61">
              <w:rPr>
                <w:bCs/>
                <w:sz w:val="22"/>
                <w:szCs w:val="22"/>
              </w:rPr>
              <w:t>12</w:t>
            </w:r>
          </w:p>
        </w:tc>
        <w:tc>
          <w:tcPr>
            <w:tcW w:w="391" w:type="pct"/>
            <w:tcMar>
              <w:top w:w="0" w:type="dxa"/>
              <w:left w:w="45" w:type="dxa"/>
              <w:bottom w:w="0" w:type="dxa"/>
              <w:right w:w="45" w:type="dxa"/>
            </w:tcMar>
            <w:vAlign w:val="center"/>
            <w:hideMark/>
          </w:tcPr>
          <w:p w14:paraId="05C64AA4" w14:textId="77777777" w:rsidR="002F2BB2" w:rsidRPr="00532C61" w:rsidRDefault="002F2BB2" w:rsidP="0072694B">
            <w:pPr>
              <w:jc w:val="right"/>
              <w:rPr>
                <w:sz w:val="22"/>
                <w:szCs w:val="22"/>
              </w:rPr>
            </w:pPr>
            <w:r w:rsidRPr="00532C61">
              <w:rPr>
                <w:sz w:val="22"/>
                <w:szCs w:val="22"/>
              </w:rPr>
              <w:t>18.2</w:t>
            </w:r>
          </w:p>
        </w:tc>
        <w:tc>
          <w:tcPr>
            <w:tcW w:w="468" w:type="pct"/>
            <w:tcMar>
              <w:top w:w="0" w:type="dxa"/>
              <w:left w:w="45" w:type="dxa"/>
              <w:bottom w:w="0" w:type="dxa"/>
              <w:right w:w="45" w:type="dxa"/>
            </w:tcMar>
            <w:vAlign w:val="center"/>
            <w:hideMark/>
          </w:tcPr>
          <w:p w14:paraId="232A22B0" w14:textId="77777777" w:rsidR="002F2BB2" w:rsidRPr="00532C61" w:rsidRDefault="002F2BB2" w:rsidP="0072694B">
            <w:pPr>
              <w:jc w:val="right"/>
              <w:rPr>
                <w:bCs/>
                <w:sz w:val="22"/>
                <w:szCs w:val="22"/>
              </w:rPr>
            </w:pPr>
            <w:r w:rsidRPr="00532C61">
              <w:rPr>
                <w:bCs/>
                <w:sz w:val="22"/>
                <w:szCs w:val="22"/>
              </w:rPr>
              <w:t>6</w:t>
            </w:r>
          </w:p>
        </w:tc>
        <w:tc>
          <w:tcPr>
            <w:tcW w:w="437" w:type="pct"/>
            <w:tcMar>
              <w:top w:w="0" w:type="dxa"/>
              <w:left w:w="45" w:type="dxa"/>
              <w:bottom w:w="0" w:type="dxa"/>
              <w:right w:w="45" w:type="dxa"/>
            </w:tcMar>
            <w:vAlign w:val="center"/>
            <w:hideMark/>
          </w:tcPr>
          <w:p w14:paraId="22817AC1" w14:textId="77777777" w:rsidR="002F2BB2" w:rsidRPr="00532C61" w:rsidRDefault="002F2BB2" w:rsidP="0072694B">
            <w:pPr>
              <w:jc w:val="right"/>
              <w:rPr>
                <w:sz w:val="22"/>
                <w:szCs w:val="22"/>
              </w:rPr>
            </w:pPr>
            <w:r w:rsidRPr="00532C61">
              <w:rPr>
                <w:sz w:val="22"/>
                <w:szCs w:val="22"/>
              </w:rPr>
              <w:t>28.6</w:t>
            </w:r>
          </w:p>
        </w:tc>
        <w:tc>
          <w:tcPr>
            <w:tcW w:w="468" w:type="pct"/>
            <w:tcMar>
              <w:top w:w="0" w:type="dxa"/>
              <w:left w:w="45" w:type="dxa"/>
              <w:bottom w:w="0" w:type="dxa"/>
              <w:right w:w="45" w:type="dxa"/>
            </w:tcMar>
            <w:vAlign w:val="center"/>
            <w:hideMark/>
          </w:tcPr>
          <w:p w14:paraId="5C4EF629" w14:textId="77777777" w:rsidR="002F2BB2" w:rsidRPr="00532C61" w:rsidRDefault="002F2BB2" w:rsidP="0072694B">
            <w:pPr>
              <w:jc w:val="right"/>
              <w:rPr>
                <w:bCs/>
                <w:sz w:val="22"/>
                <w:szCs w:val="22"/>
              </w:rPr>
            </w:pPr>
            <w:r w:rsidRPr="00532C61">
              <w:rPr>
                <w:bCs/>
                <w:sz w:val="22"/>
                <w:szCs w:val="22"/>
              </w:rPr>
              <w:t>6</w:t>
            </w:r>
          </w:p>
        </w:tc>
        <w:tc>
          <w:tcPr>
            <w:tcW w:w="374" w:type="pct"/>
            <w:tcMar>
              <w:top w:w="0" w:type="dxa"/>
              <w:left w:w="45" w:type="dxa"/>
              <w:bottom w:w="0" w:type="dxa"/>
              <w:right w:w="45" w:type="dxa"/>
            </w:tcMar>
            <w:vAlign w:val="center"/>
            <w:hideMark/>
          </w:tcPr>
          <w:p w14:paraId="5C4657A3" w14:textId="77777777" w:rsidR="002F2BB2" w:rsidRPr="00532C61" w:rsidRDefault="002F2BB2" w:rsidP="0072694B">
            <w:pPr>
              <w:jc w:val="right"/>
              <w:rPr>
                <w:sz w:val="22"/>
                <w:szCs w:val="22"/>
              </w:rPr>
            </w:pPr>
            <w:r w:rsidRPr="00532C61">
              <w:rPr>
                <w:sz w:val="22"/>
                <w:szCs w:val="22"/>
              </w:rPr>
              <w:t>13.3</w:t>
            </w:r>
          </w:p>
        </w:tc>
        <w:tc>
          <w:tcPr>
            <w:tcW w:w="406" w:type="pct"/>
            <w:tcMar>
              <w:top w:w="0" w:type="dxa"/>
              <w:left w:w="45" w:type="dxa"/>
              <w:bottom w:w="0" w:type="dxa"/>
              <w:right w:w="45" w:type="dxa"/>
            </w:tcMar>
            <w:vAlign w:val="bottom"/>
            <w:hideMark/>
          </w:tcPr>
          <w:p w14:paraId="119CF2C4" w14:textId="77777777" w:rsidR="002F2BB2" w:rsidRPr="00532C61" w:rsidRDefault="002F2BB2" w:rsidP="0072694B">
            <w:pPr>
              <w:jc w:val="right"/>
              <w:rPr>
                <w:sz w:val="22"/>
                <w:szCs w:val="22"/>
              </w:rPr>
            </w:pPr>
          </w:p>
        </w:tc>
      </w:tr>
      <w:tr w:rsidR="002F2BB2" w:rsidRPr="00532C61" w14:paraId="68F043D7" w14:textId="77777777" w:rsidTr="0072694B">
        <w:trPr>
          <w:trHeight w:val="315"/>
        </w:trPr>
        <w:tc>
          <w:tcPr>
            <w:tcW w:w="1988" w:type="pct"/>
            <w:shd w:val="clear" w:color="auto" w:fill="auto"/>
            <w:tcMar>
              <w:top w:w="0" w:type="dxa"/>
              <w:left w:w="45" w:type="dxa"/>
              <w:bottom w:w="0" w:type="dxa"/>
              <w:right w:w="45" w:type="dxa"/>
            </w:tcMar>
            <w:vAlign w:val="center"/>
            <w:hideMark/>
          </w:tcPr>
          <w:p w14:paraId="7AAE9D7B" w14:textId="77777777" w:rsidR="002F2BB2" w:rsidRPr="00532C61" w:rsidRDefault="002F2BB2" w:rsidP="0072694B">
            <w:pPr>
              <w:rPr>
                <w:sz w:val="22"/>
                <w:szCs w:val="22"/>
              </w:rPr>
            </w:pPr>
            <w:r w:rsidRPr="00532C61">
              <w:rPr>
                <w:sz w:val="22"/>
                <w:szCs w:val="22"/>
              </w:rPr>
              <w:t xml:space="preserve">    Likely (&gt; 60%)</w:t>
            </w:r>
          </w:p>
        </w:tc>
        <w:tc>
          <w:tcPr>
            <w:tcW w:w="468" w:type="pct"/>
            <w:tcMar>
              <w:top w:w="0" w:type="dxa"/>
              <w:left w:w="45" w:type="dxa"/>
              <w:bottom w:w="0" w:type="dxa"/>
              <w:right w:w="45" w:type="dxa"/>
            </w:tcMar>
            <w:vAlign w:val="center"/>
            <w:hideMark/>
          </w:tcPr>
          <w:p w14:paraId="17DC7318" w14:textId="77777777" w:rsidR="002F2BB2" w:rsidRPr="00532C61" w:rsidRDefault="002F2BB2" w:rsidP="0072694B">
            <w:pPr>
              <w:jc w:val="right"/>
              <w:rPr>
                <w:bCs/>
                <w:sz w:val="22"/>
                <w:szCs w:val="22"/>
              </w:rPr>
            </w:pPr>
            <w:r w:rsidRPr="00532C61">
              <w:rPr>
                <w:bCs/>
                <w:sz w:val="22"/>
                <w:szCs w:val="22"/>
              </w:rPr>
              <w:t>3</w:t>
            </w:r>
          </w:p>
        </w:tc>
        <w:tc>
          <w:tcPr>
            <w:tcW w:w="391" w:type="pct"/>
            <w:tcMar>
              <w:top w:w="0" w:type="dxa"/>
              <w:left w:w="45" w:type="dxa"/>
              <w:bottom w:w="0" w:type="dxa"/>
              <w:right w:w="45" w:type="dxa"/>
            </w:tcMar>
            <w:vAlign w:val="center"/>
            <w:hideMark/>
          </w:tcPr>
          <w:p w14:paraId="7F38197C" w14:textId="77777777" w:rsidR="002F2BB2" w:rsidRPr="00532C61" w:rsidRDefault="002F2BB2" w:rsidP="0072694B">
            <w:pPr>
              <w:jc w:val="right"/>
              <w:rPr>
                <w:sz w:val="22"/>
                <w:szCs w:val="22"/>
              </w:rPr>
            </w:pPr>
            <w:r w:rsidRPr="00532C61">
              <w:rPr>
                <w:sz w:val="22"/>
                <w:szCs w:val="22"/>
              </w:rPr>
              <w:t>4.6</w:t>
            </w:r>
          </w:p>
        </w:tc>
        <w:tc>
          <w:tcPr>
            <w:tcW w:w="468" w:type="pct"/>
            <w:tcMar>
              <w:top w:w="0" w:type="dxa"/>
              <w:left w:w="45" w:type="dxa"/>
              <w:bottom w:w="0" w:type="dxa"/>
              <w:right w:w="45" w:type="dxa"/>
            </w:tcMar>
            <w:vAlign w:val="center"/>
            <w:hideMark/>
          </w:tcPr>
          <w:p w14:paraId="2636ABF9" w14:textId="77777777" w:rsidR="002F2BB2" w:rsidRPr="00532C61" w:rsidRDefault="002F2BB2" w:rsidP="0072694B">
            <w:pPr>
              <w:jc w:val="right"/>
              <w:rPr>
                <w:bCs/>
                <w:sz w:val="22"/>
                <w:szCs w:val="22"/>
              </w:rPr>
            </w:pPr>
            <w:r w:rsidRPr="00532C61">
              <w:rPr>
                <w:bCs/>
                <w:sz w:val="22"/>
                <w:szCs w:val="22"/>
              </w:rPr>
              <w:t>1</w:t>
            </w:r>
          </w:p>
        </w:tc>
        <w:tc>
          <w:tcPr>
            <w:tcW w:w="437" w:type="pct"/>
            <w:tcMar>
              <w:top w:w="0" w:type="dxa"/>
              <w:left w:w="45" w:type="dxa"/>
              <w:bottom w:w="0" w:type="dxa"/>
              <w:right w:w="45" w:type="dxa"/>
            </w:tcMar>
            <w:vAlign w:val="center"/>
            <w:hideMark/>
          </w:tcPr>
          <w:p w14:paraId="1A70481A" w14:textId="77777777" w:rsidR="002F2BB2" w:rsidRPr="00532C61" w:rsidRDefault="002F2BB2" w:rsidP="0072694B">
            <w:pPr>
              <w:jc w:val="right"/>
              <w:rPr>
                <w:sz w:val="22"/>
                <w:szCs w:val="22"/>
              </w:rPr>
            </w:pPr>
            <w:r w:rsidRPr="00532C61">
              <w:rPr>
                <w:sz w:val="22"/>
                <w:szCs w:val="22"/>
              </w:rPr>
              <w:t>4.8</w:t>
            </w:r>
          </w:p>
        </w:tc>
        <w:tc>
          <w:tcPr>
            <w:tcW w:w="468" w:type="pct"/>
            <w:tcMar>
              <w:top w:w="0" w:type="dxa"/>
              <w:left w:w="45" w:type="dxa"/>
              <w:bottom w:w="0" w:type="dxa"/>
              <w:right w:w="45" w:type="dxa"/>
            </w:tcMar>
            <w:vAlign w:val="center"/>
            <w:hideMark/>
          </w:tcPr>
          <w:p w14:paraId="608ABC59" w14:textId="77777777" w:rsidR="002F2BB2" w:rsidRPr="00532C61" w:rsidRDefault="002F2BB2" w:rsidP="0072694B">
            <w:pPr>
              <w:jc w:val="right"/>
              <w:rPr>
                <w:bCs/>
                <w:sz w:val="22"/>
                <w:szCs w:val="22"/>
              </w:rPr>
            </w:pPr>
            <w:r w:rsidRPr="00532C61">
              <w:rPr>
                <w:bCs/>
                <w:sz w:val="22"/>
                <w:szCs w:val="22"/>
              </w:rPr>
              <w:t>2</w:t>
            </w:r>
          </w:p>
        </w:tc>
        <w:tc>
          <w:tcPr>
            <w:tcW w:w="374" w:type="pct"/>
            <w:tcMar>
              <w:top w:w="0" w:type="dxa"/>
              <w:left w:w="45" w:type="dxa"/>
              <w:bottom w:w="0" w:type="dxa"/>
              <w:right w:w="45" w:type="dxa"/>
            </w:tcMar>
            <w:vAlign w:val="center"/>
            <w:hideMark/>
          </w:tcPr>
          <w:p w14:paraId="4568974C" w14:textId="77777777" w:rsidR="002F2BB2" w:rsidRPr="00532C61" w:rsidRDefault="002F2BB2" w:rsidP="0072694B">
            <w:pPr>
              <w:jc w:val="right"/>
              <w:rPr>
                <w:sz w:val="22"/>
                <w:szCs w:val="22"/>
              </w:rPr>
            </w:pPr>
            <w:r w:rsidRPr="00532C61">
              <w:rPr>
                <w:sz w:val="22"/>
                <w:szCs w:val="22"/>
              </w:rPr>
              <w:t>4.4</w:t>
            </w:r>
          </w:p>
        </w:tc>
        <w:tc>
          <w:tcPr>
            <w:tcW w:w="406" w:type="pct"/>
            <w:tcMar>
              <w:top w:w="0" w:type="dxa"/>
              <w:left w:w="45" w:type="dxa"/>
              <w:bottom w:w="0" w:type="dxa"/>
              <w:right w:w="45" w:type="dxa"/>
            </w:tcMar>
            <w:vAlign w:val="bottom"/>
            <w:hideMark/>
          </w:tcPr>
          <w:p w14:paraId="588106D7" w14:textId="77777777" w:rsidR="002F2BB2" w:rsidRPr="00532C61" w:rsidRDefault="002F2BB2" w:rsidP="0072694B">
            <w:pPr>
              <w:jc w:val="right"/>
              <w:rPr>
                <w:sz w:val="22"/>
                <w:szCs w:val="22"/>
              </w:rPr>
            </w:pPr>
          </w:p>
        </w:tc>
      </w:tr>
      <w:tr w:rsidR="002F2BB2" w:rsidRPr="00532C61" w14:paraId="778966F7" w14:textId="77777777" w:rsidTr="0072694B">
        <w:trPr>
          <w:trHeight w:val="315"/>
        </w:trPr>
        <w:tc>
          <w:tcPr>
            <w:tcW w:w="1988" w:type="pct"/>
            <w:tcMar>
              <w:top w:w="0" w:type="dxa"/>
              <w:left w:w="45" w:type="dxa"/>
              <w:bottom w:w="0" w:type="dxa"/>
              <w:right w:w="45" w:type="dxa"/>
            </w:tcMar>
            <w:vAlign w:val="center"/>
            <w:hideMark/>
          </w:tcPr>
          <w:p w14:paraId="646771DC" w14:textId="77777777" w:rsidR="002F2BB2" w:rsidRPr="00532C61" w:rsidRDefault="002F2BB2" w:rsidP="0072694B">
            <w:pPr>
              <w:rPr>
                <w:b/>
                <w:bCs/>
                <w:sz w:val="22"/>
                <w:szCs w:val="22"/>
              </w:rPr>
            </w:pPr>
            <w:r w:rsidRPr="00532C61">
              <w:rPr>
                <w:b/>
                <w:bCs/>
                <w:sz w:val="22"/>
                <w:szCs w:val="22"/>
              </w:rPr>
              <w:t>Attend Gay Bars/Clubs</w:t>
            </w:r>
          </w:p>
        </w:tc>
        <w:tc>
          <w:tcPr>
            <w:tcW w:w="468" w:type="pct"/>
            <w:tcMar>
              <w:top w:w="0" w:type="dxa"/>
              <w:left w:w="45" w:type="dxa"/>
              <w:bottom w:w="0" w:type="dxa"/>
              <w:right w:w="45" w:type="dxa"/>
            </w:tcMar>
            <w:vAlign w:val="center"/>
            <w:hideMark/>
          </w:tcPr>
          <w:p w14:paraId="6F87EE32" w14:textId="77777777" w:rsidR="002F2BB2" w:rsidRPr="00532C61" w:rsidRDefault="002F2BB2" w:rsidP="0072694B">
            <w:pPr>
              <w:rPr>
                <w:bCs/>
                <w:sz w:val="22"/>
                <w:szCs w:val="22"/>
              </w:rPr>
            </w:pPr>
          </w:p>
        </w:tc>
        <w:tc>
          <w:tcPr>
            <w:tcW w:w="391" w:type="pct"/>
            <w:tcMar>
              <w:top w:w="0" w:type="dxa"/>
              <w:left w:w="45" w:type="dxa"/>
              <w:bottom w:w="0" w:type="dxa"/>
              <w:right w:w="45" w:type="dxa"/>
            </w:tcMar>
            <w:vAlign w:val="center"/>
            <w:hideMark/>
          </w:tcPr>
          <w:p w14:paraId="4CC9D5DF"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761EA074" w14:textId="77777777" w:rsidR="002F2BB2" w:rsidRPr="00532C61" w:rsidRDefault="002F2BB2" w:rsidP="0072694B">
            <w:pPr>
              <w:rPr>
                <w:bCs/>
                <w:sz w:val="22"/>
                <w:szCs w:val="22"/>
              </w:rPr>
            </w:pPr>
          </w:p>
        </w:tc>
        <w:tc>
          <w:tcPr>
            <w:tcW w:w="437" w:type="pct"/>
            <w:tcMar>
              <w:top w:w="0" w:type="dxa"/>
              <w:left w:w="45" w:type="dxa"/>
              <w:bottom w:w="0" w:type="dxa"/>
              <w:right w:w="45" w:type="dxa"/>
            </w:tcMar>
            <w:vAlign w:val="center"/>
            <w:hideMark/>
          </w:tcPr>
          <w:p w14:paraId="0FFE772F"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302EEF10" w14:textId="77777777" w:rsidR="002F2BB2" w:rsidRPr="00532C61" w:rsidRDefault="002F2BB2" w:rsidP="0072694B">
            <w:pPr>
              <w:rPr>
                <w:bCs/>
                <w:sz w:val="22"/>
                <w:szCs w:val="22"/>
              </w:rPr>
            </w:pPr>
          </w:p>
        </w:tc>
        <w:tc>
          <w:tcPr>
            <w:tcW w:w="374" w:type="pct"/>
            <w:tcMar>
              <w:top w:w="0" w:type="dxa"/>
              <w:left w:w="45" w:type="dxa"/>
              <w:bottom w:w="0" w:type="dxa"/>
              <w:right w:w="45" w:type="dxa"/>
            </w:tcMar>
            <w:vAlign w:val="center"/>
            <w:hideMark/>
          </w:tcPr>
          <w:p w14:paraId="1395FA01" w14:textId="77777777" w:rsidR="002F2BB2" w:rsidRPr="00532C61" w:rsidRDefault="002F2BB2" w:rsidP="0072694B">
            <w:pPr>
              <w:rPr>
                <w:sz w:val="22"/>
                <w:szCs w:val="22"/>
              </w:rPr>
            </w:pPr>
          </w:p>
        </w:tc>
        <w:tc>
          <w:tcPr>
            <w:tcW w:w="406" w:type="pct"/>
            <w:tcMar>
              <w:top w:w="0" w:type="dxa"/>
              <w:left w:w="45" w:type="dxa"/>
              <w:bottom w:w="0" w:type="dxa"/>
              <w:right w:w="45" w:type="dxa"/>
            </w:tcMar>
            <w:vAlign w:val="bottom"/>
            <w:hideMark/>
          </w:tcPr>
          <w:p w14:paraId="7BA4ACE2" w14:textId="77777777" w:rsidR="002F2BB2" w:rsidRPr="00532C61" w:rsidRDefault="002F2BB2" w:rsidP="0072694B">
            <w:pPr>
              <w:jc w:val="right"/>
              <w:rPr>
                <w:sz w:val="22"/>
                <w:szCs w:val="22"/>
              </w:rPr>
            </w:pPr>
          </w:p>
        </w:tc>
      </w:tr>
      <w:tr w:rsidR="002F2BB2" w:rsidRPr="00532C61" w14:paraId="05E62630" w14:textId="77777777" w:rsidTr="0072694B">
        <w:trPr>
          <w:trHeight w:val="315"/>
        </w:trPr>
        <w:tc>
          <w:tcPr>
            <w:tcW w:w="1988" w:type="pct"/>
            <w:tcMar>
              <w:top w:w="0" w:type="dxa"/>
              <w:left w:w="45" w:type="dxa"/>
              <w:bottom w:w="0" w:type="dxa"/>
              <w:right w:w="45" w:type="dxa"/>
            </w:tcMar>
            <w:vAlign w:val="bottom"/>
            <w:hideMark/>
          </w:tcPr>
          <w:p w14:paraId="6D3FFE26" w14:textId="77777777" w:rsidR="002F2BB2" w:rsidRPr="00532C61" w:rsidRDefault="002F2BB2" w:rsidP="0072694B">
            <w:pPr>
              <w:rPr>
                <w:sz w:val="22"/>
                <w:szCs w:val="22"/>
              </w:rPr>
            </w:pPr>
            <w:r w:rsidRPr="00532C61">
              <w:rPr>
                <w:sz w:val="22"/>
                <w:szCs w:val="22"/>
              </w:rPr>
              <w:t xml:space="preserve">    About once per month or less</w:t>
            </w:r>
          </w:p>
        </w:tc>
        <w:tc>
          <w:tcPr>
            <w:tcW w:w="468" w:type="pct"/>
            <w:tcMar>
              <w:top w:w="0" w:type="dxa"/>
              <w:left w:w="45" w:type="dxa"/>
              <w:bottom w:w="0" w:type="dxa"/>
              <w:right w:w="45" w:type="dxa"/>
            </w:tcMar>
            <w:vAlign w:val="center"/>
            <w:hideMark/>
          </w:tcPr>
          <w:p w14:paraId="4B05F1B6" w14:textId="77777777" w:rsidR="002F2BB2" w:rsidRPr="00532C61" w:rsidRDefault="002F2BB2" w:rsidP="0072694B">
            <w:pPr>
              <w:jc w:val="right"/>
              <w:rPr>
                <w:bCs/>
                <w:sz w:val="22"/>
                <w:szCs w:val="22"/>
              </w:rPr>
            </w:pPr>
            <w:r w:rsidRPr="00532C61">
              <w:rPr>
                <w:bCs/>
                <w:sz w:val="22"/>
                <w:szCs w:val="22"/>
              </w:rPr>
              <w:t>61</w:t>
            </w:r>
          </w:p>
        </w:tc>
        <w:tc>
          <w:tcPr>
            <w:tcW w:w="391" w:type="pct"/>
            <w:tcMar>
              <w:top w:w="0" w:type="dxa"/>
              <w:left w:w="45" w:type="dxa"/>
              <w:bottom w:w="0" w:type="dxa"/>
              <w:right w:w="45" w:type="dxa"/>
            </w:tcMar>
            <w:vAlign w:val="center"/>
            <w:hideMark/>
          </w:tcPr>
          <w:p w14:paraId="3E16C156" w14:textId="77777777" w:rsidR="002F2BB2" w:rsidRPr="00532C61" w:rsidRDefault="002F2BB2" w:rsidP="0072694B">
            <w:pPr>
              <w:jc w:val="right"/>
              <w:rPr>
                <w:sz w:val="22"/>
                <w:szCs w:val="22"/>
              </w:rPr>
            </w:pPr>
            <w:r w:rsidRPr="00532C61">
              <w:rPr>
                <w:sz w:val="22"/>
                <w:szCs w:val="22"/>
              </w:rPr>
              <w:t>91.0</w:t>
            </w:r>
          </w:p>
        </w:tc>
        <w:tc>
          <w:tcPr>
            <w:tcW w:w="468" w:type="pct"/>
            <w:tcMar>
              <w:top w:w="0" w:type="dxa"/>
              <w:left w:w="45" w:type="dxa"/>
              <w:bottom w:w="0" w:type="dxa"/>
              <w:right w:w="45" w:type="dxa"/>
            </w:tcMar>
            <w:vAlign w:val="center"/>
            <w:hideMark/>
          </w:tcPr>
          <w:p w14:paraId="0A03E181" w14:textId="77777777" w:rsidR="002F2BB2" w:rsidRPr="00532C61" w:rsidRDefault="002F2BB2" w:rsidP="0072694B">
            <w:pPr>
              <w:jc w:val="right"/>
              <w:rPr>
                <w:bCs/>
                <w:sz w:val="22"/>
                <w:szCs w:val="22"/>
              </w:rPr>
            </w:pPr>
            <w:r w:rsidRPr="00532C61">
              <w:rPr>
                <w:bCs/>
                <w:sz w:val="22"/>
                <w:szCs w:val="22"/>
              </w:rPr>
              <w:t>17</w:t>
            </w:r>
          </w:p>
        </w:tc>
        <w:tc>
          <w:tcPr>
            <w:tcW w:w="437" w:type="pct"/>
            <w:tcMar>
              <w:top w:w="0" w:type="dxa"/>
              <w:left w:w="45" w:type="dxa"/>
              <w:bottom w:w="0" w:type="dxa"/>
              <w:right w:w="45" w:type="dxa"/>
            </w:tcMar>
            <w:vAlign w:val="center"/>
            <w:hideMark/>
          </w:tcPr>
          <w:p w14:paraId="51EEBC7F" w14:textId="77777777" w:rsidR="002F2BB2" w:rsidRPr="00532C61" w:rsidRDefault="002F2BB2" w:rsidP="0072694B">
            <w:pPr>
              <w:jc w:val="right"/>
              <w:rPr>
                <w:sz w:val="22"/>
                <w:szCs w:val="22"/>
              </w:rPr>
            </w:pPr>
            <w:r w:rsidRPr="00532C61">
              <w:rPr>
                <w:sz w:val="22"/>
                <w:szCs w:val="22"/>
              </w:rPr>
              <w:t>81.0</w:t>
            </w:r>
          </w:p>
        </w:tc>
        <w:tc>
          <w:tcPr>
            <w:tcW w:w="468" w:type="pct"/>
            <w:tcMar>
              <w:top w:w="0" w:type="dxa"/>
              <w:left w:w="45" w:type="dxa"/>
              <w:bottom w:w="0" w:type="dxa"/>
              <w:right w:w="45" w:type="dxa"/>
            </w:tcMar>
            <w:vAlign w:val="center"/>
            <w:hideMark/>
          </w:tcPr>
          <w:p w14:paraId="4EC23B8A" w14:textId="77777777" w:rsidR="002F2BB2" w:rsidRPr="00532C61" w:rsidRDefault="002F2BB2" w:rsidP="0072694B">
            <w:pPr>
              <w:jc w:val="right"/>
              <w:rPr>
                <w:bCs/>
                <w:sz w:val="22"/>
                <w:szCs w:val="22"/>
              </w:rPr>
            </w:pPr>
            <w:r w:rsidRPr="00532C61">
              <w:rPr>
                <w:bCs/>
                <w:sz w:val="22"/>
                <w:szCs w:val="22"/>
              </w:rPr>
              <w:t>44</w:t>
            </w:r>
          </w:p>
        </w:tc>
        <w:tc>
          <w:tcPr>
            <w:tcW w:w="374" w:type="pct"/>
            <w:tcMar>
              <w:top w:w="0" w:type="dxa"/>
              <w:left w:w="45" w:type="dxa"/>
              <w:bottom w:w="0" w:type="dxa"/>
              <w:right w:w="45" w:type="dxa"/>
            </w:tcMar>
            <w:vAlign w:val="center"/>
            <w:hideMark/>
          </w:tcPr>
          <w:p w14:paraId="0C72EA16" w14:textId="77777777" w:rsidR="002F2BB2" w:rsidRPr="00532C61" w:rsidRDefault="002F2BB2" w:rsidP="0072694B">
            <w:pPr>
              <w:jc w:val="right"/>
              <w:rPr>
                <w:sz w:val="22"/>
                <w:szCs w:val="22"/>
              </w:rPr>
            </w:pPr>
            <w:r w:rsidRPr="00532C61">
              <w:rPr>
                <w:sz w:val="22"/>
                <w:szCs w:val="22"/>
              </w:rPr>
              <w:t>95.7</w:t>
            </w:r>
          </w:p>
        </w:tc>
        <w:tc>
          <w:tcPr>
            <w:tcW w:w="406" w:type="pct"/>
            <w:tcMar>
              <w:top w:w="0" w:type="dxa"/>
              <w:left w:w="45" w:type="dxa"/>
              <w:bottom w:w="0" w:type="dxa"/>
              <w:right w:w="45" w:type="dxa"/>
            </w:tcMar>
            <w:vAlign w:val="bottom"/>
            <w:hideMark/>
          </w:tcPr>
          <w:p w14:paraId="2F8B1660" w14:textId="77777777" w:rsidR="002F2BB2" w:rsidRPr="00532C61" w:rsidRDefault="002F2BB2" w:rsidP="0072694B">
            <w:pPr>
              <w:jc w:val="right"/>
              <w:rPr>
                <w:bCs/>
                <w:sz w:val="22"/>
                <w:szCs w:val="22"/>
              </w:rPr>
            </w:pPr>
            <w:r w:rsidRPr="00532C61">
              <w:rPr>
                <w:bCs/>
                <w:sz w:val="22"/>
                <w:szCs w:val="22"/>
              </w:rPr>
              <w:t>0.072</w:t>
            </w:r>
          </w:p>
        </w:tc>
      </w:tr>
      <w:tr w:rsidR="002F2BB2" w:rsidRPr="00532C61" w14:paraId="2F41CDC5" w14:textId="77777777" w:rsidTr="0072694B">
        <w:trPr>
          <w:trHeight w:val="315"/>
        </w:trPr>
        <w:tc>
          <w:tcPr>
            <w:tcW w:w="1988" w:type="pct"/>
            <w:tcMar>
              <w:top w:w="0" w:type="dxa"/>
              <w:left w:w="45" w:type="dxa"/>
              <w:bottom w:w="0" w:type="dxa"/>
              <w:right w:w="45" w:type="dxa"/>
            </w:tcMar>
            <w:vAlign w:val="bottom"/>
            <w:hideMark/>
          </w:tcPr>
          <w:p w14:paraId="6953B396" w14:textId="77777777" w:rsidR="002F2BB2" w:rsidRPr="00532C61" w:rsidRDefault="002F2BB2" w:rsidP="0072694B">
            <w:pPr>
              <w:rPr>
                <w:sz w:val="22"/>
                <w:szCs w:val="22"/>
              </w:rPr>
            </w:pPr>
            <w:r w:rsidRPr="00532C61">
              <w:rPr>
                <w:sz w:val="22"/>
                <w:szCs w:val="22"/>
              </w:rPr>
              <w:t xml:space="preserve">    More than once per month</w:t>
            </w:r>
          </w:p>
        </w:tc>
        <w:tc>
          <w:tcPr>
            <w:tcW w:w="468" w:type="pct"/>
            <w:tcMar>
              <w:top w:w="0" w:type="dxa"/>
              <w:left w:w="45" w:type="dxa"/>
              <w:bottom w:w="0" w:type="dxa"/>
              <w:right w:w="45" w:type="dxa"/>
            </w:tcMar>
            <w:vAlign w:val="center"/>
            <w:hideMark/>
          </w:tcPr>
          <w:p w14:paraId="4B1D6B84" w14:textId="77777777" w:rsidR="002F2BB2" w:rsidRPr="00532C61" w:rsidRDefault="002F2BB2" w:rsidP="0072694B">
            <w:pPr>
              <w:jc w:val="right"/>
              <w:rPr>
                <w:bCs/>
                <w:sz w:val="22"/>
                <w:szCs w:val="22"/>
              </w:rPr>
            </w:pPr>
            <w:r w:rsidRPr="00532C61">
              <w:rPr>
                <w:bCs/>
                <w:sz w:val="22"/>
                <w:szCs w:val="22"/>
              </w:rPr>
              <w:t>6</w:t>
            </w:r>
          </w:p>
        </w:tc>
        <w:tc>
          <w:tcPr>
            <w:tcW w:w="391" w:type="pct"/>
            <w:tcMar>
              <w:top w:w="0" w:type="dxa"/>
              <w:left w:w="45" w:type="dxa"/>
              <w:bottom w:w="0" w:type="dxa"/>
              <w:right w:w="45" w:type="dxa"/>
            </w:tcMar>
            <w:vAlign w:val="center"/>
            <w:hideMark/>
          </w:tcPr>
          <w:p w14:paraId="42B2819E" w14:textId="77777777" w:rsidR="002F2BB2" w:rsidRPr="00532C61" w:rsidRDefault="002F2BB2" w:rsidP="0072694B">
            <w:pPr>
              <w:jc w:val="right"/>
              <w:rPr>
                <w:sz w:val="22"/>
                <w:szCs w:val="22"/>
              </w:rPr>
            </w:pPr>
            <w:r w:rsidRPr="00532C61">
              <w:rPr>
                <w:sz w:val="22"/>
                <w:szCs w:val="22"/>
              </w:rPr>
              <w:t>9.0</w:t>
            </w:r>
          </w:p>
        </w:tc>
        <w:tc>
          <w:tcPr>
            <w:tcW w:w="468" w:type="pct"/>
            <w:tcMar>
              <w:top w:w="0" w:type="dxa"/>
              <w:left w:w="45" w:type="dxa"/>
              <w:bottom w:w="0" w:type="dxa"/>
              <w:right w:w="45" w:type="dxa"/>
            </w:tcMar>
            <w:vAlign w:val="center"/>
            <w:hideMark/>
          </w:tcPr>
          <w:p w14:paraId="55235BFF" w14:textId="77777777" w:rsidR="002F2BB2" w:rsidRPr="00532C61" w:rsidRDefault="002F2BB2" w:rsidP="0072694B">
            <w:pPr>
              <w:jc w:val="right"/>
              <w:rPr>
                <w:bCs/>
                <w:sz w:val="22"/>
                <w:szCs w:val="22"/>
              </w:rPr>
            </w:pPr>
            <w:r w:rsidRPr="00532C61">
              <w:rPr>
                <w:bCs/>
                <w:sz w:val="22"/>
                <w:szCs w:val="22"/>
              </w:rPr>
              <w:t>4</w:t>
            </w:r>
          </w:p>
        </w:tc>
        <w:tc>
          <w:tcPr>
            <w:tcW w:w="437" w:type="pct"/>
            <w:tcMar>
              <w:top w:w="0" w:type="dxa"/>
              <w:left w:w="45" w:type="dxa"/>
              <w:bottom w:w="0" w:type="dxa"/>
              <w:right w:w="45" w:type="dxa"/>
            </w:tcMar>
            <w:vAlign w:val="center"/>
            <w:hideMark/>
          </w:tcPr>
          <w:p w14:paraId="488D180F" w14:textId="77777777" w:rsidR="002F2BB2" w:rsidRPr="00532C61" w:rsidRDefault="002F2BB2" w:rsidP="0072694B">
            <w:pPr>
              <w:jc w:val="right"/>
              <w:rPr>
                <w:sz w:val="22"/>
                <w:szCs w:val="22"/>
              </w:rPr>
            </w:pPr>
            <w:r w:rsidRPr="00532C61">
              <w:rPr>
                <w:sz w:val="22"/>
                <w:szCs w:val="22"/>
              </w:rPr>
              <w:t>19.1</w:t>
            </w:r>
          </w:p>
        </w:tc>
        <w:tc>
          <w:tcPr>
            <w:tcW w:w="468" w:type="pct"/>
            <w:tcMar>
              <w:top w:w="0" w:type="dxa"/>
              <w:left w:w="45" w:type="dxa"/>
              <w:bottom w:w="0" w:type="dxa"/>
              <w:right w:w="45" w:type="dxa"/>
            </w:tcMar>
            <w:vAlign w:val="center"/>
            <w:hideMark/>
          </w:tcPr>
          <w:p w14:paraId="67E0C9CB" w14:textId="77777777" w:rsidR="002F2BB2" w:rsidRPr="00532C61" w:rsidRDefault="002F2BB2" w:rsidP="0072694B">
            <w:pPr>
              <w:jc w:val="right"/>
              <w:rPr>
                <w:bCs/>
                <w:sz w:val="22"/>
                <w:szCs w:val="22"/>
              </w:rPr>
            </w:pPr>
            <w:r w:rsidRPr="00532C61">
              <w:rPr>
                <w:bCs/>
                <w:sz w:val="22"/>
                <w:szCs w:val="22"/>
              </w:rPr>
              <w:t>2</w:t>
            </w:r>
          </w:p>
        </w:tc>
        <w:tc>
          <w:tcPr>
            <w:tcW w:w="374" w:type="pct"/>
            <w:tcMar>
              <w:top w:w="0" w:type="dxa"/>
              <w:left w:w="45" w:type="dxa"/>
              <w:bottom w:w="0" w:type="dxa"/>
              <w:right w:w="45" w:type="dxa"/>
            </w:tcMar>
            <w:vAlign w:val="center"/>
            <w:hideMark/>
          </w:tcPr>
          <w:p w14:paraId="35AA627D" w14:textId="77777777" w:rsidR="002F2BB2" w:rsidRPr="00532C61" w:rsidRDefault="002F2BB2" w:rsidP="0072694B">
            <w:pPr>
              <w:jc w:val="right"/>
              <w:rPr>
                <w:sz w:val="22"/>
                <w:szCs w:val="22"/>
              </w:rPr>
            </w:pPr>
            <w:r w:rsidRPr="00532C61">
              <w:rPr>
                <w:sz w:val="22"/>
                <w:szCs w:val="22"/>
              </w:rPr>
              <w:t>4.4</w:t>
            </w:r>
          </w:p>
        </w:tc>
        <w:tc>
          <w:tcPr>
            <w:tcW w:w="406" w:type="pct"/>
            <w:tcMar>
              <w:top w:w="0" w:type="dxa"/>
              <w:left w:w="45" w:type="dxa"/>
              <w:bottom w:w="0" w:type="dxa"/>
              <w:right w:w="45" w:type="dxa"/>
            </w:tcMar>
            <w:vAlign w:val="bottom"/>
            <w:hideMark/>
          </w:tcPr>
          <w:p w14:paraId="649124E8" w14:textId="77777777" w:rsidR="002F2BB2" w:rsidRPr="00532C61" w:rsidRDefault="002F2BB2" w:rsidP="0072694B">
            <w:pPr>
              <w:jc w:val="right"/>
              <w:rPr>
                <w:sz w:val="22"/>
                <w:szCs w:val="22"/>
              </w:rPr>
            </w:pPr>
          </w:p>
        </w:tc>
      </w:tr>
      <w:tr w:rsidR="002F2BB2" w:rsidRPr="00532C61" w14:paraId="1BA7C172" w14:textId="77777777" w:rsidTr="0072694B">
        <w:trPr>
          <w:trHeight w:val="315"/>
        </w:trPr>
        <w:tc>
          <w:tcPr>
            <w:tcW w:w="1988" w:type="pct"/>
            <w:shd w:val="clear" w:color="auto" w:fill="auto"/>
            <w:tcMar>
              <w:top w:w="0" w:type="dxa"/>
              <w:left w:w="45" w:type="dxa"/>
              <w:bottom w:w="0" w:type="dxa"/>
              <w:right w:w="45" w:type="dxa"/>
            </w:tcMar>
            <w:vAlign w:val="center"/>
            <w:hideMark/>
          </w:tcPr>
          <w:p w14:paraId="0A7FD137" w14:textId="77777777" w:rsidR="002F2BB2" w:rsidRPr="00532C61" w:rsidRDefault="002F2BB2" w:rsidP="0072694B">
            <w:pPr>
              <w:rPr>
                <w:b/>
                <w:sz w:val="22"/>
                <w:szCs w:val="22"/>
              </w:rPr>
            </w:pPr>
            <w:r w:rsidRPr="00532C61">
              <w:rPr>
                <w:b/>
                <w:sz w:val="22"/>
                <w:szCs w:val="22"/>
              </w:rPr>
              <w:t>Used Apps to Seek Sex</w:t>
            </w:r>
          </w:p>
        </w:tc>
        <w:tc>
          <w:tcPr>
            <w:tcW w:w="468" w:type="pct"/>
            <w:shd w:val="clear" w:color="auto" w:fill="auto"/>
            <w:tcMar>
              <w:top w:w="0" w:type="dxa"/>
              <w:left w:w="45" w:type="dxa"/>
              <w:bottom w:w="0" w:type="dxa"/>
              <w:right w:w="45" w:type="dxa"/>
            </w:tcMar>
            <w:vAlign w:val="center"/>
            <w:hideMark/>
          </w:tcPr>
          <w:p w14:paraId="6489EBDE" w14:textId="77777777" w:rsidR="002F2BB2" w:rsidRPr="00532C61" w:rsidRDefault="002F2BB2" w:rsidP="0072694B">
            <w:pPr>
              <w:rPr>
                <w:sz w:val="22"/>
                <w:szCs w:val="22"/>
              </w:rPr>
            </w:pPr>
          </w:p>
        </w:tc>
        <w:tc>
          <w:tcPr>
            <w:tcW w:w="391" w:type="pct"/>
            <w:shd w:val="clear" w:color="auto" w:fill="auto"/>
            <w:tcMar>
              <w:top w:w="0" w:type="dxa"/>
              <w:left w:w="45" w:type="dxa"/>
              <w:bottom w:w="0" w:type="dxa"/>
              <w:right w:w="45" w:type="dxa"/>
            </w:tcMar>
            <w:vAlign w:val="center"/>
            <w:hideMark/>
          </w:tcPr>
          <w:p w14:paraId="1A2A8907"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6CD7A22A" w14:textId="77777777" w:rsidR="002F2BB2" w:rsidRPr="00532C61" w:rsidRDefault="002F2BB2" w:rsidP="0072694B">
            <w:pPr>
              <w:rPr>
                <w:sz w:val="22"/>
                <w:szCs w:val="22"/>
              </w:rPr>
            </w:pPr>
          </w:p>
        </w:tc>
        <w:tc>
          <w:tcPr>
            <w:tcW w:w="437" w:type="pct"/>
            <w:shd w:val="clear" w:color="auto" w:fill="auto"/>
            <w:tcMar>
              <w:top w:w="0" w:type="dxa"/>
              <w:left w:w="45" w:type="dxa"/>
              <w:bottom w:w="0" w:type="dxa"/>
              <w:right w:w="45" w:type="dxa"/>
            </w:tcMar>
            <w:vAlign w:val="center"/>
            <w:hideMark/>
          </w:tcPr>
          <w:p w14:paraId="2775102F"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50FA9657" w14:textId="77777777" w:rsidR="002F2BB2" w:rsidRPr="00532C61" w:rsidRDefault="002F2BB2" w:rsidP="0072694B">
            <w:pPr>
              <w:rPr>
                <w:sz w:val="22"/>
                <w:szCs w:val="22"/>
              </w:rPr>
            </w:pPr>
          </w:p>
        </w:tc>
        <w:tc>
          <w:tcPr>
            <w:tcW w:w="374" w:type="pct"/>
            <w:shd w:val="clear" w:color="auto" w:fill="auto"/>
            <w:tcMar>
              <w:top w:w="0" w:type="dxa"/>
              <w:left w:w="45" w:type="dxa"/>
              <w:bottom w:w="0" w:type="dxa"/>
              <w:right w:w="45" w:type="dxa"/>
            </w:tcMar>
            <w:vAlign w:val="center"/>
            <w:hideMark/>
          </w:tcPr>
          <w:p w14:paraId="38667B72" w14:textId="77777777" w:rsidR="002F2BB2" w:rsidRPr="00532C61" w:rsidRDefault="002F2BB2" w:rsidP="0072694B">
            <w:pPr>
              <w:rPr>
                <w:sz w:val="22"/>
                <w:szCs w:val="22"/>
              </w:rPr>
            </w:pPr>
          </w:p>
        </w:tc>
        <w:tc>
          <w:tcPr>
            <w:tcW w:w="406" w:type="pct"/>
            <w:shd w:val="clear" w:color="auto" w:fill="auto"/>
            <w:tcMar>
              <w:top w:w="0" w:type="dxa"/>
              <w:left w:w="45" w:type="dxa"/>
              <w:bottom w:w="0" w:type="dxa"/>
              <w:right w:w="45" w:type="dxa"/>
            </w:tcMar>
            <w:vAlign w:val="bottom"/>
            <w:hideMark/>
          </w:tcPr>
          <w:p w14:paraId="4E9A9736" w14:textId="77777777" w:rsidR="002F2BB2" w:rsidRPr="00532C61" w:rsidRDefault="002F2BB2" w:rsidP="0072694B">
            <w:pPr>
              <w:jc w:val="right"/>
              <w:rPr>
                <w:sz w:val="22"/>
                <w:szCs w:val="22"/>
              </w:rPr>
            </w:pPr>
          </w:p>
        </w:tc>
      </w:tr>
      <w:tr w:rsidR="002F2BB2" w:rsidRPr="00532C61" w14:paraId="2F6F3A92" w14:textId="77777777" w:rsidTr="0072694B">
        <w:trPr>
          <w:trHeight w:val="315"/>
        </w:trPr>
        <w:tc>
          <w:tcPr>
            <w:tcW w:w="1988" w:type="pct"/>
            <w:shd w:val="clear" w:color="auto" w:fill="auto"/>
            <w:tcMar>
              <w:top w:w="0" w:type="dxa"/>
              <w:left w:w="45" w:type="dxa"/>
              <w:bottom w:w="0" w:type="dxa"/>
              <w:right w:w="45" w:type="dxa"/>
            </w:tcMar>
            <w:vAlign w:val="bottom"/>
            <w:hideMark/>
          </w:tcPr>
          <w:p w14:paraId="0DB4E931" w14:textId="77777777" w:rsidR="002F2BB2" w:rsidRPr="00532C61" w:rsidRDefault="002F2BB2" w:rsidP="0072694B">
            <w:pPr>
              <w:rPr>
                <w:sz w:val="22"/>
                <w:szCs w:val="22"/>
              </w:rPr>
            </w:pPr>
            <w:r w:rsidRPr="00532C61">
              <w:rPr>
                <w:sz w:val="22"/>
                <w:szCs w:val="22"/>
              </w:rPr>
              <w:t xml:space="preserve">    About once per month or less</w:t>
            </w:r>
          </w:p>
        </w:tc>
        <w:tc>
          <w:tcPr>
            <w:tcW w:w="468" w:type="pct"/>
            <w:shd w:val="clear" w:color="auto" w:fill="auto"/>
            <w:tcMar>
              <w:top w:w="0" w:type="dxa"/>
              <w:left w:w="45" w:type="dxa"/>
              <w:bottom w:w="0" w:type="dxa"/>
              <w:right w:w="45" w:type="dxa"/>
            </w:tcMar>
            <w:vAlign w:val="center"/>
            <w:hideMark/>
          </w:tcPr>
          <w:p w14:paraId="7062A7CF" w14:textId="77777777" w:rsidR="002F2BB2" w:rsidRPr="00532C61" w:rsidRDefault="002F2BB2" w:rsidP="0072694B">
            <w:pPr>
              <w:jc w:val="right"/>
              <w:rPr>
                <w:bCs/>
                <w:sz w:val="22"/>
                <w:szCs w:val="22"/>
              </w:rPr>
            </w:pPr>
            <w:r w:rsidRPr="00532C61">
              <w:rPr>
                <w:bCs/>
                <w:sz w:val="22"/>
                <w:szCs w:val="22"/>
              </w:rPr>
              <w:t>50</w:t>
            </w:r>
          </w:p>
        </w:tc>
        <w:tc>
          <w:tcPr>
            <w:tcW w:w="391" w:type="pct"/>
            <w:shd w:val="clear" w:color="auto" w:fill="auto"/>
            <w:tcMar>
              <w:top w:w="0" w:type="dxa"/>
              <w:left w:w="45" w:type="dxa"/>
              <w:bottom w:w="0" w:type="dxa"/>
              <w:right w:w="45" w:type="dxa"/>
            </w:tcMar>
            <w:vAlign w:val="center"/>
            <w:hideMark/>
          </w:tcPr>
          <w:p w14:paraId="13CC9415" w14:textId="77777777" w:rsidR="002F2BB2" w:rsidRPr="00532C61" w:rsidRDefault="002F2BB2" w:rsidP="0072694B">
            <w:pPr>
              <w:jc w:val="right"/>
              <w:rPr>
                <w:sz w:val="22"/>
                <w:szCs w:val="22"/>
              </w:rPr>
            </w:pPr>
            <w:r w:rsidRPr="00532C61">
              <w:rPr>
                <w:sz w:val="22"/>
                <w:szCs w:val="22"/>
              </w:rPr>
              <w:t>74.6</w:t>
            </w:r>
          </w:p>
        </w:tc>
        <w:tc>
          <w:tcPr>
            <w:tcW w:w="468" w:type="pct"/>
            <w:shd w:val="clear" w:color="auto" w:fill="auto"/>
            <w:tcMar>
              <w:top w:w="0" w:type="dxa"/>
              <w:left w:w="45" w:type="dxa"/>
              <w:bottom w:w="0" w:type="dxa"/>
              <w:right w:w="45" w:type="dxa"/>
            </w:tcMar>
            <w:vAlign w:val="center"/>
            <w:hideMark/>
          </w:tcPr>
          <w:p w14:paraId="2A59A20D" w14:textId="77777777" w:rsidR="002F2BB2" w:rsidRPr="00532C61" w:rsidRDefault="002F2BB2" w:rsidP="0072694B">
            <w:pPr>
              <w:jc w:val="right"/>
              <w:rPr>
                <w:bCs/>
                <w:sz w:val="22"/>
                <w:szCs w:val="22"/>
              </w:rPr>
            </w:pPr>
            <w:r w:rsidRPr="00532C61">
              <w:rPr>
                <w:bCs/>
                <w:sz w:val="22"/>
                <w:szCs w:val="22"/>
              </w:rPr>
              <w:t>12</w:t>
            </w:r>
          </w:p>
        </w:tc>
        <w:tc>
          <w:tcPr>
            <w:tcW w:w="437" w:type="pct"/>
            <w:shd w:val="clear" w:color="auto" w:fill="auto"/>
            <w:tcMar>
              <w:top w:w="0" w:type="dxa"/>
              <w:left w:w="45" w:type="dxa"/>
              <w:bottom w:w="0" w:type="dxa"/>
              <w:right w:w="45" w:type="dxa"/>
            </w:tcMar>
            <w:vAlign w:val="center"/>
            <w:hideMark/>
          </w:tcPr>
          <w:p w14:paraId="4BAA9DF2" w14:textId="77777777" w:rsidR="002F2BB2" w:rsidRPr="00532C61" w:rsidRDefault="002F2BB2" w:rsidP="0072694B">
            <w:pPr>
              <w:jc w:val="right"/>
              <w:rPr>
                <w:sz w:val="22"/>
                <w:szCs w:val="22"/>
              </w:rPr>
            </w:pPr>
            <w:r w:rsidRPr="00532C61">
              <w:rPr>
                <w:sz w:val="22"/>
                <w:szCs w:val="22"/>
              </w:rPr>
              <w:t>57.1</w:t>
            </w:r>
          </w:p>
        </w:tc>
        <w:tc>
          <w:tcPr>
            <w:tcW w:w="468" w:type="pct"/>
            <w:shd w:val="clear" w:color="auto" w:fill="auto"/>
            <w:tcMar>
              <w:top w:w="0" w:type="dxa"/>
              <w:left w:w="45" w:type="dxa"/>
              <w:bottom w:w="0" w:type="dxa"/>
              <w:right w:w="45" w:type="dxa"/>
            </w:tcMar>
            <w:vAlign w:val="center"/>
            <w:hideMark/>
          </w:tcPr>
          <w:p w14:paraId="6B7A22DB" w14:textId="77777777" w:rsidR="002F2BB2" w:rsidRPr="00532C61" w:rsidRDefault="002F2BB2" w:rsidP="0072694B">
            <w:pPr>
              <w:jc w:val="right"/>
              <w:rPr>
                <w:bCs/>
                <w:sz w:val="22"/>
                <w:szCs w:val="22"/>
              </w:rPr>
            </w:pPr>
            <w:r w:rsidRPr="00532C61">
              <w:rPr>
                <w:bCs/>
                <w:sz w:val="22"/>
                <w:szCs w:val="22"/>
              </w:rPr>
              <w:t>38</w:t>
            </w:r>
          </w:p>
        </w:tc>
        <w:tc>
          <w:tcPr>
            <w:tcW w:w="374" w:type="pct"/>
            <w:shd w:val="clear" w:color="auto" w:fill="auto"/>
            <w:tcMar>
              <w:top w:w="0" w:type="dxa"/>
              <w:left w:w="45" w:type="dxa"/>
              <w:bottom w:w="0" w:type="dxa"/>
              <w:right w:w="45" w:type="dxa"/>
            </w:tcMar>
            <w:vAlign w:val="center"/>
            <w:hideMark/>
          </w:tcPr>
          <w:p w14:paraId="47981283" w14:textId="77777777" w:rsidR="002F2BB2" w:rsidRPr="00532C61" w:rsidRDefault="002F2BB2" w:rsidP="0072694B">
            <w:pPr>
              <w:jc w:val="right"/>
              <w:rPr>
                <w:sz w:val="22"/>
                <w:szCs w:val="22"/>
              </w:rPr>
            </w:pPr>
            <w:r w:rsidRPr="00532C61">
              <w:rPr>
                <w:sz w:val="22"/>
                <w:szCs w:val="22"/>
              </w:rPr>
              <w:t>82.6</w:t>
            </w:r>
          </w:p>
        </w:tc>
        <w:tc>
          <w:tcPr>
            <w:tcW w:w="406" w:type="pct"/>
            <w:shd w:val="clear" w:color="auto" w:fill="auto"/>
            <w:tcMar>
              <w:top w:w="0" w:type="dxa"/>
              <w:left w:w="45" w:type="dxa"/>
              <w:bottom w:w="0" w:type="dxa"/>
              <w:right w:w="45" w:type="dxa"/>
            </w:tcMar>
            <w:vAlign w:val="bottom"/>
            <w:hideMark/>
          </w:tcPr>
          <w:p w14:paraId="300AF53F" w14:textId="77777777" w:rsidR="002F2BB2" w:rsidRPr="00532C61" w:rsidRDefault="002F2BB2" w:rsidP="0072694B">
            <w:pPr>
              <w:jc w:val="right"/>
              <w:rPr>
                <w:b/>
                <w:bCs/>
                <w:sz w:val="22"/>
                <w:szCs w:val="22"/>
              </w:rPr>
            </w:pPr>
            <w:r w:rsidRPr="00532C61">
              <w:rPr>
                <w:b/>
                <w:bCs/>
                <w:sz w:val="22"/>
                <w:szCs w:val="22"/>
              </w:rPr>
              <w:t>0.036</w:t>
            </w:r>
          </w:p>
        </w:tc>
      </w:tr>
      <w:tr w:rsidR="002F2BB2" w:rsidRPr="00532C61" w14:paraId="40DF8FB9" w14:textId="77777777" w:rsidTr="0072694B">
        <w:trPr>
          <w:trHeight w:val="315"/>
        </w:trPr>
        <w:tc>
          <w:tcPr>
            <w:tcW w:w="1988" w:type="pct"/>
            <w:shd w:val="clear" w:color="auto" w:fill="auto"/>
            <w:tcMar>
              <w:top w:w="0" w:type="dxa"/>
              <w:left w:w="45" w:type="dxa"/>
              <w:bottom w:w="0" w:type="dxa"/>
              <w:right w:w="45" w:type="dxa"/>
            </w:tcMar>
            <w:vAlign w:val="bottom"/>
            <w:hideMark/>
          </w:tcPr>
          <w:p w14:paraId="5926ADDB" w14:textId="77777777" w:rsidR="002F2BB2" w:rsidRPr="00532C61" w:rsidRDefault="002F2BB2" w:rsidP="0072694B">
            <w:pPr>
              <w:rPr>
                <w:sz w:val="22"/>
                <w:szCs w:val="22"/>
              </w:rPr>
            </w:pPr>
            <w:r w:rsidRPr="00532C61">
              <w:rPr>
                <w:sz w:val="22"/>
                <w:szCs w:val="22"/>
              </w:rPr>
              <w:t xml:space="preserve">    More than once per month</w:t>
            </w:r>
          </w:p>
        </w:tc>
        <w:tc>
          <w:tcPr>
            <w:tcW w:w="468" w:type="pct"/>
            <w:shd w:val="clear" w:color="auto" w:fill="auto"/>
            <w:tcMar>
              <w:top w:w="0" w:type="dxa"/>
              <w:left w:w="45" w:type="dxa"/>
              <w:bottom w:w="0" w:type="dxa"/>
              <w:right w:w="45" w:type="dxa"/>
            </w:tcMar>
            <w:vAlign w:val="center"/>
            <w:hideMark/>
          </w:tcPr>
          <w:p w14:paraId="3BE89AF4" w14:textId="77777777" w:rsidR="002F2BB2" w:rsidRPr="00532C61" w:rsidRDefault="002F2BB2" w:rsidP="0072694B">
            <w:pPr>
              <w:jc w:val="right"/>
              <w:rPr>
                <w:bCs/>
                <w:sz w:val="22"/>
                <w:szCs w:val="22"/>
              </w:rPr>
            </w:pPr>
            <w:r w:rsidRPr="00532C61">
              <w:rPr>
                <w:bCs/>
                <w:sz w:val="22"/>
                <w:szCs w:val="22"/>
              </w:rPr>
              <w:t>17</w:t>
            </w:r>
          </w:p>
        </w:tc>
        <w:tc>
          <w:tcPr>
            <w:tcW w:w="391" w:type="pct"/>
            <w:shd w:val="clear" w:color="auto" w:fill="auto"/>
            <w:tcMar>
              <w:top w:w="0" w:type="dxa"/>
              <w:left w:w="45" w:type="dxa"/>
              <w:bottom w:w="0" w:type="dxa"/>
              <w:right w:w="45" w:type="dxa"/>
            </w:tcMar>
            <w:vAlign w:val="center"/>
            <w:hideMark/>
          </w:tcPr>
          <w:p w14:paraId="658D47CC" w14:textId="77777777" w:rsidR="002F2BB2" w:rsidRPr="00532C61" w:rsidRDefault="002F2BB2" w:rsidP="0072694B">
            <w:pPr>
              <w:jc w:val="right"/>
              <w:rPr>
                <w:sz w:val="22"/>
                <w:szCs w:val="22"/>
              </w:rPr>
            </w:pPr>
            <w:r w:rsidRPr="00532C61">
              <w:rPr>
                <w:sz w:val="22"/>
                <w:szCs w:val="22"/>
              </w:rPr>
              <w:t>25.4</w:t>
            </w:r>
          </w:p>
        </w:tc>
        <w:tc>
          <w:tcPr>
            <w:tcW w:w="468" w:type="pct"/>
            <w:shd w:val="clear" w:color="auto" w:fill="auto"/>
            <w:tcMar>
              <w:top w:w="0" w:type="dxa"/>
              <w:left w:w="45" w:type="dxa"/>
              <w:bottom w:w="0" w:type="dxa"/>
              <w:right w:w="45" w:type="dxa"/>
            </w:tcMar>
            <w:vAlign w:val="center"/>
            <w:hideMark/>
          </w:tcPr>
          <w:p w14:paraId="7808500C" w14:textId="77777777" w:rsidR="002F2BB2" w:rsidRPr="00532C61" w:rsidRDefault="002F2BB2" w:rsidP="0072694B">
            <w:pPr>
              <w:jc w:val="right"/>
              <w:rPr>
                <w:bCs/>
                <w:sz w:val="22"/>
                <w:szCs w:val="22"/>
              </w:rPr>
            </w:pPr>
            <w:r w:rsidRPr="00532C61">
              <w:rPr>
                <w:bCs/>
                <w:sz w:val="22"/>
                <w:szCs w:val="22"/>
              </w:rPr>
              <w:t>9</w:t>
            </w:r>
          </w:p>
        </w:tc>
        <w:tc>
          <w:tcPr>
            <w:tcW w:w="437" w:type="pct"/>
            <w:shd w:val="clear" w:color="auto" w:fill="auto"/>
            <w:tcMar>
              <w:top w:w="0" w:type="dxa"/>
              <w:left w:w="45" w:type="dxa"/>
              <w:bottom w:w="0" w:type="dxa"/>
              <w:right w:w="45" w:type="dxa"/>
            </w:tcMar>
            <w:vAlign w:val="center"/>
            <w:hideMark/>
          </w:tcPr>
          <w:p w14:paraId="71F3CE9F" w14:textId="77777777" w:rsidR="002F2BB2" w:rsidRPr="00532C61" w:rsidRDefault="002F2BB2" w:rsidP="0072694B">
            <w:pPr>
              <w:jc w:val="right"/>
              <w:rPr>
                <w:sz w:val="22"/>
                <w:szCs w:val="22"/>
              </w:rPr>
            </w:pPr>
            <w:r w:rsidRPr="00532C61">
              <w:rPr>
                <w:sz w:val="22"/>
                <w:szCs w:val="22"/>
              </w:rPr>
              <w:t>42.9</w:t>
            </w:r>
          </w:p>
        </w:tc>
        <w:tc>
          <w:tcPr>
            <w:tcW w:w="468" w:type="pct"/>
            <w:shd w:val="clear" w:color="auto" w:fill="auto"/>
            <w:tcMar>
              <w:top w:w="0" w:type="dxa"/>
              <w:left w:w="45" w:type="dxa"/>
              <w:bottom w:w="0" w:type="dxa"/>
              <w:right w:w="45" w:type="dxa"/>
            </w:tcMar>
            <w:vAlign w:val="center"/>
            <w:hideMark/>
          </w:tcPr>
          <w:p w14:paraId="314AAA1D" w14:textId="77777777" w:rsidR="002F2BB2" w:rsidRPr="00532C61" w:rsidRDefault="002F2BB2" w:rsidP="0072694B">
            <w:pPr>
              <w:jc w:val="right"/>
              <w:rPr>
                <w:bCs/>
                <w:sz w:val="22"/>
                <w:szCs w:val="22"/>
              </w:rPr>
            </w:pPr>
            <w:r w:rsidRPr="00532C61">
              <w:rPr>
                <w:bCs/>
                <w:sz w:val="22"/>
                <w:szCs w:val="22"/>
              </w:rPr>
              <w:t>8</w:t>
            </w:r>
          </w:p>
        </w:tc>
        <w:tc>
          <w:tcPr>
            <w:tcW w:w="374" w:type="pct"/>
            <w:shd w:val="clear" w:color="auto" w:fill="auto"/>
            <w:tcMar>
              <w:top w:w="0" w:type="dxa"/>
              <w:left w:w="45" w:type="dxa"/>
              <w:bottom w:w="0" w:type="dxa"/>
              <w:right w:w="45" w:type="dxa"/>
            </w:tcMar>
            <w:vAlign w:val="center"/>
            <w:hideMark/>
          </w:tcPr>
          <w:p w14:paraId="186CFA39" w14:textId="77777777" w:rsidR="002F2BB2" w:rsidRPr="00532C61" w:rsidRDefault="002F2BB2" w:rsidP="0072694B">
            <w:pPr>
              <w:jc w:val="right"/>
              <w:rPr>
                <w:sz w:val="22"/>
                <w:szCs w:val="22"/>
              </w:rPr>
            </w:pPr>
            <w:r w:rsidRPr="00532C61">
              <w:rPr>
                <w:sz w:val="22"/>
                <w:szCs w:val="22"/>
              </w:rPr>
              <w:t>17.4</w:t>
            </w:r>
          </w:p>
        </w:tc>
        <w:tc>
          <w:tcPr>
            <w:tcW w:w="406" w:type="pct"/>
            <w:shd w:val="clear" w:color="auto" w:fill="auto"/>
            <w:tcMar>
              <w:top w:w="0" w:type="dxa"/>
              <w:left w:w="45" w:type="dxa"/>
              <w:bottom w:w="0" w:type="dxa"/>
              <w:right w:w="45" w:type="dxa"/>
            </w:tcMar>
            <w:vAlign w:val="bottom"/>
            <w:hideMark/>
          </w:tcPr>
          <w:p w14:paraId="27C80E76" w14:textId="77777777" w:rsidR="002F2BB2" w:rsidRPr="00532C61" w:rsidRDefault="002F2BB2" w:rsidP="0072694B">
            <w:pPr>
              <w:jc w:val="right"/>
              <w:rPr>
                <w:sz w:val="22"/>
                <w:szCs w:val="22"/>
              </w:rPr>
            </w:pPr>
          </w:p>
        </w:tc>
      </w:tr>
      <w:tr w:rsidR="002F2BB2" w:rsidRPr="00532C61" w14:paraId="44598BF9" w14:textId="77777777" w:rsidTr="0072694B">
        <w:trPr>
          <w:trHeight w:val="315"/>
        </w:trPr>
        <w:tc>
          <w:tcPr>
            <w:tcW w:w="1988" w:type="pct"/>
            <w:shd w:val="clear" w:color="auto" w:fill="auto"/>
            <w:tcMar>
              <w:top w:w="0" w:type="dxa"/>
              <w:left w:w="45" w:type="dxa"/>
              <w:bottom w:w="0" w:type="dxa"/>
              <w:right w:w="45" w:type="dxa"/>
            </w:tcMar>
            <w:vAlign w:val="center"/>
            <w:hideMark/>
          </w:tcPr>
          <w:p w14:paraId="5B99714A" w14:textId="77777777" w:rsidR="002F2BB2" w:rsidRPr="00532C61" w:rsidRDefault="002F2BB2" w:rsidP="0072694B">
            <w:pPr>
              <w:rPr>
                <w:b/>
                <w:sz w:val="22"/>
                <w:szCs w:val="22"/>
              </w:rPr>
            </w:pPr>
            <w:r w:rsidRPr="00532C61">
              <w:rPr>
                <w:b/>
                <w:sz w:val="22"/>
                <w:szCs w:val="22"/>
              </w:rPr>
              <w:t>Used Internet to Seek Sex</w:t>
            </w:r>
          </w:p>
        </w:tc>
        <w:tc>
          <w:tcPr>
            <w:tcW w:w="468" w:type="pct"/>
            <w:shd w:val="clear" w:color="auto" w:fill="auto"/>
            <w:tcMar>
              <w:top w:w="0" w:type="dxa"/>
              <w:left w:w="45" w:type="dxa"/>
              <w:bottom w:w="0" w:type="dxa"/>
              <w:right w:w="45" w:type="dxa"/>
            </w:tcMar>
            <w:vAlign w:val="center"/>
            <w:hideMark/>
          </w:tcPr>
          <w:p w14:paraId="289C0FDB" w14:textId="77777777" w:rsidR="002F2BB2" w:rsidRPr="00532C61" w:rsidRDefault="002F2BB2" w:rsidP="0072694B">
            <w:pPr>
              <w:rPr>
                <w:sz w:val="22"/>
                <w:szCs w:val="22"/>
              </w:rPr>
            </w:pPr>
          </w:p>
        </w:tc>
        <w:tc>
          <w:tcPr>
            <w:tcW w:w="391" w:type="pct"/>
            <w:shd w:val="clear" w:color="auto" w:fill="auto"/>
            <w:tcMar>
              <w:top w:w="0" w:type="dxa"/>
              <w:left w:w="45" w:type="dxa"/>
              <w:bottom w:w="0" w:type="dxa"/>
              <w:right w:w="45" w:type="dxa"/>
            </w:tcMar>
            <w:vAlign w:val="center"/>
            <w:hideMark/>
          </w:tcPr>
          <w:p w14:paraId="06191496"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0B3771AC" w14:textId="77777777" w:rsidR="002F2BB2" w:rsidRPr="00532C61" w:rsidRDefault="002F2BB2" w:rsidP="0072694B">
            <w:pPr>
              <w:rPr>
                <w:sz w:val="22"/>
                <w:szCs w:val="22"/>
              </w:rPr>
            </w:pPr>
          </w:p>
        </w:tc>
        <w:tc>
          <w:tcPr>
            <w:tcW w:w="437" w:type="pct"/>
            <w:shd w:val="clear" w:color="auto" w:fill="auto"/>
            <w:tcMar>
              <w:top w:w="0" w:type="dxa"/>
              <w:left w:w="45" w:type="dxa"/>
              <w:bottom w:w="0" w:type="dxa"/>
              <w:right w:w="45" w:type="dxa"/>
            </w:tcMar>
            <w:vAlign w:val="center"/>
            <w:hideMark/>
          </w:tcPr>
          <w:p w14:paraId="69108948"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3A6F7908" w14:textId="77777777" w:rsidR="002F2BB2" w:rsidRPr="00532C61" w:rsidRDefault="002F2BB2" w:rsidP="0072694B">
            <w:pPr>
              <w:rPr>
                <w:sz w:val="22"/>
                <w:szCs w:val="22"/>
              </w:rPr>
            </w:pPr>
          </w:p>
        </w:tc>
        <w:tc>
          <w:tcPr>
            <w:tcW w:w="374" w:type="pct"/>
            <w:shd w:val="clear" w:color="auto" w:fill="auto"/>
            <w:tcMar>
              <w:top w:w="0" w:type="dxa"/>
              <w:left w:w="45" w:type="dxa"/>
              <w:bottom w:w="0" w:type="dxa"/>
              <w:right w:w="45" w:type="dxa"/>
            </w:tcMar>
            <w:vAlign w:val="center"/>
            <w:hideMark/>
          </w:tcPr>
          <w:p w14:paraId="6182F4A2" w14:textId="77777777" w:rsidR="002F2BB2" w:rsidRPr="00532C61" w:rsidRDefault="002F2BB2" w:rsidP="0072694B">
            <w:pPr>
              <w:rPr>
                <w:sz w:val="22"/>
                <w:szCs w:val="22"/>
              </w:rPr>
            </w:pPr>
          </w:p>
        </w:tc>
        <w:tc>
          <w:tcPr>
            <w:tcW w:w="406" w:type="pct"/>
            <w:shd w:val="clear" w:color="auto" w:fill="auto"/>
            <w:tcMar>
              <w:top w:w="0" w:type="dxa"/>
              <w:left w:w="45" w:type="dxa"/>
              <w:bottom w:w="0" w:type="dxa"/>
              <w:right w:w="45" w:type="dxa"/>
            </w:tcMar>
            <w:vAlign w:val="bottom"/>
            <w:hideMark/>
          </w:tcPr>
          <w:p w14:paraId="77EFC4B0" w14:textId="77777777" w:rsidR="002F2BB2" w:rsidRPr="00532C61" w:rsidRDefault="002F2BB2" w:rsidP="0072694B">
            <w:pPr>
              <w:jc w:val="right"/>
              <w:rPr>
                <w:sz w:val="22"/>
                <w:szCs w:val="22"/>
              </w:rPr>
            </w:pPr>
          </w:p>
        </w:tc>
      </w:tr>
      <w:tr w:rsidR="002F2BB2" w:rsidRPr="00532C61" w14:paraId="031079C3" w14:textId="77777777" w:rsidTr="0072694B">
        <w:trPr>
          <w:trHeight w:val="315"/>
        </w:trPr>
        <w:tc>
          <w:tcPr>
            <w:tcW w:w="1988" w:type="pct"/>
            <w:shd w:val="clear" w:color="auto" w:fill="auto"/>
            <w:tcMar>
              <w:top w:w="0" w:type="dxa"/>
              <w:left w:w="45" w:type="dxa"/>
              <w:bottom w:w="0" w:type="dxa"/>
              <w:right w:w="45" w:type="dxa"/>
            </w:tcMar>
            <w:vAlign w:val="bottom"/>
            <w:hideMark/>
          </w:tcPr>
          <w:p w14:paraId="3A5BA8FF" w14:textId="77777777" w:rsidR="002F2BB2" w:rsidRPr="00532C61" w:rsidRDefault="002F2BB2" w:rsidP="0072694B">
            <w:pPr>
              <w:rPr>
                <w:sz w:val="22"/>
                <w:szCs w:val="22"/>
              </w:rPr>
            </w:pPr>
            <w:r w:rsidRPr="00532C61">
              <w:rPr>
                <w:sz w:val="22"/>
                <w:szCs w:val="22"/>
              </w:rPr>
              <w:t xml:space="preserve">    About once per month or less</w:t>
            </w:r>
          </w:p>
        </w:tc>
        <w:tc>
          <w:tcPr>
            <w:tcW w:w="468" w:type="pct"/>
            <w:shd w:val="clear" w:color="auto" w:fill="auto"/>
            <w:tcMar>
              <w:top w:w="0" w:type="dxa"/>
              <w:left w:w="45" w:type="dxa"/>
              <w:bottom w:w="0" w:type="dxa"/>
              <w:right w:w="45" w:type="dxa"/>
            </w:tcMar>
            <w:vAlign w:val="center"/>
            <w:hideMark/>
          </w:tcPr>
          <w:p w14:paraId="696F1ACC" w14:textId="77777777" w:rsidR="002F2BB2" w:rsidRPr="00532C61" w:rsidRDefault="002F2BB2" w:rsidP="0072694B">
            <w:pPr>
              <w:jc w:val="right"/>
              <w:rPr>
                <w:bCs/>
                <w:sz w:val="22"/>
                <w:szCs w:val="22"/>
              </w:rPr>
            </w:pPr>
            <w:r w:rsidRPr="00532C61">
              <w:rPr>
                <w:bCs/>
                <w:sz w:val="22"/>
                <w:szCs w:val="22"/>
              </w:rPr>
              <w:t>47</w:t>
            </w:r>
          </w:p>
        </w:tc>
        <w:tc>
          <w:tcPr>
            <w:tcW w:w="391" w:type="pct"/>
            <w:shd w:val="clear" w:color="auto" w:fill="auto"/>
            <w:tcMar>
              <w:top w:w="0" w:type="dxa"/>
              <w:left w:w="45" w:type="dxa"/>
              <w:bottom w:w="0" w:type="dxa"/>
              <w:right w:w="45" w:type="dxa"/>
            </w:tcMar>
            <w:vAlign w:val="center"/>
            <w:hideMark/>
          </w:tcPr>
          <w:p w14:paraId="6663EDFB" w14:textId="77777777" w:rsidR="002F2BB2" w:rsidRPr="00532C61" w:rsidRDefault="002F2BB2" w:rsidP="0072694B">
            <w:pPr>
              <w:jc w:val="right"/>
              <w:rPr>
                <w:sz w:val="22"/>
                <w:szCs w:val="22"/>
              </w:rPr>
            </w:pPr>
            <w:r w:rsidRPr="00532C61">
              <w:rPr>
                <w:sz w:val="22"/>
                <w:szCs w:val="22"/>
              </w:rPr>
              <w:t>70.2</w:t>
            </w:r>
          </w:p>
        </w:tc>
        <w:tc>
          <w:tcPr>
            <w:tcW w:w="468" w:type="pct"/>
            <w:shd w:val="clear" w:color="auto" w:fill="auto"/>
            <w:tcMar>
              <w:top w:w="0" w:type="dxa"/>
              <w:left w:w="45" w:type="dxa"/>
              <w:bottom w:w="0" w:type="dxa"/>
              <w:right w:w="45" w:type="dxa"/>
            </w:tcMar>
            <w:vAlign w:val="center"/>
            <w:hideMark/>
          </w:tcPr>
          <w:p w14:paraId="22ADA947" w14:textId="77777777" w:rsidR="002F2BB2" w:rsidRPr="00532C61" w:rsidRDefault="002F2BB2" w:rsidP="0072694B">
            <w:pPr>
              <w:jc w:val="right"/>
              <w:rPr>
                <w:bCs/>
                <w:sz w:val="22"/>
                <w:szCs w:val="22"/>
              </w:rPr>
            </w:pPr>
            <w:r w:rsidRPr="00532C61">
              <w:rPr>
                <w:bCs/>
                <w:sz w:val="22"/>
                <w:szCs w:val="22"/>
              </w:rPr>
              <w:t>11</w:t>
            </w:r>
          </w:p>
        </w:tc>
        <w:tc>
          <w:tcPr>
            <w:tcW w:w="437" w:type="pct"/>
            <w:shd w:val="clear" w:color="auto" w:fill="auto"/>
            <w:tcMar>
              <w:top w:w="0" w:type="dxa"/>
              <w:left w:w="45" w:type="dxa"/>
              <w:bottom w:w="0" w:type="dxa"/>
              <w:right w:w="45" w:type="dxa"/>
            </w:tcMar>
            <w:vAlign w:val="center"/>
            <w:hideMark/>
          </w:tcPr>
          <w:p w14:paraId="7B43BC44" w14:textId="77777777" w:rsidR="002F2BB2" w:rsidRPr="00532C61" w:rsidRDefault="002F2BB2" w:rsidP="0072694B">
            <w:pPr>
              <w:jc w:val="right"/>
              <w:rPr>
                <w:sz w:val="22"/>
                <w:szCs w:val="22"/>
              </w:rPr>
            </w:pPr>
            <w:r w:rsidRPr="00532C61">
              <w:rPr>
                <w:sz w:val="22"/>
                <w:szCs w:val="22"/>
              </w:rPr>
              <w:t>52.4</w:t>
            </w:r>
          </w:p>
        </w:tc>
        <w:tc>
          <w:tcPr>
            <w:tcW w:w="468" w:type="pct"/>
            <w:shd w:val="clear" w:color="auto" w:fill="auto"/>
            <w:tcMar>
              <w:top w:w="0" w:type="dxa"/>
              <w:left w:w="45" w:type="dxa"/>
              <w:bottom w:w="0" w:type="dxa"/>
              <w:right w:w="45" w:type="dxa"/>
            </w:tcMar>
            <w:vAlign w:val="center"/>
            <w:hideMark/>
          </w:tcPr>
          <w:p w14:paraId="709A74BC" w14:textId="77777777" w:rsidR="002F2BB2" w:rsidRPr="00532C61" w:rsidRDefault="002F2BB2" w:rsidP="0072694B">
            <w:pPr>
              <w:jc w:val="right"/>
              <w:rPr>
                <w:bCs/>
                <w:sz w:val="22"/>
                <w:szCs w:val="22"/>
              </w:rPr>
            </w:pPr>
            <w:r w:rsidRPr="00532C61">
              <w:rPr>
                <w:bCs/>
                <w:sz w:val="22"/>
                <w:szCs w:val="22"/>
              </w:rPr>
              <w:t>36</w:t>
            </w:r>
          </w:p>
        </w:tc>
        <w:tc>
          <w:tcPr>
            <w:tcW w:w="374" w:type="pct"/>
            <w:shd w:val="clear" w:color="auto" w:fill="auto"/>
            <w:tcMar>
              <w:top w:w="0" w:type="dxa"/>
              <w:left w:w="45" w:type="dxa"/>
              <w:bottom w:w="0" w:type="dxa"/>
              <w:right w:w="45" w:type="dxa"/>
            </w:tcMar>
            <w:vAlign w:val="center"/>
            <w:hideMark/>
          </w:tcPr>
          <w:p w14:paraId="707D5032" w14:textId="77777777" w:rsidR="002F2BB2" w:rsidRPr="00532C61" w:rsidRDefault="002F2BB2" w:rsidP="0072694B">
            <w:pPr>
              <w:jc w:val="right"/>
              <w:rPr>
                <w:sz w:val="22"/>
                <w:szCs w:val="22"/>
              </w:rPr>
            </w:pPr>
            <w:r w:rsidRPr="00532C61">
              <w:rPr>
                <w:sz w:val="22"/>
                <w:szCs w:val="22"/>
              </w:rPr>
              <w:t>78.3</w:t>
            </w:r>
          </w:p>
        </w:tc>
        <w:tc>
          <w:tcPr>
            <w:tcW w:w="406" w:type="pct"/>
            <w:shd w:val="clear" w:color="auto" w:fill="auto"/>
            <w:tcMar>
              <w:top w:w="0" w:type="dxa"/>
              <w:left w:w="45" w:type="dxa"/>
              <w:bottom w:w="0" w:type="dxa"/>
              <w:right w:w="45" w:type="dxa"/>
            </w:tcMar>
            <w:vAlign w:val="bottom"/>
            <w:hideMark/>
          </w:tcPr>
          <w:p w14:paraId="127A90C4" w14:textId="77777777" w:rsidR="002F2BB2" w:rsidRPr="00532C61" w:rsidRDefault="002F2BB2" w:rsidP="0072694B">
            <w:pPr>
              <w:jc w:val="right"/>
              <w:rPr>
                <w:b/>
                <w:bCs/>
                <w:sz w:val="22"/>
                <w:szCs w:val="22"/>
              </w:rPr>
            </w:pPr>
            <w:r w:rsidRPr="00532C61">
              <w:rPr>
                <w:b/>
                <w:bCs/>
                <w:sz w:val="22"/>
                <w:szCs w:val="22"/>
              </w:rPr>
              <w:t>0.045</w:t>
            </w:r>
          </w:p>
        </w:tc>
      </w:tr>
      <w:tr w:rsidR="002F2BB2" w:rsidRPr="00532C61" w14:paraId="2404457C" w14:textId="77777777" w:rsidTr="0072694B">
        <w:trPr>
          <w:trHeight w:val="315"/>
        </w:trPr>
        <w:tc>
          <w:tcPr>
            <w:tcW w:w="1988" w:type="pct"/>
            <w:shd w:val="clear" w:color="auto" w:fill="auto"/>
            <w:tcMar>
              <w:top w:w="0" w:type="dxa"/>
              <w:left w:w="45" w:type="dxa"/>
              <w:bottom w:w="0" w:type="dxa"/>
              <w:right w:w="45" w:type="dxa"/>
            </w:tcMar>
            <w:vAlign w:val="bottom"/>
            <w:hideMark/>
          </w:tcPr>
          <w:p w14:paraId="2A1BD70D" w14:textId="77777777" w:rsidR="002F2BB2" w:rsidRPr="00532C61" w:rsidRDefault="002F2BB2" w:rsidP="0072694B">
            <w:pPr>
              <w:rPr>
                <w:sz w:val="22"/>
                <w:szCs w:val="22"/>
              </w:rPr>
            </w:pPr>
            <w:r w:rsidRPr="00532C61">
              <w:rPr>
                <w:sz w:val="22"/>
                <w:szCs w:val="22"/>
              </w:rPr>
              <w:t xml:space="preserve">    More than once per month</w:t>
            </w:r>
          </w:p>
        </w:tc>
        <w:tc>
          <w:tcPr>
            <w:tcW w:w="468" w:type="pct"/>
            <w:shd w:val="clear" w:color="auto" w:fill="auto"/>
            <w:tcMar>
              <w:top w:w="0" w:type="dxa"/>
              <w:left w:w="45" w:type="dxa"/>
              <w:bottom w:w="0" w:type="dxa"/>
              <w:right w:w="45" w:type="dxa"/>
            </w:tcMar>
            <w:vAlign w:val="center"/>
            <w:hideMark/>
          </w:tcPr>
          <w:p w14:paraId="0915E3D2" w14:textId="77777777" w:rsidR="002F2BB2" w:rsidRPr="00532C61" w:rsidRDefault="002F2BB2" w:rsidP="0072694B">
            <w:pPr>
              <w:jc w:val="right"/>
              <w:rPr>
                <w:bCs/>
                <w:sz w:val="22"/>
                <w:szCs w:val="22"/>
              </w:rPr>
            </w:pPr>
            <w:r w:rsidRPr="00532C61">
              <w:rPr>
                <w:bCs/>
                <w:sz w:val="22"/>
                <w:szCs w:val="22"/>
              </w:rPr>
              <w:t>20</w:t>
            </w:r>
          </w:p>
        </w:tc>
        <w:tc>
          <w:tcPr>
            <w:tcW w:w="391" w:type="pct"/>
            <w:shd w:val="clear" w:color="auto" w:fill="auto"/>
            <w:tcMar>
              <w:top w:w="0" w:type="dxa"/>
              <w:left w:w="45" w:type="dxa"/>
              <w:bottom w:w="0" w:type="dxa"/>
              <w:right w:w="45" w:type="dxa"/>
            </w:tcMar>
            <w:vAlign w:val="center"/>
            <w:hideMark/>
          </w:tcPr>
          <w:p w14:paraId="27D1AE75" w14:textId="77777777" w:rsidR="002F2BB2" w:rsidRPr="00532C61" w:rsidRDefault="002F2BB2" w:rsidP="0072694B">
            <w:pPr>
              <w:jc w:val="right"/>
              <w:rPr>
                <w:sz w:val="22"/>
                <w:szCs w:val="22"/>
              </w:rPr>
            </w:pPr>
            <w:r w:rsidRPr="00532C61">
              <w:rPr>
                <w:sz w:val="22"/>
                <w:szCs w:val="22"/>
              </w:rPr>
              <w:t>29.9</w:t>
            </w:r>
          </w:p>
        </w:tc>
        <w:tc>
          <w:tcPr>
            <w:tcW w:w="468" w:type="pct"/>
            <w:shd w:val="clear" w:color="auto" w:fill="auto"/>
            <w:tcMar>
              <w:top w:w="0" w:type="dxa"/>
              <w:left w:w="45" w:type="dxa"/>
              <w:bottom w:w="0" w:type="dxa"/>
              <w:right w:w="45" w:type="dxa"/>
            </w:tcMar>
            <w:vAlign w:val="center"/>
            <w:hideMark/>
          </w:tcPr>
          <w:p w14:paraId="321E76B4" w14:textId="77777777" w:rsidR="002F2BB2" w:rsidRPr="00532C61" w:rsidRDefault="002F2BB2" w:rsidP="0072694B">
            <w:pPr>
              <w:jc w:val="right"/>
              <w:rPr>
                <w:bCs/>
                <w:sz w:val="22"/>
                <w:szCs w:val="22"/>
              </w:rPr>
            </w:pPr>
            <w:r w:rsidRPr="00532C61">
              <w:rPr>
                <w:bCs/>
                <w:sz w:val="22"/>
                <w:szCs w:val="22"/>
              </w:rPr>
              <w:t>10</w:t>
            </w:r>
          </w:p>
        </w:tc>
        <w:tc>
          <w:tcPr>
            <w:tcW w:w="437" w:type="pct"/>
            <w:shd w:val="clear" w:color="auto" w:fill="auto"/>
            <w:tcMar>
              <w:top w:w="0" w:type="dxa"/>
              <w:left w:w="45" w:type="dxa"/>
              <w:bottom w:w="0" w:type="dxa"/>
              <w:right w:w="45" w:type="dxa"/>
            </w:tcMar>
            <w:vAlign w:val="center"/>
            <w:hideMark/>
          </w:tcPr>
          <w:p w14:paraId="55BC93B5" w14:textId="77777777" w:rsidR="002F2BB2" w:rsidRPr="00532C61" w:rsidRDefault="002F2BB2" w:rsidP="0072694B">
            <w:pPr>
              <w:jc w:val="right"/>
              <w:rPr>
                <w:sz w:val="22"/>
                <w:szCs w:val="22"/>
              </w:rPr>
            </w:pPr>
            <w:r w:rsidRPr="00532C61">
              <w:rPr>
                <w:sz w:val="22"/>
                <w:szCs w:val="22"/>
              </w:rPr>
              <w:t>47.6</w:t>
            </w:r>
          </w:p>
        </w:tc>
        <w:tc>
          <w:tcPr>
            <w:tcW w:w="468" w:type="pct"/>
            <w:shd w:val="clear" w:color="auto" w:fill="auto"/>
            <w:tcMar>
              <w:top w:w="0" w:type="dxa"/>
              <w:left w:w="45" w:type="dxa"/>
              <w:bottom w:w="0" w:type="dxa"/>
              <w:right w:w="45" w:type="dxa"/>
            </w:tcMar>
            <w:vAlign w:val="center"/>
            <w:hideMark/>
          </w:tcPr>
          <w:p w14:paraId="3E7B690F" w14:textId="77777777" w:rsidR="002F2BB2" w:rsidRPr="00532C61" w:rsidRDefault="002F2BB2" w:rsidP="0072694B">
            <w:pPr>
              <w:jc w:val="right"/>
              <w:rPr>
                <w:bCs/>
                <w:sz w:val="22"/>
                <w:szCs w:val="22"/>
              </w:rPr>
            </w:pPr>
            <w:r w:rsidRPr="00532C61">
              <w:rPr>
                <w:bCs/>
                <w:sz w:val="22"/>
                <w:szCs w:val="22"/>
              </w:rPr>
              <w:t>10</w:t>
            </w:r>
          </w:p>
        </w:tc>
        <w:tc>
          <w:tcPr>
            <w:tcW w:w="374" w:type="pct"/>
            <w:shd w:val="clear" w:color="auto" w:fill="auto"/>
            <w:tcMar>
              <w:top w:w="0" w:type="dxa"/>
              <w:left w:w="45" w:type="dxa"/>
              <w:bottom w:w="0" w:type="dxa"/>
              <w:right w:w="45" w:type="dxa"/>
            </w:tcMar>
            <w:vAlign w:val="center"/>
            <w:hideMark/>
          </w:tcPr>
          <w:p w14:paraId="1F7A4A47" w14:textId="77777777" w:rsidR="002F2BB2" w:rsidRPr="00532C61" w:rsidRDefault="002F2BB2" w:rsidP="0072694B">
            <w:pPr>
              <w:jc w:val="right"/>
              <w:rPr>
                <w:sz w:val="22"/>
                <w:szCs w:val="22"/>
              </w:rPr>
            </w:pPr>
            <w:r w:rsidRPr="00532C61">
              <w:rPr>
                <w:sz w:val="22"/>
                <w:szCs w:val="22"/>
              </w:rPr>
              <w:t>21.7</w:t>
            </w:r>
          </w:p>
        </w:tc>
        <w:tc>
          <w:tcPr>
            <w:tcW w:w="406" w:type="pct"/>
            <w:shd w:val="clear" w:color="auto" w:fill="auto"/>
            <w:tcMar>
              <w:top w:w="0" w:type="dxa"/>
              <w:left w:w="45" w:type="dxa"/>
              <w:bottom w:w="0" w:type="dxa"/>
              <w:right w:w="45" w:type="dxa"/>
            </w:tcMar>
            <w:vAlign w:val="bottom"/>
            <w:hideMark/>
          </w:tcPr>
          <w:p w14:paraId="318059DD" w14:textId="77777777" w:rsidR="002F2BB2" w:rsidRPr="00532C61" w:rsidRDefault="002F2BB2" w:rsidP="0072694B">
            <w:pPr>
              <w:jc w:val="right"/>
              <w:rPr>
                <w:sz w:val="22"/>
                <w:szCs w:val="22"/>
              </w:rPr>
            </w:pPr>
          </w:p>
        </w:tc>
      </w:tr>
      <w:tr w:rsidR="002F2BB2" w:rsidRPr="00532C61" w14:paraId="50CF84CF" w14:textId="77777777" w:rsidTr="0072694B">
        <w:trPr>
          <w:trHeight w:val="315"/>
        </w:trPr>
        <w:tc>
          <w:tcPr>
            <w:tcW w:w="1988" w:type="pct"/>
            <w:shd w:val="clear" w:color="auto" w:fill="auto"/>
            <w:tcMar>
              <w:top w:w="0" w:type="dxa"/>
              <w:left w:w="45" w:type="dxa"/>
              <w:bottom w:w="0" w:type="dxa"/>
              <w:right w:w="45" w:type="dxa"/>
            </w:tcMar>
            <w:vAlign w:val="center"/>
            <w:hideMark/>
          </w:tcPr>
          <w:p w14:paraId="52EA637D" w14:textId="77777777" w:rsidR="002F2BB2" w:rsidRPr="00532C61" w:rsidRDefault="002F2BB2" w:rsidP="0072694B">
            <w:pPr>
              <w:rPr>
                <w:b/>
                <w:sz w:val="22"/>
                <w:szCs w:val="22"/>
              </w:rPr>
            </w:pPr>
            <w:r w:rsidRPr="00532C61">
              <w:rPr>
                <w:b/>
                <w:sz w:val="22"/>
                <w:szCs w:val="22"/>
              </w:rPr>
              <w:t xml:space="preserve">Social Time with other </w:t>
            </w:r>
            <w:r>
              <w:rPr>
                <w:b/>
                <w:sz w:val="22"/>
                <w:szCs w:val="22"/>
              </w:rPr>
              <w:t>gb</w:t>
            </w:r>
            <w:r w:rsidRPr="00532C61">
              <w:rPr>
                <w:b/>
                <w:sz w:val="22"/>
                <w:szCs w:val="22"/>
              </w:rPr>
              <w:t>MSM</w:t>
            </w:r>
          </w:p>
        </w:tc>
        <w:tc>
          <w:tcPr>
            <w:tcW w:w="468" w:type="pct"/>
            <w:shd w:val="clear" w:color="auto" w:fill="auto"/>
            <w:tcMar>
              <w:top w:w="0" w:type="dxa"/>
              <w:left w:w="45" w:type="dxa"/>
              <w:bottom w:w="0" w:type="dxa"/>
              <w:right w:w="45" w:type="dxa"/>
            </w:tcMar>
            <w:vAlign w:val="center"/>
            <w:hideMark/>
          </w:tcPr>
          <w:p w14:paraId="04F78A28" w14:textId="77777777" w:rsidR="002F2BB2" w:rsidRPr="00532C61" w:rsidRDefault="002F2BB2" w:rsidP="0072694B">
            <w:pPr>
              <w:rPr>
                <w:sz w:val="22"/>
                <w:szCs w:val="22"/>
              </w:rPr>
            </w:pPr>
          </w:p>
        </w:tc>
        <w:tc>
          <w:tcPr>
            <w:tcW w:w="391" w:type="pct"/>
            <w:shd w:val="clear" w:color="auto" w:fill="auto"/>
            <w:tcMar>
              <w:top w:w="0" w:type="dxa"/>
              <w:left w:w="45" w:type="dxa"/>
              <w:bottom w:w="0" w:type="dxa"/>
              <w:right w:w="45" w:type="dxa"/>
            </w:tcMar>
            <w:vAlign w:val="center"/>
            <w:hideMark/>
          </w:tcPr>
          <w:p w14:paraId="277BC88B"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52C9562F" w14:textId="77777777" w:rsidR="002F2BB2" w:rsidRPr="00532C61" w:rsidRDefault="002F2BB2" w:rsidP="0072694B">
            <w:pPr>
              <w:rPr>
                <w:sz w:val="22"/>
                <w:szCs w:val="22"/>
              </w:rPr>
            </w:pPr>
          </w:p>
        </w:tc>
        <w:tc>
          <w:tcPr>
            <w:tcW w:w="437" w:type="pct"/>
            <w:shd w:val="clear" w:color="auto" w:fill="auto"/>
            <w:tcMar>
              <w:top w:w="0" w:type="dxa"/>
              <w:left w:w="45" w:type="dxa"/>
              <w:bottom w:w="0" w:type="dxa"/>
              <w:right w:w="45" w:type="dxa"/>
            </w:tcMar>
            <w:vAlign w:val="center"/>
            <w:hideMark/>
          </w:tcPr>
          <w:p w14:paraId="10FC332D"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3644009E" w14:textId="77777777" w:rsidR="002F2BB2" w:rsidRPr="00532C61" w:rsidRDefault="002F2BB2" w:rsidP="0072694B">
            <w:pPr>
              <w:rPr>
                <w:sz w:val="22"/>
                <w:szCs w:val="22"/>
              </w:rPr>
            </w:pPr>
          </w:p>
        </w:tc>
        <w:tc>
          <w:tcPr>
            <w:tcW w:w="374" w:type="pct"/>
            <w:shd w:val="clear" w:color="auto" w:fill="auto"/>
            <w:tcMar>
              <w:top w:w="0" w:type="dxa"/>
              <w:left w:w="45" w:type="dxa"/>
              <w:bottom w:w="0" w:type="dxa"/>
              <w:right w:w="45" w:type="dxa"/>
            </w:tcMar>
            <w:vAlign w:val="center"/>
            <w:hideMark/>
          </w:tcPr>
          <w:p w14:paraId="69D87ADF" w14:textId="77777777" w:rsidR="002F2BB2" w:rsidRPr="00532C61" w:rsidRDefault="002F2BB2" w:rsidP="0072694B">
            <w:pPr>
              <w:rPr>
                <w:sz w:val="22"/>
                <w:szCs w:val="22"/>
              </w:rPr>
            </w:pPr>
          </w:p>
        </w:tc>
        <w:tc>
          <w:tcPr>
            <w:tcW w:w="406" w:type="pct"/>
            <w:shd w:val="clear" w:color="auto" w:fill="auto"/>
            <w:tcMar>
              <w:top w:w="0" w:type="dxa"/>
              <w:left w:w="45" w:type="dxa"/>
              <w:bottom w:w="0" w:type="dxa"/>
              <w:right w:w="45" w:type="dxa"/>
            </w:tcMar>
            <w:vAlign w:val="bottom"/>
            <w:hideMark/>
          </w:tcPr>
          <w:p w14:paraId="30EEB62C" w14:textId="77777777" w:rsidR="002F2BB2" w:rsidRPr="00532C61" w:rsidRDefault="002F2BB2" w:rsidP="0072694B">
            <w:pPr>
              <w:jc w:val="right"/>
              <w:rPr>
                <w:sz w:val="22"/>
                <w:szCs w:val="22"/>
              </w:rPr>
            </w:pPr>
          </w:p>
        </w:tc>
      </w:tr>
      <w:tr w:rsidR="002F2BB2" w:rsidRPr="00532C61" w14:paraId="5443BD05" w14:textId="77777777" w:rsidTr="0072694B">
        <w:trPr>
          <w:trHeight w:val="315"/>
        </w:trPr>
        <w:tc>
          <w:tcPr>
            <w:tcW w:w="1988" w:type="pct"/>
            <w:shd w:val="clear" w:color="auto" w:fill="auto"/>
            <w:tcMar>
              <w:top w:w="0" w:type="dxa"/>
              <w:left w:w="45" w:type="dxa"/>
              <w:bottom w:w="0" w:type="dxa"/>
              <w:right w:w="45" w:type="dxa"/>
            </w:tcMar>
            <w:vAlign w:val="bottom"/>
            <w:hideMark/>
          </w:tcPr>
          <w:p w14:paraId="4426D656" w14:textId="77777777" w:rsidR="002F2BB2" w:rsidRPr="00532C61" w:rsidRDefault="002F2BB2" w:rsidP="0072694B">
            <w:pPr>
              <w:rPr>
                <w:b/>
                <w:sz w:val="22"/>
                <w:szCs w:val="22"/>
              </w:rPr>
            </w:pPr>
            <w:r w:rsidRPr="00532C61">
              <w:rPr>
                <w:sz w:val="22"/>
                <w:szCs w:val="22"/>
              </w:rPr>
              <w:t xml:space="preserve">    50% or less of total social time</w:t>
            </w:r>
          </w:p>
        </w:tc>
        <w:tc>
          <w:tcPr>
            <w:tcW w:w="468" w:type="pct"/>
            <w:shd w:val="clear" w:color="auto" w:fill="auto"/>
            <w:tcMar>
              <w:top w:w="0" w:type="dxa"/>
              <w:left w:w="45" w:type="dxa"/>
              <w:bottom w:w="0" w:type="dxa"/>
              <w:right w:w="45" w:type="dxa"/>
            </w:tcMar>
            <w:vAlign w:val="center"/>
            <w:hideMark/>
          </w:tcPr>
          <w:p w14:paraId="20F9729E" w14:textId="77777777" w:rsidR="002F2BB2" w:rsidRPr="00532C61" w:rsidRDefault="002F2BB2" w:rsidP="0072694B">
            <w:pPr>
              <w:jc w:val="right"/>
              <w:rPr>
                <w:bCs/>
                <w:sz w:val="22"/>
                <w:szCs w:val="22"/>
              </w:rPr>
            </w:pPr>
            <w:r w:rsidRPr="00532C61">
              <w:rPr>
                <w:bCs/>
                <w:sz w:val="22"/>
                <w:szCs w:val="22"/>
              </w:rPr>
              <w:t>33</w:t>
            </w:r>
          </w:p>
        </w:tc>
        <w:tc>
          <w:tcPr>
            <w:tcW w:w="391" w:type="pct"/>
            <w:shd w:val="clear" w:color="auto" w:fill="auto"/>
            <w:tcMar>
              <w:top w:w="0" w:type="dxa"/>
              <w:left w:w="45" w:type="dxa"/>
              <w:bottom w:w="0" w:type="dxa"/>
              <w:right w:w="45" w:type="dxa"/>
            </w:tcMar>
            <w:vAlign w:val="center"/>
            <w:hideMark/>
          </w:tcPr>
          <w:p w14:paraId="1CAED4EB" w14:textId="77777777" w:rsidR="002F2BB2" w:rsidRPr="00532C61" w:rsidRDefault="002F2BB2" w:rsidP="0072694B">
            <w:pPr>
              <w:jc w:val="right"/>
              <w:rPr>
                <w:sz w:val="22"/>
                <w:szCs w:val="22"/>
              </w:rPr>
            </w:pPr>
            <w:r w:rsidRPr="00532C61">
              <w:rPr>
                <w:sz w:val="22"/>
                <w:szCs w:val="22"/>
              </w:rPr>
              <w:t>49.3</w:t>
            </w:r>
          </w:p>
        </w:tc>
        <w:tc>
          <w:tcPr>
            <w:tcW w:w="468" w:type="pct"/>
            <w:shd w:val="clear" w:color="auto" w:fill="auto"/>
            <w:tcMar>
              <w:top w:w="0" w:type="dxa"/>
              <w:left w:w="45" w:type="dxa"/>
              <w:bottom w:w="0" w:type="dxa"/>
              <w:right w:w="45" w:type="dxa"/>
            </w:tcMar>
            <w:vAlign w:val="center"/>
            <w:hideMark/>
          </w:tcPr>
          <w:p w14:paraId="7A2AF3B7" w14:textId="77777777" w:rsidR="002F2BB2" w:rsidRPr="00532C61" w:rsidRDefault="002F2BB2" w:rsidP="0072694B">
            <w:pPr>
              <w:jc w:val="right"/>
              <w:rPr>
                <w:bCs/>
                <w:sz w:val="22"/>
                <w:szCs w:val="22"/>
              </w:rPr>
            </w:pPr>
            <w:r w:rsidRPr="00532C61">
              <w:rPr>
                <w:bCs/>
                <w:sz w:val="22"/>
                <w:szCs w:val="22"/>
              </w:rPr>
              <w:t>5</w:t>
            </w:r>
          </w:p>
        </w:tc>
        <w:tc>
          <w:tcPr>
            <w:tcW w:w="437" w:type="pct"/>
            <w:shd w:val="clear" w:color="auto" w:fill="auto"/>
            <w:tcMar>
              <w:top w:w="0" w:type="dxa"/>
              <w:left w:w="45" w:type="dxa"/>
              <w:bottom w:w="0" w:type="dxa"/>
              <w:right w:w="45" w:type="dxa"/>
            </w:tcMar>
            <w:vAlign w:val="center"/>
            <w:hideMark/>
          </w:tcPr>
          <w:p w14:paraId="5CD4A419" w14:textId="77777777" w:rsidR="002F2BB2" w:rsidRPr="00532C61" w:rsidRDefault="002F2BB2" w:rsidP="0072694B">
            <w:pPr>
              <w:jc w:val="right"/>
              <w:rPr>
                <w:sz w:val="22"/>
                <w:szCs w:val="22"/>
              </w:rPr>
            </w:pPr>
            <w:r w:rsidRPr="00532C61">
              <w:rPr>
                <w:sz w:val="22"/>
                <w:szCs w:val="22"/>
              </w:rPr>
              <w:t>23.8</w:t>
            </w:r>
          </w:p>
        </w:tc>
        <w:tc>
          <w:tcPr>
            <w:tcW w:w="468" w:type="pct"/>
            <w:shd w:val="clear" w:color="auto" w:fill="auto"/>
            <w:tcMar>
              <w:top w:w="0" w:type="dxa"/>
              <w:left w:w="45" w:type="dxa"/>
              <w:bottom w:w="0" w:type="dxa"/>
              <w:right w:w="45" w:type="dxa"/>
            </w:tcMar>
            <w:vAlign w:val="center"/>
            <w:hideMark/>
          </w:tcPr>
          <w:p w14:paraId="64A82D38" w14:textId="77777777" w:rsidR="002F2BB2" w:rsidRPr="00532C61" w:rsidRDefault="002F2BB2" w:rsidP="0072694B">
            <w:pPr>
              <w:jc w:val="right"/>
              <w:rPr>
                <w:bCs/>
                <w:sz w:val="22"/>
                <w:szCs w:val="22"/>
              </w:rPr>
            </w:pPr>
            <w:r w:rsidRPr="00532C61">
              <w:rPr>
                <w:bCs/>
                <w:sz w:val="22"/>
                <w:szCs w:val="22"/>
              </w:rPr>
              <w:t>28</w:t>
            </w:r>
          </w:p>
        </w:tc>
        <w:tc>
          <w:tcPr>
            <w:tcW w:w="374" w:type="pct"/>
            <w:shd w:val="clear" w:color="auto" w:fill="auto"/>
            <w:tcMar>
              <w:top w:w="0" w:type="dxa"/>
              <w:left w:w="45" w:type="dxa"/>
              <w:bottom w:w="0" w:type="dxa"/>
              <w:right w:w="45" w:type="dxa"/>
            </w:tcMar>
            <w:vAlign w:val="center"/>
            <w:hideMark/>
          </w:tcPr>
          <w:p w14:paraId="22DBAAE4" w14:textId="77777777" w:rsidR="002F2BB2" w:rsidRPr="00532C61" w:rsidRDefault="002F2BB2" w:rsidP="0072694B">
            <w:pPr>
              <w:jc w:val="right"/>
              <w:rPr>
                <w:sz w:val="22"/>
                <w:szCs w:val="22"/>
              </w:rPr>
            </w:pPr>
            <w:r w:rsidRPr="00532C61">
              <w:rPr>
                <w:sz w:val="22"/>
                <w:szCs w:val="22"/>
              </w:rPr>
              <w:t>60.9</w:t>
            </w:r>
          </w:p>
        </w:tc>
        <w:tc>
          <w:tcPr>
            <w:tcW w:w="406" w:type="pct"/>
            <w:shd w:val="clear" w:color="auto" w:fill="auto"/>
            <w:tcMar>
              <w:top w:w="0" w:type="dxa"/>
              <w:left w:w="45" w:type="dxa"/>
              <w:bottom w:w="0" w:type="dxa"/>
              <w:right w:w="45" w:type="dxa"/>
            </w:tcMar>
            <w:vAlign w:val="bottom"/>
            <w:hideMark/>
          </w:tcPr>
          <w:p w14:paraId="6037B5BB" w14:textId="77777777" w:rsidR="002F2BB2" w:rsidRPr="00532C61" w:rsidRDefault="002F2BB2" w:rsidP="0072694B">
            <w:pPr>
              <w:jc w:val="right"/>
              <w:rPr>
                <w:b/>
                <w:bCs/>
                <w:sz w:val="22"/>
                <w:szCs w:val="22"/>
              </w:rPr>
            </w:pPr>
            <w:r w:rsidRPr="00532C61">
              <w:rPr>
                <w:b/>
                <w:bCs/>
                <w:sz w:val="22"/>
                <w:szCs w:val="22"/>
              </w:rPr>
              <w:t>0.008</w:t>
            </w:r>
          </w:p>
        </w:tc>
      </w:tr>
      <w:tr w:rsidR="002F2BB2" w:rsidRPr="00532C61" w14:paraId="5F97D4C9" w14:textId="77777777" w:rsidTr="0072694B">
        <w:trPr>
          <w:trHeight w:val="315"/>
        </w:trPr>
        <w:tc>
          <w:tcPr>
            <w:tcW w:w="1988" w:type="pct"/>
            <w:shd w:val="clear" w:color="auto" w:fill="auto"/>
            <w:tcMar>
              <w:top w:w="0" w:type="dxa"/>
              <w:left w:w="45" w:type="dxa"/>
              <w:bottom w:w="0" w:type="dxa"/>
              <w:right w:w="45" w:type="dxa"/>
            </w:tcMar>
            <w:vAlign w:val="bottom"/>
            <w:hideMark/>
          </w:tcPr>
          <w:p w14:paraId="45B74CD8" w14:textId="77777777" w:rsidR="002F2BB2" w:rsidRPr="00532C61" w:rsidRDefault="002F2BB2" w:rsidP="0072694B">
            <w:pPr>
              <w:rPr>
                <w:sz w:val="22"/>
                <w:szCs w:val="22"/>
              </w:rPr>
            </w:pPr>
            <w:r w:rsidRPr="00532C61">
              <w:rPr>
                <w:sz w:val="22"/>
                <w:szCs w:val="22"/>
              </w:rPr>
              <w:t xml:space="preserve">    at least 50% </w:t>
            </w:r>
          </w:p>
        </w:tc>
        <w:tc>
          <w:tcPr>
            <w:tcW w:w="468" w:type="pct"/>
            <w:shd w:val="clear" w:color="auto" w:fill="auto"/>
            <w:tcMar>
              <w:top w:w="0" w:type="dxa"/>
              <w:left w:w="45" w:type="dxa"/>
              <w:bottom w:w="0" w:type="dxa"/>
              <w:right w:w="45" w:type="dxa"/>
            </w:tcMar>
            <w:vAlign w:val="center"/>
            <w:hideMark/>
          </w:tcPr>
          <w:p w14:paraId="240BE71E" w14:textId="77777777" w:rsidR="002F2BB2" w:rsidRPr="00532C61" w:rsidRDefault="002F2BB2" w:rsidP="0072694B">
            <w:pPr>
              <w:jc w:val="right"/>
              <w:rPr>
                <w:bCs/>
                <w:sz w:val="22"/>
                <w:szCs w:val="22"/>
              </w:rPr>
            </w:pPr>
            <w:r w:rsidRPr="00532C61">
              <w:rPr>
                <w:bCs/>
                <w:sz w:val="22"/>
                <w:szCs w:val="22"/>
              </w:rPr>
              <w:t>34</w:t>
            </w:r>
          </w:p>
        </w:tc>
        <w:tc>
          <w:tcPr>
            <w:tcW w:w="391" w:type="pct"/>
            <w:shd w:val="clear" w:color="auto" w:fill="auto"/>
            <w:tcMar>
              <w:top w:w="0" w:type="dxa"/>
              <w:left w:w="45" w:type="dxa"/>
              <w:bottom w:w="0" w:type="dxa"/>
              <w:right w:w="45" w:type="dxa"/>
            </w:tcMar>
            <w:vAlign w:val="center"/>
            <w:hideMark/>
          </w:tcPr>
          <w:p w14:paraId="77AE2BE8" w14:textId="77777777" w:rsidR="002F2BB2" w:rsidRPr="00532C61" w:rsidRDefault="002F2BB2" w:rsidP="0072694B">
            <w:pPr>
              <w:jc w:val="right"/>
              <w:rPr>
                <w:sz w:val="22"/>
                <w:szCs w:val="22"/>
              </w:rPr>
            </w:pPr>
            <w:r w:rsidRPr="00532C61">
              <w:rPr>
                <w:sz w:val="22"/>
                <w:szCs w:val="22"/>
              </w:rPr>
              <w:t>50.8</w:t>
            </w:r>
          </w:p>
        </w:tc>
        <w:tc>
          <w:tcPr>
            <w:tcW w:w="468" w:type="pct"/>
            <w:shd w:val="clear" w:color="auto" w:fill="auto"/>
            <w:tcMar>
              <w:top w:w="0" w:type="dxa"/>
              <w:left w:w="45" w:type="dxa"/>
              <w:bottom w:w="0" w:type="dxa"/>
              <w:right w:w="45" w:type="dxa"/>
            </w:tcMar>
            <w:vAlign w:val="center"/>
            <w:hideMark/>
          </w:tcPr>
          <w:p w14:paraId="6FD76474" w14:textId="77777777" w:rsidR="002F2BB2" w:rsidRPr="00532C61" w:rsidRDefault="002F2BB2" w:rsidP="0072694B">
            <w:pPr>
              <w:jc w:val="right"/>
              <w:rPr>
                <w:bCs/>
                <w:sz w:val="22"/>
                <w:szCs w:val="22"/>
              </w:rPr>
            </w:pPr>
            <w:r w:rsidRPr="00532C61">
              <w:rPr>
                <w:bCs/>
                <w:sz w:val="22"/>
                <w:szCs w:val="22"/>
              </w:rPr>
              <w:t>16</w:t>
            </w:r>
          </w:p>
        </w:tc>
        <w:tc>
          <w:tcPr>
            <w:tcW w:w="437" w:type="pct"/>
            <w:shd w:val="clear" w:color="auto" w:fill="auto"/>
            <w:tcMar>
              <w:top w:w="0" w:type="dxa"/>
              <w:left w:w="45" w:type="dxa"/>
              <w:bottom w:w="0" w:type="dxa"/>
              <w:right w:w="45" w:type="dxa"/>
            </w:tcMar>
            <w:vAlign w:val="center"/>
            <w:hideMark/>
          </w:tcPr>
          <w:p w14:paraId="3535BC0A" w14:textId="77777777" w:rsidR="002F2BB2" w:rsidRPr="00532C61" w:rsidRDefault="002F2BB2" w:rsidP="0072694B">
            <w:pPr>
              <w:jc w:val="right"/>
              <w:rPr>
                <w:sz w:val="22"/>
                <w:szCs w:val="22"/>
              </w:rPr>
            </w:pPr>
            <w:r w:rsidRPr="00532C61">
              <w:rPr>
                <w:sz w:val="22"/>
                <w:szCs w:val="22"/>
              </w:rPr>
              <w:t>76.2</w:t>
            </w:r>
          </w:p>
        </w:tc>
        <w:tc>
          <w:tcPr>
            <w:tcW w:w="468" w:type="pct"/>
            <w:shd w:val="clear" w:color="auto" w:fill="auto"/>
            <w:tcMar>
              <w:top w:w="0" w:type="dxa"/>
              <w:left w:w="45" w:type="dxa"/>
              <w:bottom w:w="0" w:type="dxa"/>
              <w:right w:w="45" w:type="dxa"/>
            </w:tcMar>
            <w:vAlign w:val="center"/>
            <w:hideMark/>
          </w:tcPr>
          <w:p w14:paraId="697B95E2" w14:textId="77777777" w:rsidR="002F2BB2" w:rsidRPr="00532C61" w:rsidRDefault="002F2BB2" w:rsidP="0072694B">
            <w:pPr>
              <w:jc w:val="right"/>
              <w:rPr>
                <w:bCs/>
                <w:sz w:val="22"/>
                <w:szCs w:val="22"/>
              </w:rPr>
            </w:pPr>
            <w:r w:rsidRPr="00532C61">
              <w:rPr>
                <w:bCs/>
                <w:sz w:val="22"/>
                <w:szCs w:val="22"/>
              </w:rPr>
              <w:t>18</w:t>
            </w:r>
          </w:p>
        </w:tc>
        <w:tc>
          <w:tcPr>
            <w:tcW w:w="374" w:type="pct"/>
            <w:shd w:val="clear" w:color="auto" w:fill="auto"/>
            <w:tcMar>
              <w:top w:w="0" w:type="dxa"/>
              <w:left w:w="45" w:type="dxa"/>
              <w:bottom w:w="0" w:type="dxa"/>
              <w:right w:w="45" w:type="dxa"/>
            </w:tcMar>
            <w:vAlign w:val="center"/>
            <w:hideMark/>
          </w:tcPr>
          <w:p w14:paraId="4531FF87" w14:textId="77777777" w:rsidR="002F2BB2" w:rsidRPr="00532C61" w:rsidRDefault="002F2BB2" w:rsidP="0072694B">
            <w:pPr>
              <w:jc w:val="right"/>
              <w:rPr>
                <w:sz w:val="22"/>
                <w:szCs w:val="22"/>
              </w:rPr>
            </w:pPr>
            <w:r w:rsidRPr="00532C61">
              <w:rPr>
                <w:sz w:val="22"/>
                <w:szCs w:val="22"/>
              </w:rPr>
              <w:t>39.1</w:t>
            </w:r>
          </w:p>
        </w:tc>
        <w:tc>
          <w:tcPr>
            <w:tcW w:w="406" w:type="pct"/>
            <w:shd w:val="clear" w:color="auto" w:fill="auto"/>
            <w:tcMar>
              <w:top w:w="0" w:type="dxa"/>
              <w:left w:w="45" w:type="dxa"/>
              <w:bottom w:w="0" w:type="dxa"/>
              <w:right w:w="45" w:type="dxa"/>
            </w:tcMar>
            <w:vAlign w:val="bottom"/>
            <w:hideMark/>
          </w:tcPr>
          <w:p w14:paraId="2A24C49F" w14:textId="77777777" w:rsidR="002F2BB2" w:rsidRPr="00532C61" w:rsidRDefault="002F2BB2" w:rsidP="0072694B">
            <w:pPr>
              <w:jc w:val="right"/>
              <w:rPr>
                <w:sz w:val="22"/>
                <w:szCs w:val="22"/>
              </w:rPr>
            </w:pPr>
          </w:p>
        </w:tc>
      </w:tr>
      <w:tr w:rsidR="002F2BB2" w:rsidRPr="00532C61" w14:paraId="21142B5C" w14:textId="77777777" w:rsidTr="0072694B">
        <w:trPr>
          <w:trHeight w:val="315"/>
        </w:trPr>
        <w:tc>
          <w:tcPr>
            <w:tcW w:w="1988" w:type="pct"/>
            <w:shd w:val="clear" w:color="auto" w:fill="auto"/>
            <w:tcMar>
              <w:top w:w="0" w:type="dxa"/>
              <w:left w:w="45" w:type="dxa"/>
              <w:bottom w:w="0" w:type="dxa"/>
              <w:right w:w="45" w:type="dxa"/>
            </w:tcMar>
            <w:vAlign w:val="bottom"/>
            <w:hideMark/>
          </w:tcPr>
          <w:p w14:paraId="5ECB18BB" w14:textId="77777777" w:rsidR="002F2BB2" w:rsidRPr="00532C61" w:rsidRDefault="002F2BB2" w:rsidP="0072694B">
            <w:pPr>
              <w:rPr>
                <w:b/>
                <w:bCs/>
                <w:sz w:val="22"/>
                <w:szCs w:val="22"/>
              </w:rPr>
            </w:pPr>
            <w:r w:rsidRPr="00532C61">
              <w:rPr>
                <w:b/>
                <w:bCs/>
                <w:sz w:val="22"/>
                <w:szCs w:val="22"/>
              </w:rPr>
              <w:t>Received/Given Drugs for Sex in P6M</w:t>
            </w:r>
          </w:p>
        </w:tc>
        <w:tc>
          <w:tcPr>
            <w:tcW w:w="468" w:type="pct"/>
            <w:shd w:val="clear" w:color="auto" w:fill="auto"/>
            <w:tcMar>
              <w:top w:w="0" w:type="dxa"/>
              <w:left w:w="45" w:type="dxa"/>
              <w:bottom w:w="0" w:type="dxa"/>
              <w:right w:w="45" w:type="dxa"/>
            </w:tcMar>
            <w:vAlign w:val="center"/>
            <w:hideMark/>
          </w:tcPr>
          <w:p w14:paraId="3080A57C" w14:textId="77777777" w:rsidR="002F2BB2" w:rsidRPr="00532C61" w:rsidRDefault="002F2BB2" w:rsidP="0072694B">
            <w:pPr>
              <w:rPr>
                <w:sz w:val="22"/>
                <w:szCs w:val="22"/>
              </w:rPr>
            </w:pPr>
          </w:p>
        </w:tc>
        <w:tc>
          <w:tcPr>
            <w:tcW w:w="391" w:type="pct"/>
            <w:shd w:val="clear" w:color="auto" w:fill="auto"/>
            <w:tcMar>
              <w:top w:w="0" w:type="dxa"/>
              <w:left w:w="45" w:type="dxa"/>
              <w:bottom w:w="0" w:type="dxa"/>
              <w:right w:w="45" w:type="dxa"/>
            </w:tcMar>
            <w:vAlign w:val="center"/>
            <w:hideMark/>
          </w:tcPr>
          <w:p w14:paraId="525960EF"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49E89753" w14:textId="77777777" w:rsidR="002F2BB2" w:rsidRPr="00532C61" w:rsidRDefault="002F2BB2" w:rsidP="0072694B">
            <w:pPr>
              <w:rPr>
                <w:sz w:val="22"/>
                <w:szCs w:val="22"/>
              </w:rPr>
            </w:pPr>
          </w:p>
        </w:tc>
        <w:tc>
          <w:tcPr>
            <w:tcW w:w="437" w:type="pct"/>
            <w:shd w:val="clear" w:color="auto" w:fill="auto"/>
            <w:tcMar>
              <w:top w:w="0" w:type="dxa"/>
              <w:left w:w="45" w:type="dxa"/>
              <w:bottom w:w="0" w:type="dxa"/>
              <w:right w:w="45" w:type="dxa"/>
            </w:tcMar>
            <w:vAlign w:val="center"/>
            <w:hideMark/>
          </w:tcPr>
          <w:p w14:paraId="7B023792"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1F1AD5E0" w14:textId="77777777" w:rsidR="002F2BB2" w:rsidRPr="00532C61" w:rsidRDefault="002F2BB2" w:rsidP="0072694B">
            <w:pPr>
              <w:rPr>
                <w:sz w:val="22"/>
                <w:szCs w:val="22"/>
              </w:rPr>
            </w:pPr>
          </w:p>
        </w:tc>
        <w:tc>
          <w:tcPr>
            <w:tcW w:w="374" w:type="pct"/>
            <w:shd w:val="clear" w:color="auto" w:fill="auto"/>
            <w:tcMar>
              <w:top w:w="0" w:type="dxa"/>
              <w:left w:w="45" w:type="dxa"/>
              <w:bottom w:w="0" w:type="dxa"/>
              <w:right w:w="45" w:type="dxa"/>
            </w:tcMar>
            <w:vAlign w:val="center"/>
            <w:hideMark/>
          </w:tcPr>
          <w:p w14:paraId="638BB356" w14:textId="77777777" w:rsidR="002F2BB2" w:rsidRPr="00532C61" w:rsidRDefault="002F2BB2" w:rsidP="0072694B">
            <w:pPr>
              <w:rPr>
                <w:sz w:val="22"/>
                <w:szCs w:val="22"/>
              </w:rPr>
            </w:pPr>
          </w:p>
        </w:tc>
        <w:tc>
          <w:tcPr>
            <w:tcW w:w="406" w:type="pct"/>
            <w:shd w:val="clear" w:color="auto" w:fill="auto"/>
            <w:tcMar>
              <w:top w:w="0" w:type="dxa"/>
              <w:left w:w="45" w:type="dxa"/>
              <w:bottom w:w="0" w:type="dxa"/>
              <w:right w:w="45" w:type="dxa"/>
            </w:tcMar>
            <w:vAlign w:val="bottom"/>
            <w:hideMark/>
          </w:tcPr>
          <w:p w14:paraId="016BD698" w14:textId="77777777" w:rsidR="002F2BB2" w:rsidRPr="00532C61" w:rsidRDefault="002F2BB2" w:rsidP="0072694B">
            <w:pPr>
              <w:jc w:val="right"/>
              <w:rPr>
                <w:sz w:val="22"/>
                <w:szCs w:val="22"/>
              </w:rPr>
            </w:pPr>
          </w:p>
        </w:tc>
      </w:tr>
      <w:tr w:rsidR="002F2BB2" w:rsidRPr="00532C61" w14:paraId="1CAC9536" w14:textId="77777777" w:rsidTr="0072694B">
        <w:trPr>
          <w:trHeight w:val="315"/>
        </w:trPr>
        <w:tc>
          <w:tcPr>
            <w:tcW w:w="1988" w:type="pct"/>
            <w:shd w:val="clear" w:color="auto" w:fill="auto"/>
            <w:tcMar>
              <w:top w:w="0" w:type="dxa"/>
              <w:left w:w="45" w:type="dxa"/>
              <w:bottom w:w="0" w:type="dxa"/>
              <w:right w:w="45" w:type="dxa"/>
            </w:tcMar>
            <w:vAlign w:val="bottom"/>
            <w:hideMark/>
          </w:tcPr>
          <w:p w14:paraId="1DD02D5C" w14:textId="77777777" w:rsidR="002F2BB2" w:rsidRPr="00532C61" w:rsidRDefault="002F2BB2" w:rsidP="0072694B">
            <w:pPr>
              <w:rPr>
                <w:sz w:val="22"/>
                <w:szCs w:val="22"/>
              </w:rPr>
            </w:pPr>
            <w:r w:rsidRPr="00532C61">
              <w:rPr>
                <w:sz w:val="22"/>
                <w:szCs w:val="22"/>
              </w:rPr>
              <w:t xml:space="preserve">    No</w:t>
            </w:r>
          </w:p>
        </w:tc>
        <w:tc>
          <w:tcPr>
            <w:tcW w:w="468" w:type="pct"/>
            <w:shd w:val="clear" w:color="auto" w:fill="auto"/>
            <w:tcMar>
              <w:top w:w="0" w:type="dxa"/>
              <w:left w:w="45" w:type="dxa"/>
              <w:bottom w:w="0" w:type="dxa"/>
              <w:right w:w="45" w:type="dxa"/>
            </w:tcMar>
            <w:vAlign w:val="center"/>
            <w:hideMark/>
          </w:tcPr>
          <w:p w14:paraId="5668E598" w14:textId="77777777" w:rsidR="002F2BB2" w:rsidRPr="00532C61" w:rsidRDefault="002F2BB2" w:rsidP="0072694B">
            <w:pPr>
              <w:jc w:val="right"/>
              <w:rPr>
                <w:bCs/>
                <w:sz w:val="22"/>
                <w:szCs w:val="22"/>
              </w:rPr>
            </w:pPr>
            <w:r w:rsidRPr="00532C61">
              <w:rPr>
                <w:bCs/>
                <w:sz w:val="22"/>
                <w:szCs w:val="22"/>
              </w:rPr>
              <w:t>53</w:t>
            </w:r>
          </w:p>
        </w:tc>
        <w:tc>
          <w:tcPr>
            <w:tcW w:w="391" w:type="pct"/>
            <w:shd w:val="clear" w:color="auto" w:fill="auto"/>
            <w:tcMar>
              <w:top w:w="0" w:type="dxa"/>
              <w:left w:w="45" w:type="dxa"/>
              <w:bottom w:w="0" w:type="dxa"/>
              <w:right w:w="45" w:type="dxa"/>
            </w:tcMar>
            <w:vAlign w:val="center"/>
            <w:hideMark/>
          </w:tcPr>
          <w:p w14:paraId="113CDF23" w14:textId="77777777" w:rsidR="002F2BB2" w:rsidRPr="00532C61" w:rsidRDefault="002F2BB2" w:rsidP="0072694B">
            <w:pPr>
              <w:jc w:val="right"/>
              <w:rPr>
                <w:sz w:val="22"/>
                <w:szCs w:val="22"/>
              </w:rPr>
            </w:pPr>
            <w:r w:rsidRPr="00532C61">
              <w:rPr>
                <w:sz w:val="22"/>
                <w:szCs w:val="22"/>
              </w:rPr>
              <w:t>79.1</w:t>
            </w:r>
          </w:p>
        </w:tc>
        <w:tc>
          <w:tcPr>
            <w:tcW w:w="468" w:type="pct"/>
            <w:shd w:val="clear" w:color="auto" w:fill="auto"/>
            <w:tcMar>
              <w:top w:w="0" w:type="dxa"/>
              <w:left w:w="45" w:type="dxa"/>
              <w:bottom w:w="0" w:type="dxa"/>
              <w:right w:w="45" w:type="dxa"/>
            </w:tcMar>
            <w:vAlign w:val="center"/>
            <w:hideMark/>
          </w:tcPr>
          <w:p w14:paraId="6748F484" w14:textId="77777777" w:rsidR="002F2BB2" w:rsidRPr="00532C61" w:rsidRDefault="002F2BB2" w:rsidP="0072694B">
            <w:pPr>
              <w:jc w:val="right"/>
              <w:rPr>
                <w:bCs/>
                <w:sz w:val="22"/>
                <w:szCs w:val="22"/>
              </w:rPr>
            </w:pPr>
            <w:r w:rsidRPr="00532C61">
              <w:rPr>
                <w:bCs/>
                <w:sz w:val="22"/>
                <w:szCs w:val="22"/>
              </w:rPr>
              <w:t>11</w:t>
            </w:r>
          </w:p>
        </w:tc>
        <w:tc>
          <w:tcPr>
            <w:tcW w:w="437" w:type="pct"/>
            <w:shd w:val="clear" w:color="auto" w:fill="auto"/>
            <w:tcMar>
              <w:top w:w="0" w:type="dxa"/>
              <w:left w:w="45" w:type="dxa"/>
              <w:bottom w:w="0" w:type="dxa"/>
              <w:right w:w="45" w:type="dxa"/>
            </w:tcMar>
            <w:vAlign w:val="center"/>
            <w:hideMark/>
          </w:tcPr>
          <w:p w14:paraId="74D94BA2" w14:textId="77777777" w:rsidR="002F2BB2" w:rsidRPr="00532C61" w:rsidRDefault="002F2BB2" w:rsidP="0072694B">
            <w:pPr>
              <w:jc w:val="right"/>
              <w:rPr>
                <w:sz w:val="22"/>
                <w:szCs w:val="22"/>
              </w:rPr>
            </w:pPr>
            <w:r w:rsidRPr="00532C61">
              <w:rPr>
                <w:sz w:val="22"/>
                <w:szCs w:val="22"/>
              </w:rPr>
              <w:t>54.4</w:t>
            </w:r>
          </w:p>
        </w:tc>
        <w:tc>
          <w:tcPr>
            <w:tcW w:w="468" w:type="pct"/>
            <w:shd w:val="clear" w:color="auto" w:fill="auto"/>
            <w:tcMar>
              <w:top w:w="0" w:type="dxa"/>
              <w:left w:w="45" w:type="dxa"/>
              <w:bottom w:w="0" w:type="dxa"/>
              <w:right w:w="45" w:type="dxa"/>
            </w:tcMar>
            <w:vAlign w:val="center"/>
            <w:hideMark/>
          </w:tcPr>
          <w:p w14:paraId="4F378454" w14:textId="77777777" w:rsidR="002F2BB2" w:rsidRPr="00532C61" w:rsidRDefault="002F2BB2" w:rsidP="0072694B">
            <w:pPr>
              <w:jc w:val="right"/>
              <w:rPr>
                <w:bCs/>
                <w:sz w:val="22"/>
                <w:szCs w:val="22"/>
              </w:rPr>
            </w:pPr>
            <w:r w:rsidRPr="00532C61">
              <w:rPr>
                <w:bCs/>
                <w:sz w:val="22"/>
                <w:szCs w:val="22"/>
              </w:rPr>
              <w:t>42</w:t>
            </w:r>
          </w:p>
        </w:tc>
        <w:tc>
          <w:tcPr>
            <w:tcW w:w="374" w:type="pct"/>
            <w:shd w:val="clear" w:color="auto" w:fill="auto"/>
            <w:tcMar>
              <w:top w:w="0" w:type="dxa"/>
              <w:left w:w="45" w:type="dxa"/>
              <w:bottom w:w="0" w:type="dxa"/>
              <w:right w:w="45" w:type="dxa"/>
            </w:tcMar>
            <w:vAlign w:val="center"/>
            <w:hideMark/>
          </w:tcPr>
          <w:p w14:paraId="1FDC7BBC" w14:textId="77777777" w:rsidR="002F2BB2" w:rsidRPr="00532C61" w:rsidRDefault="002F2BB2" w:rsidP="0072694B">
            <w:pPr>
              <w:jc w:val="right"/>
              <w:rPr>
                <w:sz w:val="22"/>
                <w:szCs w:val="22"/>
              </w:rPr>
            </w:pPr>
            <w:r w:rsidRPr="00532C61">
              <w:rPr>
                <w:sz w:val="22"/>
                <w:szCs w:val="22"/>
              </w:rPr>
              <w:t>91.3</w:t>
            </w:r>
          </w:p>
        </w:tc>
        <w:tc>
          <w:tcPr>
            <w:tcW w:w="406" w:type="pct"/>
            <w:shd w:val="clear" w:color="auto" w:fill="auto"/>
            <w:tcMar>
              <w:top w:w="0" w:type="dxa"/>
              <w:left w:w="45" w:type="dxa"/>
              <w:bottom w:w="0" w:type="dxa"/>
              <w:right w:w="45" w:type="dxa"/>
            </w:tcMar>
            <w:vAlign w:val="bottom"/>
            <w:hideMark/>
          </w:tcPr>
          <w:p w14:paraId="6883A061" w14:textId="77777777" w:rsidR="002F2BB2" w:rsidRPr="00532C61" w:rsidRDefault="002F2BB2" w:rsidP="0072694B">
            <w:pPr>
              <w:jc w:val="right"/>
              <w:rPr>
                <w:b/>
                <w:bCs/>
                <w:sz w:val="22"/>
                <w:szCs w:val="22"/>
              </w:rPr>
            </w:pPr>
            <w:r w:rsidRPr="00532C61">
              <w:rPr>
                <w:b/>
                <w:bCs/>
                <w:sz w:val="22"/>
                <w:szCs w:val="22"/>
              </w:rPr>
              <w:t>0.001</w:t>
            </w:r>
          </w:p>
        </w:tc>
      </w:tr>
      <w:tr w:rsidR="002F2BB2" w:rsidRPr="00532C61" w14:paraId="25427CED" w14:textId="77777777" w:rsidTr="0072694B">
        <w:trPr>
          <w:trHeight w:val="315"/>
        </w:trPr>
        <w:tc>
          <w:tcPr>
            <w:tcW w:w="1988" w:type="pct"/>
            <w:shd w:val="clear" w:color="auto" w:fill="auto"/>
            <w:tcMar>
              <w:top w:w="0" w:type="dxa"/>
              <w:left w:w="45" w:type="dxa"/>
              <w:bottom w:w="0" w:type="dxa"/>
              <w:right w:w="45" w:type="dxa"/>
            </w:tcMar>
            <w:vAlign w:val="bottom"/>
            <w:hideMark/>
          </w:tcPr>
          <w:p w14:paraId="23E508A5" w14:textId="77777777" w:rsidR="002F2BB2" w:rsidRPr="00532C61" w:rsidRDefault="002F2BB2" w:rsidP="0072694B">
            <w:pPr>
              <w:rPr>
                <w:sz w:val="22"/>
                <w:szCs w:val="22"/>
              </w:rPr>
            </w:pPr>
            <w:r w:rsidRPr="00532C61">
              <w:rPr>
                <w:sz w:val="22"/>
                <w:szCs w:val="22"/>
              </w:rPr>
              <w:t xml:space="preserve">    Yes</w:t>
            </w:r>
          </w:p>
        </w:tc>
        <w:tc>
          <w:tcPr>
            <w:tcW w:w="468" w:type="pct"/>
            <w:shd w:val="clear" w:color="auto" w:fill="auto"/>
            <w:tcMar>
              <w:top w:w="0" w:type="dxa"/>
              <w:left w:w="45" w:type="dxa"/>
              <w:bottom w:w="0" w:type="dxa"/>
              <w:right w:w="45" w:type="dxa"/>
            </w:tcMar>
            <w:vAlign w:val="center"/>
            <w:hideMark/>
          </w:tcPr>
          <w:p w14:paraId="2489551F" w14:textId="77777777" w:rsidR="002F2BB2" w:rsidRPr="00532C61" w:rsidRDefault="002F2BB2" w:rsidP="0072694B">
            <w:pPr>
              <w:jc w:val="right"/>
              <w:rPr>
                <w:bCs/>
                <w:sz w:val="22"/>
                <w:szCs w:val="22"/>
              </w:rPr>
            </w:pPr>
            <w:r w:rsidRPr="00532C61">
              <w:rPr>
                <w:bCs/>
                <w:sz w:val="22"/>
                <w:szCs w:val="22"/>
              </w:rPr>
              <w:t>14</w:t>
            </w:r>
          </w:p>
        </w:tc>
        <w:tc>
          <w:tcPr>
            <w:tcW w:w="391" w:type="pct"/>
            <w:shd w:val="clear" w:color="auto" w:fill="auto"/>
            <w:tcMar>
              <w:top w:w="0" w:type="dxa"/>
              <w:left w:w="45" w:type="dxa"/>
              <w:bottom w:w="0" w:type="dxa"/>
              <w:right w:w="45" w:type="dxa"/>
            </w:tcMar>
            <w:vAlign w:val="center"/>
            <w:hideMark/>
          </w:tcPr>
          <w:p w14:paraId="43933C0F" w14:textId="77777777" w:rsidR="002F2BB2" w:rsidRPr="00532C61" w:rsidRDefault="002F2BB2" w:rsidP="0072694B">
            <w:pPr>
              <w:jc w:val="right"/>
              <w:rPr>
                <w:sz w:val="22"/>
                <w:szCs w:val="22"/>
              </w:rPr>
            </w:pPr>
            <w:r w:rsidRPr="00532C61">
              <w:rPr>
                <w:sz w:val="22"/>
                <w:szCs w:val="22"/>
              </w:rPr>
              <w:t>20.9</w:t>
            </w:r>
          </w:p>
        </w:tc>
        <w:tc>
          <w:tcPr>
            <w:tcW w:w="468" w:type="pct"/>
            <w:shd w:val="clear" w:color="auto" w:fill="auto"/>
            <w:tcMar>
              <w:top w:w="0" w:type="dxa"/>
              <w:left w:w="45" w:type="dxa"/>
              <w:bottom w:w="0" w:type="dxa"/>
              <w:right w:w="45" w:type="dxa"/>
            </w:tcMar>
            <w:vAlign w:val="center"/>
            <w:hideMark/>
          </w:tcPr>
          <w:p w14:paraId="0273F554" w14:textId="77777777" w:rsidR="002F2BB2" w:rsidRPr="00532C61" w:rsidRDefault="002F2BB2" w:rsidP="0072694B">
            <w:pPr>
              <w:jc w:val="right"/>
              <w:rPr>
                <w:bCs/>
                <w:sz w:val="22"/>
                <w:szCs w:val="22"/>
              </w:rPr>
            </w:pPr>
            <w:r w:rsidRPr="00532C61">
              <w:rPr>
                <w:bCs/>
                <w:sz w:val="22"/>
                <w:szCs w:val="22"/>
              </w:rPr>
              <w:t>10</w:t>
            </w:r>
          </w:p>
        </w:tc>
        <w:tc>
          <w:tcPr>
            <w:tcW w:w="437" w:type="pct"/>
            <w:shd w:val="clear" w:color="auto" w:fill="auto"/>
            <w:tcMar>
              <w:top w:w="0" w:type="dxa"/>
              <w:left w:w="45" w:type="dxa"/>
              <w:bottom w:w="0" w:type="dxa"/>
              <w:right w:w="45" w:type="dxa"/>
            </w:tcMar>
            <w:vAlign w:val="center"/>
            <w:hideMark/>
          </w:tcPr>
          <w:p w14:paraId="35973DE1" w14:textId="77777777" w:rsidR="002F2BB2" w:rsidRPr="00532C61" w:rsidRDefault="002F2BB2" w:rsidP="0072694B">
            <w:pPr>
              <w:jc w:val="right"/>
              <w:rPr>
                <w:sz w:val="22"/>
                <w:szCs w:val="22"/>
              </w:rPr>
            </w:pPr>
            <w:r w:rsidRPr="00532C61">
              <w:rPr>
                <w:sz w:val="22"/>
                <w:szCs w:val="22"/>
              </w:rPr>
              <w:t>47.6</w:t>
            </w:r>
          </w:p>
        </w:tc>
        <w:tc>
          <w:tcPr>
            <w:tcW w:w="468" w:type="pct"/>
            <w:shd w:val="clear" w:color="auto" w:fill="auto"/>
            <w:tcMar>
              <w:top w:w="0" w:type="dxa"/>
              <w:left w:w="45" w:type="dxa"/>
              <w:bottom w:w="0" w:type="dxa"/>
              <w:right w:w="45" w:type="dxa"/>
            </w:tcMar>
            <w:vAlign w:val="center"/>
            <w:hideMark/>
          </w:tcPr>
          <w:p w14:paraId="062DBA95" w14:textId="77777777" w:rsidR="002F2BB2" w:rsidRPr="00532C61" w:rsidRDefault="002F2BB2" w:rsidP="0072694B">
            <w:pPr>
              <w:jc w:val="right"/>
              <w:rPr>
                <w:bCs/>
                <w:sz w:val="22"/>
                <w:szCs w:val="22"/>
              </w:rPr>
            </w:pPr>
            <w:r w:rsidRPr="00532C61">
              <w:rPr>
                <w:bCs/>
                <w:sz w:val="22"/>
                <w:szCs w:val="22"/>
              </w:rPr>
              <w:t>4</w:t>
            </w:r>
          </w:p>
        </w:tc>
        <w:tc>
          <w:tcPr>
            <w:tcW w:w="374" w:type="pct"/>
            <w:shd w:val="clear" w:color="auto" w:fill="auto"/>
            <w:tcMar>
              <w:top w:w="0" w:type="dxa"/>
              <w:left w:w="45" w:type="dxa"/>
              <w:bottom w:w="0" w:type="dxa"/>
              <w:right w:w="45" w:type="dxa"/>
            </w:tcMar>
            <w:vAlign w:val="center"/>
            <w:hideMark/>
          </w:tcPr>
          <w:p w14:paraId="235BA871" w14:textId="77777777" w:rsidR="002F2BB2" w:rsidRPr="00532C61" w:rsidRDefault="002F2BB2" w:rsidP="0072694B">
            <w:pPr>
              <w:jc w:val="right"/>
              <w:rPr>
                <w:sz w:val="22"/>
                <w:szCs w:val="22"/>
              </w:rPr>
            </w:pPr>
            <w:r w:rsidRPr="00532C61">
              <w:rPr>
                <w:sz w:val="22"/>
                <w:szCs w:val="22"/>
              </w:rPr>
              <w:t>8.7</w:t>
            </w:r>
          </w:p>
        </w:tc>
        <w:tc>
          <w:tcPr>
            <w:tcW w:w="406" w:type="pct"/>
            <w:shd w:val="clear" w:color="auto" w:fill="auto"/>
            <w:tcMar>
              <w:top w:w="0" w:type="dxa"/>
              <w:left w:w="45" w:type="dxa"/>
              <w:bottom w:w="0" w:type="dxa"/>
              <w:right w:w="45" w:type="dxa"/>
            </w:tcMar>
            <w:vAlign w:val="bottom"/>
            <w:hideMark/>
          </w:tcPr>
          <w:p w14:paraId="0E59C761" w14:textId="77777777" w:rsidR="002F2BB2" w:rsidRPr="00532C61" w:rsidRDefault="002F2BB2" w:rsidP="0072694B">
            <w:pPr>
              <w:jc w:val="right"/>
              <w:rPr>
                <w:sz w:val="22"/>
                <w:szCs w:val="22"/>
              </w:rPr>
            </w:pPr>
          </w:p>
        </w:tc>
      </w:tr>
      <w:tr w:rsidR="002F2BB2" w:rsidRPr="00532C61" w14:paraId="7E86EC48" w14:textId="77777777" w:rsidTr="0072694B">
        <w:trPr>
          <w:trHeight w:val="315"/>
        </w:trPr>
        <w:tc>
          <w:tcPr>
            <w:tcW w:w="1988" w:type="pct"/>
            <w:shd w:val="clear" w:color="auto" w:fill="auto"/>
            <w:tcMar>
              <w:top w:w="0" w:type="dxa"/>
              <w:left w:w="45" w:type="dxa"/>
              <w:bottom w:w="0" w:type="dxa"/>
              <w:right w:w="45" w:type="dxa"/>
            </w:tcMar>
            <w:vAlign w:val="bottom"/>
            <w:hideMark/>
          </w:tcPr>
          <w:p w14:paraId="02BF5BC8" w14:textId="77777777" w:rsidR="002F2BB2" w:rsidRPr="00532C61" w:rsidRDefault="002F2BB2" w:rsidP="0072694B">
            <w:pPr>
              <w:rPr>
                <w:b/>
                <w:bCs/>
                <w:sz w:val="22"/>
                <w:szCs w:val="22"/>
              </w:rPr>
            </w:pPr>
            <w:r w:rsidRPr="00532C61">
              <w:rPr>
                <w:b/>
                <w:bCs/>
                <w:sz w:val="22"/>
                <w:szCs w:val="22"/>
              </w:rPr>
              <w:lastRenderedPageBreak/>
              <w:t>Escort Work in P6M</w:t>
            </w:r>
          </w:p>
        </w:tc>
        <w:tc>
          <w:tcPr>
            <w:tcW w:w="468" w:type="pct"/>
            <w:tcMar>
              <w:top w:w="0" w:type="dxa"/>
              <w:left w:w="45" w:type="dxa"/>
              <w:bottom w:w="0" w:type="dxa"/>
              <w:right w:w="45" w:type="dxa"/>
            </w:tcMar>
            <w:vAlign w:val="center"/>
            <w:hideMark/>
          </w:tcPr>
          <w:p w14:paraId="0230A64E" w14:textId="77777777" w:rsidR="002F2BB2" w:rsidRPr="00532C61" w:rsidRDefault="002F2BB2" w:rsidP="0072694B">
            <w:pPr>
              <w:rPr>
                <w:bCs/>
                <w:sz w:val="22"/>
                <w:szCs w:val="22"/>
              </w:rPr>
            </w:pPr>
          </w:p>
        </w:tc>
        <w:tc>
          <w:tcPr>
            <w:tcW w:w="391" w:type="pct"/>
            <w:tcMar>
              <w:top w:w="0" w:type="dxa"/>
              <w:left w:w="45" w:type="dxa"/>
              <w:bottom w:w="0" w:type="dxa"/>
              <w:right w:w="45" w:type="dxa"/>
            </w:tcMar>
            <w:vAlign w:val="center"/>
            <w:hideMark/>
          </w:tcPr>
          <w:p w14:paraId="1F68BCFB"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1026ADF7" w14:textId="77777777" w:rsidR="002F2BB2" w:rsidRPr="00532C61" w:rsidRDefault="002F2BB2" w:rsidP="0072694B">
            <w:pPr>
              <w:rPr>
                <w:bCs/>
                <w:sz w:val="22"/>
                <w:szCs w:val="22"/>
              </w:rPr>
            </w:pPr>
          </w:p>
        </w:tc>
        <w:tc>
          <w:tcPr>
            <w:tcW w:w="437" w:type="pct"/>
            <w:tcMar>
              <w:top w:w="0" w:type="dxa"/>
              <w:left w:w="45" w:type="dxa"/>
              <w:bottom w:w="0" w:type="dxa"/>
              <w:right w:w="45" w:type="dxa"/>
            </w:tcMar>
            <w:vAlign w:val="center"/>
            <w:hideMark/>
          </w:tcPr>
          <w:p w14:paraId="36ECA530"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2F89EEB7" w14:textId="77777777" w:rsidR="002F2BB2" w:rsidRPr="00532C61" w:rsidRDefault="002F2BB2" w:rsidP="0072694B">
            <w:pPr>
              <w:rPr>
                <w:bCs/>
                <w:sz w:val="22"/>
                <w:szCs w:val="22"/>
              </w:rPr>
            </w:pPr>
          </w:p>
        </w:tc>
        <w:tc>
          <w:tcPr>
            <w:tcW w:w="374" w:type="pct"/>
            <w:tcMar>
              <w:top w:w="0" w:type="dxa"/>
              <w:left w:w="45" w:type="dxa"/>
              <w:bottom w:w="0" w:type="dxa"/>
              <w:right w:w="45" w:type="dxa"/>
            </w:tcMar>
            <w:vAlign w:val="center"/>
            <w:hideMark/>
          </w:tcPr>
          <w:p w14:paraId="5997B8DF" w14:textId="77777777" w:rsidR="002F2BB2" w:rsidRPr="00532C61" w:rsidRDefault="002F2BB2" w:rsidP="0072694B">
            <w:pPr>
              <w:rPr>
                <w:sz w:val="22"/>
                <w:szCs w:val="22"/>
              </w:rPr>
            </w:pPr>
          </w:p>
        </w:tc>
        <w:tc>
          <w:tcPr>
            <w:tcW w:w="406" w:type="pct"/>
            <w:tcMar>
              <w:top w:w="0" w:type="dxa"/>
              <w:left w:w="45" w:type="dxa"/>
              <w:bottom w:w="0" w:type="dxa"/>
              <w:right w:w="45" w:type="dxa"/>
            </w:tcMar>
            <w:vAlign w:val="bottom"/>
            <w:hideMark/>
          </w:tcPr>
          <w:p w14:paraId="2C9C2D69" w14:textId="77777777" w:rsidR="002F2BB2" w:rsidRPr="00532C61" w:rsidRDefault="002F2BB2" w:rsidP="0072694B">
            <w:pPr>
              <w:jc w:val="right"/>
              <w:rPr>
                <w:sz w:val="22"/>
                <w:szCs w:val="22"/>
              </w:rPr>
            </w:pPr>
          </w:p>
        </w:tc>
      </w:tr>
      <w:tr w:rsidR="002F2BB2" w:rsidRPr="00532C61" w14:paraId="3CF13E74" w14:textId="77777777" w:rsidTr="0072694B">
        <w:trPr>
          <w:trHeight w:val="315"/>
        </w:trPr>
        <w:tc>
          <w:tcPr>
            <w:tcW w:w="1988" w:type="pct"/>
            <w:shd w:val="clear" w:color="auto" w:fill="auto"/>
            <w:tcMar>
              <w:top w:w="0" w:type="dxa"/>
              <w:left w:w="45" w:type="dxa"/>
              <w:bottom w:w="0" w:type="dxa"/>
              <w:right w:w="45" w:type="dxa"/>
            </w:tcMar>
            <w:vAlign w:val="bottom"/>
            <w:hideMark/>
          </w:tcPr>
          <w:p w14:paraId="19238FE1" w14:textId="77777777" w:rsidR="002F2BB2" w:rsidRPr="00532C61" w:rsidRDefault="002F2BB2" w:rsidP="0072694B">
            <w:pPr>
              <w:rPr>
                <w:sz w:val="22"/>
                <w:szCs w:val="22"/>
              </w:rPr>
            </w:pPr>
            <w:r w:rsidRPr="00532C61">
              <w:rPr>
                <w:sz w:val="22"/>
                <w:szCs w:val="22"/>
              </w:rPr>
              <w:t xml:space="preserve">    No</w:t>
            </w:r>
          </w:p>
        </w:tc>
        <w:tc>
          <w:tcPr>
            <w:tcW w:w="468" w:type="pct"/>
            <w:tcMar>
              <w:top w:w="0" w:type="dxa"/>
              <w:left w:w="45" w:type="dxa"/>
              <w:bottom w:w="0" w:type="dxa"/>
              <w:right w:w="45" w:type="dxa"/>
            </w:tcMar>
            <w:vAlign w:val="center"/>
            <w:hideMark/>
          </w:tcPr>
          <w:p w14:paraId="045358D3" w14:textId="77777777" w:rsidR="002F2BB2" w:rsidRPr="00532C61" w:rsidRDefault="002F2BB2" w:rsidP="0072694B">
            <w:pPr>
              <w:jc w:val="right"/>
              <w:rPr>
                <w:bCs/>
                <w:sz w:val="22"/>
                <w:szCs w:val="22"/>
              </w:rPr>
            </w:pPr>
            <w:r w:rsidRPr="00532C61">
              <w:rPr>
                <w:bCs/>
                <w:sz w:val="22"/>
                <w:szCs w:val="22"/>
              </w:rPr>
              <w:t>55</w:t>
            </w:r>
          </w:p>
        </w:tc>
        <w:tc>
          <w:tcPr>
            <w:tcW w:w="391" w:type="pct"/>
            <w:tcMar>
              <w:top w:w="0" w:type="dxa"/>
              <w:left w:w="45" w:type="dxa"/>
              <w:bottom w:w="0" w:type="dxa"/>
              <w:right w:w="45" w:type="dxa"/>
            </w:tcMar>
            <w:vAlign w:val="center"/>
            <w:hideMark/>
          </w:tcPr>
          <w:p w14:paraId="0C833EF8" w14:textId="77777777" w:rsidR="002F2BB2" w:rsidRPr="00532C61" w:rsidRDefault="002F2BB2" w:rsidP="0072694B">
            <w:pPr>
              <w:jc w:val="right"/>
              <w:rPr>
                <w:sz w:val="22"/>
                <w:szCs w:val="22"/>
              </w:rPr>
            </w:pPr>
            <w:r w:rsidRPr="00532C61">
              <w:rPr>
                <w:sz w:val="22"/>
                <w:szCs w:val="22"/>
              </w:rPr>
              <w:t>82.1</w:t>
            </w:r>
          </w:p>
        </w:tc>
        <w:tc>
          <w:tcPr>
            <w:tcW w:w="468" w:type="pct"/>
            <w:tcMar>
              <w:top w:w="0" w:type="dxa"/>
              <w:left w:w="45" w:type="dxa"/>
              <w:bottom w:w="0" w:type="dxa"/>
              <w:right w:w="45" w:type="dxa"/>
            </w:tcMar>
            <w:vAlign w:val="center"/>
            <w:hideMark/>
          </w:tcPr>
          <w:p w14:paraId="221358EF" w14:textId="77777777" w:rsidR="002F2BB2" w:rsidRPr="00532C61" w:rsidRDefault="002F2BB2" w:rsidP="0072694B">
            <w:pPr>
              <w:jc w:val="right"/>
              <w:rPr>
                <w:bCs/>
                <w:sz w:val="22"/>
                <w:szCs w:val="22"/>
              </w:rPr>
            </w:pPr>
            <w:r w:rsidRPr="00532C61">
              <w:rPr>
                <w:bCs/>
                <w:sz w:val="22"/>
                <w:szCs w:val="22"/>
              </w:rPr>
              <w:t>16</w:t>
            </w:r>
          </w:p>
        </w:tc>
        <w:tc>
          <w:tcPr>
            <w:tcW w:w="437" w:type="pct"/>
            <w:tcMar>
              <w:top w:w="0" w:type="dxa"/>
              <w:left w:w="45" w:type="dxa"/>
              <w:bottom w:w="0" w:type="dxa"/>
              <w:right w:w="45" w:type="dxa"/>
            </w:tcMar>
            <w:vAlign w:val="center"/>
            <w:hideMark/>
          </w:tcPr>
          <w:p w14:paraId="5B477C13" w14:textId="77777777" w:rsidR="002F2BB2" w:rsidRPr="00532C61" w:rsidRDefault="002F2BB2" w:rsidP="0072694B">
            <w:pPr>
              <w:jc w:val="right"/>
              <w:rPr>
                <w:sz w:val="22"/>
                <w:szCs w:val="22"/>
              </w:rPr>
            </w:pPr>
            <w:r w:rsidRPr="00532C61">
              <w:rPr>
                <w:sz w:val="22"/>
                <w:szCs w:val="22"/>
              </w:rPr>
              <w:t>76.2</w:t>
            </w:r>
          </w:p>
        </w:tc>
        <w:tc>
          <w:tcPr>
            <w:tcW w:w="468" w:type="pct"/>
            <w:tcMar>
              <w:top w:w="0" w:type="dxa"/>
              <w:left w:w="45" w:type="dxa"/>
              <w:bottom w:w="0" w:type="dxa"/>
              <w:right w:w="45" w:type="dxa"/>
            </w:tcMar>
            <w:vAlign w:val="center"/>
            <w:hideMark/>
          </w:tcPr>
          <w:p w14:paraId="606FC808" w14:textId="77777777" w:rsidR="002F2BB2" w:rsidRPr="00532C61" w:rsidRDefault="002F2BB2" w:rsidP="0072694B">
            <w:pPr>
              <w:jc w:val="right"/>
              <w:rPr>
                <w:bCs/>
                <w:sz w:val="22"/>
                <w:szCs w:val="22"/>
              </w:rPr>
            </w:pPr>
            <w:r w:rsidRPr="00532C61">
              <w:rPr>
                <w:bCs/>
                <w:sz w:val="22"/>
                <w:szCs w:val="22"/>
              </w:rPr>
              <w:t>39</w:t>
            </w:r>
          </w:p>
        </w:tc>
        <w:tc>
          <w:tcPr>
            <w:tcW w:w="374" w:type="pct"/>
            <w:tcMar>
              <w:top w:w="0" w:type="dxa"/>
              <w:left w:w="45" w:type="dxa"/>
              <w:bottom w:w="0" w:type="dxa"/>
              <w:right w:w="45" w:type="dxa"/>
            </w:tcMar>
            <w:vAlign w:val="center"/>
            <w:hideMark/>
          </w:tcPr>
          <w:p w14:paraId="3B59C0A9" w14:textId="77777777" w:rsidR="002F2BB2" w:rsidRPr="00532C61" w:rsidRDefault="002F2BB2" w:rsidP="0072694B">
            <w:pPr>
              <w:jc w:val="right"/>
              <w:rPr>
                <w:sz w:val="22"/>
                <w:szCs w:val="22"/>
              </w:rPr>
            </w:pPr>
            <w:r w:rsidRPr="00532C61">
              <w:rPr>
                <w:sz w:val="22"/>
                <w:szCs w:val="22"/>
              </w:rPr>
              <w:t>84.8</w:t>
            </w:r>
          </w:p>
        </w:tc>
        <w:tc>
          <w:tcPr>
            <w:tcW w:w="406" w:type="pct"/>
            <w:tcMar>
              <w:top w:w="0" w:type="dxa"/>
              <w:left w:w="45" w:type="dxa"/>
              <w:bottom w:w="0" w:type="dxa"/>
              <w:right w:w="45" w:type="dxa"/>
            </w:tcMar>
            <w:vAlign w:val="bottom"/>
            <w:hideMark/>
          </w:tcPr>
          <w:p w14:paraId="7D40E07E" w14:textId="77777777" w:rsidR="002F2BB2" w:rsidRPr="00532C61" w:rsidRDefault="002F2BB2" w:rsidP="0072694B">
            <w:pPr>
              <w:jc w:val="right"/>
              <w:rPr>
                <w:sz w:val="22"/>
                <w:szCs w:val="22"/>
              </w:rPr>
            </w:pPr>
            <w:r w:rsidRPr="00532C61">
              <w:rPr>
                <w:sz w:val="22"/>
                <w:szCs w:val="22"/>
              </w:rPr>
              <w:t>0.495</w:t>
            </w:r>
          </w:p>
        </w:tc>
      </w:tr>
      <w:tr w:rsidR="002F2BB2" w:rsidRPr="00532C61" w14:paraId="7BDDCA50" w14:textId="77777777" w:rsidTr="0072694B">
        <w:trPr>
          <w:trHeight w:val="300"/>
        </w:trPr>
        <w:tc>
          <w:tcPr>
            <w:tcW w:w="1988" w:type="pct"/>
            <w:shd w:val="clear" w:color="auto" w:fill="auto"/>
            <w:tcMar>
              <w:top w:w="0" w:type="dxa"/>
              <w:left w:w="45" w:type="dxa"/>
              <w:bottom w:w="0" w:type="dxa"/>
              <w:right w:w="45" w:type="dxa"/>
            </w:tcMar>
            <w:vAlign w:val="bottom"/>
            <w:hideMark/>
          </w:tcPr>
          <w:p w14:paraId="0DF5CB93" w14:textId="77777777" w:rsidR="002F2BB2" w:rsidRPr="00532C61" w:rsidRDefault="002F2BB2" w:rsidP="0072694B">
            <w:pPr>
              <w:rPr>
                <w:sz w:val="22"/>
                <w:szCs w:val="22"/>
              </w:rPr>
            </w:pPr>
            <w:r w:rsidRPr="00532C61">
              <w:rPr>
                <w:sz w:val="22"/>
                <w:szCs w:val="22"/>
              </w:rPr>
              <w:t xml:space="preserve">    Yes</w:t>
            </w:r>
          </w:p>
        </w:tc>
        <w:tc>
          <w:tcPr>
            <w:tcW w:w="468" w:type="pct"/>
            <w:tcMar>
              <w:top w:w="0" w:type="dxa"/>
              <w:left w:w="45" w:type="dxa"/>
              <w:bottom w:w="0" w:type="dxa"/>
              <w:right w:w="45" w:type="dxa"/>
            </w:tcMar>
            <w:vAlign w:val="center"/>
            <w:hideMark/>
          </w:tcPr>
          <w:p w14:paraId="298F7B4E" w14:textId="77777777" w:rsidR="002F2BB2" w:rsidRPr="00532C61" w:rsidRDefault="002F2BB2" w:rsidP="0072694B">
            <w:pPr>
              <w:jc w:val="right"/>
              <w:rPr>
                <w:bCs/>
                <w:sz w:val="22"/>
                <w:szCs w:val="22"/>
              </w:rPr>
            </w:pPr>
            <w:r w:rsidRPr="00532C61">
              <w:rPr>
                <w:bCs/>
                <w:sz w:val="22"/>
                <w:szCs w:val="22"/>
              </w:rPr>
              <w:t>12</w:t>
            </w:r>
          </w:p>
        </w:tc>
        <w:tc>
          <w:tcPr>
            <w:tcW w:w="391" w:type="pct"/>
            <w:tcMar>
              <w:top w:w="0" w:type="dxa"/>
              <w:left w:w="45" w:type="dxa"/>
              <w:bottom w:w="0" w:type="dxa"/>
              <w:right w:w="45" w:type="dxa"/>
            </w:tcMar>
            <w:vAlign w:val="center"/>
            <w:hideMark/>
          </w:tcPr>
          <w:p w14:paraId="007A1BF5" w14:textId="77777777" w:rsidR="002F2BB2" w:rsidRPr="00532C61" w:rsidRDefault="002F2BB2" w:rsidP="0072694B">
            <w:pPr>
              <w:jc w:val="right"/>
              <w:rPr>
                <w:sz w:val="22"/>
                <w:szCs w:val="22"/>
              </w:rPr>
            </w:pPr>
            <w:r w:rsidRPr="00532C61">
              <w:rPr>
                <w:sz w:val="22"/>
                <w:szCs w:val="22"/>
              </w:rPr>
              <w:t>17.9</w:t>
            </w:r>
          </w:p>
        </w:tc>
        <w:tc>
          <w:tcPr>
            <w:tcW w:w="468" w:type="pct"/>
            <w:tcMar>
              <w:top w:w="0" w:type="dxa"/>
              <w:left w:w="45" w:type="dxa"/>
              <w:bottom w:w="0" w:type="dxa"/>
              <w:right w:w="45" w:type="dxa"/>
            </w:tcMar>
            <w:vAlign w:val="center"/>
            <w:hideMark/>
          </w:tcPr>
          <w:p w14:paraId="678F3774" w14:textId="77777777" w:rsidR="002F2BB2" w:rsidRPr="00532C61" w:rsidRDefault="002F2BB2" w:rsidP="0072694B">
            <w:pPr>
              <w:jc w:val="right"/>
              <w:rPr>
                <w:bCs/>
                <w:sz w:val="22"/>
                <w:szCs w:val="22"/>
              </w:rPr>
            </w:pPr>
            <w:r w:rsidRPr="00532C61">
              <w:rPr>
                <w:bCs/>
                <w:sz w:val="22"/>
                <w:szCs w:val="22"/>
              </w:rPr>
              <w:t>5</w:t>
            </w:r>
          </w:p>
        </w:tc>
        <w:tc>
          <w:tcPr>
            <w:tcW w:w="437" w:type="pct"/>
            <w:tcMar>
              <w:top w:w="0" w:type="dxa"/>
              <w:left w:w="45" w:type="dxa"/>
              <w:bottom w:w="0" w:type="dxa"/>
              <w:right w:w="45" w:type="dxa"/>
            </w:tcMar>
            <w:vAlign w:val="center"/>
            <w:hideMark/>
          </w:tcPr>
          <w:p w14:paraId="7C4F58D8" w14:textId="77777777" w:rsidR="002F2BB2" w:rsidRPr="00532C61" w:rsidRDefault="002F2BB2" w:rsidP="0072694B">
            <w:pPr>
              <w:jc w:val="right"/>
              <w:rPr>
                <w:sz w:val="22"/>
                <w:szCs w:val="22"/>
              </w:rPr>
            </w:pPr>
            <w:r w:rsidRPr="00532C61">
              <w:rPr>
                <w:sz w:val="22"/>
                <w:szCs w:val="22"/>
              </w:rPr>
              <w:t>23.8</w:t>
            </w:r>
          </w:p>
        </w:tc>
        <w:tc>
          <w:tcPr>
            <w:tcW w:w="468" w:type="pct"/>
            <w:tcMar>
              <w:top w:w="0" w:type="dxa"/>
              <w:left w:w="45" w:type="dxa"/>
              <w:bottom w:w="0" w:type="dxa"/>
              <w:right w:w="45" w:type="dxa"/>
            </w:tcMar>
            <w:vAlign w:val="center"/>
            <w:hideMark/>
          </w:tcPr>
          <w:p w14:paraId="0B105DDE" w14:textId="77777777" w:rsidR="002F2BB2" w:rsidRPr="00532C61" w:rsidRDefault="002F2BB2" w:rsidP="0072694B">
            <w:pPr>
              <w:jc w:val="right"/>
              <w:rPr>
                <w:bCs/>
                <w:sz w:val="22"/>
                <w:szCs w:val="22"/>
              </w:rPr>
            </w:pPr>
            <w:r w:rsidRPr="00532C61">
              <w:rPr>
                <w:bCs/>
                <w:sz w:val="22"/>
                <w:szCs w:val="22"/>
              </w:rPr>
              <w:t>7</w:t>
            </w:r>
          </w:p>
        </w:tc>
        <w:tc>
          <w:tcPr>
            <w:tcW w:w="374" w:type="pct"/>
            <w:tcMar>
              <w:top w:w="0" w:type="dxa"/>
              <w:left w:w="45" w:type="dxa"/>
              <w:bottom w:w="0" w:type="dxa"/>
              <w:right w:w="45" w:type="dxa"/>
            </w:tcMar>
            <w:vAlign w:val="center"/>
            <w:hideMark/>
          </w:tcPr>
          <w:p w14:paraId="0DEDC9D2" w14:textId="77777777" w:rsidR="002F2BB2" w:rsidRPr="00532C61" w:rsidRDefault="002F2BB2" w:rsidP="0072694B">
            <w:pPr>
              <w:jc w:val="right"/>
              <w:rPr>
                <w:sz w:val="22"/>
                <w:szCs w:val="22"/>
              </w:rPr>
            </w:pPr>
            <w:r w:rsidRPr="00532C61">
              <w:rPr>
                <w:sz w:val="22"/>
                <w:szCs w:val="22"/>
              </w:rPr>
              <w:t>15.2</w:t>
            </w:r>
          </w:p>
        </w:tc>
        <w:tc>
          <w:tcPr>
            <w:tcW w:w="406" w:type="pct"/>
            <w:tcMar>
              <w:top w:w="0" w:type="dxa"/>
              <w:left w:w="45" w:type="dxa"/>
              <w:bottom w:w="0" w:type="dxa"/>
              <w:right w:w="45" w:type="dxa"/>
            </w:tcMar>
            <w:vAlign w:val="bottom"/>
            <w:hideMark/>
          </w:tcPr>
          <w:p w14:paraId="76642B4B" w14:textId="77777777" w:rsidR="002F2BB2" w:rsidRPr="00532C61" w:rsidRDefault="002F2BB2" w:rsidP="0072694B">
            <w:pPr>
              <w:jc w:val="right"/>
              <w:rPr>
                <w:sz w:val="22"/>
                <w:szCs w:val="22"/>
              </w:rPr>
            </w:pPr>
          </w:p>
        </w:tc>
      </w:tr>
      <w:tr w:rsidR="002F2BB2" w:rsidRPr="00532C61" w14:paraId="52CE5FDE" w14:textId="77777777" w:rsidTr="0072694B">
        <w:trPr>
          <w:trHeight w:val="315"/>
        </w:trPr>
        <w:tc>
          <w:tcPr>
            <w:tcW w:w="1988" w:type="pct"/>
            <w:tcMar>
              <w:top w:w="0" w:type="dxa"/>
              <w:left w:w="45" w:type="dxa"/>
              <w:bottom w:w="0" w:type="dxa"/>
              <w:right w:w="45" w:type="dxa"/>
            </w:tcMar>
            <w:vAlign w:val="center"/>
            <w:hideMark/>
          </w:tcPr>
          <w:p w14:paraId="06A758D3" w14:textId="77777777" w:rsidR="002F2BB2" w:rsidRPr="00532C61" w:rsidRDefault="002F2BB2" w:rsidP="0072694B">
            <w:pPr>
              <w:rPr>
                <w:b/>
                <w:bCs/>
                <w:sz w:val="22"/>
                <w:szCs w:val="22"/>
              </w:rPr>
            </w:pPr>
            <w:r w:rsidRPr="00532C61">
              <w:rPr>
                <w:b/>
                <w:bCs/>
                <w:sz w:val="22"/>
                <w:szCs w:val="22"/>
              </w:rPr>
              <w:t>Condomless Anal Sex (CAS) in P6M</w:t>
            </w:r>
          </w:p>
        </w:tc>
        <w:tc>
          <w:tcPr>
            <w:tcW w:w="468" w:type="pct"/>
            <w:tcMar>
              <w:top w:w="0" w:type="dxa"/>
              <w:left w:w="45" w:type="dxa"/>
              <w:bottom w:w="0" w:type="dxa"/>
              <w:right w:w="45" w:type="dxa"/>
            </w:tcMar>
            <w:vAlign w:val="center"/>
            <w:hideMark/>
          </w:tcPr>
          <w:p w14:paraId="5D075092" w14:textId="77777777" w:rsidR="002F2BB2" w:rsidRPr="00532C61" w:rsidRDefault="002F2BB2" w:rsidP="0072694B">
            <w:pPr>
              <w:rPr>
                <w:bCs/>
                <w:sz w:val="22"/>
                <w:szCs w:val="22"/>
              </w:rPr>
            </w:pPr>
          </w:p>
        </w:tc>
        <w:tc>
          <w:tcPr>
            <w:tcW w:w="391" w:type="pct"/>
            <w:tcMar>
              <w:top w:w="0" w:type="dxa"/>
              <w:left w:w="45" w:type="dxa"/>
              <w:bottom w:w="0" w:type="dxa"/>
              <w:right w:w="45" w:type="dxa"/>
            </w:tcMar>
            <w:vAlign w:val="center"/>
            <w:hideMark/>
          </w:tcPr>
          <w:p w14:paraId="7CAADA89"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418EB062" w14:textId="77777777" w:rsidR="002F2BB2" w:rsidRPr="00532C61" w:rsidRDefault="002F2BB2" w:rsidP="0072694B">
            <w:pPr>
              <w:rPr>
                <w:bCs/>
                <w:sz w:val="22"/>
                <w:szCs w:val="22"/>
              </w:rPr>
            </w:pPr>
          </w:p>
        </w:tc>
        <w:tc>
          <w:tcPr>
            <w:tcW w:w="437" w:type="pct"/>
            <w:tcMar>
              <w:top w:w="0" w:type="dxa"/>
              <w:left w:w="45" w:type="dxa"/>
              <w:bottom w:w="0" w:type="dxa"/>
              <w:right w:w="45" w:type="dxa"/>
            </w:tcMar>
            <w:vAlign w:val="center"/>
            <w:hideMark/>
          </w:tcPr>
          <w:p w14:paraId="1A1167C3"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28C6543F" w14:textId="77777777" w:rsidR="002F2BB2" w:rsidRPr="00532C61" w:rsidRDefault="002F2BB2" w:rsidP="0072694B">
            <w:pPr>
              <w:rPr>
                <w:bCs/>
                <w:sz w:val="22"/>
                <w:szCs w:val="22"/>
              </w:rPr>
            </w:pPr>
          </w:p>
        </w:tc>
        <w:tc>
          <w:tcPr>
            <w:tcW w:w="374" w:type="pct"/>
            <w:tcMar>
              <w:top w:w="0" w:type="dxa"/>
              <w:left w:w="45" w:type="dxa"/>
              <w:bottom w:w="0" w:type="dxa"/>
              <w:right w:w="45" w:type="dxa"/>
            </w:tcMar>
            <w:vAlign w:val="center"/>
            <w:hideMark/>
          </w:tcPr>
          <w:p w14:paraId="5B9AB566" w14:textId="77777777" w:rsidR="002F2BB2" w:rsidRPr="00532C61" w:rsidRDefault="002F2BB2" w:rsidP="0072694B">
            <w:pPr>
              <w:rPr>
                <w:sz w:val="22"/>
                <w:szCs w:val="22"/>
              </w:rPr>
            </w:pPr>
          </w:p>
        </w:tc>
        <w:tc>
          <w:tcPr>
            <w:tcW w:w="406" w:type="pct"/>
            <w:tcMar>
              <w:top w:w="0" w:type="dxa"/>
              <w:left w:w="45" w:type="dxa"/>
              <w:bottom w:w="0" w:type="dxa"/>
              <w:right w:w="45" w:type="dxa"/>
            </w:tcMar>
            <w:vAlign w:val="bottom"/>
            <w:hideMark/>
          </w:tcPr>
          <w:p w14:paraId="592DF2F4" w14:textId="77777777" w:rsidR="002F2BB2" w:rsidRPr="00532C61" w:rsidRDefault="002F2BB2" w:rsidP="0072694B">
            <w:pPr>
              <w:jc w:val="right"/>
              <w:rPr>
                <w:sz w:val="22"/>
                <w:szCs w:val="22"/>
              </w:rPr>
            </w:pPr>
          </w:p>
        </w:tc>
      </w:tr>
      <w:tr w:rsidR="002F2BB2" w:rsidRPr="00532C61" w14:paraId="45E38FA0" w14:textId="77777777" w:rsidTr="0072694B">
        <w:trPr>
          <w:trHeight w:val="315"/>
        </w:trPr>
        <w:tc>
          <w:tcPr>
            <w:tcW w:w="1988" w:type="pct"/>
            <w:tcMar>
              <w:top w:w="0" w:type="dxa"/>
              <w:left w:w="45" w:type="dxa"/>
              <w:bottom w:w="0" w:type="dxa"/>
              <w:right w:w="45" w:type="dxa"/>
            </w:tcMar>
            <w:vAlign w:val="center"/>
            <w:hideMark/>
          </w:tcPr>
          <w:p w14:paraId="5240B0B2" w14:textId="77777777" w:rsidR="002F2BB2" w:rsidRPr="00532C61" w:rsidRDefault="002F2BB2" w:rsidP="0072694B">
            <w:pPr>
              <w:rPr>
                <w:sz w:val="22"/>
                <w:szCs w:val="22"/>
              </w:rPr>
            </w:pPr>
            <w:r w:rsidRPr="00532C61">
              <w:rPr>
                <w:sz w:val="22"/>
                <w:szCs w:val="22"/>
              </w:rPr>
              <w:t xml:space="preserve">    No anal sex</w:t>
            </w:r>
          </w:p>
        </w:tc>
        <w:tc>
          <w:tcPr>
            <w:tcW w:w="468" w:type="pct"/>
            <w:tcMar>
              <w:top w:w="0" w:type="dxa"/>
              <w:left w:w="45" w:type="dxa"/>
              <w:bottom w:w="0" w:type="dxa"/>
              <w:right w:w="45" w:type="dxa"/>
            </w:tcMar>
            <w:vAlign w:val="center"/>
            <w:hideMark/>
          </w:tcPr>
          <w:p w14:paraId="16C78FD5" w14:textId="77777777" w:rsidR="002F2BB2" w:rsidRPr="00532C61" w:rsidRDefault="002F2BB2" w:rsidP="0072694B">
            <w:pPr>
              <w:jc w:val="right"/>
              <w:rPr>
                <w:bCs/>
                <w:sz w:val="22"/>
                <w:szCs w:val="22"/>
              </w:rPr>
            </w:pPr>
            <w:r w:rsidRPr="00532C61">
              <w:rPr>
                <w:bCs/>
                <w:sz w:val="22"/>
                <w:szCs w:val="22"/>
              </w:rPr>
              <w:t>12</w:t>
            </w:r>
          </w:p>
        </w:tc>
        <w:tc>
          <w:tcPr>
            <w:tcW w:w="391" w:type="pct"/>
            <w:tcMar>
              <w:top w:w="0" w:type="dxa"/>
              <w:left w:w="45" w:type="dxa"/>
              <w:bottom w:w="0" w:type="dxa"/>
              <w:right w:w="45" w:type="dxa"/>
            </w:tcMar>
            <w:vAlign w:val="center"/>
            <w:hideMark/>
          </w:tcPr>
          <w:p w14:paraId="00E598D4" w14:textId="77777777" w:rsidR="002F2BB2" w:rsidRPr="00532C61" w:rsidRDefault="002F2BB2" w:rsidP="0072694B">
            <w:pPr>
              <w:jc w:val="right"/>
              <w:rPr>
                <w:sz w:val="22"/>
                <w:szCs w:val="22"/>
              </w:rPr>
            </w:pPr>
            <w:r w:rsidRPr="00532C61">
              <w:rPr>
                <w:sz w:val="22"/>
                <w:szCs w:val="22"/>
              </w:rPr>
              <w:t>18.2</w:t>
            </w:r>
          </w:p>
        </w:tc>
        <w:tc>
          <w:tcPr>
            <w:tcW w:w="468" w:type="pct"/>
            <w:tcMar>
              <w:top w:w="0" w:type="dxa"/>
              <w:left w:w="45" w:type="dxa"/>
              <w:bottom w:w="0" w:type="dxa"/>
              <w:right w:w="45" w:type="dxa"/>
            </w:tcMar>
            <w:vAlign w:val="center"/>
            <w:hideMark/>
          </w:tcPr>
          <w:p w14:paraId="0324A435" w14:textId="77777777" w:rsidR="002F2BB2" w:rsidRPr="00532C61" w:rsidRDefault="002F2BB2" w:rsidP="0072694B">
            <w:pPr>
              <w:jc w:val="right"/>
              <w:rPr>
                <w:bCs/>
                <w:sz w:val="22"/>
                <w:szCs w:val="22"/>
              </w:rPr>
            </w:pPr>
            <w:r w:rsidRPr="00532C61">
              <w:rPr>
                <w:bCs/>
                <w:sz w:val="22"/>
                <w:szCs w:val="22"/>
              </w:rPr>
              <w:t>4</w:t>
            </w:r>
          </w:p>
        </w:tc>
        <w:tc>
          <w:tcPr>
            <w:tcW w:w="437" w:type="pct"/>
            <w:tcMar>
              <w:top w:w="0" w:type="dxa"/>
              <w:left w:w="45" w:type="dxa"/>
              <w:bottom w:w="0" w:type="dxa"/>
              <w:right w:w="45" w:type="dxa"/>
            </w:tcMar>
            <w:vAlign w:val="center"/>
            <w:hideMark/>
          </w:tcPr>
          <w:p w14:paraId="2FBC38A8" w14:textId="77777777" w:rsidR="002F2BB2" w:rsidRPr="00532C61" w:rsidRDefault="002F2BB2" w:rsidP="0072694B">
            <w:pPr>
              <w:jc w:val="right"/>
              <w:rPr>
                <w:sz w:val="22"/>
                <w:szCs w:val="22"/>
              </w:rPr>
            </w:pPr>
            <w:r w:rsidRPr="00532C61">
              <w:rPr>
                <w:sz w:val="22"/>
                <w:szCs w:val="22"/>
              </w:rPr>
              <w:t>19.1</w:t>
            </w:r>
          </w:p>
        </w:tc>
        <w:tc>
          <w:tcPr>
            <w:tcW w:w="468" w:type="pct"/>
            <w:tcMar>
              <w:top w:w="0" w:type="dxa"/>
              <w:left w:w="45" w:type="dxa"/>
              <w:bottom w:w="0" w:type="dxa"/>
              <w:right w:w="45" w:type="dxa"/>
            </w:tcMar>
            <w:vAlign w:val="center"/>
            <w:hideMark/>
          </w:tcPr>
          <w:p w14:paraId="62D65B3B" w14:textId="77777777" w:rsidR="002F2BB2" w:rsidRPr="00532C61" w:rsidRDefault="002F2BB2" w:rsidP="0072694B">
            <w:pPr>
              <w:jc w:val="right"/>
              <w:rPr>
                <w:bCs/>
                <w:sz w:val="22"/>
                <w:szCs w:val="22"/>
              </w:rPr>
            </w:pPr>
            <w:r w:rsidRPr="00532C61">
              <w:rPr>
                <w:bCs/>
                <w:sz w:val="22"/>
                <w:szCs w:val="22"/>
              </w:rPr>
              <w:t>8</w:t>
            </w:r>
          </w:p>
        </w:tc>
        <w:tc>
          <w:tcPr>
            <w:tcW w:w="374" w:type="pct"/>
            <w:tcMar>
              <w:top w:w="0" w:type="dxa"/>
              <w:left w:w="45" w:type="dxa"/>
              <w:bottom w:w="0" w:type="dxa"/>
              <w:right w:w="45" w:type="dxa"/>
            </w:tcMar>
            <w:vAlign w:val="center"/>
            <w:hideMark/>
          </w:tcPr>
          <w:p w14:paraId="5476E1F4" w14:textId="77777777" w:rsidR="002F2BB2" w:rsidRPr="00532C61" w:rsidRDefault="002F2BB2" w:rsidP="0072694B">
            <w:pPr>
              <w:jc w:val="right"/>
              <w:rPr>
                <w:sz w:val="22"/>
                <w:szCs w:val="22"/>
              </w:rPr>
            </w:pPr>
            <w:r w:rsidRPr="00532C61">
              <w:rPr>
                <w:sz w:val="22"/>
                <w:szCs w:val="22"/>
              </w:rPr>
              <w:t>17.8</w:t>
            </w:r>
          </w:p>
        </w:tc>
        <w:tc>
          <w:tcPr>
            <w:tcW w:w="406" w:type="pct"/>
            <w:tcMar>
              <w:top w:w="0" w:type="dxa"/>
              <w:left w:w="45" w:type="dxa"/>
              <w:bottom w:w="0" w:type="dxa"/>
              <w:right w:w="45" w:type="dxa"/>
            </w:tcMar>
            <w:vAlign w:val="bottom"/>
            <w:hideMark/>
          </w:tcPr>
          <w:p w14:paraId="6FC72501" w14:textId="77777777" w:rsidR="002F2BB2" w:rsidRPr="00532C61" w:rsidRDefault="002F2BB2" w:rsidP="0072694B">
            <w:pPr>
              <w:jc w:val="right"/>
              <w:rPr>
                <w:sz w:val="22"/>
                <w:szCs w:val="22"/>
              </w:rPr>
            </w:pPr>
            <w:r w:rsidRPr="00532C61">
              <w:rPr>
                <w:sz w:val="22"/>
                <w:szCs w:val="22"/>
              </w:rPr>
              <w:t>0.341</w:t>
            </w:r>
          </w:p>
        </w:tc>
      </w:tr>
      <w:tr w:rsidR="002F2BB2" w:rsidRPr="00532C61" w14:paraId="70F8ECC9" w14:textId="77777777" w:rsidTr="0072694B">
        <w:trPr>
          <w:trHeight w:val="315"/>
        </w:trPr>
        <w:tc>
          <w:tcPr>
            <w:tcW w:w="1988" w:type="pct"/>
            <w:tcMar>
              <w:top w:w="0" w:type="dxa"/>
              <w:left w:w="45" w:type="dxa"/>
              <w:bottom w:w="0" w:type="dxa"/>
              <w:right w:w="45" w:type="dxa"/>
            </w:tcMar>
            <w:vAlign w:val="center"/>
            <w:hideMark/>
          </w:tcPr>
          <w:p w14:paraId="4609B522" w14:textId="77777777" w:rsidR="002F2BB2" w:rsidRPr="00532C61" w:rsidRDefault="002F2BB2" w:rsidP="0072694B">
            <w:pPr>
              <w:rPr>
                <w:sz w:val="22"/>
                <w:szCs w:val="22"/>
              </w:rPr>
            </w:pPr>
            <w:r w:rsidRPr="00532C61">
              <w:rPr>
                <w:sz w:val="22"/>
                <w:szCs w:val="22"/>
              </w:rPr>
              <w:t xml:space="preserve">    No CAS</w:t>
            </w:r>
          </w:p>
        </w:tc>
        <w:tc>
          <w:tcPr>
            <w:tcW w:w="468" w:type="pct"/>
            <w:tcMar>
              <w:top w:w="0" w:type="dxa"/>
              <w:left w:w="45" w:type="dxa"/>
              <w:bottom w:w="0" w:type="dxa"/>
              <w:right w:w="45" w:type="dxa"/>
            </w:tcMar>
            <w:vAlign w:val="center"/>
            <w:hideMark/>
          </w:tcPr>
          <w:p w14:paraId="7D76A22E" w14:textId="77777777" w:rsidR="002F2BB2" w:rsidRPr="00532C61" w:rsidRDefault="002F2BB2" w:rsidP="0072694B">
            <w:pPr>
              <w:jc w:val="right"/>
              <w:rPr>
                <w:bCs/>
                <w:sz w:val="22"/>
                <w:szCs w:val="22"/>
              </w:rPr>
            </w:pPr>
            <w:r w:rsidRPr="00532C61">
              <w:rPr>
                <w:bCs/>
                <w:sz w:val="22"/>
                <w:szCs w:val="22"/>
              </w:rPr>
              <w:t>10</w:t>
            </w:r>
          </w:p>
        </w:tc>
        <w:tc>
          <w:tcPr>
            <w:tcW w:w="391" w:type="pct"/>
            <w:tcMar>
              <w:top w:w="0" w:type="dxa"/>
              <w:left w:w="45" w:type="dxa"/>
              <w:bottom w:w="0" w:type="dxa"/>
              <w:right w:w="45" w:type="dxa"/>
            </w:tcMar>
            <w:vAlign w:val="center"/>
            <w:hideMark/>
          </w:tcPr>
          <w:p w14:paraId="4B38ADD4" w14:textId="77777777" w:rsidR="002F2BB2" w:rsidRPr="00532C61" w:rsidRDefault="002F2BB2" w:rsidP="0072694B">
            <w:pPr>
              <w:jc w:val="right"/>
              <w:rPr>
                <w:sz w:val="22"/>
                <w:szCs w:val="22"/>
              </w:rPr>
            </w:pPr>
            <w:r w:rsidRPr="00532C61">
              <w:rPr>
                <w:sz w:val="22"/>
                <w:szCs w:val="22"/>
              </w:rPr>
              <w:t>15.2</w:t>
            </w:r>
          </w:p>
        </w:tc>
        <w:tc>
          <w:tcPr>
            <w:tcW w:w="468" w:type="pct"/>
            <w:tcMar>
              <w:top w:w="0" w:type="dxa"/>
              <w:left w:w="45" w:type="dxa"/>
              <w:bottom w:w="0" w:type="dxa"/>
              <w:right w:w="45" w:type="dxa"/>
            </w:tcMar>
            <w:vAlign w:val="center"/>
            <w:hideMark/>
          </w:tcPr>
          <w:p w14:paraId="5871863D" w14:textId="77777777" w:rsidR="002F2BB2" w:rsidRPr="00532C61" w:rsidRDefault="002F2BB2" w:rsidP="0072694B">
            <w:pPr>
              <w:jc w:val="right"/>
              <w:rPr>
                <w:bCs/>
                <w:sz w:val="22"/>
                <w:szCs w:val="22"/>
              </w:rPr>
            </w:pPr>
            <w:r w:rsidRPr="00532C61">
              <w:rPr>
                <w:bCs/>
                <w:sz w:val="22"/>
                <w:szCs w:val="22"/>
              </w:rPr>
              <w:t>1</w:t>
            </w:r>
          </w:p>
        </w:tc>
        <w:tc>
          <w:tcPr>
            <w:tcW w:w="437" w:type="pct"/>
            <w:tcMar>
              <w:top w:w="0" w:type="dxa"/>
              <w:left w:w="45" w:type="dxa"/>
              <w:bottom w:w="0" w:type="dxa"/>
              <w:right w:w="45" w:type="dxa"/>
            </w:tcMar>
            <w:vAlign w:val="center"/>
            <w:hideMark/>
          </w:tcPr>
          <w:p w14:paraId="1637C567" w14:textId="77777777" w:rsidR="002F2BB2" w:rsidRPr="00532C61" w:rsidRDefault="002F2BB2" w:rsidP="0072694B">
            <w:pPr>
              <w:jc w:val="right"/>
              <w:rPr>
                <w:sz w:val="22"/>
                <w:szCs w:val="22"/>
              </w:rPr>
            </w:pPr>
            <w:r w:rsidRPr="00532C61">
              <w:rPr>
                <w:sz w:val="22"/>
                <w:szCs w:val="22"/>
              </w:rPr>
              <w:t>4.8</w:t>
            </w:r>
          </w:p>
        </w:tc>
        <w:tc>
          <w:tcPr>
            <w:tcW w:w="468" w:type="pct"/>
            <w:tcMar>
              <w:top w:w="0" w:type="dxa"/>
              <w:left w:w="45" w:type="dxa"/>
              <w:bottom w:w="0" w:type="dxa"/>
              <w:right w:w="45" w:type="dxa"/>
            </w:tcMar>
            <w:vAlign w:val="center"/>
            <w:hideMark/>
          </w:tcPr>
          <w:p w14:paraId="749CC1D4" w14:textId="77777777" w:rsidR="002F2BB2" w:rsidRPr="00532C61" w:rsidRDefault="002F2BB2" w:rsidP="0072694B">
            <w:pPr>
              <w:jc w:val="right"/>
              <w:rPr>
                <w:bCs/>
                <w:sz w:val="22"/>
                <w:szCs w:val="22"/>
              </w:rPr>
            </w:pPr>
            <w:r w:rsidRPr="00532C61">
              <w:rPr>
                <w:bCs/>
                <w:sz w:val="22"/>
                <w:szCs w:val="22"/>
              </w:rPr>
              <w:t>9</w:t>
            </w:r>
          </w:p>
        </w:tc>
        <w:tc>
          <w:tcPr>
            <w:tcW w:w="374" w:type="pct"/>
            <w:tcMar>
              <w:top w:w="0" w:type="dxa"/>
              <w:left w:w="45" w:type="dxa"/>
              <w:bottom w:w="0" w:type="dxa"/>
              <w:right w:w="45" w:type="dxa"/>
            </w:tcMar>
            <w:vAlign w:val="center"/>
            <w:hideMark/>
          </w:tcPr>
          <w:p w14:paraId="3CC4D1CF" w14:textId="77777777" w:rsidR="002F2BB2" w:rsidRPr="00532C61" w:rsidRDefault="002F2BB2" w:rsidP="0072694B">
            <w:pPr>
              <w:jc w:val="right"/>
              <w:rPr>
                <w:sz w:val="22"/>
                <w:szCs w:val="22"/>
              </w:rPr>
            </w:pPr>
            <w:r w:rsidRPr="00532C61">
              <w:rPr>
                <w:sz w:val="22"/>
                <w:szCs w:val="22"/>
              </w:rPr>
              <w:t>20.0</w:t>
            </w:r>
          </w:p>
        </w:tc>
        <w:tc>
          <w:tcPr>
            <w:tcW w:w="406" w:type="pct"/>
            <w:tcMar>
              <w:top w:w="0" w:type="dxa"/>
              <w:left w:w="45" w:type="dxa"/>
              <w:bottom w:w="0" w:type="dxa"/>
              <w:right w:w="45" w:type="dxa"/>
            </w:tcMar>
            <w:vAlign w:val="bottom"/>
            <w:hideMark/>
          </w:tcPr>
          <w:p w14:paraId="65B1CC56" w14:textId="77777777" w:rsidR="002F2BB2" w:rsidRPr="00532C61" w:rsidRDefault="002F2BB2" w:rsidP="0072694B">
            <w:pPr>
              <w:jc w:val="right"/>
              <w:rPr>
                <w:sz w:val="22"/>
                <w:szCs w:val="22"/>
              </w:rPr>
            </w:pPr>
          </w:p>
        </w:tc>
      </w:tr>
      <w:tr w:rsidR="002F2BB2" w:rsidRPr="00532C61" w14:paraId="7950F3C6" w14:textId="77777777" w:rsidTr="0072694B">
        <w:trPr>
          <w:trHeight w:val="315"/>
        </w:trPr>
        <w:tc>
          <w:tcPr>
            <w:tcW w:w="1988" w:type="pct"/>
            <w:tcMar>
              <w:top w:w="0" w:type="dxa"/>
              <w:left w:w="45" w:type="dxa"/>
              <w:bottom w:w="0" w:type="dxa"/>
              <w:right w:w="45" w:type="dxa"/>
            </w:tcMar>
            <w:vAlign w:val="center"/>
            <w:hideMark/>
          </w:tcPr>
          <w:p w14:paraId="18A0CA4A" w14:textId="77777777" w:rsidR="002F2BB2" w:rsidRPr="00532C61" w:rsidRDefault="002F2BB2" w:rsidP="0072694B">
            <w:pPr>
              <w:rPr>
                <w:sz w:val="22"/>
                <w:szCs w:val="22"/>
              </w:rPr>
            </w:pPr>
            <w:r w:rsidRPr="00532C61">
              <w:rPr>
                <w:sz w:val="22"/>
                <w:szCs w:val="22"/>
              </w:rPr>
              <w:t xml:space="preserve">    CAS</w:t>
            </w:r>
          </w:p>
        </w:tc>
        <w:tc>
          <w:tcPr>
            <w:tcW w:w="468" w:type="pct"/>
            <w:tcMar>
              <w:top w:w="0" w:type="dxa"/>
              <w:left w:w="45" w:type="dxa"/>
              <w:bottom w:w="0" w:type="dxa"/>
              <w:right w:w="45" w:type="dxa"/>
            </w:tcMar>
            <w:vAlign w:val="center"/>
            <w:hideMark/>
          </w:tcPr>
          <w:p w14:paraId="6B7D48AE" w14:textId="77777777" w:rsidR="002F2BB2" w:rsidRPr="00532C61" w:rsidRDefault="002F2BB2" w:rsidP="0072694B">
            <w:pPr>
              <w:jc w:val="right"/>
              <w:rPr>
                <w:bCs/>
                <w:sz w:val="22"/>
                <w:szCs w:val="22"/>
              </w:rPr>
            </w:pPr>
            <w:r w:rsidRPr="00532C61">
              <w:rPr>
                <w:bCs/>
                <w:sz w:val="22"/>
                <w:szCs w:val="22"/>
              </w:rPr>
              <w:t>12</w:t>
            </w:r>
          </w:p>
        </w:tc>
        <w:tc>
          <w:tcPr>
            <w:tcW w:w="391" w:type="pct"/>
            <w:tcMar>
              <w:top w:w="0" w:type="dxa"/>
              <w:left w:w="45" w:type="dxa"/>
              <w:bottom w:w="0" w:type="dxa"/>
              <w:right w:w="45" w:type="dxa"/>
            </w:tcMar>
            <w:vAlign w:val="center"/>
            <w:hideMark/>
          </w:tcPr>
          <w:p w14:paraId="405A2635" w14:textId="77777777" w:rsidR="002F2BB2" w:rsidRPr="00532C61" w:rsidRDefault="002F2BB2" w:rsidP="0072694B">
            <w:pPr>
              <w:jc w:val="right"/>
              <w:rPr>
                <w:sz w:val="22"/>
                <w:szCs w:val="22"/>
              </w:rPr>
            </w:pPr>
            <w:r w:rsidRPr="00532C61">
              <w:rPr>
                <w:sz w:val="22"/>
                <w:szCs w:val="22"/>
              </w:rPr>
              <w:t>18.2</w:t>
            </w:r>
          </w:p>
        </w:tc>
        <w:tc>
          <w:tcPr>
            <w:tcW w:w="468" w:type="pct"/>
            <w:tcMar>
              <w:top w:w="0" w:type="dxa"/>
              <w:left w:w="45" w:type="dxa"/>
              <w:bottom w:w="0" w:type="dxa"/>
              <w:right w:w="45" w:type="dxa"/>
            </w:tcMar>
            <w:vAlign w:val="center"/>
            <w:hideMark/>
          </w:tcPr>
          <w:p w14:paraId="5D78A7C7" w14:textId="77777777" w:rsidR="002F2BB2" w:rsidRPr="00532C61" w:rsidRDefault="002F2BB2" w:rsidP="0072694B">
            <w:pPr>
              <w:jc w:val="right"/>
              <w:rPr>
                <w:bCs/>
                <w:sz w:val="22"/>
                <w:szCs w:val="22"/>
              </w:rPr>
            </w:pPr>
            <w:r w:rsidRPr="00532C61">
              <w:rPr>
                <w:bCs/>
                <w:sz w:val="22"/>
                <w:szCs w:val="22"/>
              </w:rPr>
              <w:t>3</w:t>
            </w:r>
          </w:p>
        </w:tc>
        <w:tc>
          <w:tcPr>
            <w:tcW w:w="437" w:type="pct"/>
            <w:tcMar>
              <w:top w:w="0" w:type="dxa"/>
              <w:left w:w="45" w:type="dxa"/>
              <w:bottom w:w="0" w:type="dxa"/>
              <w:right w:w="45" w:type="dxa"/>
            </w:tcMar>
            <w:vAlign w:val="center"/>
            <w:hideMark/>
          </w:tcPr>
          <w:p w14:paraId="78C9660A" w14:textId="77777777" w:rsidR="002F2BB2" w:rsidRPr="00532C61" w:rsidRDefault="002F2BB2" w:rsidP="0072694B">
            <w:pPr>
              <w:jc w:val="right"/>
              <w:rPr>
                <w:sz w:val="22"/>
                <w:szCs w:val="22"/>
              </w:rPr>
            </w:pPr>
            <w:r w:rsidRPr="00532C61">
              <w:rPr>
                <w:sz w:val="22"/>
                <w:szCs w:val="22"/>
              </w:rPr>
              <w:t>14.3</w:t>
            </w:r>
          </w:p>
        </w:tc>
        <w:tc>
          <w:tcPr>
            <w:tcW w:w="468" w:type="pct"/>
            <w:tcMar>
              <w:top w:w="0" w:type="dxa"/>
              <w:left w:w="45" w:type="dxa"/>
              <w:bottom w:w="0" w:type="dxa"/>
              <w:right w:w="45" w:type="dxa"/>
            </w:tcMar>
            <w:vAlign w:val="center"/>
            <w:hideMark/>
          </w:tcPr>
          <w:p w14:paraId="615C8B49" w14:textId="77777777" w:rsidR="002F2BB2" w:rsidRPr="00532C61" w:rsidRDefault="002F2BB2" w:rsidP="0072694B">
            <w:pPr>
              <w:jc w:val="right"/>
              <w:rPr>
                <w:bCs/>
                <w:sz w:val="22"/>
                <w:szCs w:val="22"/>
              </w:rPr>
            </w:pPr>
            <w:r w:rsidRPr="00532C61">
              <w:rPr>
                <w:bCs/>
                <w:sz w:val="22"/>
                <w:szCs w:val="22"/>
              </w:rPr>
              <w:t>9</w:t>
            </w:r>
          </w:p>
        </w:tc>
        <w:tc>
          <w:tcPr>
            <w:tcW w:w="374" w:type="pct"/>
            <w:tcMar>
              <w:top w:w="0" w:type="dxa"/>
              <w:left w:w="45" w:type="dxa"/>
              <w:bottom w:w="0" w:type="dxa"/>
              <w:right w:w="45" w:type="dxa"/>
            </w:tcMar>
            <w:vAlign w:val="center"/>
            <w:hideMark/>
          </w:tcPr>
          <w:p w14:paraId="365860E3" w14:textId="77777777" w:rsidR="002F2BB2" w:rsidRPr="00532C61" w:rsidRDefault="002F2BB2" w:rsidP="0072694B">
            <w:pPr>
              <w:jc w:val="right"/>
              <w:rPr>
                <w:sz w:val="22"/>
                <w:szCs w:val="22"/>
              </w:rPr>
            </w:pPr>
            <w:r w:rsidRPr="00532C61">
              <w:rPr>
                <w:sz w:val="22"/>
                <w:szCs w:val="22"/>
              </w:rPr>
              <w:t>20.0</w:t>
            </w:r>
          </w:p>
        </w:tc>
        <w:tc>
          <w:tcPr>
            <w:tcW w:w="406" w:type="pct"/>
            <w:tcMar>
              <w:top w:w="0" w:type="dxa"/>
              <w:left w:w="45" w:type="dxa"/>
              <w:bottom w:w="0" w:type="dxa"/>
              <w:right w:w="45" w:type="dxa"/>
            </w:tcMar>
            <w:vAlign w:val="bottom"/>
            <w:hideMark/>
          </w:tcPr>
          <w:p w14:paraId="7789B77B" w14:textId="77777777" w:rsidR="002F2BB2" w:rsidRPr="00532C61" w:rsidRDefault="002F2BB2" w:rsidP="0072694B">
            <w:pPr>
              <w:jc w:val="right"/>
              <w:rPr>
                <w:sz w:val="22"/>
                <w:szCs w:val="22"/>
              </w:rPr>
            </w:pPr>
          </w:p>
        </w:tc>
      </w:tr>
      <w:tr w:rsidR="002F2BB2" w:rsidRPr="00532C61" w14:paraId="5EE6094E" w14:textId="77777777" w:rsidTr="0072694B">
        <w:trPr>
          <w:trHeight w:val="315"/>
        </w:trPr>
        <w:tc>
          <w:tcPr>
            <w:tcW w:w="1988" w:type="pct"/>
            <w:tcMar>
              <w:top w:w="0" w:type="dxa"/>
              <w:left w:w="45" w:type="dxa"/>
              <w:bottom w:w="0" w:type="dxa"/>
              <w:right w:w="45" w:type="dxa"/>
            </w:tcMar>
            <w:vAlign w:val="center"/>
            <w:hideMark/>
          </w:tcPr>
          <w:p w14:paraId="31A4EA24" w14:textId="77777777" w:rsidR="002F2BB2" w:rsidRPr="00532C61" w:rsidRDefault="002F2BB2" w:rsidP="0072694B">
            <w:pPr>
              <w:rPr>
                <w:sz w:val="22"/>
                <w:szCs w:val="22"/>
              </w:rPr>
            </w:pPr>
            <w:r w:rsidRPr="00532C61">
              <w:rPr>
                <w:sz w:val="22"/>
                <w:szCs w:val="22"/>
              </w:rPr>
              <w:t xml:space="preserve">    CAS with unknown or serodiscordant status partner</w:t>
            </w:r>
          </w:p>
        </w:tc>
        <w:tc>
          <w:tcPr>
            <w:tcW w:w="468" w:type="pct"/>
            <w:tcMar>
              <w:top w:w="0" w:type="dxa"/>
              <w:left w:w="45" w:type="dxa"/>
              <w:bottom w:w="0" w:type="dxa"/>
              <w:right w:w="45" w:type="dxa"/>
            </w:tcMar>
            <w:vAlign w:val="center"/>
            <w:hideMark/>
          </w:tcPr>
          <w:p w14:paraId="1EB7409F" w14:textId="77777777" w:rsidR="002F2BB2" w:rsidRPr="00532C61" w:rsidRDefault="002F2BB2" w:rsidP="0072694B">
            <w:pPr>
              <w:jc w:val="right"/>
              <w:rPr>
                <w:bCs/>
                <w:sz w:val="22"/>
                <w:szCs w:val="22"/>
              </w:rPr>
            </w:pPr>
            <w:r w:rsidRPr="00532C61">
              <w:rPr>
                <w:bCs/>
                <w:sz w:val="22"/>
                <w:szCs w:val="22"/>
              </w:rPr>
              <w:t>32</w:t>
            </w:r>
          </w:p>
        </w:tc>
        <w:tc>
          <w:tcPr>
            <w:tcW w:w="391" w:type="pct"/>
            <w:tcMar>
              <w:top w:w="0" w:type="dxa"/>
              <w:left w:w="45" w:type="dxa"/>
              <w:bottom w:w="0" w:type="dxa"/>
              <w:right w:w="45" w:type="dxa"/>
            </w:tcMar>
            <w:vAlign w:val="center"/>
            <w:hideMark/>
          </w:tcPr>
          <w:p w14:paraId="7736C98F" w14:textId="77777777" w:rsidR="002F2BB2" w:rsidRPr="00532C61" w:rsidRDefault="002F2BB2" w:rsidP="0072694B">
            <w:pPr>
              <w:jc w:val="right"/>
              <w:rPr>
                <w:sz w:val="22"/>
                <w:szCs w:val="22"/>
              </w:rPr>
            </w:pPr>
            <w:r w:rsidRPr="00532C61">
              <w:rPr>
                <w:sz w:val="22"/>
                <w:szCs w:val="22"/>
              </w:rPr>
              <w:t>48.5</w:t>
            </w:r>
          </w:p>
        </w:tc>
        <w:tc>
          <w:tcPr>
            <w:tcW w:w="468" w:type="pct"/>
            <w:tcMar>
              <w:top w:w="0" w:type="dxa"/>
              <w:left w:w="45" w:type="dxa"/>
              <w:bottom w:w="0" w:type="dxa"/>
              <w:right w:w="45" w:type="dxa"/>
            </w:tcMar>
            <w:vAlign w:val="center"/>
            <w:hideMark/>
          </w:tcPr>
          <w:p w14:paraId="0BDF5CD4" w14:textId="77777777" w:rsidR="002F2BB2" w:rsidRPr="00532C61" w:rsidRDefault="002F2BB2" w:rsidP="0072694B">
            <w:pPr>
              <w:jc w:val="right"/>
              <w:rPr>
                <w:bCs/>
                <w:sz w:val="22"/>
                <w:szCs w:val="22"/>
              </w:rPr>
            </w:pPr>
            <w:r w:rsidRPr="00532C61">
              <w:rPr>
                <w:bCs/>
                <w:sz w:val="22"/>
                <w:szCs w:val="22"/>
              </w:rPr>
              <w:t>13</w:t>
            </w:r>
          </w:p>
        </w:tc>
        <w:tc>
          <w:tcPr>
            <w:tcW w:w="437" w:type="pct"/>
            <w:tcMar>
              <w:top w:w="0" w:type="dxa"/>
              <w:left w:w="45" w:type="dxa"/>
              <w:bottom w:w="0" w:type="dxa"/>
              <w:right w:w="45" w:type="dxa"/>
            </w:tcMar>
            <w:vAlign w:val="center"/>
            <w:hideMark/>
          </w:tcPr>
          <w:p w14:paraId="12F8D775" w14:textId="77777777" w:rsidR="002F2BB2" w:rsidRPr="00532C61" w:rsidRDefault="002F2BB2" w:rsidP="0072694B">
            <w:pPr>
              <w:jc w:val="right"/>
              <w:rPr>
                <w:sz w:val="22"/>
                <w:szCs w:val="22"/>
              </w:rPr>
            </w:pPr>
            <w:r w:rsidRPr="00532C61">
              <w:rPr>
                <w:sz w:val="22"/>
                <w:szCs w:val="22"/>
              </w:rPr>
              <w:t>61.9</w:t>
            </w:r>
          </w:p>
        </w:tc>
        <w:tc>
          <w:tcPr>
            <w:tcW w:w="468" w:type="pct"/>
            <w:tcMar>
              <w:top w:w="0" w:type="dxa"/>
              <w:left w:w="45" w:type="dxa"/>
              <w:bottom w:w="0" w:type="dxa"/>
              <w:right w:w="45" w:type="dxa"/>
            </w:tcMar>
            <w:vAlign w:val="center"/>
            <w:hideMark/>
          </w:tcPr>
          <w:p w14:paraId="6F6E5DF2" w14:textId="77777777" w:rsidR="002F2BB2" w:rsidRPr="00532C61" w:rsidRDefault="002F2BB2" w:rsidP="0072694B">
            <w:pPr>
              <w:jc w:val="right"/>
              <w:rPr>
                <w:bCs/>
                <w:sz w:val="22"/>
                <w:szCs w:val="22"/>
              </w:rPr>
            </w:pPr>
            <w:r w:rsidRPr="00532C61">
              <w:rPr>
                <w:bCs/>
                <w:sz w:val="22"/>
                <w:szCs w:val="22"/>
              </w:rPr>
              <w:t>19</w:t>
            </w:r>
          </w:p>
        </w:tc>
        <w:tc>
          <w:tcPr>
            <w:tcW w:w="374" w:type="pct"/>
            <w:tcMar>
              <w:top w:w="0" w:type="dxa"/>
              <w:left w:w="45" w:type="dxa"/>
              <w:bottom w:w="0" w:type="dxa"/>
              <w:right w:w="45" w:type="dxa"/>
            </w:tcMar>
            <w:vAlign w:val="center"/>
            <w:hideMark/>
          </w:tcPr>
          <w:p w14:paraId="781700D3" w14:textId="77777777" w:rsidR="002F2BB2" w:rsidRPr="00532C61" w:rsidRDefault="002F2BB2" w:rsidP="0072694B">
            <w:pPr>
              <w:jc w:val="right"/>
              <w:rPr>
                <w:sz w:val="22"/>
                <w:szCs w:val="22"/>
              </w:rPr>
            </w:pPr>
            <w:r w:rsidRPr="00532C61">
              <w:rPr>
                <w:sz w:val="22"/>
                <w:szCs w:val="22"/>
              </w:rPr>
              <w:t>42.2</w:t>
            </w:r>
          </w:p>
        </w:tc>
        <w:tc>
          <w:tcPr>
            <w:tcW w:w="406" w:type="pct"/>
            <w:tcMar>
              <w:top w:w="0" w:type="dxa"/>
              <w:left w:w="45" w:type="dxa"/>
              <w:bottom w:w="0" w:type="dxa"/>
              <w:right w:w="45" w:type="dxa"/>
            </w:tcMar>
            <w:vAlign w:val="bottom"/>
            <w:hideMark/>
          </w:tcPr>
          <w:p w14:paraId="25879EDB" w14:textId="77777777" w:rsidR="002F2BB2" w:rsidRPr="00532C61" w:rsidRDefault="002F2BB2" w:rsidP="0072694B">
            <w:pPr>
              <w:jc w:val="right"/>
              <w:rPr>
                <w:sz w:val="22"/>
                <w:szCs w:val="22"/>
              </w:rPr>
            </w:pPr>
          </w:p>
        </w:tc>
      </w:tr>
      <w:tr w:rsidR="002F2BB2" w:rsidRPr="00532C61" w14:paraId="7FF12022" w14:textId="77777777" w:rsidTr="0072694B">
        <w:trPr>
          <w:trHeight w:val="315"/>
        </w:trPr>
        <w:tc>
          <w:tcPr>
            <w:tcW w:w="1988" w:type="pct"/>
            <w:tcMar>
              <w:top w:w="0" w:type="dxa"/>
              <w:left w:w="45" w:type="dxa"/>
              <w:bottom w:w="0" w:type="dxa"/>
              <w:right w:w="45" w:type="dxa"/>
            </w:tcMar>
            <w:vAlign w:val="center"/>
            <w:hideMark/>
          </w:tcPr>
          <w:p w14:paraId="39FFD5B2" w14:textId="77777777" w:rsidR="002F2BB2" w:rsidRPr="00532C61" w:rsidRDefault="002F2BB2" w:rsidP="0072694B">
            <w:pPr>
              <w:rPr>
                <w:b/>
                <w:bCs/>
                <w:sz w:val="22"/>
                <w:szCs w:val="22"/>
              </w:rPr>
            </w:pPr>
            <w:r w:rsidRPr="00532C61">
              <w:rPr>
                <w:b/>
                <w:bCs/>
                <w:sz w:val="22"/>
                <w:szCs w:val="22"/>
              </w:rPr>
              <w:t>Attended Group Sex Event in P6M</w:t>
            </w:r>
          </w:p>
        </w:tc>
        <w:tc>
          <w:tcPr>
            <w:tcW w:w="468" w:type="pct"/>
            <w:tcMar>
              <w:top w:w="0" w:type="dxa"/>
              <w:left w:w="45" w:type="dxa"/>
              <w:bottom w:w="0" w:type="dxa"/>
              <w:right w:w="45" w:type="dxa"/>
            </w:tcMar>
            <w:vAlign w:val="center"/>
            <w:hideMark/>
          </w:tcPr>
          <w:p w14:paraId="26B5D7C5" w14:textId="77777777" w:rsidR="002F2BB2" w:rsidRPr="00532C61" w:rsidRDefault="002F2BB2" w:rsidP="0072694B">
            <w:pPr>
              <w:rPr>
                <w:bCs/>
                <w:sz w:val="22"/>
                <w:szCs w:val="22"/>
              </w:rPr>
            </w:pPr>
          </w:p>
        </w:tc>
        <w:tc>
          <w:tcPr>
            <w:tcW w:w="391" w:type="pct"/>
            <w:tcMar>
              <w:top w:w="0" w:type="dxa"/>
              <w:left w:w="45" w:type="dxa"/>
              <w:bottom w:w="0" w:type="dxa"/>
              <w:right w:w="45" w:type="dxa"/>
            </w:tcMar>
            <w:vAlign w:val="center"/>
            <w:hideMark/>
          </w:tcPr>
          <w:p w14:paraId="29236CB2"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4F0DB11E" w14:textId="77777777" w:rsidR="002F2BB2" w:rsidRPr="00532C61" w:rsidRDefault="002F2BB2" w:rsidP="0072694B">
            <w:pPr>
              <w:rPr>
                <w:bCs/>
                <w:sz w:val="22"/>
                <w:szCs w:val="22"/>
              </w:rPr>
            </w:pPr>
          </w:p>
        </w:tc>
        <w:tc>
          <w:tcPr>
            <w:tcW w:w="437" w:type="pct"/>
            <w:tcMar>
              <w:top w:w="0" w:type="dxa"/>
              <w:left w:w="45" w:type="dxa"/>
              <w:bottom w:w="0" w:type="dxa"/>
              <w:right w:w="45" w:type="dxa"/>
            </w:tcMar>
            <w:vAlign w:val="center"/>
            <w:hideMark/>
          </w:tcPr>
          <w:p w14:paraId="5B50BE8A" w14:textId="77777777" w:rsidR="002F2BB2" w:rsidRPr="00532C61" w:rsidRDefault="002F2BB2" w:rsidP="0072694B">
            <w:pPr>
              <w:rPr>
                <w:sz w:val="22"/>
                <w:szCs w:val="22"/>
              </w:rPr>
            </w:pPr>
          </w:p>
        </w:tc>
        <w:tc>
          <w:tcPr>
            <w:tcW w:w="468" w:type="pct"/>
            <w:tcMar>
              <w:top w:w="0" w:type="dxa"/>
              <w:left w:w="45" w:type="dxa"/>
              <w:bottom w:w="0" w:type="dxa"/>
              <w:right w:w="45" w:type="dxa"/>
            </w:tcMar>
            <w:vAlign w:val="center"/>
            <w:hideMark/>
          </w:tcPr>
          <w:p w14:paraId="43AA8A86" w14:textId="77777777" w:rsidR="002F2BB2" w:rsidRPr="00532C61" w:rsidRDefault="002F2BB2" w:rsidP="0072694B">
            <w:pPr>
              <w:rPr>
                <w:bCs/>
                <w:sz w:val="22"/>
                <w:szCs w:val="22"/>
              </w:rPr>
            </w:pPr>
          </w:p>
        </w:tc>
        <w:tc>
          <w:tcPr>
            <w:tcW w:w="374" w:type="pct"/>
            <w:tcMar>
              <w:top w:w="0" w:type="dxa"/>
              <w:left w:w="45" w:type="dxa"/>
              <w:bottom w:w="0" w:type="dxa"/>
              <w:right w:w="45" w:type="dxa"/>
            </w:tcMar>
            <w:vAlign w:val="center"/>
            <w:hideMark/>
          </w:tcPr>
          <w:p w14:paraId="00912115" w14:textId="77777777" w:rsidR="002F2BB2" w:rsidRPr="00532C61" w:rsidRDefault="002F2BB2" w:rsidP="0072694B">
            <w:pPr>
              <w:rPr>
                <w:sz w:val="22"/>
                <w:szCs w:val="22"/>
              </w:rPr>
            </w:pPr>
          </w:p>
        </w:tc>
        <w:tc>
          <w:tcPr>
            <w:tcW w:w="406" w:type="pct"/>
            <w:tcMar>
              <w:top w:w="0" w:type="dxa"/>
              <w:left w:w="45" w:type="dxa"/>
              <w:bottom w:w="0" w:type="dxa"/>
              <w:right w:w="45" w:type="dxa"/>
            </w:tcMar>
            <w:vAlign w:val="bottom"/>
            <w:hideMark/>
          </w:tcPr>
          <w:p w14:paraId="5AAED368" w14:textId="77777777" w:rsidR="002F2BB2" w:rsidRPr="00532C61" w:rsidRDefault="002F2BB2" w:rsidP="0072694B">
            <w:pPr>
              <w:jc w:val="right"/>
              <w:rPr>
                <w:sz w:val="22"/>
                <w:szCs w:val="22"/>
              </w:rPr>
            </w:pPr>
          </w:p>
        </w:tc>
      </w:tr>
      <w:tr w:rsidR="002F2BB2" w:rsidRPr="00532C61" w14:paraId="2747E7B7" w14:textId="77777777" w:rsidTr="0072694B">
        <w:trPr>
          <w:trHeight w:val="315"/>
        </w:trPr>
        <w:tc>
          <w:tcPr>
            <w:tcW w:w="1988" w:type="pct"/>
            <w:tcMar>
              <w:top w:w="0" w:type="dxa"/>
              <w:left w:w="45" w:type="dxa"/>
              <w:bottom w:w="0" w:type="dxa"/>
              <w:right w:w="45" w:type="dxa"/>
            </w:tcMar>
            <w:vAlign w:val="center"/>
            <w:hideMark/>
          </w:tcPr>
          <w:p w14:paraId="606ABE79" w14:textId="77777777" w:rsidR="002F2BB2" w:rsidRPr="00532C61" w:rsidRDefault="002F2BB2" w:rsidP="0072694B">
            <w:pPr>
              <w:rPr>
                <w:sz w:val="22"/>
                <w:szCs w:val="22"/>
              </w:rPr>
            </w:pPr>
            <w:r w:rsidRPr="00532C61">
              <w:rPr>
                <w:sz w:val="22"/>
                <w:szCs w:val="22"/>
              </w:rPr>
              <w:t xml:space="preserve">    No</w:t>
            </w:r>
          </w:p>
        </w:tc>
        <w:tc>
          <w:tcPr>
            <w:tcW w:w="468" w:type="pct"/>
            <w:tcMar>
              <w:top w:w="0" w:type="dxa"/>
              <w:left w:w="45" w:type="dxa"/>
              <w:bottom w:w="0" w:type="dxa"/>
              <w:right w:w="45" w:type="dxa"/>
            </w:tcMar>
            <w:vAlign w:val="center"/>
            <w:hideMark/>
          </w:tcPr>
          <w:p w14:paraId="7A1A0730" w14:textId="77777777" w:rsidR="002F2BB2" w:rsidRPr="00532C61" w:rsidRDefault="002F2BB2" w:rsidP="0072694B">
            <w:pPr>
              <w:jc w:val="right"/>
              <w:rPr>
                <w:bCs/>
                <w:sz w:val="22"/>
                <w:szCs w:val="22"/>
              </w:rPr>
            </w:pPr>
            <w:r w:rsidRPr="00532C61">
              <w:rPr>
                <w:bCs/>
                <w:sz w:val="22"/>
                <w:szCs w:val="22"/>
              </w:rPr>
              <w:t>45</w:t>
            </w:r>
          </w:p>
        </w:tc>
        <w:tc>
          <w:tcPr>
            <w:tcW w:w="391" w:type="pct"/>
            <w:tcMar>
              <w:top w:w="0" w:type="dxa"/>
              <w:left w:w="45" w:type="dxa"/>
              <w:bottom w:w="0" w:type="dxa"/>
              <w:right w:w="45" w:type="dxa"/>
            </w:tcMar>
            <w:vAlign w:val="center"/>
            <w:hideMark/>
          </w:tcPr>
          <w:p w14:paraId="5392B778" w14:textId="77777777" w:rsidR="002F2BB2" w:rsidRPr="00532C61" w:rsidRDefault="002F2BB2" w:rsidP="0072694B">
            <w:pPr>
              <w:jc w:val="right"/>
              <w:rPr>
                <w:sz w:val="22"/>
                <w:szCs w:val="22"/>
              </w:rPr>
            </w:pPr>
            <w:r w:rsidRPr="00532C61">
              <w:rPr>
                <w:sz w:val="22"/>
                <w:szCs w:val="22"/>
              </w:rPr>
              <w:t>67.2</w:t>
            </w:r>
          </w:p>
        </w:tc>
        <w:tc>
          <w:tcPr>
            <w:tcW w:w="468" w:type="pct"/>
            <w:tcMar>
              <w:top w:w="0" w:type="dxa"/>
              <w:left w:w="45" w:type="dxa"/>
              <w:bottom w:w="0" w:type="dxa"/>
              <w:right w:w="45" w:type="dxa"/>
            </w:tcMar>
            <w:vAlign w:val="center"/>
            <w:hideMark/>
          </w:tcPr>
          <w:p w14:paraId="3E955A53" w14:textId="77777777" w:rsidR="002F2BB2" w:rsidRPr="00532C61" w:rsidRDefault="002F2BB2" w:rsidP="0072694B">
            <w:pPr>
              <w:jc w:val="right"/>
              <w:rPr>
                <w:bCs/>
                <w:sz w:val="22"/>
                <w:szCs w:val="22"/>
              </w:rPr>
            </w:pPr>
            <w:r w:rsidRPr="00532C61">
              <w:rPr>
                <w:bCs/>
                <w:sz w:val="22"/>
                <w:szCs w:val="22"/>
              </w:rPr>
              <w:t>10</w:t>
            </w:r>
          </w:p>
        </w:tc>
        <w:tc>
          <w:tcPr>
            <w:tcW w:w="437" w:type="pct"/>
            <w:tcMar>
              <w:top w:w="0" w:type="dxa"/>
              <w:left w:w="45" w:type="dxa"/>
              <w:bottom w:w="0" w:type="dxa"/>
              <w:right w:w="45" w:type="dxa"/>
            </w:tcMar>
            <w:vAlign w:val="center"/>
            <w:hideMark/>
          </w:tcPr>
          <w:p w14:paraId="02B6F2EE" w14:textId="77777777" w:rsidR="002F2BB2" w:rsidRPr="00532C61" w:rsidRDefault="002F2BB2" w:rsidP="0072694B">
            <w:pPr>
              <w:jc w:val="right"/>
              <w:rPr>
                <w:sz w:val="22"/>
                <w:szCs w:val="22"/>
              </w:rPr>
            </w:pPr>
            <w:r w:rsidRPr="00532C61">
              <w:rPr>
                <w:sz w:val="22"/>
                <w:szCs w:val="22"/>
              </w:rPr>
              <w:t>47.6</w:t>
            </w:r>
          </w:p>
        </w:tc>
        <w:tc>
          <w:tcPr>
            <w:tcW w:w="468" w:type="pct"/>
            <w:tcMar>
              <w:top w:w="0" w:type="dxa"/>
              <w:left w:w="45" w:type="dxa"/>
              <w:bottom w:w="0" w:type="dxa"/>
              <w:right w:w="45" w:type="dxa"/>
            </w:tcMar>
            <w:vAlign w:val="center"/>
            <w:hideMark/>
          </w:tcPr>
          <w:p w14:paraId="3F924098" w14:textId="77777777" w:rsidR="002F2BB2" w:rsidRPr="00532C61" w:rsidRDefault="002F2BB2" w:rsidP="0072694B">
            <w:pPr>
              <w:jc w:val="right"/>
              <w:rPr>
                <w:bCs/>
                <w:sz w:val="22"/>
                <w:szCs w:val="22"/>
              </w:rPr>
            </w:pPr>
            <w:r w:rsidRPr="00532C61">
              <w:rPr>
                <w:bCs/>
                <w:sz w:val="22"/>
                <w:szCs w:val="22"/>
              </w:rPr>
              <w:t>35</w:t>
            </w:r>
          </w:p>
        </w:tc>
        <w:tc>
          <w:tcPr>
            <w:tcW w:w="374" w:type="pct"/>
            <w:tcMar>
              <w:top w:w="0" w:type="dxa"/>
              <w:left w:w="45" w:type="dxa"/>
              <w:bottom w:w="0" w:type="dxa"/>
              <w:right w:w="45" w:type="dxa"/>
            </w:tcMar>
            <w:vAlign w:val="center"/>
            <w:hideMark/>
          </w:tcPr>
          <w:p w14:paraId="68C4E089" w14:textId="77777777" w:rsidR="002F2BB2" w:rsidRPr="00532C61" w:rsidRDefault="002F2BB2" w:rsidP="0072694B">
            <w:pPr>
              <w:jc w:val="right"/>
              <w:rPr>
                <w:sz w:val="22"/>
                <w:szCs w:val="22"/>
              </w:rPr>
            </w:pPr>
            <w:r w:rsidRPr="00532C61">
              <w:rPr>
                <w:sz w:val="22"/>
                <w:szCs w:val="22"/>
              </w:rPr>
              <w:t>76.1</w:t>
            </w:r>
          </w:p>
        </w:tc>
        <w:tc>
          <w:tcPr>
            <w:tcW w:w="406" w:type="pct"/>
            <w:tcMar>
              <w:top w:w="0" w:type="dxa"/>
              <w:left w:w="45" w:type="dxa"/>
              <w:bottom w:w="0" w:type="dxa"/>
              <w:right w:w="45" w:type="dxa"/>
            </w:tcMar>
            <w:vAlign w:val="bottom"/>
            <w:hideMark/>
          </w:tcPr>
          <w:p w14:paraId="63E6C607" w14:textId="77777777" w:rsidR="002F2BB2" w:rsidRPr="00532C61" w:rsidRDefault="002F2BB2" w:rsidP="0072694B">
            <w:pPr>
              <w:jc w:val="right"/>
              <w:rPr>
                <w:b/>
                <w:bCs/>
                <w:sz w:val="22"/>
                <w:szCs w:val="22"/>
              </w:rPr>
            </w:pPr>
            <w:r w:rsidRPr="00532C61">
              <w:rPr>
                <w:b/>
                <w:bCs/>
                <w:sz w:val="22"/>
                <w:szCs w:val="22"/>
              </w:rPr>
              <w:t>0.028</w:t>
            </w:r>
          </w:p>
        </w:tc>
      </w:tr>
      <w:tr w:rsidR="002F2BB2" w:rsidRPr="00532C61" w14:paraId="61854B2E" w14:textId="77777777" w:rsidTr="0072694B">
        <w:trPr>
          <w:trHeight w:val="315"/>
        </w:trPr>
        <w:tc>
          <w:tcPr>
            <w:tcW w:w="1988" w:type="pct"/>
            <w:tcMar>
              <w:top w:w="0" w:type="dxa"/>
              <w:left w:w="45" w:type="dxa"/>
              <w:bottom w:w="0" w:type="dxa"/>
              <w:right w:w="45" w:type="dxa"/>
            </w:tcMar>
            <w:vAlign w:val="center"/>
            <w:hideMark/>
          </w:tcPr>
          <w:p w14:paraId="0C9123E9" w14:textId="77777777" w:rsidR="002F2BB2" w:rsidRPr="00532C61" w:rsidRDefault="002F2BB2" w:rsidP="0072694B">
            <w:pPr>
              <w:rPr>
                <w:sz w:val="22"/>
                <w:szCs w:val="22"/>
              </w:rPr>
            </w:pPr>
            <w:r w:rsidRPr="00532C61">
              <w:rPr>
                <w:sz w:val="22"/>
                <w:szCs w:val="22"/>
              </w:rPr>
              <w:t xml:space="preserve">    Yes</w:t>
            </w:r>
          </w:p>
        </w:tc>
        <w:tc>
          <w:tcPr>
            <w:tcW w:w="468" w:type="pct"/>
            <w:tcMar>
              <w:top w:w="0" w:type="dxa"/>
              <w:left w:w="45" w:type="dxa"/>
              <w:bottom w:w="0" w:type="dxa"/>
              <w:right w:w="45" w:type="dxa"/>
            </w:tcMar>
            <w:vAlign w:val="center"/>
            <w:hideMark/>
          </w:tcPr>
          <w:p w14:paraId="371B5F9C" w14:textId="77777777" w:rsidR="002F2BB2" w:rsidRPr="00532C61" w:rsidRDefault="002F2BB2" w:rsidP="0072694B">
            <w:pPr>
              <w:jc w:val="right"/>
              <w:rPr>
                <w:bCs/>
                <w:sz w:val="22"/>
                <w:szCs w:val="22"/>
              </w:rPr>
            </w:pPr>
            <w:r w:rsidRPr="00532C61">
              <w:rPr>
                <w:bCs/>
                <w:sz w:val="22"/>
                <w:szCs w:val="22"/>
              </w:rPr>
              <w:t>22</w:t>
            </w:r>
          </w:p>
        </w:tc>
        <w:tc>
          <w:tcPr>
            <w:tcW w:w="391" w:type="pct"/>
            <w:tcMar>
              <w:top w:w="0" w:type="dxa"/>
              <w:left w:w="45" w:type="dxa"/>
              <w:bottom w:w="0" w:type="dxa"/>
              <w:right w:w="45" w:type="dxa"/>
            </w:tcMar>
            <w:vAlign w:val="center"/>
            <w:hideMark/>
          </w:tcPr>
          <w:p w14:paraId="302FC5D4" w14:textId="77777777" w:rsidR="002F2BB2" w:rsidRPr="00532C61" w:rsidRDefault="002F2BB2" w:rsidP="0072694B">
            <w:pPr>
              <w:jc w:val="right"/>
              <w:rPr>
                <w:sz w:val="22"/>
                <w:szCs w:val="22"/>
              </w:rPr>
            </w:pPr>
            <w:r w:rsidRPr="00532C61">
              <w:rPr>
                <w:sz w:val="22"/>
                <w:szCs w:val="22"/>
              </w:rPr>
              <w:t>32.8</w:t>
            </w:r>
          </w:p>
        </w:tc>
        <w:tc>
          <w:tcPr>
            <w:tcW w:w="468" w:type="pct"/>
            <w:tcMar>
              <w:top w:w="0" w:type="dxa"/>
              <w:left w:w="45" w:type="dxa"/>
              <w:bottom w:w="0" w:type="dxa"/>
              <w:right w:w="45" w:type="dxa"/>
            </w:tcMar>
            <w:vAlign w:val="center"/>
            <w:hideMark/>
          </w:tcPr>
          <w:p w14:paraId="33C52DE8" w14:textId="77777777" w:rsidR="002F2BB2" w:rsidRPr="00532C61" w:rsidRDefault="002F2BB2" w:rsidP="0072694B">
            <w:pPr>
              <w:jc w:val="right"/>
              <w:rPr>
                <w:bCs/>
                <w:sz w:val="22"/>
                <w:szCs w:val="22"/>
              </w:rPr>
            </w:pPr>
            <w:r w:rsidRPr="00532C61">
              <w:rPr>
                <w:bCs/>
                <w:sz w:val="22"/>
                <w:szCs w:val="22"/>
              </w:rPr>
              <w:t>11</w:t>
            </w:r>
          </w:p>
        </w:tc>
        <w:tc>
          <w:tcPr>
            <w:tcW w:w="437" w:type="pct"/>
            <w:tcMar>
              <w:top w:w="0" w:type="dxa"/>
              <w:left w:w="45" w:type="dxa"/>
              <w:bottom w:w="0" w:type="dxa"/>
              <w:right w:w="45" w:type="dxa"/>
            </w:tcMar>
            <w:vAlign w:val="center"/>
            <w:hideMark/>
          </w:tcPr>
          <w:p w14:paraId="2E7EF998" w14:textId="77777777" w:rsidR="002F2BB2" w:rsidRPr="00532C61" w:rsidRDefault="002F2BB2" w:rsidP="0072694B">
            <w:pPr>
              <w:jc w:val="right"/>
              <w:rPr>
                <w:sz w:val="22"/>
                <w:szCs w:val="22"/>
              </w:rPr>
            </w:pPr>
            <w:r w:rsidRPr="00532C61">
              <w:rPr>
                <w:sz w:val="22"/>
                <w:szCs w:val="22"/>
              </w:rPr>
              <w:t>52.4</w:t>
            </w:r>
          </w:p>
        </w:tc>
        <w:tc>
          <w:tcPr>
            <w:tcW w:w="468" w:type="pct"/>
            <w:tcMar>
              <w:top w:w="0" w:type="dxa"/>
              <w:left w:w="45" w:type="dxa"/>
              <w:bottom w:w="0" w:type="dxa"/>
              <w:right w:w="45" w:type="dxa"/>
            </w:tcMar>
            <w:vAlign w:val="center"/>
            <w:hideMark/>
          </w:tcPr>
          <w:p w14:paraId="583A0DAA" w14:textId="77777777" w:rsidR="002F2BB2" w:rsidRPr="00532C61" w:rsidRDefault="002F2BB2" w:rsidP="0072694B">
            <w:pPr>
              <w:jc w:val="right"/>
              <w:rPr>
                <w:bCs/>
                <w:sz w:val="22"/>
                <w:szCs w:val="22"/>
              </w:rPr>
            </w:pPr>
            <w:r w:rsidRPr="00532C61">
              <w:rPr>
                <w:bCs/>
                <w:sz w:val="22"/>
                <w:szCs w:val="22"/>
              </w:rPr>
              <w:t>11</w:t>
            </w:r>
          </w:p>
        </w:tc>
        <w:tc>
          <w:tcPr>
            <w:tcW w:w="374" w:type="pct"/>
            <w:tcMar>
              <w:top w:w="0" w:type="dxa"/>
              <w:left w:w="45" w:type="dxa"/>
              <w:bottom w:w="0" w:type="dxa"/>
              <w:right w:w="45" w:type="dxa"/>
            </w:tcMar>
            <w:vAlign w:val="center"/>
            <w:hideMark/>
          </w:tcPr>
          <w:p w14:paraId="462B1D9B" w14:textId="77777777" w:rsidR="002F2BB2" w:rsidRPr="00532C61" w:rsidRDefault="002F2BB2" w:rsidP="0072694B">
            <w:pPr>
              <w:jc w:val="right"/>
              <w:rPr>
                <w:sz w:val="22"/>
                <w:szCs w:val="22"/>
              </w:rPr>
            </w:pPr>
            <w:r w:rsidRPr="00532C61">
              <w:rPr>
                <w:sz w:val="22"/>
                <w:szCs w:val="22"/>
              </w:rPr>
              <w:t>23.9</w:t>
            </w:r>
          </w:p>
        </w:tc>
        <w:tc>
          <w:tcPr>
            <w:tcW w:w="406" w:type="pct"/>
            <w:tcMar>
              <w:top w:w="0" w:type="dxa"/>
              <w:left w:w="45" w:type="dxa"/>
              <w:bottom w:w="0" w:type="dxa"/>
              <w:right w:w="45" w:type="dxa"/>
            </w:tcMar>
            <w:vAlign w:val="bottom"/>
            <w:hideMark/>
          </w:tcPr>
          <w:p w14:paraId="7F1B9DE5" w14:textId="77777777" w:rsidR="002F2BB2" w:rsidRPr="00532C61" w:rsidRDefault="002F2BB2" w:rsidP="0072694B">
            <w:pPr>
              <w:jc w:val="right"/>
              <w:rPr>
                <w:sz w:val="22"/>
                <w:szCs w:val="22"/>
              </w:rPr>
            </w:pPr>
          </w:p>
        </w:tc>
      </w:tr>
      <w:tr w:rsidR="002F2BB2" w:rsidRPr="00532C61" w14:paraId="35B34B7C" w14:textId="77777777" w:rsidTr="0072694B">
        <w:trPr>
          <w:trHeight w:val="315"/>
        </w:trPr>
        <w:tc>
          <w:tcPr>
            <w:tcW w:w="1988" w:type="pct"/>
            <w:tcMar>
              <w:top w:w="0" w:type="dxa"/>
              <w:left w:w="45" w:type="dxa"/>
              <w:bottom w:w="0" w:type="dxa"/>
              <w:right w:w="45" w:type="dxa"/>
            </w:tcMar>
            <w:vAlign w:val="center"/>
          </w:tcPr>
          <w:p w14:paraId="51A2209E" w14:textId="77777777" w:rsidR="002F2BB2" w:rsidRPr="00532C61" w:rsidRDefault="002F2BB2" w:rsidP="0072694B">
            <w:pPr>
              <w:rPr>
                <w:b/>
                <w:i/>
                <w:sz w:val="22"/>
                <w:szCs w:val="22"/>
                <w:u w:val="single"/>
              </w:rPr>
            </w:pPr>
            <w:r w:rsidRPr="00532C61">
              <w:rPr>
                <w:b/>
                <w:i/>
                <w:sz w:val="22"/>
                <w:szCs w:val="22"/>
                <w:u w:val="single"/>
              </w:rPr>
              <w:t>Substance Use Behaviours</w:t>
            </w:r>
          </w:p>
        </w:tc>
        <w:tc>
          <w:tcPr>
            <w:tcW w:w="468" w:type="pct"/>
            <w:tcMar>
              <w:top w:w="0" w:type="dxa"/>
              <w:left w:w="45" w:type="dxa"/>
              <w:bottom w:w="0" w:type="dxa"/>
              <w:right w:w="45" w:type="dxa"/>
            </w:tcMar>
            <w:vAlign w:val="center"/>
          </w:tcPr>
          <w:p w14:paraId="53CA1F5E" w14:textId="77777777" w:rsidR="002F2BB2" w:rsidRPr="00532C61" w:rsidRDefault="002F2BB2" w:rsidP="0072694B">
            <w:pPr>
              <w:jc w:val="right"/>
              <w:rPr>
                <w:bCs/>
                <w:sz w:val="22"/>
                <w:szCs w:val="22"/>
              </w:rPr>
            </w:pPr>
          </w:p>
        </w:tc>
        <w:tc>
          <w:tcPr>
            <w:tcW w:w="391" w:type="pct"/>
            <w:tcMar>
              <w:top w:w="0" w:type="dxa"/>
              <w:left w:w="45" w:type="dxa"/>
              <w:bottom w:w="0" w:type="dxa"/>
              <w:right w:w="45" w:type="dxa"/>
            </w:tcMar>
            <w:vAlign w:val="center"/>
          </w:tcPr>
          <w:p w14:paraId="0C224E6A"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1B26F640" w14:textId="77777777" w:rsidR="002F2BB2" w:rsidRPr="00532C61" w:rsidRDefault="002F2BB2" w:rsidP="0072694B">
            <w:pPr>
              <w:jc w:val="right"/>
              <w:rPr>
                <w:bCs/>
                <w:sz w:val="22"/>
                <w:szCs w:val="22"/>
              </w:rPr>
            </w:pPr>
          </w:p>
        </w:tc>
        <w:tc>
          <w:tcPr>
            <w:tcW w:w="437" w:type="pct"/>
            <w:tcMar>
              <w:top w:w="0" w:type="dxa"/>
              <w:left w:w="45" w:type="dxa"/>
              <w:bottom w:w="0" w:type="dxa"/>
              <w:right w:w="45" w:type="dxa"/>
            </w:tcMar>
            <w:vAlign w:val="center"/>
          </w:tcPr>
          <w:p w14:paraId="40C1C280"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644F8CC1" w14:textId="77777777" w:rsidR="002F2BB2" w:rsidRPr="00532C61" w:rsidRDefault="002F2BB2" w:rsidP="0072694B">
            <w:pPr>
              <w:jc w:val="right"/>
              <w:rPr>
                <w:bCs/>
                <w:sz w:val="22"/>
                <w:szCs w:val="22"/>
              </w:rPr>
            </w:pPr>
          </w:p>
        </w:tc>
        <w:tc>
          <w:tcPr>
            <w:tcW w:w="374" w:type="pct"/>
            <w:tcMar>
              <w:top w:w="0" w:type="dxa"/>
              <w:left w:w="45" w:type="dxa"/>
              <w:bottom w:w="0" w:type="dxa"/>
              <w:right w:w="45" w:type="dxa"/>
            </w:tcMar>
            <w:vAlign w:val="center"/>
          </w:tcPr>
          <w:p w14:paraId="5AD7A34D" w14:textId="77777777" w:rsidR="002F2BB2" w:rsidRPr="00532C61" w:rsidRDefault="002F2BB2" w:rsidP="0072694B">
            <w:pPr>
              <w:jc w:val="right"/>
              <w:rPr>
                <w:sz w:val="22"/>
                <w:szCs w:val="22"/>
              </w:rPr>
            </w:pPr>
          </w:p>
        </w:tc>
        <w:tc>
          <w:tcPr>
            <w:tcW w:w="406" w:type="pct"/>
            <w:tcMar>
              <w:top w:w="0" w:type="dxa"/>
              <w:left w:w="45" w:type="dxa"/>
              <w:bottom w:w="0" w:type="dxa"/>
              <w:right w:w="45" w:type="dxa"/>
            </w:tcMar>
            <w:vAlign w:val="bottom"/>
          </w:tcPr>
          <w:p w14:paraId="1DA09CFD" w14:textId="77777777" w:rsidR="002F2BB2" w:rsidRPr="00532C61" w:rsidRDefault="002F2BB2" w:rsidP="0072694B">
            <w:pPr>
              <w:jc w:val="right"/>
              <w:rPr>
                <w:sz w:val="22"/>
                <w:szCs w:val="22"/>
              </w:rPr>
            </w:pPr>
          </w:p>
        </w:tc>
      </w:tr>
      <w:tr w:rsidR="002F2BB2" w:rsidRPr="00532C61" w14:paraId="0CB476E7" w14:textId="77777777" w:rsidTr="0072694B">
        <w:trPr>
          <w:trHeight w:val="315"/>
        </w:trPr>
        <w:tc>
          <w:tcPr>
            <w:tcW w:w="1988" w:type="pct"/>
            <w:tcMar>
              <w:top w:w="0" w:type="dxa"/>
              <w:left w:w="45" w:type="dxa"/>
              <w:bottom w:w="0" w:type="dxa"/>
              <w:right w:w="45" w:type="dxa"/>
            </w:tcMar>
            <w:vAlign w:val="bottom"/>
          </w:tcPr>
          <w:p w14:paraId="3A63A904" w14:textId="77777777" w:rsidR="002F2BB2" w:rsidRPr="00532C61" w:rsidRDefault="002F2BB2" w:rsidP="0072694B">
            <w:pPr>
              <w:rPr>
                <w:sz w:val="22"/>
                <w:szCs w:val="22"/>
              </w:rPr>
            </w:pPr>
            <w:r w:rsidRPr="00532C61">
              <w:rPr>
                <w:b/>
                <w:bCs/>
                <w:sz w:val="22"/>
                <w:szCs w:val="22"/>
              </w:rPr>
              <w:t>Method of MA use at Last High Frequency Use</w:t>
            </w:r>
          </w:p>
        </w:tc>
        <w:tc>
          <w:tcPr>
            <w:tcW w:w="468" w:type="pct"/>
            <w:tcMar>
              <w:top w:w="0" w:type="dxa"/>
              <w:left w:w="45" w:type="dxa"/>
              <w:bottom w:w="0" w:type="dxa"/>
              <w:right w:w="45" w:type="dxa"/>
            </w:tcMar>
            <w:vAlign w:val="center"/>
          </w:tcPr>
          <w:p w14:paraId="1C57D78C" w14:textId="77777777" w:rsidR="002F2BB2" w:rsidRPr="00532C61" w:rsidRDefault="002F2BB2" w:rsidP="0072694B">
            <w:pPr>
              <w:jc w:val="right"/>
              <w:rPr>
                <w:bCs/>
                <w:sz w:val="22"/>
                <w:szCs w:val="22"/>
              </w:rPr>
            </w:pPr>
          </w:p>
        </w:tc>
        <w:tc>
          <w:tcPr>
            <w:tcW w:w="391" w:type="pct"/>
            <w:tcMar>
              <w:top w:w="0" w:type="dxa"/>
              <w:left w:w="45" w:type="dxa"/>
              <w:bottom w:w="0" w:type="dxa"/>
              <w:right w:w="45" w:type="dxa"/>
            </w:tcMar>
            <w:vAlign w:val="center"/>
          </w:tcPr>
          <w:p w14:paraId="70F4C835"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79B19BDA" w14:textId="77777777" w:rsidR="002F2BB2" w:rsidRPr="00532C61" w:rsidRDefault="002F2BB2" w:rsidP="0072694B">
            <w:pPr>
              <w:jc w:val="right"/>
              <w:rPr>
                <w:bCs/>
                <w:sz w:val="22"/>
                <w:szCs w:val="22"/>
              </w:rPr>
            </w:pPr>
          </w:p>
        </w:tc>
        <w:tc>
          <w:tcPr>
            <w:tcW w:w="437" w:type="pct"/>
            <w:tcMar>
              <w:top w:w="0" w:type="dxa"/>
              <w:left w:w="45" w:type="dxa"/>
              <w:bottom w:w="0" w:type="dxa"/>
              <w:right w:w="45" w:type="dxa"/>
            </w:tcMar>
            <w:vAlign w:val="center"/>
          </w:tcPr>
          <w:p w14:paraId="2DB4EB1D" w14:textId="77777777" w:rsidR="002F2BB2" w:rsidRPr="00532C61" w:rsidRDefault="002F2BB2" w:rsidP="0072694B">
            <w:pPr>
              <w:jc w:val="right"/>
              <w:rPr>
                <w:sz w:val="22"/>
                <w:szCs w:val="22"/>
              </w:rPr>
            </w:pPr>
          </w:p>
        </w:tc>
        <w:tc>
          <w:tcPr>
            <w:tcW w:w="468" w:type="pct"/>
            <w:tcMar>
              <w:top w:w="0" w:type="dxa"/>
              <w:left w:w="45" w:type="dxa"/>
              <w:bottom w:w="0" w:type="dxa"/>
              <w:right w:w="45" w:type="dxa"/>
            </w:tcMar>
            <w:vAlign w:val="center"/>
          </w:tcPr>
          <w:p w14:paraId="10AC8730" w14:textId="77777777" w:rsidR="002F2BB2" w:rsidRPr="00532C61" w:rsidRDefault="002F2BB2" w:rsidP="0072694B">
            <w:pPr>
              <w:jc w:val="right"/>
              <w:rPr>
                <w:bCs/>
                <w:sz w:val="22"/>
                <w:szCs w:val="22"/>
              </w:rPr>
            </w:pPr>
          </w:p>
        </w:tc>
        <w:tc>
          <w:tcPr>
            <w:tcW w:w="374" w:type="pct"/>
            <w:tcMar>
              <w:top w:w="0" w:type="dxa"/>
              <w:left w:w="45" w:type="dxa"/>
              <w:bottom w:w="0" w:type="dxa"/>
              <w:right w:w="45" w:type="dxa"/>
            </w:tcMar>
            <w:vAlign w:val="center"/>
          </w:tcPr>
          <w:p w14:paraId="45CAF323" w14:textId="77777777" w:rsidR="002F2BB2" w:rsidRPr="00532C61" w:rsidRDefault="002F2BB2" w:rsidP="0072694B">
            <w:pPr>
              <w:jc w:val="right"/>
              <w:rPr>
                <w:sz w:val="22"/>
                <w:szCs w:val="22"/>
              </w:rPr>
            </w:pPr>
          </w:p>
        </w:tc>
        <w:tc>
          <w:tcPr>
            <w:tcW w:w="406" w:type="pct"/>
            <w:tcMar>
              <w:top w:w="0" w:type="dxa"/>
              <w:left w:w="45" w:type="dxa"/>
              <w:bottom w:w="0" w:type="dxa"/>
              <w:right w:w="45" w:type="dxa"/>
            </w:tcMar>
            <w:vAlign w:val="bottom"/>
          </w:tcPr>
          <w:p w14:paraId="15DE501F" w14:textId="77777777" w:rsidR="002F2BB2" w:rsidRPr="00532C61" w:rsidRDefault="002F2BB2" w:rsidP="0072694B">
            <w:pPr>
              <w:jc w:val="right"/>
              <w:rPr>
                <w:sz w:val="22"/>
                <w:szCs w:val="22"/>
              </w:rPr>
            </w:pPr>
          </w:p>
        </w:tc>
      </w:tr>
      <w:tr w:rsidR="002F2BB2" w:rsidRPr="00532C61" w14:paraId="6F2CE317" w14:textId="77777777" w:rsidTr="0072694B">
        <w:trPr>
          <w:trHeight w:val="315"/>
        </w:trPr>
        <w:tc>
          <w:tcPr>
            <w:tcW w:w="1988" w:type="pct"/>
            <w:tcMar>
              <w:top w:w="0" w:type="dxa"/>
              <w:left w:w="45" w:type="dxa"/>
              <w:bottom w:w="0" w:type="dxa"/>
              <w:right w:w="45" w:type="dxa"/>
            </w:tcMar>
            <w:vAlign w:val="bottom"/>
          </w:tcPr>
          <w:p w14:paraId="024233E5" w14:textId="77777777" w:rsidR="002F2BB2" w:rsidRPr="00532C61" w:rsidRDefault="002F2BB2" w:rsidP="0072694B">
            <w:pPr>
              <w:rPr>
                <w:bCs/>
                <w:sz w:val="22"/>
                <w:szCs w:val="22"/>
              </w:rPr>
            </w:pPr>
            <w:r w:rsidRPr="00532C61">
              <w:rPr>
                <w:bCs/>
                <w:sz w:val="22"/>
                <w:szCs w:val="22"/>
              </w:rPr>
              <w:t xml:space="preserve">    Use without injection</w:t>
            </w:r>
          </w:p>
        </w:tc>
        <w:tc>
          <w:tcPr>
            <w:tcW w:w="468" w:type="pct"/>
            <w:tcMar>
              <w:top w:w="0" w:type="dxa"/>
              <w:left w:w="45" w:type="dxa"/>
              <w:bottom w:w="0" w:type="dxa"/>
              <w:right w:w="45" w:type="dxa"/>
            </w:tcMar>
            <w:vAlign w:val="center"/>
          </w:tcPr>
          <w:p w14:paraId="40CD7F9B" w14:textId="77777777" w:rsidR="002F2BB2" w:rsidRPr="00532C61" w:rsidRDefault="002F2BB2" w:rsidP="0072694B">
            <w:pPr>
              <w:jc w:val="right"/>
              <w:rPr>
                <w:bCs/>
                <w:sz w:val="22"/>
                <w:szCs w:val="22"/>
              </w:rPr>
            </w:pPr>
            <w:r w:rsidRPr="00532C61">
              <w:rPr>
                <w:bCs/>
                <w:sz w:val="22"/>
                <w:szCs w:val="22"/>
              </w:rPr>
              <w:t>40</w:t>
            </w:r>
          </w:p>
        </w:tc>
        <w:tc>
          <w:tcPr>
            <w:tcW w:w="391" w:type="pct"/>
            <w:tcMar>
              <w:top w:w="0" w:type="dxa"/>
              <w:left w:w="45" w:type="dxa"/>
              <w:bottom w:w="0" w:type="dxa"/>
              <w:right w:w="45" w:type="dxa"/>
            </w:tcMar>
            <w:vAlign w:val="center"/>
          </w:tcPr>
          <w:p w14:paraId="26A5259E" w14:textId="77777777" w:rsidR="002F2BB2" w:rsidRPr="00532C61" w:rsidRDefault="002F2BB2" w:rsidP="0072694B">
            <w:pPr>
              <w:jc w:val="right"/>
              <w:rPr>
                <w:sz w:val="22"/>
                <w:szCs w:val="22"/>
              </w:rPr>
            </w:pPr>
            <w:r w:rsidRPr="00532C61">
              <w:rPr>
                <w:sz w:val="22"/>
                <w:szCs w:val="22"/>
              </w:rPr>
              <w:t>59.7</w:t>
            </w:r>
          </w:p>
        </w:tc>
        <w:tc>
          <w:tcPr>
            <w:tcW w:w="468" w:type="pct"/>
            <w:tcMar>
              <w:top w:w="0" w:type="dxa"/>
              <w:left w:w="45" w:type="dxa"/>
              <w:bottom w:w="0" w:type="dxa"/>
              <w:right w:w="45" w:type="dxa"/>
            </w:tcMar>
            <w:vAlign w:val="center"/>
          </w:tcPr>
          <w:p w14:paraId="28A0F3BE" w14:textId="77777777" w:rsidR="002F2BB2" w:rsidRPr="00532C61" w:rsidRDefault="002F2BB2" w:rsidP="0072694B">
            <w:pPr>
              <w:jc w:val="right"/>
              <w:rPr>
                <w:bCs/>
                <w:sz w:val="22"/>
                <w:szCs w:val="22"/>
              </w:rPr>
            </w:pPr>
            <w:r w:rsidRPr="00532C61">
              <w:rPr>
                <w:bCs/>
                <w:sz w:val="22"/>
                <w:szCs w:val="22"/>
              </w:rPr>
              <w:t>12</w:t>
            </w:r>
          </w:p>
        </w:tc>
        <w:tc>
          <w:tcPr>
            <w:tcW w:w="437" w:type="pct"/>
            <w:tcMar>
              <w:top w:w="0" w:type="dxa"/>
              <w:left w:w="45" w:type="dxa"/>
              <w:bottom w:w="0" w:type="dxa"/>
              <w:right w:w="45" w:type="dxa"/>
            </w:tcMar>
            <w:vAlign w:val="center"/>
          </w:tcPr>
          <w:p w14:paraId="41B39597" w14:textId="77777777" w:rsidR="002F2BB2" w:rsidRPr="00532C61" w:rsidRDefault="002F2BB2" w:rsidP="0072694B">
            <w:pPr>
              <w:jc w:val="right"/>
              <w:rPr>
                <w:sz w:val="22"/>
                <w:szCs w:val="22"/>
              </w:rPr>
            </w:pPr>
            <w:r w:rsidRPr="00532C61">
              <w:rPr>
                <w:sz w:val="22"/>
                <w:szCs w:val="22"/>
              </w:rPr>
              <w:t>57.1</w:t>
            </w:r>
          </w:p>
        </w:tc>
        <w:tc>
          <w:tcPr>
            <w:tcW w:w="468" w:type="pct"/>
            <w:tcMar>
              <w:top w:w="0" w:type="dxa"/>
              <w:left w:w="45" w:type="dxa"/>
              <w:bottom w:w="0" w:type="dxa"/>
              <w:right w:w="45" w:type="dxa"/>
            </w:tcMar>
            <w:vAlign w:val="center"/>
          </w:tcPr>
          <w:p w14:paraId="217EAC55" w14:textId="77777777" w:rsidR="002F2BB2" w:rsidRPr="00532C61" w:rsidRDefault="002F2BB2" w:rsidP="0072694B">
            <w:pPr>
              <w:jc w:val="right"/>
              <w:rPr>
                <w:bCs/>
                <w:sz w:val="22"/>
                <w:szCs w:val="22"/>
              </w:rPr>
            </w:pPr>
            <w:r w:rsidRPr="00532C61">
              <w:rPr>
                <w:bCs/>
                <w:sz w:val="22"/>
                <w:szCs w:val="22"/>
              </w:rPr>
              <w:t>28</w:t>
            </w:r>
          </w:p>
        </w:tc>
        <w:tc>
          <w:tcPr>
            <w:tcW w:w="374" w:type="pct"/>
            <w:tcMar>
              <w:top w:w="0" w:type="dxa"/>
              <w:left w:w="45" w:type="dxa"/>
              <w:bottom w:w="0" w:type="dxa"/>
              <w:right w:w="45" w:type="dxa"/>
            </w:tcMar>
            <w:vAlign w:val="center"/>
          </w:tcPr>
          <w:p w14:paraId="13A5F0A1" w14:textId="77777777" w:rsidR="002F2BB2" w:rsidRPr="00532C61" w:rsidRDefault="002F2BB2" w:rsidP="0072694B">
            <w:pPr>
              <w:jc w:val="right"/>
              <w:rPr>
                <w:sz w:val="22"/>
                <w:szCs w:val="22"/>
              </w:rPr>
            </w:pPr>
            <w:r w:rsidRPr="00532C61">
              <w:rPr>
                <w:sz w:val="22"/>
                <w:szCs w:val="22"/>
              </w:rPr>
              <w:t>60.9</w:t>
            </w:r>
          </w:p>
        </w:tc>
        <w:tc>
          <w:tcPr>
            <w:tcW w:w="406" w:type="pct"/>
            <w:tcMar>
              <w:top w:w="0" w:type="dxa"/>
              <w:left w:w="45" w:type="dxa"/>
              <w:bottom w:w="0" w:type="dxa"/>
              <w:right w:w="45" w:type="dxa"/>
            </w:tcMar>
            <w:vAlign w:val="bottom"/>
          </w:tcPr>
          <w:p w14:paraId="600D095B" w14:textId="77777777" w:rsidR="002F2BB2" w:rsidRPr="00532C61" w:rsidRDefault="002F2BB2" w:rsidP="0072694B">
            <w:pPr>
              <w:jc w:val="right"/>
              <w:rPr>
                <w:sz w:val="22"/>
                <w:szCs w:val="22"/>
              </w:rPr>
            </w:pPr>
            <w:r w:rsidRPr="00532C61">
              <w:rPr>
                <w:sz w:val="22"/>
                <w:szCs w:val="22"/>
              </w:rPr>
              <w:t>0.794</w:t>
            </w:r>
          </w:p>
        </w:tc>
      </w:tr>
      <w:tr w:rsidR="002F2BB2" w:rsidRPr="00532C61" w14:paraId="59E61582" w14:textId="77777777" w:rsidTr="0072694B">
        <w:trPr>
          <w:trHeight w:val="315"/>
        </w:trPr>
        <w:tc>
          <w:tcPr>
            <w:tcW w:w="1988" w:type="pct"/>
            <w:tcMar>
              <w:top w:w="0" w:type="dxa"/>
              <w:left w:w="45" w:type="dxa"/>
              <w:bottom w:w="0" w:type="dxa"/>
              <w:right w:w="45" w:type="dxa"/>
            </w:tcMar>
            <w:vAlign w:val="bottom"/>
          </w:tcPr>
          <w:p w14:paraId="2810CCF0" w14:textId="77777777" w:rsidR="002F2BB2" w:rsidRPr="00532C61" w:rsidRDefault="002F2BB2" w:rsidP="0072694B">
            <w:pPr>
              <w:rPr>
                <w:bCs/>
                <w:sz w:val="22"/>
                <w:szCs w:val="22"/>
              </w:rPr>
            </w:pPr>
            <w:r w:rsidRPr="00532C61">
              <w:rPr>
                <w:bCs/>
                <w:sz w:val="22"/>
                <w:szCs w:val="22"/>
              </w:rPr>
              <w:t xml:space="preserve">    Injection</w:t>
            </w:r>
          </w:p>
        </w:tc>
        <w:tc>
          <w:tcPr>
            <w:tcW w:w="468" w:type="pct"/>
            <w:tcMar>
              <w:top w:w="0" w:type="dxa"/>
              <w:left w:w="45" w:type="dxa"/>
              <w:bottom w:w="0" w:type="dxa"/>
              <w:right w:w="45" w:type="dxa"/>
            </w:tcMar>
            <w:vAlign w:val="center"/>
          </w:tcPr>
          <w:p w14:paraId="2792D61A" w14:textId="77777777" w:rsidR="002F2BB2" w:rsidRPr="00532C61" w:rsidRDefault="002F2BB2" w:rsidP="0072694B">
            <w:pPr>
              <w:jc w:val="right"/>
              <w:rPr>
                <w:bCs/>
                <w:sz w:val="22"/>
                <w:szCs w:val="22"/>
              </w:rPr>
            </w:pPr>
            <w:r w:rsidRPr="00532C61">
              <w:rPr>
                <w:bCs/>
                <w:sz w:val="22"/>
                <w:szCs w:val="22"/>
              </w:rPr>
              <w:t>27</w:t>
            </w:r>
          </w:p>
        </w:tc>
        <w:tc>
          <w:tcPr>
            <w:tcW w:w="391" w:type="pct"/>
            <w:tcMar>
              <w:top w:w="0" w:type="dxa"/>
              <w:left w:w="45" w:type="dxa"/>
              <w:bottom w:w="0" w:type="dxa"/>
              <w:right w:w="45" w:type="dxa"/>
            </w:tcMar>
            <w:vAlign w:val="center"/>
          </w:tcPr>
          <w:p w14:paraId="472C5ECA" w14:textId="77777777" w:rsidR="002F2BB2" w:rsidRPr="00532C61" w:rsidRDefault="002F2BB2" w:rsidP="0072694B">
            <w:pPr>
              <w:jc w:val="right"/>
              <w:rPr>
                <w:sz w:val="22"/>
                <w:szCs w:val="22"/>
              </w:rPr>
            </w:pPr>
            <w:r w:rsidRPr="00532C61">
              <w:rPr>
                <w:sz w:val="22"/>
                <w:szCs w:val="22"/>
              </w:rPr>
              <w:t>40.3</w:t>
            </w:r>
          </w:p>
        </w:tc>
        <w:tc>
          <w:tcPr>
            <w:tcW w:w="468" w:type="pct"/>
            <w:tcMar>
              <w:top w:w="0" w:type="dxa"/>
              <w:left w:w="45" w:type="dxa"/>
              <w:bottom w:w="0" w:type="dxa"/>
              <w:right w:w="45" w:type="dxa"/>
            </w:tcMar>
            <w:vAlign w:val="center"/>
          </w:tcPr>
          <w:p w14:paraId="0C3D3FD5" w14:textId="77777777" w:rsidR="002F2BB2" w:rsidRPr="00532C61" w:rsidRDefault="002F2BB2" w:rsidP="0072694B">
            <w:pPr>
              <w:jc w:val="right"/>
              <w:rPr>
                <w:bCs/>
                <w:sz w:val="22"/>
                <w:szCs w:val="22"/>
              </w:rPr>
            </w:pPr>
            <w:r w:rsidRPr="00532C61">
              <w:rPr>
                <w:bCs/>
                <w:sz w:val="22"/>
                <w:szCs w:val="22"/>
              </w:rPr>
              <w:t>9</w:t>
            </w:r>
          </w:p>
        </w:tc>
        <w:tc>
          <w:tcPr>
            <w:tcW w:w="437" w:type="pct"/>
            <w:tcMar>
              <w:top w:w="0" w:type="dxa"/>
              <w:left w:w="45" w:type="dxa"/>
              <w:bottom w:w="0" w:type="dxa"/>
              <w:right w:w="45" w:type="dxa"/>
            </w:tcMar>
            <w:vAlign w:val="center"/>
          </w:tcPr>
          <w:p w14:paraId="24C676B1" w14:textId="77777777" w:rsidR="002F2BB2" w:rsidRPr="00532C61" w:rsidRDefault="002F2BB2" w:rsidP="0072694B">
            <w:pPr>
              <w:jc w:val="right"/>
              <w:rPr>
                <w:sz w:val="22"/>
                <w:szCs w:val="22"/>
              </w:rPr>
            </w:pPr>
            <w:r w:rsidRPr="00532C61">
              <w:rPr>
                <w:sz w:val="22"/>
                <w:szCs w:val="22"/>
              </w:rPr>
              <w:t>42.9</w:t>
            </w:r>
          </w:p>
        </w:tc>
        <w:tc>
          <w:tcPr>
            <w:tcW w:w="468" w:type="pct"/>
            <w:tcMar>
              <w:top w:w="0" w:type="dxa"/>
              <w:left w:w="45" w:type="dxa"/>
              <w:bottom w:w="0" w:type="dxa"/>
              <w:right w:w="45" w:type="dxa"/>
            </w:tcMar>
            <w:vAlign w:val="center"/>
          </w:tcPr>
          <w:p w14:paraId="6CC4337F" w14:textId="77777777" w:rsidR="002F2BB2" w:rsidRPr="00532C61" w:rsidRDefault="002F2BB2" w:rsidP="0072694B">
            <w:pPr>
              <w:jc w:val="right"/>
              <w:rPr>
                <w:bCs/>
                <w:sz w:val="22"/>
                <w:szCs w:val="22"/>
              </w:rPr>
            </w:pPr>
            <w:r w:rsidRPr="00532C61">
              <w:rPr>
                <w:bCs/>
                <w:sz w:val="22"/>
                <w:szCs w:val="22"/>
              </w:rPr>
              <w:t>18</w:t>
            </w:r>
          </w:p>
        </w:tc>
        <w:tc>
          <w:tcPr>
            <w:tcW w:w="374" w:type="pct"/>
            <w:tcMar>
              <w:top w:w="0" w:type="dxa"/>
              <w:left w:w="45" w:type="dxa"/>
              <w:bottom w:w="0" w:type="dxa"/>
              <w:right w:w="45" w:type="dxa"/>
            </w:tcMar>
            <w:vAlign w:val="center"/>
          </w:tcPr>
          <w:p w14:paraId="3DF88F1D" w14:textId="77777777" w:rsidR="002F2BB2" w:rsidRPr="00532C61" w:rsidRDefault="002F2BB2" w:rsidP="0072694B">
            <w:pPr>
              <w:jc w:val="right"/>
              <w:rPr>
                <w:sz w:val="22"/>
                <w:szCs w:val="22"/>
              </w:rPr>
            </w:pPr>
            <w:r w:rsidRPr="00532C61">
              <w:rPr>
                <w:sz w:val="22"/>
                <w:szCs w:val="22"/>
              </w:rPr>
              <w:t>39.1</w:t>
            </w:r>
          </w:p>
        </w:tc>
        <w:tc>
          <w:tcPr>
            <w:tcW w:w="406" w:type="pct"/>
            <w:tcMar>
              <w:top w:w="0" w:type="dxa"/>
              <w:left w:w="45" w:type="dxa"/>
              <w:bottom w:w="0" w:type="dxa"/>
              <w:right w:w="45" w:type="dxa"/>
            </w:tcMar>
            <w:vAlign w:val="bottom"/>
          </w:tcPr>
          <w:p w14:paraId="03972EAB" w14:textId="77777777" w:rsidR="002F2BB2" w:rsidRPr="00532C61" w:rsidRDefault="002F2BB2" w:rsidP="0072694B">
            <w:pPr>
              <w:jc w:val="right"/>
              <w:rPr>
                <w:sz w:val="22"/>
                <w:szCs w:val="22"/>
              </w:rPr>
            </w:pPr>
          </w:p>
        </w:tc>
      </w:tr>
      <w:tr w:rsidR="002F2BB2" w:rsidRPr="00532C61" w14:paraId="293C8AB6" w14:textId="77777777" w:rsidTr="0072694B">
        <w:trPr>
          <w:trHeight w:val="545"/>
        </w:trPr>
        <w:tc>
          <w:tcPr>
            <w:tcW w:w="1988" w:type="pct"/>
            <w:shd w:val="clear" w:color="auto" w:fill="auto"/>
            <w:tcMar>
              <w:top w:w="0" w:type="dxa"/>
              <w:left w:w="45" w:type="dxa"/>
              <w:bottom w:w="0" w:type="dxa"/>
              <w:right w:w="45" w:type="dxa"/>
            </w:tcMar>
            <w:vAlign w:val="bottom"/>
            <w:hideMark/>
          </w:tcPr>
          <w:p w14:paraId="6AD40FB0" w14:textId="77777777" w:rsidR="002F2BB2" w:rsidRPr="00532C61" w:rsidRDefault="002F2BB2" w:rsidP="0072694B">
            <w:pPr>
              <w:rPr>
                <w:b/>
                <w:bCs/>
                <w:sz w:val="22"/>
                <w:szCs w:val="22"/>
              </w:rPr>
            </w:pPr>
            <w:r w:rsidRPr="00532C61">
              <w:rPr>
                <w:b/>
                <w:bCs/>
                <w:sz w:val="22"/>
                <w:szCs w:val="22"/>
              </w:rPr>
              <w:t>Any Injection Drug Use in P6M, excluding steroids</w:t>
            </w:r>
          </w:p>
        </w:tc>
        <w:tc>
          <w:tcPr>
            <w:tcW w:w="468" w:type="pct"/>
            <w:shd w:val="clear" w:color="auto" w:fill="auto"/>
            <w:tcMar>
              <w:top w:w="0" w:type="dxa"/>
              <w:left w:w="45" w:type="dxa"/>
              <w:bottom w:w="0" w:type="dxa"/>
              <w:right w:w="45" w:type="dxa"/>
            </w:tcMar>
            <w:vAlign w:val="center"/>
            <w:hideMark/>
          </w:tcPr>
          <w:p w14:paraId="646ACF9E" w14:textId="77777777" w:rsidR="002F2BB2" w:rsidRPr="00532C61" w:rsidRDefault="002F2BB2" w:rsidP="0072694B">
            <w:pPr>
              <w:rPr>
                <w:sz w:val="22"/>
                <w:szCs w:val="22"/>
              </w:rPr>
            </w:pPr>
          </w:p>
        </w:tc>
        <w:tc>
          <w:tcPr>
            <w:tcW w:w="391" w:type="pct"/>
            <w:shd w:val="clear" w:color="auto" w:fill="auto"/>
            <w:tcMar>
              <w:top w:w="0" w:type="dxa"/>
              <w:left w:w="45" w:type="dxa"/>
              <w:bottom w:w="0" w:type="dxa"/>
              <w:right w:w="45" w:type="dxa"/>
            </w:tcMar>
            <w:vAlign w:val="center"/>
            <w:hideMark/>
          </w:tcPr>
          <w:p w14:paraId="70ABC3D3"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08847748" w14:textId="77777777" w:rsidR="002F2BB2" w:rsidRPr="00532C61" w:rsidRDefault="002F2BB2" w:rsidP="0072694B">
            <w:pPr>
              <w:rPr>
                <w:sz w:val="22"/>
                <w:szCs w:val="22"/>
              </w:rPr>
            </w:pPr>
          </w:p>
        </w:tc>
        <w:tc>
          <w:tcPr>
            <w:tcW w:w="437" w:type="pct"/>
            <w:shd w:val="clear" w:color="auto" w:fill="auto"/>
            <w:tcMar>
              <w:top w:w="0" w:type="dxa"/>
              <w:left w:w="45" w:type="dxa"/>
              <w:bottom w:w="0" w:type="dxa"/>
              <w:right w:w="45" w:type="dxa"/>
            </w:tcMar>
            <w:vAlign w:val="center"/>
            <w:hideMark/>
          </w:tcPr>
          <w:p w14:paraId="5CE0C1EC"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357C607D" w14:textId="77777777" w:rsidR="002F2BB2" w:rsidRPr="00532C61" w:rsidRDefault="002F2BB2" w:rsidP="0072694B">
            <w:pPr>
              <w:rPr>
                <w:sz w:val="22"/>
                <w:szCs w:val="22"/>
              </w:rPr>
            </w:pPr>
          </w:p>
        </w:tc>
        <w:tc>
          <w:tcPr>
            <w:tcW w:w="374" w:type="pct"/>
            <w:shd w:val="clear" w:color="auto" w:fill="auto"/>
            <w:tcMar>
              <w:top w:w="0" w:type="dxa"/>
              <w:left w:w="45" w:type="dxa"/>
              <w:bottom w:w="0" w:type="dxa"/>
              <w:right w:w="45" w:type="dxa"/>
            </w:tcMar>
            <w:vAlign w:val="center"/>
            <w:hideMark/>
          </w:tcPr>
          <w:p w14:paraId="7F8E6882" w14:textId="77777777" w:rsidR="002F2BB2" w:rsidRPr="00532C61" w:rsidRDefault="002F2BB2" w:rsidP="0072694B">
            <w:pPr>
              <w:rPr>
                <w:sz w:val="22"/>
                <w:szCs w:val="22"/>
              </w:rPr>
            </w:pPr>
          </w:p>
        </w:tc>
        <w:tc>
          <w:tcPr>
            <w:tcW w:w="406" w:type="pct"/>
            <w:shd w:val="clear" w:color="auto" w:fill="auto"/>
            <w:tcMar>
              <w:top w:w="0" w:type="dxa"/>
              <w:left w:w="45" w:type="dxa"/>
              <w:bottom w:w="0" w:type="dxa"/>
              <w:right w:w="45" w:type="dxa"/>
            </w:tcMar>
            <w:vAlign w:val="bottom"/>
            <w:hideMark/>
          </w:tcPr>
          <w:p w14:paraId="154C3FE9" w14:textId="77777777" w:rsidR="002F2BB2" w:rsidRPr="00532C61" w:rsidRDefault="002F2BB2" w:rsidP="0072694B">
            <w:pPr>
              <w:jc w:val="right"/>
              <w:rPr>
                <w:sz w:val="22"/>
                <w:szCs w:val="22"/>
              </w:rPr>
            </w:pPr>
          </w:p>
        </w:tc>
      </w:tr>
      <w:tr w:rsidR="002F2BB2" w:rsidRPr="00532C61" w14:paraId="7C6FDD08" w14:textId="77777777" w:rsidTr="0072694B">
        <w:trPr>
          <w:trHeight w:val="315"/>
        </w:trPr>
        <w:tc>
          <w:tcPr>
            <w:tcW w:w="1988" w:type="pct"/>
            <w:shd w:val="clear" w:color="auto" w:fill="auto"/>
            <w:tcMar>
              <w:top w:w="0" w:type="dxa"/>
              <w:left w:w="45" w:type="dxa"/>
              <w:bottom w:w="0" w:type="dxa"/>
              <w:right w:w="45" w:type="dxa"/>
            </w:tcMar>
            <w:vAlign w:val="bottom"/>
            <w:hideMark/>
          </w:tcPr>
          <w:p w14:paraId="12A24362" w14:textId="77777777" w:rsidR="002F2BB2" w:rsidRPr="00532C61" w:rsidRDefault="002F2BB2" w:rsidP="0072694B">
            <w:pPr>
              <w:rPr>
                <w:sz w:val="22"/>
                <w:szCs w:val="22"/>
              </w:rPr>
            </w:pPr>
            <w:r w:rsidRPr="00532C61">
              <w:rPr>
                <w:sz w:val="22"/>
                <w:szCs w:val="22"/>
              </w:rPr>
              <w:t xml:space="preserve">    No</w:t>
            </w:r>
          </w:p>
        </w:tc>
        <w:tc>
          <w:tcPr>
            <w:tcW w:w="468" w:type="pct"/>
            <w:shd w:val="clear" w:color="auto" w:fill="auto"/>
            <w:tcMar>
              <w:top w:w="0" w:type="dxa"/>
              <w:left w:w="45" w:type="dxa"/>
              <w:bottom w:w="0" w:type="dxa"/>
              <w:right w:w="45" w:type="dxa"/>
            </w:tcMar>
            <w:vAlign w:val="center"/>
            <w:hideMark/>
          </w:tcPr>
          <w:p w14:paraId="75FFC337" w14:textId="77777777" w:rsidR="002F2BB2" w:rsidRPr="00532C61" w:rsidRDefault="002F2BB2" w:rsidP="0072694B">
            <w:pPr>
              <w:jc w:val="right"/>
              <w:rPr>
                <w:bCs/>
                <w:sz w:val="22"/>
                <w:szCs w:val="22"/>
              </w:rPr>
            </w:pPr>
            <w:r w:rsidRPr="00532C61">
              <w:rPr>
                <w:bCs/>
                <w:sz w:val="22"/>
                <w:szCs w:val="22"/>
              </w:rPr>
              <w:t>46</w:t>
            </w:r>
          </w:p>
        </w:tc>
        <w:tc>
          <w:tcPr>
            <w:tcW w:w="391" w:type="pct"/>
            <w:shd w:val="clear" w:color="auto" w:fill="auto"/>
            <w:tcMar>
              <w:top w:w="0" w:type="dxa"/>
              <w:left w:w="45" w:type="dxa"/>
              <w:bottom w:w="0" w:type="dxa"/>
              <w:right w:w="45" w:type="dxa"/>
            </w:tcMar>
            <w:vAlign w:val="center"/>
            <w:hideMark/>
          </w:tcPr>
          <w:p w14:paraId="6FF11328" w14:textId="77777777" w:rsidR="002F2BB2" w:rsidRPr="00532C61" w:rsidRDefault="002F2BB2" w:rsidP="0072694B">
            <w:pPr>
              <w:jc w:val="right"/>
              <w:rPr>
                <w:sz w:val="22"/>
                <w:szCs w:val="22"/>
              </w:rPr>
            </w:pPr>
            <w:r w:rsidRPr="00532C61">
              <w:rPr>
                <w:sz w:val="22"/>
                <w:szCs w:val="22"/>
              </w:rPr>
              <w:t>68.7</w:t>
            </w:r>
          </w:p>
        </w:tc>
        <w:tc>
          <w:tcPr>
            <w:tcW w:w="468" w:type="pct"/>
            <w:shd w:val="clear" w:color="auto" w:fill="auto"/>
            <w:tcMar>
              <w:top w:w="0" w:type="dxa"/>
              <w:left w:w="45" w:type="dxa"/>
              <w:bottom w:w="0" w:type="dxa"/>
              <w:right w:w="45" w:type="dxa"/>
            </w:tcMar>
            <w:vAlign w:val="center"/>
            <w:hideMark/>
          </w:tcPr>
          <w:p w14:paraId="0E78E13E" w14:textId="77777777" w:rsidR="002F2BB2" w:rsidRPr="00532C61" w:rsidRDefault="002F2BB2" w:rsidP="0072694B">
            <w:pPr>
              <w:jc w:val="right"/>
              <w:rPr>
                <w:bCs/>
                <w:sz w:val="22"/>
                <w:szCs w:val="22"/>
              </w:rPr>
            </w:pPr>
            <w:r w:rsidRPr="00532C61">
              <w:rPr>
                <w:bCs/>
                <w:sz w:val="22"/>
                <w:szCs w:val="22"/>
              </w:rPr>
              <w:t>9</w:t>
            </w:r>
          </w:p>
        </w:tc>
        <w:tc>
          <w:tcPr>
            <w:tcW w:w="437" w:type="pct"/>
            <w:shd w:val="clear" w:color="auto" w:fill="auto"/>
            <w:tcMar>
              <w:top w:w="0" w:type="dxa"/>
              <w:left w:w="45" w:type="dxa"/>
              <w:bottom w:w="0" w:type="dxa"/>
              <w:right w:w="45" w:type="dxa"/>
            </w:tcMar>
            <w:vAlign w:val="center"/>
            <w:hideMark/>
          </w:tcPr>
          <w:p w14:paraId="4E65B6CD" w14:textId="77777777" w:rsidR="002F2BB2" w:rsidRPr="00532C61" w:rsidRDefault="002F2BB2" w:rsidP="0072694B">
            <w:pPr>
              <w:jc w:val="right"/>
              <w:rPr>
                <w:sz w:val="22"/>
                <w:szCs w:val="22"/>
              </w:rPr>
            </w:pPr>
            <w:r w:rsidRPr="00532C61">
              <w:rPr>
                <w:sz w:val="22"/>
                <w:szCs w:val="22"/>
              </w:rPr>
              <w:t>42.9</w:t>
            </w:r>
          </w:p>
        </w:tc>
        <w:tc>
          <w:tcPr>
            <w:tcW w:w="468" w:type="pct"/>
            <w:shd w:val="clear" w:color="auto" w:fill="auto"/>
            <w:tcMar>
              <w:top w:w="0" w:type="dxa"/>
              <w:left w:w="45" w:type="dxa"/>
              <w:bottom w:w="0" w:type="dxa"/>
              <w:right w:w="45" w:type="dxa"/>
            </w:tcMar>
            <w:vAlign w:val="center"/>
            <w:hideMark/>
          </w:tcPr>
          <w:p w14:paraId="2F22C7EA" w14:textId="77777777" w:rsidR="002F2BB2" w:rsidRPr="00532C61" w:rsidRDefault="002F2BB2" w:rsidP="0072694B">
            <w:pPr>
              <w:jc w:val="right"/>
              <w:rPr>
                <w:bCs/>
                <w:sz w:val="22"/>
                <w:szCs w:val="22"/>
              </w:rPr>
            </w:pPr>
            <w:r w:rsidRPr="00532C61">
              <w:rPr>
                <w:bCs/>
                <w:sz w:val="22"/>
                <w:szCs w:val="22"/>
              </w:rPr>
              <w:t>37</w:t>
            </w:r>
          </w:p>
        </w:tc>
        <w:tc>
          <w:tcPr>
            <w:tcW w:w="374" w:type="pct"/>
            <w:shd w:val="clear" w:color="auto" w:fill="auto"/>
            <w:tcMar>
              <w:top w:w="0" w:type="dxa"/>
              <w:left w:w="45" w:type="dxa"/>
              <w:bottom w:w="0" w:type="dxa"/>
              <w:right w:w="45" w:type="dxa"/>
            </w:tcMar>
            <w:vAlign w:val="center"/>
            <w:hideMark/>
          </w:tcPr>
          <w:p w14:paraId="645C35FF" w14:textId="77777777" w:rsidR="002F2BB2" w:rsidRPr="00532C61" w:rsidRDefault="002F2BB2" w:rsidP="0072694B">
            <w:pPr>
              <w:jc w:val="right"/>
              <w:rPr>
                <w:sz w:val="22"/>
                <w:szCs w:val="22"/>
              </w:rPr>
            </w:pPr>
            <w:r w:rsidRPr="00532C61">
              <w:rPr>
                <w:sz w:val="22"/>
                <w:szCs w:val="22"/>
              </w:rPr>
              <w:t>80.4</w:t>
            </w:r>
          </w:p>
        </w:tc>
        <w:tc>
          <w:tcPr>
            <w:tcW w:w="406" w:type="pct"/>
            <w:shd w:val="clear" w:color="auto" w:fill="auto"/>
            <w:tcMar>
              <w:top w:w="0" w:type="dxa"/>
              <w:left w:w="45" w:type="dxa"/>
              <w:bottom w:w="0" w:type="dxa"/>
              <w:right w:w="45" w:type="dxa"/>
            </w:tcMar>
            <w:vAlign w:val="bottom"/>
            <w:hideMark/>
          </w:tcPr>
          <w:p w14:paraId="4090573F" w14:textId="77777777" w:rsidR="002F2BB2" w:rsidRPr="00532C61" w:rsidRDefault="002F2BB2" w:rsidP="0072694B">
            <w:pPr>
              <w:jc w:val="right"/>
              <w:rPr>
                <w:b/>
                <w:bCs/>
                <w:sz w:val="22"/>
                <w:szCs w:val="22"/>
              </w:rPr>
            </w:pPr>
            <w:r w:rsidRPr="00532C61">
              <w:rPr>
                <w:b/>
                <w:bCs/>
                <w:sz w:val="22"/>
                <w:szCs w:val="22"/>
              </w:rPr>
              <w:t>0.004</w:t>
            </w:r>
          </w:p>
        </w:tc>
      </w:tr>
      <w:tr w:rsidR="002F2BB2" w:rsidRPr="00532C61" w14:paraId="4C2CA332" w14:textId="77777777" w:rsidTr="0072694B">
        <w:trPr>
          <w:trHeight w:val="315"/>
        </w:trPr>
        <w:tc>
          <w:tcPr>
            <w:tcW w:w="1988" w:type="pct"/>
            <w:shd w:val="clear" w:color="auto" w:fill="auto"/>
            <w:tcMar>
              <w:top w:w="0" w:type="dxa"/>
              <w:left w:w="45" w:type="dxa"/>
              <w:bottom w:w="0" w:type="dxa"/>
              <w:right w:w="45" w:type="dxa"/>
            </w:tcMar>
            <w:vAlign w:val="bottom"/>
            <w:hideMark/>
          </w:tcPr>
          <w:p w14:paraId="6A7F713E" w14:textId="77777777" w:rsidR="002F2BB2" w:rsidRPr="00532C61" w:rsidRDefault="002F2BB2" w:rsidP="0072694B">
            <w:pPr>
              <w:rPr>
                <w:sz w:val="22"/>
                <w:szCs w:val="22"/>
              </w:rPr>
            </w:pPr>
            <w:r w:rsidRPr="00532C61">
              <w:rPr>
                <w:sz w:val="22"/>
                <w:szCs w:val="22"/>
              </w:rPr>
              <w:t xml:space="preserve">    Yes</w:t>
            </w:r>
          </w:p>
        </w:tc>
        <w:tc>
          <w:tcPr>
            <w:tcW w:w="468" w:type="pct"/>
            <w:shd w:val="clear" w:color="auto" w:fill="auto"/>
            <w:tcMar>
              <w:top w:w="0" w:type="dxa"/>
              <w:left w:w="45" w:type="dxa"/>
              <w:bottom w:w="0" w:type="dxa"/>
              <w:right w:w="45" w:type="dxa"/>
            </w:tcMar>
            <w:vAlign w:val="center"/>
            <w:hideMark/>
          </w:tcPr>
          <w:p w14:paraId="362842BF" w14:textId="77777777" w:rsidR="002F2BB2" w:rsidRPr="00532C61" w:rsidRDefault="002F2BB2" w:rsidP="0072694B">
            <w:pPr>
              <w:jc w:val="right"/>
              <w:rPr>
                <w:bCs/>
                <w:sz w:val="22"/>
                <w:szCs w:val="22"/>
              </w:rPr>
            </w:pPr>
            <w:r w:rsidRPr="00532C61">
              <w:rPr>
                <w:bCs/>
                <w:sz w:val="22"/>
                <w:szCs w:val="22"/>
              </w:rPr>
              <w:t>21</w:t>
            </w:r>
          </w:p>
        </w:tc>
        <w:tc>
          <w:tcPr>
            <w:tcW w:w="391" w:type="pct"/>
            <w:shd w:val="clear" w:color="auto" w:fill="auto"/>
            <w:tcMar>
              <w:top w:w="0" w:type="dxa"/>
              <w:left w:w="45" w:type="dxa"/>
              <w:bottom w:w="0" w:type="dxa"/>
              <w:right w:w="45" w:type="dxa"/>
            </w:tcMar>
            <w:vAlign w:val="center"/>
            <w:hideMark/>
          </w:tcPr>
          <w:p w14:paraId="41957074" w14:textId="77777777" w:rsidR="002F2BB2" w:rsidRPr="00532C61" w:rsidRDefault="002F2BB2" w:rsidP="0072694B">
            <w:pPr>
              <w:jc w:val="right"/>
              <w:rPr>
                <w:sz w:val="22"/>
                <w:szCs w:val="22"/>
              </w:rPr>
            </w:pPr>
            <w:r w:rsidRPr="00532C61">
              <w:rPr>
                <w:sz w:val="22"/>
                <w:szCs w:val="22"/>
              </w:rPr>
              <w:t>31.3</w:t>
            </w:r>
          </w:p>
        </w:tc>
        <w:tc>
          <w:tcPr>
            <w:tcW w:w="468" w:type="pct"/>
            <w:shd w:val="clear" w:color="auto" w:fill="auto"/>
            <w:tcMar>
              <w:top w:w="0" w:type="dxa"/>
              <w:left w:w="45" w:type="dxa"/>
              <w:bottom w:w="0" w:type="dxa"/>
              <w:right w:w="45" w:type="dxa"/>
            </w:tcMar>
            <w:vAlign w:val="center"/>
            <w:hideMark/>
          </w:tcPr>
          <w:p w14:paraId="1D07EE88" w14:textId="77777777" w:rsidR="002F2BB2" w:rsidRPr="00532C61" w:rsidRDefault="002F2BB2" w:rsidP="0072694B">
            <w:pPr>
              <w:jc w:val="right"/>
              <w:rPr>
                <w:bCs/>
                <w:sz w:val="22"/>
                <w:szCs w:val="22"/>
              </w:rPr>
            </w:pPr>
            <w:r w:rsidRPr="00532C61">
              <w:rPr>
                <w:bCs/>
                <w:sz w:val="22"/>
                <w:szCs w:val="22"/>
              </w:rPr>
              <w:t>12</w:t>
            </w:r>
          </w:p>
        </w:tc>
        <w:tc>
          <w:tcPr>
            <w:tcW w:w="437" w:type="pct"/>
            <w:shd w:val="clear" w:color="auto" w:fill="auto"/>
            <w:tcMar>
              <w:top w:w="0" w:type="dxa"/>
              <w:left w:w="45" w:type="dxa"/>
              <w:bottom w:w="0" w:type="dxa"/>
              <w:right w:w="45" w:type="dxa"/>
            </w:tcMar>
            <w:vAlign w:val="center"/>
            <w:hideMark/>
          </w:tcPr>
          <w:p w14:paraId="54568975" w14:textId="77777777" w:rsidR="002F2BB2" w:rsidRPr="00532C61" w:rsidRDefault="002F2BB2" w:rsidP="0072694B">
            <w:pPr>
              <w:jc w:val="right"/>
              <w:rPr>
                <w:sz w:val="22"/>
                <w:szCs w:val="22"/>
              </w:rPr>
            </w:pPr>
            <w:r w:rsidRPr="00532C61">
              <w:rPr>
                <w:sz w:val="22"/>
                <w:szCs w:val="22"/>
              </w:rPr>
              <w:t>57.1</w:t>
            </w:r>
          </w:p>
        </w:tc>
        <w:tc>
          <w:tcPr>
            <w:tcW w:w="468" w:type="pct"/>
            <w:shd w:val="clear" w:color="auto" w:fill="auto"/>
            <w:tcMar>
              <w:top w:w="0" w:type="dxa"/>
              <w:left w:w="45" w:type="dxa"/>
              <w:bottom w:w="0" w:type="dxa"/>
              <w:right w:w="45" w:type="dxa"/>
            </w:tcMar>
            <w:vAlign w:val="center"/>
            <w:hideMark/>
          </w:tcPr>
          <w:p w14:paraId="16E4343C" w14:textId="77777777" w:rsidR="002F2BB2" w:rsidRPr="00532C61" w:rsidRDefault="002F2BB2" w:rsidP="0072694B">
            <w:pPr>
              <w:jc w:val="right"/>
              <w:rPr>
                <w:bCs/>
                <w:sz w:val="22"/>
                <w:szCs w:val="22"/>
              </w:rPr>
            </w:pPr>
            <w:r w:rsidRPr="00532C61">
              <w:rPr>
                <w:bCs/>
                <w:sz w:val="22"/>
                <w:szCs w:val="22"/>
              </w:rPr>
              <w:t>9</w:t>
            </w:r>
          </w:p>
        </w:tc>
        <w:tc>
          <w:tcPr>
            <w:tcW w:w="374" w:type="pct"/>
            <w:shd w:val="clear" w:color="auto" w:fill="auto"/>
            <w:tcMar>
              <w:top w:w="0" w:type="dxa"/>
              <w:left w:w="45" w:type="dxa"/>
              <w:bottom w:w="0" w:type="dxa"/>
              <w:right w:w="45" w:type="dxa"/>
            </w:tcMar>
            <w:vAlign w:val="center"/>
            <w:hideMark/>
          </w:tcPr>
          <w:p w14:paraId="4BB49665" w14:textId="77777777" w:rsidR="002F2BB2" w:rsidRPr="00532C61" w:rsidRDefault="002F2BB2" w:rsidP="0072694B">
            <w:pPr>
              <w:jc w:val="right"/>
              <w:rPr>
                <w:sz w:val="22"/>
                <w:szCs w:val="22"/>
              </w:rPr>
            </w:pPr>
            <w:r w:rsidRPr="00532C61">
              <w:rPr>
                <w:sz w:val="22"/>
                <w:szCs w:val="22"/>
              </w:rPr>
              <w:t>19.6</w:t>
            </w:r>
          </w:p>
        </w:tc>
        <w:tc>
          <w:tcPr>
            <w:tcW w:w="406" w:type="pct"/>
            <w:shd w:val="clear" w:color="auto" w:fill="auto"/>
            <w:tcMar>
              <w:top w:w="0" w:type="dxa"/>
              <w:left w:w="45" w:type="dxa"/>
              <w:bottom w:w="0" w:type="dxa"/>
              <w:right w:w="45" w:type="dxa"/>
            </w:tcMar>
            <w:vAlign w:val="bottom"/>
            <w:hideMark/>
          </w:tcPr>
          <w:p w14:paraId="69FA8E29" w14:textId="77777777" w:rsidR="002F2BB2" w:rsidRPr="00532C61" w:rsidRDefault="002F2BB2" w:rsidP="0072694B">
            <w:pPr>
              <w:jc w:val="right"/>
              <w:rPr>
                <w:sz w:val="22"/>
                <w:szCs w:val="22"/>
              </w:rPr>
            </w:pPr>
          </w:p>
        </w:tc>
      </w:tr>
      <w:tr w:rsidR="002F2BB2" w:rsidRPr="00532C61" w14:paraId="2DFBBC3A" w14:textId="77777777" w:rsidTr="0072694B">
        <w:trPr>
          <w:trHeight w:val="315"/>
        </w:trPr>
        <w:tc>
          <w:tcPr>
            <w:tcW w:w="1988" w:type="pct"/>
            <w:shd w:val="clear" w:color="auto" w:fill="auto"/>
            <w:tcMar>
              <w:top w:w="0" w:type="dxa"/>
              <w:left w:w="45" w:type="dxa"/>
              <w:bottom w:w="0" w:type="dxa"/>
              <w:right w:w="45" w:type="dxa"/>
            </w:tcMar>
            <w:vAlign w:val="center"/>
            <w:hideMark/>
          </w:tcPr>
          <w:p w14:paraId="677D8902" w14:textId="77777777" w:rsidR="002F2BB2" w:rsidRPr="00532C61" w:rsidRDefault="002F2BB2" w:rsidP="0072694B">
            <w:pPr>
              <w:rPr>
                <w:b/>
                <w:bCs/>
                <w:sz w:val="22"/>
                <w:szCs w:val="22"/>
              </w:rPr>
            </w:pPr>
            <w:r w:rsidRPr="00532C61">
              <w:rPr>
                <w:b/>
                <w:bCs/>
                <w:sz w:val="22"/>
                <w:szCs w:val="22"/>
              </w:rPr>
              <w:t>Binge Drinking Frequency (5+ Drinks on One Occasion)</w:t>
            </w:r>
          </w:p>
        </w:tc>
        <w:tc>
          <w:tcPr>
            <w:tcW w:w="468" w:type="pct"/>
            <w:shd w:val="clear" w:color="auto" w:fill="auto"/>
            <w:tcMar>
              <w:top w:w="0" w:type="dxa"/>
              <w:left w:w="45" w:type="dxa"/>
              <w:bottom w:w="0" w:type="dxa"/>
              <w:right w:w="45" w:type="dxa"/>
            </w:tcMar>
            <w:vAlign w:val="center"/>
            <w:hideMark/>
          </w:tcPr>
          <w:p w14:paraId="55FDF561" w14:textId="77777777" w:rsidR="002F2BB2" w:rsidRPr="00532C61" w:rsidRDefault="002F2BB2" w:rsidP="0072694B">
            <w:pPr>
              <w:rPr>
                <w:sz w:val="22"/>
                <w:szCs w:val="22"/>
              </w:rPr>
            </w:pPr>
          </w:p>
        </w:tc>
        <w:tc>
          <w:tcPr>
            <w:tcW w:w="391" w:type="pct"/>
            <w:shd w:val="clear" w:color="auto" w:fill="auto"/>
            <w:tcMar>
              <w:top w:w="0" w:type="dxa"/>
              <w:left w:w="45" w:type="dxa"/>
              <w:bottom w:w="0" w:type="dxa"/>
              <w:right w:w="45" w:type="dxa"/>
            </w:tcMar>
            <w:vAlign w:val="center"/>
            <w:hideMark/>
          </w:tcPr>
          <w:p w14:paraId="0ABB7A69"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5553BE66" w14:textId="77777777" w:rsidR="002F2BB2" w:rsidRPr="00532C61" w:rsidRDefault="002F2BB2" w:rsidP="0072694B">
            <w:pPr>
              <w:rPr>
                <w:sz w:val="22"/>
                <w:szCs w:val="22"/>
              </w:rPr>
            </w:pPr>
          </w:p>
        </w:tc>
        <w:tc>
          <w:tcPr>
            <w:tcW w:w="437" w:type="pct"/>
            <w:shd w:val="clear" w:color="auto" w:fill="auto"/>
            <w:tcMar>
              <w:top w:w="0" w:type="dxa"/>
              <w:left w:w="45" w:type="dxa"/>
              <w:bottom w:w="0" w:type="dxa"/>
              <w:right w:w="45" w:type="dxa"/>
            </w:tcMar>
            <w:vAlign w:val="center"/>
            <w:hideMark/>
          </w:tcPr>
          <w:p w14:paraId="08BC2800" w14:textId="77777777" w:rsidR="002F2BB2" w:rsidRPr="00532C61" w:rsidRDefault="002F2BB2" w:rsidP="0072694B">
            <w:pPr>
              <w:rPr>
                <w:sz w:val="22"/>
                <w:szCs w:val="22"/>
              </w:rPr>
            </w:pPr>
          </w:p>
        </w:tc>
        <w:tc>
          <w:tcPr>
            <w:tcW w:w="468" w:type="pct"/>
            <w:shd w:val="clear" w:color="auto" w:fill="auto"/>
            <w:tcMar>
              <w:top w:w="0" w:type="dxa"/>
              <w:left w:w="45" w:type="dxa"/>
              <w:bottom w:w="0" w:type="dxa"/>
              <w:right w:w="45" w:type="dxa"/>
            </w:tcMar>
            <w:vAlign w:val="center"/>
            <w:hideMark/>
          </w:tcPr>
          <w:p w14:paraId="35572C6B" w14:textId="77777777" w:rsidR="002F2BB2" w:rsidRPr="00532C61" w:rsidRDefault="002F2BB2" w:rsidP="0072694B">
            <w:pPr>
              <w:rPr>
                <w:sz w:val="22"/>
                <w:szCs w:val="22"/>
              </w:rPr>
            </w:pPr>
          </w:p>
        </w:tc>
        <w:tc>
          <w:tcPr>
            <w:tcW w:w="374" w:type="pct"/>
            <w:shd w:val="clear" w:color="auto" w:fill="auto"/>
            <w:tcMar>
              <w:top w:w="0" w:type="dxa"/>
              <w:left w:w="45" w:type="dxa"/>
              <w:bottom w:w="0" w:type="dxa"/>
              <w:right w:w="45" w:type="dxa"/>
            </w:tcMar>
            <w:vAlign w:val="center"/>
            <w:hideMark/>
          </w:tcPr>
          <w:p w14:paraId="6C4FC2FC" w14:textId="77777777" w:rsidR="002F2BB2" w:rsidRPr="00532C61" w:rsidRDefault="002F2BB2" w:rsidP="0072694B">
            <w:pPr>
              <w:rPr>
                <w:sz w:val="22"/>
                <w:szCs w:val="22"/>
              </w:rPr>
            </w:pPr>
          </w:p>
        </w:tc>
        <w:tc>
          <w:tcPr>
            <w:tcW w:w="406" w:type="pct"/>
            <w:shd w:val="clear" w:color="auto" w:fill="auto"/>
            <w:tcMar>
              <w:top w:w="0" w:type="dxa"/>
              <w:left w:w="45" w:type="dxa"/>
              <w:bottom w:w="0" w:type="dxa"/>
              <w:right w:w="45" w:type="dxa"/>
            </w:tcMar>
            <w:vAlign w:val="bottom"/>
            <w:hideMark/>
          </w:tcPr>
          <w:p w14:paraId="4AF82DA4" w14:textId="77777777" w:rsidR="002F2BB2" w:rsidRPr="00532C61" w:rsidRDefault="002F2BB2" w:rsidP="0072694B">
            <w:pPr>
              <w:jc w:val="right"/>
              <w:rPr>
                <w:sz w:val="22"/>
                <w:szCs w:val="22"/>
              </w:rPr>
            </w:pPr>
          </w:p>
        </w:tc>
      </w:tr>
      <w:tr w:rsidR="002F2BB2" w:rsidRPr="00532C61" w14:paraId="438ABEAC" w14:textId="77777777" w:rsidTr="0072694B">
        <w:trPr>
          <w:trHeight w:val="315"/>
        </w:trPr>
        <w:tc>
          <w:tcPr>
            <w:tcW w:w="1988" w:type="pct"/>
            <w:shd w:val="clear" w:color="auto" w:fill="auto"/>
            <w:tcMar>
              <w:top w:w="0" w:type="dxa"/>
              <w:left w:w="45" w:type="dxa"/>
              <w:bottom w:w="0" w:type="dxa"/>
              <w:right w:w="45" w:type="dxa"/>
            </w:tcMar>
            <w:vAlign w:val="bottom"/>
            <w:hideMark/>
          </w:tcPr>
          <w:p w14:paraId="2D70DA22" w14:textId="77777777" w:rsidR="002F2BB2" w:rsidRPr="00532C61" w:rsidRDefault="002F2BB2" w:rsidP="0072694B">
            <w:pPr>
              <w:rPr>
                <w:sz w:val="22"/>
                <w:szCs w:val="22"/>
              </w:rPr>
            </w:pPr>
            <w:r w:rsidRPr="00532C61">
              <w:rPr>
                <w:sz w:val="22"/>
                <w:szCs w:val="22"/>
              </w:rPr>
              <w:t xml:space="preserve">    Never/Less than monthly/Monthly</w:t>
            </w:r>
          </w:p>
        </w:tc>
        <w:tc>
          <w:tcPr>
            <w:tcW w:w="468" w:type="pct"/>
            <w:shd w:val="clear" w:color="auto" w:fill="auto"/>
            <w:tcMar>
              <w:top w:w="0" w:type="dxa"/>
              <w:left w:w="45" w:type="dxa"/>
              <w:bottom w:w="0" w:type="dxa"/>
              <w:right w:w="45" w:type="dxa"/>
            </w:tcMar>
            <w:vAlign w:val="center"/>
            <w:hideMark/>
          </w:tcPr>
          <w:p w14:paraId="5D6D14C1" w14:textId="77777777" w:rsidR="002F2BB2" w:rsidRPr="00532C61" w:rsidRDefault="002F2BB2" w:rsidP="0072694B">
            <w:pPr>
              <w:jc w:val="right"/>
              <w:rPr>
                <w:bCs/>
                <w:sz w:val="22"/>
                <w:szCs w:val="22"/>
              </w:rPr>
            </w:pPr>
            <w:r w:rsidRPr="00532C61">
              <w:rPr>
                <w:bCs/>
                <w:sz w:val="22"/>
                <w:szCs w:val="22"/>
              </w:rPr>
              <w:t>55</w:t>
            </w:r>
          </w:p>
        </w:tc>
        <w:tc>
          <w:tcPr>
            <w:tcW w:w="391" w:type="pct"/>
            <w:shd w:val="clear" w:color="auto" w:fill="auto"/>
            <w:tcMar>
              <w:top w:w="0" w:type="dxa"/>
              <w:left w:w="45" w:type="dxa"/>
              <w:bottom w:w="0" w:type="dxa"/>
              <w:right w:w="45" w:type="dxa"/>
            </w:tcMar>
            <w:vAlign w:val="center"/>
            <w:hideMark/>
          </w:tcPr>
          <w:p w14:paraId="3CC2181D" w14:textId="77777777" w:rsidR="002F2BB2" w:rsidRPr="00532C61" w:rsidRDefault="002F2BB2" w:rsidP="0072694B">
            <w:pPr>
              <w:jc w:val="right"/>
              <w:rPr>
                <w:sz w:val="22"/>
                <w:szCs w:val="22"/>
              </w:rPr>
            </w:pPr>
            <w:r w:rsidRPr="00532C61">
              <w:rPr>
                <w:sz w:val="22"/>
                <w:szCs w:val="22"/>
              </w:rPr>
              <w:t>87.3</w:t>
            </w:r>
          </w:p>
        </w:tc>
        <w:tc>
          <w:tcPr>
            <w:tcW w:w="468" w:type="pct"/>
            <w:shd w:val="clear" w:color="auto" w:fill="auto"/>
            <w:tcMar>
              <w:top w:w="0" w:type="dxa"/>
              <w:left w:w="45" w:type="dxa"/>
              <w:bottom w:w="0" w:type="dxa"/>
              <w:right w:w="45" w:type="dxa"/>
            </w:tcMar>
            <w:vAlign w:val="center"/>
            <w:hideMark/>
          </w:tcPr>
          <w:p w14:paraId="7D23EEDE" w14:textId="77777777" w:rsidR="002F2BB2" w:rsidRPr="00532C61" w:rsidRDefault="002F2BB2" w:rsidP="0072694B">
            <w:pPr>
              <w:jc w:val="right"/>
              <w:rPr>
                <w:bCs/>
                <w:sz w:val="22"/>
                <w:szCs w:val="22"/>
              </w:rPr>
            </w:pPr>
            <w:r w:rsidRPr="00532C61">
              <w:rPr>
                <w:bCs/>
                <w:sz w:val="22"/>
                <w:szCs w:val="22"/>
              </w:rPr>
              <w:t>19</w:t>
            </w:r>
          </w:p>
        </w:tc>
        <w:tc>
          <w:tcPr>
            <w:tcW w:w="437" w:type="pct"/>
            <w:shd w:val="clear" w:color="auto" w:fill="auto"/>
            <w:tcMar>
              <w:top w:w="0" w:type="dxa"/>
              <w:left w:w="45" w:type="dxa"/>
              <w:bottom w:w="0" w:type="dxa"/>
              <w:right w:w="45" w:type="dxa"/>
            </w:tcMar>
            <w:vAlign w:val="center"/>
            <w:hideMark/>
          </w:tcPr>
          <w:p w14:paraId="668FAEC9" w14:textId="77777777" w:rsidR="002F2BB2" w:rsidRPr="00532C61" w:rsidRDefault="002F2BB2" w:rsidP="0072694B">
            <w:pPr>
              <w:jc w:val="right"/>
              <w:rPr>
                <w:sz w:val="22"/>
                <w:szCs w:val="22"/>
              </w:rPr>
            </w:pPr>
            <w:r w:rsidRPr="00532C61">
              <w:rPr>
                <w:sz w:val="22"/>
                <w:szCs w:val="22"/>
              </w:rPr>
              <w:t>90.5</w:t>
            </w:r>
          </w:p>
        </w:tc>
        <w:tc>
          <w:tcPr>
            <w:tcW w:w="468" w:type="pct"/>
            <w:shd w:val="clear" w:color="auto" w:fill="auto"/>
            <w:tcMar>
              <w:top w:w="0" w:type="dxa"/>
              <w:left w:w="45" w:type="dxa"/>
              <w:bottom w:w="0" w:type="dxa"/>
              <w:right w:w="45" w:type="dxa"/>
            </w:tcMar>
            <w:vAlign w:val="center"/>
            <w:hideMark/>
          </w:tcPr>
          <w:p w14:paraId="313143D7" w14:textId="77777777" w:rsidR="002F2BB2" w:rsidRPr="00532C61" w:rsidRDefault="002F2BB2" w:rsidP="0072694B">
            <w:pPr>
              <w:jc w:val="right"/>
              <w:rPr>
                <w:bCs/>
                <w:sz w:val="22"/>
                <w:szCs w:val="22"/>
              </w:rPr>
            </w:pPr>
            <w:r w:rsidRPr="00532C61">
              <w:rPr>
                <w:bCs/>
                <w:sz w:val="22"/>
                <w:szCs w:val="22"/>
              </w:rPr>
              <w:t>36</w:t>
            </w:r>
          </w:p>
        </w:tc>
        <w:tc>
          <w:tcPr>
            <w:tcW w:w="374" w:type="pct"/>
            <w:shd w:val="clear" w:color="auto" w:fill="auto"/>
            <w:tcMar>
              <w:top w:w="0" w:type="dxa"/>
              <w:left w:w="45" w:type="dxa"/>
              <w:bottom w:w="0" w:type="dxa"/>
              <w:right w:w="45" w:type="dxa"/>
            </w:tcMar>
            <w:vAlign w:val="center"/>
            <w:hideMark/>
          </w:tcPr>
          <w:p w14:paraId="4A045B62" w14:textId="77777777" w:rsidR="002F2BB2" w:rsidRPr="00532C61" w:rsidRDefault="002F2BB2" w:rsidP="0072694B">
            <w:pPr>
              <w:jc w:val="right"/>
              <w:rPr>
                <w:sz w:val="22"/>
                <w:szCs w:val="22"/>
              </w:rPr>
            </w:pPr>
            <w:r w:rsidRPr="00532C61">
              <w:rPr>
                <w:sz w:val="22"/>
                <w:szCs w:val="22"/>
              </w:rPr>
              <w:t>85.7</w:t>
            </w:r>
          </w:p>
        </w:tc>
        <w:tc>
          <w:tcPr>
            <w:tcW w:w="406" w:type="pct"/>
            <w:shd w:val="clear" w:color="auto" w:fill="auto"/>
            <w:tcMar>
              <w:top w:w="0" w:type="dxa"/>
              <w:left w:w="45" w:type="dxa"/>
              <w:bottom w:w="0" w:type="dxa"/>
              <w:right w:w="45" w:type="dxa"/>
            </w:tcMar>
            <w:vAlign w:val="bottom"/>
            <w:hideMark/>
          </w:tcPr>
          <w:p w14:paraId="243294FF" w14:textId="77777777" w:rsidR="002F2BB2" w:rsidRPr="00532C61" w:rsidRDefault="002F2BB2" w:rsidP="0072694B">
            <w:pPr>
              <w:jc w:val="right"/>
              <w:rPr>
                <w:sz w:val="22"/>
                <w:szCs w:val="22"/>
              </w:rPr>
            </w:pPr>
            <w:r w:rsidRPr="00532C61">
              <w:rPr>
                <w:sz w:val="22"/>
                <w:szCs w:val="22"/>
              </w:rPr>
              <w:t>0.708</w:t>
            </w:r>
          </w:p>
        </w:tc>
      </w:tr>
      <w:tr w:rsidR="002F2BB2" w:rsidRPr="00532C61" w14:paraId="31A1C2B3" w14:textId="77777777" w:rsidTr="0072694B">
        <w:trPr>
          <w:trHeight w:val="315"/>
        </w:trPr>
        <w:tc>
          <w:tcPr>
            <w:tcW w:w="1988" w:type="pct"/>
            <w:shd w:val="clear" w:color="auto" w:fill="auto"/>
            <w:tcMar>
              <w:top w:w="0" w:type="dxa"/>
              <w:left w:w="45" w:type="dxa"/>
              <w:bottom w:w="0" w:type="dxa"/>
              <w:right w:w="45" w:type="dxa"/>
            </w:tcMar>
            <w:vAlign w:val="bottom"/>
            <w:hideMark/>
          </w:tcPr>
          <w:p w14:paraId="3CC1A3A0" w14:textId="77777777" w:rsidR="002F2BB2" w:rsidRPr="00532C61" w:rsidRDefault="002F2BB2" w:rsidP="0072694B">
            <w:pPr>
              <w:rPr>
                <w:sz w:val="22"/>
                <w:szCs w:val="22"/>
              </w:rPr>
            </w:pPr>
            <w:r w:rsidRPr="00532C61">
              <w:rPr>
                <w:sz w:val="22"/>
                <w:szCs w:val="22"/>
              </w:rPr>
              <w:t xml:space="preserve">    Weekly/Daily or almost daily</w:t>
            </w:r>
          </w:p>
        </w:tc>
        <w:tc>
          <w:tcPr>
            <w:tcW w:w="468" w:type="pct"/>
            <w:shd w:val="clear" w:color="auto" w:fill="auto"/>
            <w:tcMar>
              <w:top w:w="0" w:type="dxa"/>
              <w:left w:w="45" w:type="dxa"/>
              <w:bottom w:w="0" w:type="dxa"/>
              <w:right w:w="45" w:type="dxa"/>
            </w:tcMar>
            <w:vAlign w:val="center"/>
            <w:hideMark/>
          </w:tcPr>
          <w:p w14:paraId="6BAF147A" w14:textId="77777777" w:rsidR="002F2BB2" w:rsidRPr="00532C61" w:rsidRDefault="002F2BB2" w:rsidP="0072694B">
            <w:pPr>
              <w:jc w:val="right"/>
              <w:rPr>
                <w:bCs/>
                <w:sz w:val="22"/>
                <w:szCs w:val="22"/>
              </w:rPr>
            </w:pPr>
            <w:r w:rsidRPr="00532C61">
              <w:rPr>
                <w:bCs/>
                <w:sz w:val="22"/>
                <w:szCs w:val="22"/>
              </w:rPr>
              <w:t>8</w:t>
            </w:r>
          </w:p>
        </w:tc>
        <w:tc>
          <w:tcPr>
            <w:tcW w:w="391" w:type="pct"/>
            <w:shd w:val="clear" w:color="auto" w:fill="auto"/>
            <w:tcMar>
              <w:top w:w="0" w:type="dxa"/>
              <w:left w:w="45" w:type="dxa"/>
              <w:bottom w:w="0" w:type="dxa"/>
              <w:right w:w="45" w:type="dxa"/>
            </w:tcMar>
            <w:vAlign w:val="center"/>
            <w:hideMark/>
          </w:tcPr>
          <w:p w14:paraId="36B186FB" w14:textId="77777777" w:rsidR="002F2BB2" w:rsidRPr="00532C61" w:rsidRDefault="002F2BB2" w:rsidP="0072694B">
            <w:pPr>
              <w:jc w:val="right"/>
              <w:rPr>
                <w:sz w:val="22"/>
                <w:szCs w:val="22"/>
              </w:rPr>
            </w:pPr>
            <w:r w:rsidRPr="00532C61">
              <w:rPr>
                <w:sz w:val="22"/>
                <w:szCs w:val="22"/>
              </w:rPr>
              <w:t>12.7</w:t>
            </w:r>
          </w:p>
        </w:tc>
        <w:tc>
          <w:tcPr>
            <w:tcW w:w="468" w:type="pct"/>
            <w:shd w:val="clear" w:color="auto" w:fill="auto"/>
            <w:tcMar>
              <w:top w:w="0" w:type="dxa"/>
              <w:left w:w="45" w:type="dxa"/>
              <w:bottom w:w="0" w:type="dxa"/>
              <w:right w:w="45" w:type="dxa"/>
            </w:tcMar>
            <w:vAlign w:val="center"/>
            <w:hideMark/>
          </w:tcPr>
          <w:p w14:paraId="53940BFF" w14:textId="77777777" w:rsidR="002F2BB2" w:rsidRPr="00532C61" w:rsidRDefault="002F2BB2" w:rsidP="0072694B">
            <w:pPr>
              <w:jc w:val="right"/>
              <w:rPr>
                <w:bCs/>
                <w:sz w:val="22"/>
                <w:szCs w:val="22"/>
              </w:rPr>
            </w:pPr>
            <w:r w:rsidRPr="00532C61">
              <w:rPr>
                <w:bCs/>
                <w:sz w:val="22"/>
                <w:szCs w:val="22"/>
              </w:rPr>
              <w:t>2</w:t>
            </w:r>
          </w:p>
        </w:tc>
        <w:tc>
          <w:tcPr>
            <w:tcW w:w="437" w:type="pct"/>
            <w:shd w:val="clear" w:color="auto" w:fill="auto"/>
            <w:tcMar>
              <w:top w:w="0" w:type="dxa"/>
              <w:left w:w="45" w:type="dxa"/>
              <w:bottom w:w="0" w:type="dxa"/>
              <w:right w:w="45" w:type="dxa"/>
            </w:tcMar>
            <w:vAlign w:val="center"/>
            <w:hideMark/>
          </w:tcPr>
          <w:p w14:paraId="719D140B" w14:textId="77777777" w:rsidR="002F2BB2" w:rsidRPr="00532C61" w:rsidRDefault="002F2BB2" w:rsidP="0072694B">
            <w:pPr>
              <w:jc w:val="right"/>
              <w:rPr>
                <w:sz w:val="22"/>
                <w:szCs w:val="22"/>
              </w:rPr>
            </w:pPr>
            <w:r w:rsidRPr="00532C61">
              <w:rPr>
                <w:sz w:val="22"/>
                <w:szCs w:val="22"/>
              </w:rPr>
              <w:t>9.5</w:t>
            </w:r>
          </w:p>
        </w:tc>
        <w:tc>
          <w:tcPr>
            <w:tcW w:w="468" w:type="pct"/>
            <w:shd w:val="clear" w:color="auto" w:fill="auto"/>
            <w:tcMar>
              <w:top w:w="0" w:type="dxa"/>
              <w:left w:w="45" w:type="dxa"/>
              <w:bottom w:w="0" w:type="dxa"/>
              <w:right w:w="45" w:type="dxa"/>
            </w:tcMar>
            <w:vAlign w:val="center"/>
            <w:hideMark/>
          </w:tcPr>
          <w:p w14:paraId="3216E51B" w14:textId="77777777" w:rsidR="002F2BB2" w:rsidRPr="00532C61" w:rsidRDefault="002F2BB2" w:rsidP="0072694B">
            <w:pPr>
              <w:jc w:val="right"/>
              <w:rPr>
                <w:bCs/>
                <w:sz w:val="22"/>
                <w:szCs w:val="22"/>
              </w:rPr>
            </w:pPr>
            <w:r w:rsidRPr="00532C61">
              <w:rPr>
                <w:bCs/>
                <w:sz w:val="22"/>
                <w:szCs w:val="22"/>
              </w:rPr>
              <w:t>6</w:t>
            </w:r>
          </w:p>
        </w:tc>
        <w:tc>
          <w:tcPr>
            <w:tcW w:w="374" w:type="pct"/>
            <w:shd w:val="clear" w:color="auto" w:fill="auto"/>
            <w:tcMar>
              <w:top w:w="0" w:type="dxa"/>
              <w:left w:w="45" w:type="dxa"/>
              <w:bottom w:w="0" w:type="dxa"/>
              <w:right w:w="45" w:type="dxa"/>
            </w:tcMar>
            <w:vAlign w:val="center"/>
            <w:hideMark/>
          </w:tcPr>
          <w:p w14:paraId="33600112" w14:textId="77777777" w:rsidR="002F2BB2" w:rsidRPr="00532C61" w:rsidRDefault="002F2BB2" w:rsidP="0072694B">
            <w:pPr>
              <w:jc w:val="right"/>
              <w:rPr>
                <w:sz w:val="22"/>
                <w:szCs w:val="22"/>
              </w:rPr>
            </w:pPr>
            <w:r w:rsidRPr="00532C61">
              <w:rPr>
                <w:sz w:val="22"/>
                <w:szCs w:val="22"/>
              </w:rPr>
              <w:t>14.3</w:t>
            </w:r>
          </w:p>
        </w:tc>
        <w:tc>
          <w:tcPr>
            <w:tcW w:w="406" w:type="pct"/>
            <w:shd w:val="clear" w:color="auto" w:fill="auto"/>
            <w:tcMar>
              <w:top w:w="0" w:type="dxa"/>
              <w:left w:w="45" w:type="dxa"/>
              <w:bottom w:w="0" w:type="dxa"/>
              <w:right w:w="45" w:type="dxa"/>
            </w:tcMar>
            <w:vAlign w:val="bottom"/>
            <w:hideMark/>
          </w:tcPr>
          <w:p w14:paraId="0515D53A" w14:textId="77777777" w:rsidR="002F2BB2" w:rsidRPr="00532C61" w:rsidRDefault="002F2BB2" w:rsidP="0072694B">
            <w:pPr>
              <w:jc w:val="right"/>
              <w:rPr>
                <w:sz w:val="22"/>
                <w:szCs w:val="22"/>
              </w:rPr>
            </w:pPr>
          </w:p>
        </w:tc>
      </w:tr>
      <w:tr w:rsidR="002F2BB2" w:rsidRPr="00532C61" w14:paraId="079715DC" w14:textId="77777777" w:rsidTr="0072694B">
        <w:trPr>
          <w:trHeight w:val="315"/>
        </w:trPr>
        <w:tc>
          <w:tcPr>
            <w:tcW w:w="1988" w:type="pct"/>
            <w:shd w:val="clear" w:color="auto" w:fill="auto"/>
            <w:tcMar>
              <w:top w:w="0" w:type="dxa"/>
              <w:left w:w="45" w:type="dxa"/>
              <w:bottom w:w="0" w:type="dxa"/>
              <w:right w:w="45" w:type="dxa"/>
            </w:tcMar>
            <w:vAlign w:val="bottom"/>
            <w:hideMark/>
          </w:tcPr>
          <w:p w14:paraId="25B72273" w14:textId="77777777" w:rsidR="002F2BB2" w:rsidRPr="00532C61" w:rsidRDefault="002F2BB2" w:rsidP="0072694B">
            <w:pPr>
              <w:rPr>
                <w:sz w:val="22"/>
                <w:szCs w:val="22"/>
              </w:rPr>
            </w:pPr>
            <w:r w:rsidRPr="00532C61">
              <w:rPr>
                <w:b/>
                <w:bCs/>
                <w:sz w:val="22"/>
                <w:szCs w:val="22"/>
              </w:rPr>
              <w:t>Used Tobacco in P6M (Ref: No)</w:t>
            </w:r>
          </w:p>
        </w:tc>
        <w:tc>
          <w:tcPr>
            <w:tcW w:w="468" w:type="pct"/>
            <w:shd w:val="clear" w:color="auto" w:fill="auto"/>
            <w:tcMar>
              <w:top w:w="0" w:type="dxa"/>
              <w:left w:w="45" w:type="dxa"/>
              <w:bottom w:w="0" w:type="dxa"/>
              <w:right w:w="45" w:type="dxa"/>
            </w:tcMar>
            <w:vAlign w:val="center"/>
            <w:hideMark/>
          </w:tcPr>
          <w:p w14:paraId="7DB14BF2" w14:textId="77777777" w:rsidR="002F2BB2" w:rsidRPr="00532C61" w:rsidRDefault="002F2BB2" w:rsidP="0072694B">
            <w:pPr>
              <w:jc w:val="right"/>
              <w:rPr>
                <w:bCs/>
                <w:sz w:val="22"/>
                <w:szCs w:val="22"/>
              </w:rPr>
            </w:pPr>
            <w:r w:rsidRPr="00532C61">
              <w:rPr>
                <w:bCs/>
                <w:sz w:val="22"/>
                <w:szCs w:val="22"/>
              </w:rPr>
              <w:t>40</w:t>
            </w:r>
          </w:p>
        </w:tc>
        <w:tc>
          <w:tcPr>
            <w:tcW w:w="391" w:type="pct"/>
            <w:shd w:val="clear" w:color="auto" w:fill="auto"/>
            <w:tcMar>
              <w:top w:w="0" w:type="dxa"/>
              <w:left w:w="45" w:type="dxa"/>
              <w:bottom w:w="0" w:type="dxa"/>
              <w:right w:w="45" w:type="dxa"/>
            </w:tcMar>
            <w:vAlign w:val="center"/>
            <w:hideMark/>
          </w:tcPr>
          <w:p w14:paraId="15BB8FA2" w14:textId="77777777" w:rsidR="002F2BB2" w:rsidRPr="00532C61" w:rsidRDefault="002F2BB2" w:rsidP="0072694B">
            <w:pPr>
              <w:jc w:val="right"/>
              <w:rPr>
                <w:sz w:val="22"/>
                <w:szCs w:val="22"/>
              </w:rPr>
            </w:pPr>
            <w:r w:rsidRPr="00532C61">
              <w:rPr>
                <w:sz w:val="22"/>
                <w:szCs w:val="22"/>
              </w:rPr>
              <w:t>59.7</w:t>
            </w:r>
          </w:p>
        </w:tc>
        <w:tc>
          <w:tcPr>
            <w:tcW w:w="468" w:type="pct"/>
            <w:shd w:val="clear" w:color="auto" w:fill="auto"/>
            <w:tcMar>
              <w:top w:w="0" w:type="dxa"/>
              <w:left w:w="45" w:type="dxa"/>
              <w:bottom w:w="0" w:type="dxa"/>
              <w:right w:w="45" w:type="dxa"/>
            </w:tcMar>
            <w:vAlign w:val="center"/>
            <w:hideMark/>
          </w:tcPr>
          <w:p w14:paraId="5781F21F" w14:textId="77777777" w:rsidR="002F2BB2" w:rsidRPr="00532C61" w:rsidRDefault="002F2BB2" w:rsidP="0072694B">
            <w:pPr>
              <w:jc w:val="right"/>
              <w:rPr>
                <w:bCs/>
                <w:sz w:val="22"/>
                <w:szCs w:val="22"/>
              </w:rPr>
            </w:pPr>
            <w:r w:rsidRPr="00532C61">
              <w:rPr>
                <w:bCs/>
                <w:sz w:val="22"/>
                <w:szCs w:val="22"/>
              </w:rPr>
              <w:t>15</w:t>
            </w:r>
          </w:p>
        </w:tc>
        <w:tc>
          <w:tcPr>
            <w:tcW w:w="437" w:type="pct"/>
            <w:shd w:val="clear" w:color="auto" w:fill="auto"/>
            <w:tcMar>
              <w:top w:w="0" w:type="dxa"/>
              <w:left w:w="45" w:type="dxa"/>
              <w:bottom w:w="0" w:type="dxa"/>
              <w:right w:w="45" w:type="dxa"/>
            </w:tcMar>
            <w:vAlign w:val="center"/>
            <w:hideMark/>
          </w:tcPr>
          <w:p w14:paraId="2F3278E9" w14:textId="77777777" w:rsidR="002F2BB2" w:rsidRPr="00532C61" w:rsidRDefault="002F2BB2" w:rsidP="0072694B">
            <w:pPr>
              <w:jc w:val="right"/>
              <w:rPr>
                <w:sz w:val="22"/>
                <w:szCs w:val="22"/>
              </w:rPr>
            </w:pPr>
            <w:r w:rsidRPr="00532C61">
              <w:rPr>
                <w:sz w:val="22"/>
                <w:szCs w:val="22"/>
              </w:rPr>
              <w:t>71.4</w:t>
            </w:r>
          </w:p>
        </w:tc>
        <w:tc>
          <w:tcPr>
            <w:tcW w:w="468" w:type="pct"/>
            <w:shd w:val="clear" w:color="auto" w:fill="auto"/>
            <w:tcMar>
              <w:top w:w="0" w:type="dxa"/>
              <w:left w:w="45" w:type="dxa"/>
              <w:bottom w:w="0" w:type="dxa"/>
              <w:right w:w="45" w:type="dxa"/>
            </w:tcMar>
            <w:vAlign w:val="center"/>
            <w:hideMark/>
          </w:tcPr>
          <w:p w14:paraId="3E5560D4" w14:textId="77777777" w:rsidR="002F2BB2" w:rsidRPr="00532C61" w:rsidRDefault="002F2BB2" w:rsidP="0072694B">
            <w:pPr>
              <w:jc w:val="right"/>
              <w:rPr>
                <w:bCs/>
                <w:sz w:val="22"/>
                <w:szCs w:val="22"/>
              </w:rPr>
            </w:pPr>
            <w:r w:rsidRPr="00532C61">
              <w:rPr>
                <w:bCs/>
                <w:sz w:val="22"/>
                <w:szCs w:val="22"/>
              </w:rPr>
              <w:t>25</w:t>
            </w:r>
          </w:p>
        </w:tc>
        <w:tc>
          <w:tcPr>
            <w:tcW w:w="374" w:type="pct"/>
            <w:shd w:val="clear" w:color="auto" w:fill="auto"/>
            <w:tcMar>
              <w:top w:w="0" w:type="dxa"/>
              <w:left w:w="45" w:type="dxa"/>
              <w:bottom w:w="0" w:type="dxa"/>
              <w:right w:w="45" w:type="dxa"/>
            </w:tcMar>
            <w:vAlign w:val="center"/>
            <w:hideMark/>
          </w:tcPr>
          <w:p w14:paraId="6C708B37" w14:textId="77777777" w:rsidR="002F2BB2" w:rsidRPr="00532C61" w:rsidRDefault="002F2BB2" w:rsidP="0072694B">
            <w:pPr>
              <w:jc w:val="right"/>
              <w:rPr>
                <w:sz w:val="22"/>
                <w:szCs w:val="22"/>
              </w:rPr>
            </w:pPr>
            <w:r w:rsidRPr="00532C61">
              <w:rPr>
                <w:sz w:val="22"/>
                <w:szCs w:val="22"/>
              </w:rPr>
              <w:t>54.4</w:t>
            </w:r>
          </w:p>
        </w:tc>
        <w:tc>
          <w:tcPr>
            <w:tcW w:w="406" w:type="pct"/>
            <w:shd w:val="clear" w:color="auto" w:fill="auto"/>
            <w:tcMar>
              <w:top w:w="0" w:type="dxa"/>
              <w:left w:w="45" w:type="dxa"/>
              <w:bottom w:w="0" w:type="dxa"/>
              <w:right w:w="45" w:type="dxa"/>
            </w:tcMar>
            <w:vAlign w:val="bottom"/>
            <w:hideMark/>
          </w:tcPr>
          <w:p w14:paraId="3499B3E5" w14:textId="77777777" w:rsidR="002F2BB2" w:rsidRPr="00532C61" w:rsidRDefault="002F2BB2" w:rsidP="0072694B">
            <w:pPr>
              <w:jc w:val="right"/>
              <w:rPr>
                <w:sz w:val="22"/>
                <w:szCs w:val="22"/>
              </w:rPr>
            </w:pPr>
            <w:r w:rsidRPr="00532C61">
              <w:rPr>
                <w:sz w:val="22"/>
                <w:szCs w:val="22"/>
              </w:rPr>
              <w:t>0.283</w:t>
            </w:r>
          </w:p>
        </w:tc>
      </w:tr>
      <w:tr w:rsidR="002F2BB2" w:rsidRPr="00532C61" w14:paraId="78C2D03B" w14:textId="77777777" w:rsidTr="0072694B">
        <w:trPr>
          <w:trHeight w:val="315"/>
        </w:trPr>
        <w:tc>
          <w:tcPr>
            <w:tcW w:w="1988" w:type="pct"/>
            <w:shd w:val="clear" w:color="auto" w:fill="auto"/>
            <w:tcMar>
              <w:top w:w="0" w:type="dxa"/>
              <w:left w:w="45" w:type="dxa"/>
              <w:bottom w:w="0" w:type="dxa"/>
              <w:right w:w="45" w:type="dxa"/>
            </w:tcMar>
            <w:vAlign w:val="bottom"/>
            <w:hideMark/>
          </w:tcPr>
          <w:p w14:paraId="4A2E5F34" w14:textId="77777777" w:rsidR="002F2BB2" w:rsidRPr="00532C61" w:rsidRDefault="002F2BB2" w:rsidP="0072694B">
            <w:pPr>
              <w:rPr>
                <w:b/>
                <w:bCs/>
                <w:sz w:val="22"/>
                <w:szCs w:val="22"/>
              </w:rPr>
            </w:pPr>
            <w:r w:rsidRPr="00532C61">
              <w:rPr>
                <w:b/>
                <w:bCs/>
                <w:sz w:val="22"/>
                <w:szCs w:val="22"/>
              </w:rPr>
              <w:t>Used Cannabis in P6M (Ref: No)</w:t>
            </w:r>
          </w:p>
        </w:tc>
        <w:tc>
          <w:tcPr>
            <w:tcW w:w="468" w:type="pct"/>
            <w:shd w:val="clear" w:color="auto" w:fill="auto"/>
            <w:tcMar>
              <w:top w:w="0" w:type="dxa"/>
              <w:left w:w="45" w:type="dxa"/>
              <w:bottom w:w="0" w:type="dxa"/>
              <w:right w:w="45" w:type="dxa"/>
            </w:tcMar>
            <w:vAlign w:val="center"/>
            <w:hideMark/>
          </w:tcPr>
          <w:p w14:paraId="70073643" w14:textId="77777777" w:rsidR="002F2BB2" w:rsidRPr="00532C61" w:rsidRDefault="002F2BB2" w:rsidP="0072694B">
            <w:pPr>
              <w:jc w:val="right"/>
              <w:rPr>
                <w:bCs/>
                <w:sz w:val="22"/>
                <w:szCs w:val="22"/>
              </w:rPr>
            </w:pPr>
            <w:r w:rsidRPr="00532C61">
              <w:rPr>
                <w:bCs/>
                <w:sz w:val="22"/>
                <w:szCs w:val="22"/>
              </w:rPr>
              <w:t>43</w:t>
            </w:r>
          </w:p>
        </w:tc>
        <w:tc>
          <w:tcPr>
            <w:tcW w:w="391" w:type="pct"/>
            <w:shd w:val="clear" w:color="auto" w:fill="auto"/>
            <w:tcMar>
              <w:top w:w="0" w:type="dxa"/>
              <w:left w:w="45" w:type="dxa"/>
              <w:bottom w:w="0" w:type="dxa"/>
              <w:right w:w="45" w:type="dxa"/>
            </w:tcMar>
            <w:vAlign w:val="center"/>
            <w:hideMark/>
          </w:tcPr>
          <w:p w14:paraId="5FB9A984" w14:textId="77777777" w:rsidR="002F2BB2" w:rsidRPr="00532C61" w:rsidRDefault="002F2BB2" w:rsidP="0072694B">
            <w:pPr>
              <w:jc w:val="right"/>
              <w:rPr>
                <w:sz w:val="22"/>
                <w:szCs w:val="22"/>
              </w:rPr>
            </w:pPr>
            <w:r w:rsidRPr="00532C61">
              <w:rPr>
                <w:sz w:val="22"/>
                <w:szCs w:val="22"/>
              </w:rPr>
              <w:t>64.2</w:t>
            </w:r>
          </w:p>
        </w:tc>
        <w:tc>
          <w:tcPr>
            <w:tcW w:w="468" w:type="pct"/>
            <w:shd w:val="clear" w:color="auto" w:fill="auto"/>
            <w:tcMar>
              <w:top w:w="0" w:type="dxa"/>
              <w:left w:w="45" w:type="dxa"/>
              <w:bottom w:w="0" w:type="dxa"/>
              <w:right w:w="45" w:type="dxa"/>
            </w:tcMar>
            <w:vAlign w:val="center"/>
            <w:hideMark/>
          </w:tcPr>
          <w:p w14:paraId="70A90C7C" w14:textId="77777777" w:rsidR="002F2BB2" w:rsidRPr="00532C61" w:rsidRDefault="002F2BB2" w:rsidP="0072694B">
            <w:pPr>
              <w:jc w:val="right"/>
              <w:rPr>
                <w:bCs/>
                <w:sz w:val="22"/>
                <w:szCs w:val="22"/>
              </w:rPr>
            </w:pPr>
            <w:r w:rsidRPr="00532C61">
              <w:rPr>
                <w:bCs/>
                <w:sz w:val="22"/>
                <w:szCs w:val="22"/>
              </w:rPr>
              <w:t>17</w:t>
            </w:r>
          </w:p>
        </w:tc>
        <w:tc>
          <w:tcPr>
            <w:tcW w:w="437" w:type="pct"/>
            <w:shd w:val="clear" w:color="auto" w:fill="auto"/>
            <w:tcMar>
              <w:top w:w="0" w:type="dxa"/>
              <w:left w:w="45" w:type="dxa"/>
              <w:bottom w:w="0" w:type="dxa"/>
              <w:right w:w="45" w:type="dxa"/>
            </w:tcMar>
            <w:vAlign w:val="center"/>
            <w:hideMark/>
          </w:tcPr>
          <w:p w14:paraId="2050E197" w14:textId="77777777" w:rsidR="002F2BB2" w:rsidRPr="00532C61" w:rsidRDefault="002F2BB2" w:rsidP="0072694B">
            <w:pPr>
              <w:jc w:val="right"/>
              <w:rPr>
                <w:sz w:val="22"/>
                <w:szCs w:val="22"/>
              </w:rPr>
            </w:pPr>
            <w:r w:rsidRPr="00532C61">
              <w:rPr>
                <w:sz w:val="22"/>
                <w:szCs w:val="22"/>
              </w:rPr>
              <w:t>81.0</w:t>
            </w:r>
          </w:p>
        </w:tc>
        <w:tc>
          <w:tcPr>
            <w:tcW w:w="468" w:type="pct"/>
            <w:shd w:val="clear" w:color="auto" w:fill="auto"/>
            <w:tcMar>
              <w:top w:w="0" w:type="dxa"/>
              <w:left w:w="45" w:type="dxa"/>
              <w:bottom w:w="0" w:type="dxa"/>
              <w:right w:w="45" w:type="dxa"/>
            </w:tcMar>
            <w:vAlign w:val="center"/>
            <w:hideMark/>
          </w:tcPr>
          <w:p w14:paraId="59EB3119" w14:textId="77777777" w:rsidR="002F2BB2" w:rsidRPr="00532C61" w:rsidRDefault="002F2BB2" w:rsidP="0072694B">
            <w:pPr>
              <w:jc w:val="right"/>
              <w:rPr>
                <w:bCs/>
                <w:sz w:val="22"/>
                <w:szCs w:val="22"/>
              </w:rPr>
            </w:pPr>
            <w:r w:rsidRPr="00532C61">
              <w:rPr>
                <w:bCs/>
                <w:sz w:val="22"/>
                <w:szCs w:val="22"/>
              </w:rPr>
              <w:t>26</w:t>
            </w:r>
          </w:p>
        </w:tc>
        <w:tc>
          <w:tcPr>
            <w:tcW w:w="374" w:type="pct"/>
            <w:shd w:val="clear" w:color="auto" w:fill="auto"/>
            <w:tcMar>
              <w:top w:w="0" w:type="dxa"/>
              <w:left w:w="45" w:type="dxa"/>
              <w:bottom w:w="0" w:type="dxa"/>
              <w:right w:w="45" w:type="dxa"/>
            </w:tcMar>
            <w:vAlign w:val="center"/>
            <w:hideMark/>
          </w:tcPr>
          <w:p w14:paraId="2EC784B8" w14:textId="77777777" w:rsidR="002F2BB2" w:rsidRPr="00532C61" w:rsidRDefault="002F2BB2" w:rsidP="0072694B">
            <w:pPr>
              <w:jc w:val="right"/>
              <w:rPr>
                <w:sz w:val="22"/>
                <w:szCs w:val="22"/>
              </w:rPr>
            </w:pPr>
            <w:r w:rsidRPr="00532C61">
              <w:rPr>
                <w:sz w:val="22"/>
                <w:szCs w:val="22"/>
              </w:rPr>
              <w:t>56.5</w:t>
            </w:r>
          </w:p>
        </w:tc>
        <w:tc>
          <w:tcPr>
            <w:tcW w:w="406" w:type="pct"/>
            <w:shd w:val="clear" w:color="auto" w:fill="auto"/>
            <w:tcMar>
              <w:top w:w="0" w:type="dxa"/>
              <w:left w:w="45" w:type="dxa"/>
              <w:bottom w:w="0" w:type="dxa"/>
              <w:right w:w="45" w:type="dxa"/>
            </w:tcMar>
            <w:vAlign w:val="bottom"/>
            <w:hideMark/>
          </w:tcPr>
          <w:p w14:paraId="373B4B41" w14:textId="77777777" w:rsidR="002F2BB2" w:rsidRPr="00532C61" w:rsidRDefault="002F2BB2" w:rsidP="0072694B">
            <w:pPr>
              <w:jc w:val="right"/>
              <w:rPr>
                <w:sz w:val="22"/>
                <w:szCs w:val="22"/>
              </w:rPr>
            </w:pPr>
            <w:r w:rsidRPr="00532C61">
              <w:rPr>
                <w:bCs/>
                <w:sz w:val="22"/>
                <w:szCs w:val="22"/>
              </w:rPr>
              <w:t>0.061</w:t>
            </w:r>
          </w:p>
        </w:tc>
      </w:tr>
      <w:tr w:rsidR="002F2BB2" w:rsidRPr="00532C61" w14:paraId="0457C13D" w14:textId="77777777" w:rsidTr="0072694B">
        <w:trPr>
          <w:trHeight w:val="315"/>
        </w:trPr>
        <w:tc>
          <w:tcPr>
            <w:tcW w:w="1988" w:type="pct"/>
            <w:shd w:val="clear" w:color="auto" w:fill="auto"/>
            <w:tcMar>
              <w:top w:w="0" w:type="dxa"/>
              <w:left w:w="45" w:type="dxa"/>
              <w:bottom w:w="0" w:type="dxa"/>
              <w:right w:w="45" w:type="dxa"/>
            </w:tcMar>
            <w:vAlign w:val="bottom"/>
            <w:hideMark/>
          </w:tcPr>
          <w:p w14:paraId="64BB5C8B" w14:textId="77777777" w:rsidR="002F2BB2" w:rsidRPr="00532C61" w:rsidRDefault="002F2BB2" w:rsidP="0072694B">
            <w:pPr>
              <w:rPr>
                <w:b/>
                <w:bCs/>
                <w:sz w:val="22"/>
                <w:szCs w:val="22"/>
              </w:rPr>
            </w:pPr>
            <w:r w:rsidRPr="00532C61">
              <w:rPr>
                <w:b/>
                <w:bCs/>
                <w:sz w:val="22"/>
                <w:szCs w:val="22"/>
              </w:rPr>
              <w:t>Used Poppers in P6M (Ref: No)</w:t>
            </w:r>
          </w:p>
        </w:tc>
        <w:tc>
          <w:tcPr>
            <w:tcW w:w="468" w:type="pct"/>
            <w:shd w:val="clear" w:color="auto" w:fill="auto"/>
            <w:tcMar>
              <w:top w:w="0" w:type="dxa"/>
              <w:left w:w="45" w:type="dxa"/>
              <w:bottom w:w="0" w:type="dxa"/>
              <w:right w:w="45" w:type="dxa"/>
            </w:tcMar>
            <w:vAlign w:val="center"/>
            <w:hideMark/>
          </w:tcPr>
          <w:p w14:paraId="02DA3D1B" w14:textId="77777777" w:rsidR="002F2BB2" w:rsidRPr="00532C61" w:rsidRDefault="002F2BB2" w:rsidP="0072694B">
            <w:pPr>
              <w:jc w:val="right"/>
              <w:rPr>
                <w:sz w:val="22"/>
                <w:szCs w:val="22"/>
              </w:rPr>
            </w:pPr>
            <w:r w:rsidRPr="00532C61">
              <w:rPr>
                <w:bCs/>
                <w:sz w:val="22"/>
                <w:szCs w:val="22"/>
              </w:rPr>
              <w:t>28</w:t>
            </w:r>
          </w:p>
        </w:tc>
        <w:tc>
          <w:tcPr>
            <w:tcW w:w="391" w:type="pct"/>
            <w:shd w:val="clear" w:color="auto" w:fill="auto"/>
            <w:tcMar>
              <w:top w:w="0" w:type="dxa"/>
              <w:left w:w="45" w:type="dxa"/>
              <w:bottom w:w="0" w:type="dxa"/>
              <w:right w:w="45" w:type="dxa"/>
            </w:tcMar>
            <w:vAlign w:val="center"/>
            <w:hideMark/>
          </w:tcPr>
          <w:p w14:paraId="0966EAE9" w14:textId="77777777" w:rsidR="002F2BB2" w:rsidRPr="00532C61" w:rsidRDefault="002F2BB2" w:rsidP="0072694B">
            <w:pPr>
              <w:jc w:val="right"/>
              <w:rPr>
                <w:sz w:val="22"/>
                <w:szCs w:val="22"/>
              </w:rPr>
            </w:pPr>
            <w:r w:rsidRPr="00532C61">
              <w:rPr>
                <w:sz w:val="22"/>
                <w:szCs w:val="22"/>
              </w:rPr>
              <w:t>41.8</w:t>
            </w:r>
          </w:p>
        </w:tc>
        <w:tc>
          <w:tcPr>
            <w:tcW w:w="468" w:type="pct"/>
            <w:shd w:val="clear" w:color="auto" w:fill="auto"/>
            <w:tcMar>
              <w:top w:w="0" w:type="dxa"/>
              <w:left w:w="45" w:type="dxa"/>
              <w:bottom w:w="0" w:type="dxa"/>
              <w:right w:w="45" w:type="dxa"/>
            </w:tcMar>
            <w:vAlign w:val="center"/>
            <w:hideMark/>
          </w:tcPr>
          <w:p w14:paraId="4C4EA5AB" w14:textId="77777777" w:rsidR="002F2BB2" w:rsidRPr="00532C61" w:rsidRDefault="002F2BB2" w:rsidP="0072694B">
            <w:pPr>
              <w:jc w:val="right"/>
              <w:rPr>
                <w:sz w:val="22"/>
                <w:szCs w:val="22"/>
              </w:rPr>
            </w:pPr>
            <w:r w:rsidRPr="00532C61">
              <w:rPr>
                <w:bCs/>
                <w:sz w:val="22"/>
                <w:szCs w:val="22"/>
              </w:rPr>
              <w:t>12</w:t>
            </w:r>
          </w:p>
        </w:tc>
        <w:tc>
          <w:tcPr>
            <w:tcW w:w="437" w:type="pct"/>
            <w:shd w:val="clear" w:color="auto" w:fill="auto"/>
            <w:tcMar>
              <w:top w:w="0" w:type="dxa"/>
              <w:left w:w="45" w:type="dxa"/>
              <w:bottom w:w="0" w:type="dxa"/>
              <w:right w:w="45" w:type="dxa"/>
            </w:tcMar>
            <w:vAlign w:val="center"/>
            <w:hideMark/>
          </w:tcPr>
          <w:p w14:paraId="0036645C" w14:textId="77777777" w:rsidR="002F2BB2" w:rsidRPr="00532C61" w:rsidRDefault="002F2BB2" w:rsidP="0072694B">
            <w:pPr>
              <w:jc w:val="right"/>
              <w:rPr>
                <w:sz w:val="22"/>
                <w:szCs w:val="22"/>
              </w:rPr>
            </w:pPr>
            <w:r w:rsidRPr="00532C61">
              <w:rPr>
                <w:sz w:val="22"/>
                <w:szCs w:val="22"/>
              </w:rPr>
              <w:t>57.1</w:t>
            </w:r>
          </w:p>
        </w:tc>
        <w:tc>
          <w:tcPr>
            <w:tcW w:w="468" w:type="pct"/>
            <w:shd w:val="clear" w:color="auto" w:fill="auto"/>
            <w:tcMar>
              <w:top w:w="0" w:type="dxa"/>
              <w:left w:w="45" w:type="dxa"/>
              <w:bottom w:w="0" w:type="dxa"/>
              <w:right w:w="45" w:type="dxa"/>
            </w:tcMar>
            <w:vAlign w:val="center"/>
            <w:hideMark/>
          </w:tcPr>
          <w:p w14:paraId="41B4E068" w14:textId="77777777" w:rsidR="002F2BB2" w:rsidRPr="00532C61" w:rsidRDefault="002F2BB2" w:rsidP="0072694B">
            <w:pPr>
              <w:jc w:val="right"/>
              <w:rPr>
                <w:sz w:val="22"/>
                <w:szCs w:val="22"/>
              </w:rPr>
            </w:pPr>
            <w:r w:rsidRPr="00532C61">
              <w:rPr>
                <w:bCs/>
                <w:sz w:val="22"/>
                <w:szCs w:val="22"/>
              </w:rPr>
              <w:t>16</w:t>
            </w:r>
          </w:p>
        </w:tc>
        <w:tc>
          <w:tcPr>
            <w:tcW w:w="374" w:type="pct"/>
            <w:shd w:val="clear" w:color="auto" w:fill="auto"/>
            <w:tcMar>
              <w:top w:w="0" w:type="dxa"/>
              <w:left w:w="45" w:type="dxa"/>
              <w:bottom w:w="0" w:type="dxa"/>
              <w:right w:w="45" w:type="dxa"/>
            </w:tcMar>
            <w:vAlign w:val="center"/>
            <w:hideMark/>
          </w:tcPr>
          <w:p w14:paraId="5311DE75" w14:textId="77777777" w:rsidR="002F2BB2" w:rsidRPr="00532C61" w:rsidRDefault="002F2BB2" w:rsidP="0072694B">
            <w:pPr>
              <w:jc w:val="right"/>
              <w:rPr>
                <w:sz w:val="22"/>
                <w:szCs w:val="22"/>
              </w:rPr>
            </w:pPr>
            <w:r w:rsidRPr="00532C61">
              <w:rPr>
                <w:sz w:val="22"/>
                <w:szCs w:val="22"/>
              </w:rPr>
              <w:t>34.8</w:t>
            </w:r>
          </w:p>
        </w:tc>
        <w:tc>
          <w:tcPr>
            <w:tcW w:w="406" w:type="pct"/>
            <w:shd w:val="clear" w:color="auto" w:fill="auto"/>
            <w:tcMar>
              <w:top w:w="0" w:type="dxa"/>
              <w:left w:w="45" w:type="dxa"/>
              <w:bottom w:w="0" w:type="dxa"/>
              <w:right w:w="45" w:type="dxa"/>
            </w:tcMar>
            <w:vAlign w:val="bottom"/>
            <w:hideMark/>
          </w:tcPr>
          <w:p w14:paraId="6F900D36" w14:textId="77777777" w:rsidR="002F2BB2" w:rsidRPr="00532C61" w:rsidRDefault="002F2BB2" w:rsidP="0072694B">
            <w:pPr>
              <w:jc w:val="right"/>
              <w:rPr>
                <w:sz w:val="22"/>
                <w:szCs w:val="22"/>
              </w:rPr>
            </w:pPr>
            <w:r w:rsidRPr="00532C61">
              <w:rPr>
                <w:bCs/>
                <w:sz w:val="22"/>
                <w:szCs w:val="22"/>
              </w:rPr>
              <w:t>0.112</w:t>
            </w:r>
          </w:p>
        </w:tc>
      </w:tr>
      <w:tr w:rsidR="002F2BB2" w:rsidRPr="00532C61" w14:paraId="3F48BE21" w14:textId="77777777" w:rsidTr="0072694B">
        <w:trPr>
          <w:trHeight w:val="315"/>
        </w:trPr>
        <w:tc>
          <w:tcPr>
            <w:tcW w:w="1988" w:type="pct"/>
            <w:shd w:val="clear" w:color="auto" w:fill="auto"/>
            <w:tcMar>
              <w:top w:w="0" w:type="dxa"/>
              <w:left w:w="45" w:type="dxa"/>
              <w:bottom w:w="0" w:type="dxa"/>
              <w:right w:w="45" w:type="dxa"/>
            </w:tcMar>
            <w:vAlign w:val="bottom"/>
            <w:hideMark/>
          </w:tcPr>
          <w:p w14:paraId="359CF4F0" w14:textId="77777777" w:rsidR="002F2BB2" w:rsidRPr="00532C61" w:rsidRDefault="002F2BB2" w:rsidP="0072694B">
            <w:pPr>
              <w:rPr>
                <w:b/>
                <w:bCs/>
                <w:sz w:val="22"/>
                <w:szCs w:val="22"/>
              </w:rPr>
            </w:pPr>
            <w:r w:rsidRPr="00532C61">
              <w:rPr>
                <w:b/>
                <w:bCs/>
                <w:sz w:val="22"/>
                <w:szCs w:val="22"/>
              </w:rPr>
              <w:t>Used GHB in P6M (Ref: No)</w:t>
            </w:r>
          </w:p>
        </w:tc>
        <w:tc>
          <w:tcPr>
            <w:tcW w:w="468" w:type="pct"/>
            <w:shd w:val="clear" w:color="auto" w:fill="auto"/>
            <w:tcMar>
              <w:top w:w="0" w:type="dxa"/>
              <w:left w:w="45" w:type="dxa"/>
              <w:bottom w:w="0" w:type="dxa"/>
              <w:right w:w="45" w:type="dxa"/>
            </w:tcMar>
            <w:vAlign w:val="center"/>
            <w:hideMark/>
          </w:tcPr>
          <w:p w14:paraId="616D625E" w14:textId="77777777" w:rsidR="002F2BB2" w:rsidRPr="00532C61" w:rsidRDefault="002F2BB2" w:rsidP="0072694B">
            <w:pPr>
              <w:jc w:val="right"/>
              <w:rPr>
                <w:sz w:val="22"/>
                <w:szCs w:val="22"/>
              </w:rPr>
            </w:pPr>
            <w:r w:rsidRPr="00532C61">
              <w:rPr>
                <w:bCs/>
                <w:sz w:val="22"/>
                <w:szCs w:val="22"/>
              </w:rPr>
              <w:t>23</w:t>
            </w:r>
          </w:p>
        </w:tc>
        <w:tc>
          <w:tcPr>
            <w:tcW w:w="391" w:type="pct"/>
            <w:shd w:val="clear" w:color="auto" w:fill="auto"/>
            <w:tcMar>
              <w:top w:w="0" w:type="dxa"/>
              <w:left w:w="45" w:type="dxa"/>
              <w:bottom w:w="0" w:type="dxa"/>
              <w:right w:w="45" w:type="dxa"/>
            </w:tcMar>
            <w:vAlign w:val="center"/>
            <w:hideMark/>
          </w:tcPr>
          <w:p w14:paraId="3C639F6B" w14:textId="77777777" w:rsidR="002F2BB2" w:rsidRPr="00532C61" w:rsidRDefault="002F2BB2" w:rsidP="0072694B">
            <w:pPr>
              <w:jc w:val="right"/>
              <w:rPr>
                <w:sz w:val="22"/>
                <w:szCs w:val="22"/>
              </w:rPr>
            </w:pPr>
            <w:r w:rsidRPr="00532C61">
              <w:rPr>
                <w:sz w:val="22"/>
                <w:szCs w:val="22"/>
              </w:rPr>
              <w:t>34.3</w:t>
            </w:r>
          </w:p>
        </w:tc>
        <w:tc>
          <w:tcPr>
            <w:tcW w:w="468" w:type="pct"/>
            <w:shd w:val="clear" w:color="auto" w:fill="auto"/>
            <w:tcMar>
              <w:top w:w="0" w:type="dxa"/>
              <w:left w:w="45" w:type="dxa"/>
              <w:bottom w:w="0" w:type="dxa"/>
              <w:right w:w="45" w:type="dxa"/>
            </w:tcMar>
            <w:vAlign w:val="center"/>
            <w:hideMark/>
          </w:tcPr>
          <w:p w14:paraId="54E79B98" w14:textId="77777777" w:rsidR="002F2BB2" w:rsidRPr="00532C61" w:rsidRDefault="002F2BB2" w:rsidP="0072694B">
            <w:pPr>
              <w:jc w:val="right"/>
              <w:rPr>
                <w:sz w:val="22"/>
                <w:szCs w:val="22"/>
              </w:rPr>
            </w:pPr>
            <w:r w:rsidRPr="00532C61">
              <w:rPr>
                <w:bCs/>
                <w:sz w:val="22"/>
                <w:szCs w:val="22"/>
              </w:rPr>
              <w:t>13</w:t>
            </w:r>
          </w:p>
        </w:tc>
        <w:tc>
          <w:tcPr>
            <w:tcW w:w="437" w:type="pct"/>
            <w:shd w:val="clear" w:color="auto" w:fill="auto"/>
            <w:tcMar>
              <w:top w:w="0" w:type="dxa"/>
              <w:left w:w="45" w:type="dxa"/>
              <w:bottom w:w="0" w:type="dxa"/>
              <w:right w:w="45" w:type="dxa"/>
            </w:tcMar>
            <w:vAlign w:val="center"/>
            <w:hideMark/>
          </w:tcPr>
          <w:p w14:paraId="5448FA3F" w14:textId="77777777" w:rsidR="002F2BB2" w:rsidRPr="00532C61" w:rsidRDefault="002F2BB2" w:rsidP="0072694B">
            <w:pPr>
              <w:jc w:val="right"/>
              <w:rPr>
                <w:sz w:val="22"/>
                <w:szCs w:val="22"/>
              </w:rPr>
            </w:pPr>
            <w:r w:rsidRPr="00532C61">
              <w:rPr>
                <w:sz w:val="22"/>
                <w:szCs w:val="22"/>
              </w:rPr>
              <w:t>61.9</w:t>
            </w:r>
          </w:p>
        </w:tc>
        <w:tc>
          <w:tcPr>
            <w:tcW w:w="468" w:type="pct"/>
            <w:shd w:val="clear" w:color="auto" w:fill="auto"/>
            <w:tcMar>
              <w:top w:w="0" w:type="dxa"/>
              <w:left w:w="45" w:type="dxa"/>
              <w:bottom w:w="0" w:type="dxa"/>
              <w:right w:w="45" w:type="dxa"/>
            </w:tcMar>
            <w:vAlign w:val="center"/>
            <w:hideMark/>
          </w:tcPr>
          <w:p w14:paraId="0EB52F89" w14:textId="77777777" w:rsidR="002F2BB2" w:rsidRPr="00532C61" w:rsidRDefault="002F2BB2" w:rsidP="0072694B">
            <w:pPr>
              <w:jc w:val="right"/>
              <w:rPr>
                <w:sz w:val="22"/>
                <w:szCs w:val="22"/>
              </w:rPr>
            </w:pPr>
            <w:r w:rsidRPr="00532C61">
              <w:rPr>
                <w:bCs/>
                <w:sz w:val="22"/>
                <w:szCs w:val="22"/>
              </w:rPr>
              <w:t>10</w:t>
            </w:r>
          </w:p>
        </w:tc>
        <w:tc>
          <w:tcPr>
            <w:tcW w:w="374" w:type="pct"/>
            <w:shd w:val="clear" w:color="auto" w:fill="auto"/>
            <w:tcMar>
              <w:top w:w="0" w:type="dxa"/>
              <w:left w:w="45" w:type="dxa"/>
              <w:bottom w:w="0" w:type="dxa"/>
              <w:right w:w="45" w:type="dxa"/>
            </w:tcMar>
            <w:vAlign w:val="center"/>
            <w:hideMark/>
          </w:tcPr>
          <w:p w14:paraId="57ED5CC8" w14:textId="77777777" w:rsidR="002F2BB2" w:rsidRPr="00532C61" w:rsidRDefault="002F2BB2" w:rsidP="0072694B">
            <w:pPr>
              <w:jc w:val="right"/>
              <w:rPr>
                <w:sz w:val="22"/>
                <w:szCs w:val="22"/>
              </w:rPr>
            </w:pPr>
            <w:r w:rsidRPr="00532C61">
              <w:rPr>
                <w:sz w:val="22"/>
                <w:szCs w:val="22"/>
              </w:rPr>
              <w:t>21.7</w:t>
            </w:r>
          </w:p>
        </w:tc>
        <w:tc>
          <w:tcPr>
            <w:tcW w:w="406" w:type="pct"/>
            <w:shd w:val="clear" w:color="auto" w:fill="auto"/>
            <w:tcMar>
              <w:top w:w="0" w:type="dxa"/>
              <w:left w:w="45" w:type="dxa"/>
              <w:bottom w:w="0" w:type="dxa"/>
              <w:right w:w="45" w:type="dxa"/>
            </w:tcMar>
            <w:vAlign w:val="bottom"/>
            <w:hideMark/>
          </w:tcPr>
          <w:p w14:paraId="480D3F78" w14:textId="77777777" w:rsidR="002F2BB2" w:rsidRPr="00532C61" w:rsidRDefault="002F2BB2" w:rsidP="0072694B">
            <w:pPr>
              <w:jc w:val="right"/>
              <w:rPr>
                <w:sz w:val="22"/>
                <w:szCs w:val="22"/>
              </w:rPr>
            </w:pPr>
            <w:r w:rsidRPr="00532C61">
              <w:rPr>
                <w:b/>
                <w:bCs/>
                <w:sz w:val="22"/>
                <w:szCs w:val="22"/>
              </w:rPr>
              <w:t>0.002</w:t>
            </w:r>
          </w:p>
        </w:tc>
      </w:tr>
      <w:tr w:rsidR="002F2BB2" w:rsidRPr="00532C61" w14:paraId="5E67FF01" w14:textId="77777777" w:rsidTr="0072694B">
        <w:trPr>
          <w:trHeight w:val="315"/>
        </w:trPr>
        <w:tc>
          <w:tcPr>
            <w:tcW w:w="1988" w:type="pct"/>
            <w:shd w:val="clear" w:color="auto" w:fill="auto"/>
            <w:tcMar>
              <w:top w:w="0" w:type="dxa"/>
              <w:left w:w="45" w:type="dxa"/>
              <w:bottom w:w="0" w:type="dxa"/>
              <w:right w:w="45" w:type="dxa"/>
            </w:tcMar>
            <w:vAlign w:val="bottom"/>
            <w:hideMark/>
          </w:tcPr>
          <w:p w14:paraId="64B2C22A" w14:textId="77777777" w:rsidR="002F2BB2" w:rsidRPr="00532C61" w:rsidRDefault="002F2BB2" w:rsidP="0072694B">
            <w:pPr>
              <w:rPr>
                <w:b/>
                <w:bCs/>
                <w:sz w:val="22"/>
                <w:szCs w:val="22"/>
              </w:rPr>
            </w:pPr>
            <w:r w:rsidRPr="00532C61">
              <w:rPr>
                <w:b/>
                <w:bCs/>
                <w:sz w:val="22"/>
                <w:szCs w:val="22"/>
              </w:rPr>
              <w:t>Used Ecstasy in P6M (Ref: No)</w:t>
            </w:r>
          </w:p>
        </w:tc>
        <w:tc>
          <w:tcPr>
            <w:tcW w:w="468" w:type="pct"/>
            <w:shd w:val="clear" w:color="auto" w:fill="auto"/>
            <w:tcMar>
              <w:top w:w="0" w:type="dxa"/>
              <w:left w:w="45" w:type="dxa"/>
              <w:bottom w:w="0" w:type="dxa"/>
              <w:right w:w="45" w:type="dxa"/>
            </w:tcMar>
            <w:vAlign w:val="center"/>
            <w:hideMark/>
          </w:tcPr>
          <w:p w14:paraId="38CFBEB8" w14:textId="77777777" w:rsidR="002F2BB2" w:rsidRPr="00532C61" w:rsidRDefault="002F2BB2" w:rsidP="0072694B">
            <w:pPr>
              <w:jc w:val="right"/>
              <w:rPr>
                <w:sz w:val="22"/>
                <w:szCs w:val="22"/>
              </w:rPr>
            </w:pPr>
            <w:r w:rsidRPr="00532C61">
              <w:rPr>
                <w:bCs/>
                <w:sz w:val="22"/>
                <w:szCs w:val="22"/>
              </w:rPr>
              <w:t>25</w:t>
            </w:r>
          </w:p>
        </w:tc>
        <w:tc>
          <w:tcPr>
            <w:tcW w:w="391" w:type="pct"/>
            <w:shd w:val="clear" w:color="auto" w:fill="auto"/>
            <w:tcMar>
              <w:top w:w="0" w:type="dxa"/>
              <w:left w:w="45" w:type="dxa"/>
              <w:bottom w:w="0" w:type="dxa"/>
              <w:right w:w="45" w:type="dxa"/>
            </w:tcMar>
            <w:vAlign w:val="center"/>
            <w:hideMark/>
          </w:tcPr>
          <w:p w14:paraId="14D45D2E" w14:textId="77777777" w:rsidR="002F2BB2" w:rsidRPr="00532C61" w:rsidRDefault="002F2BB2" w:rsidP="0072694B">
            <w:pPr>
              <w:jc w:val="right"/>
              <w:rPr>
                <w:sz w:val="22"/>
                <w:szCs w:val="22"/>
              </w:rPr>
            </w:pPr>
            <w:r w:rsidRPr="00532C61">
              <w:rPr>
                <w:sz w:val="22"/>
                <w:szCs w:val="22"/>
              </w:rPr>
              <w:t>37.3</w:t>
            </w:r>
          </w:p>
        </w:tc>
        <w:tc>
          <w:tcPr>
            <w:tcW w:w="468" w:type="pct"/>
            <w:shd w:val="clear" w:color="auto" w:fill="auto"/>
            <w:tcMar>
              <w:top w:w="0" w:type="dxa"/>
              <w:left w:w="45" w:type="dxa"/>
              <w:bottom w:w="0" w:type="dxa"/>
              <w:right w:w="45" w:type="dxa"/>
            </w:tcMar>
            <w:vAlign w:val="center"/>
            <w:hideMark/>
          </w:tcPr>
          <w:p w14:paraId="32077A5D" w14:textId="77777777" w:rsidR="002F2BB2" w:rsidRPr="00532C61" w:rsidRDefault="002F2BB2" w:rsidP="0072694B">
            <w:pPr>
              <w:jc w:val="right"/>
              <w:rPr>
                <w:sz w:val="22"/>
                <w:szCs w:val="22"/>
              </w:rPr>
            </w:pPr>
            <w:r w:rsidRPr="00532C61">
              <w:rPr>
                <w:bCs/>
                <w:sz w:val="22"/>
                <w:szCs w:val="22"/>
              </w:rPr>
              <w:t>14</w:t>
            </w:r>
          </w:p>
        </w:tc>
        <w:tc>
          <w:tcPr>
            <w:tcW w:w="437" w:type="pct"/>
            <w:shd w:val="clear" w:color="auto" w:fill="auto"/>
            <w:tcMar>
              <w:top w:w="0" w:type="dxa"/>
              <w:left w:w="45" w:type="dxa"/>
              <w:bottom w:w="0" w:type="dxa"/>
              <w:right w:w="45" w:type="dxa"/>
            </w:tcMar>
            <w:vAlign w:val="center"/>
            <w:hideMark/>
          </w:tcPr>
          <w:p w14:paraId="63EE14A7" w14:textId="77777777" w:rsidR="002F2BB2" w:rsidRPr="00532C61" w:rsidRDefault="002F2BB2" w:rsidP="0072694B">
            <w:pPr>
              <w:jc w:val="right"/>
              <w:rPr>
                <w:sz w:val="22"/>
                <w:szCs w:val="22"/>
              </w:rPr>
            </w:pPr>
            <w:r w:rsidRPr="00532C61">
              <w:rPr>
                <w:sz w:val="22"/>
                <w:szCs w:val="22"/>
              </w:rPr>
              <w:t>66.7</w:t>
            </w:r>
          </w:p>
        </w:tc>
        <w:tc>
          <w:tcPr>
            <w:tcW w:w="468" w:type="pct"/>
            <w:shd w:val="clear" w:color="auto" w:fill="auto"/>
            <w:tcMar>
              <w:top w:w="0" w:type="dxa"/>
              <w:left w:w="45" w:type="dxa"/>
              <w:bottom w:w="0" w:type="dxa"/>
              <w:right w:w="45" w:type="dxa"/>
            </w:tcMar>
            <w:vAlign w:val="center"/>
            <w:hideMark/>
          </w:tcPr>
          <w:p w14:paraId="3F9B46D3" w14:textId="77777777" w:rsidR="002F2BB2" w:rsidRPr="00532C61" w:rsidRDefault="002F2BB2" w:rsidP="0072694B">
            <w:pPr>
              <w:jc w:val="right"/>
              <w:rPr>
                <w:sz w:val="22"/>
                <w:szCs w:val="22"/>
              </w:rPr>
            </w:pPr>
            <w:r w:rsidRPr="00532C61">
              <w:rPr>
                <w:bCs/>
                <w:sz w:val="22"/>
                <w:szCs w:val="22"/>
              </w:rPr>
              <w:t>11</w:t>
            </w:r>
          </w:p>
        </w:tc>
        <w:tc>
          <w:tcPr>
            <w:tcW w:w="374" w:type="pct"/>
            <w:shd w:val="clear" w:color="auto" w:fill="auto"/>
            <w:tcMar>
              <w:top w:w="0" w:type="dxa"/>
              <w:left w:w="45" w:type="dxa"/>
              <w:bottom w:w="0" w:type="dxa"/>
              <w:right w:w="45" w:type="dxa"/>
            </w:tcMar>
            <w:vAlign w:val="center"/>
            <w:hideMark/>
          </w:tcPr>
          <w:p w14:paraId="42F8E5AB" w14:textId="77777777" w:rsidR="002F2BB2" w:rsidRPr="00532C61" w:rsidRDefault="002F2BB2" w:rsidP="0072694B">
            <w:pPr>
              <w:jc w:val="right"/>
              <w:rPr>
                <w:sz w:val="22"/>
                <w:szCs w:val="22"/>
              </w:rPr>
            </w:pPr>
            <w:r w:rsidRPr="00532C61">
              <w:rPr>
                <w:sz w:val="22"/>
                <w:szCs w:val="22"/>
              </w:rPr>
              <w:t>23.9</w:t>
            </w:r>
          </w:p>
        </w:tc>
        <w:tc>
          <w:tcPr>
            <w:tcW w:w="406" w:type="pct"/>
            <w:shd w:val="clear" w:color="auto" w:fill="auto"/>
            <w:tcMar>
              <w:top w:w="0" w:type="dxa"/>
              <w:left w:w="45" w:type="dxa"/>
              <w:bottom w:w="0" w:type="dxa"/>
              <w:right w:w="45" w:type="dxa"/>
            </w:tcMar>
            <w:vAlign w:val="bottom"/>
            <w:hideMark/>
          </w:tcPr>
          <w:p w14:paraId="618FA2DE" w14:textId="77777777" w:rsidR="002F2BB2" w:rsidRPr="00532C61" w:rsidRDefault="002F2BB2" w:rsidP="0072694B">
            <w:pPr>
              <w:jc w:val="right"/>
              <w:rPr>
                <w:sz w:val="22"/>
                <w:szCs w:val="22"/>
              </w:rPr>
            </w:pPr>
            <w:r w:rsidRPr="00532C61">
              <w:rPr>
                <w:b/>
                <w:bCs/>
                <w:sz w:val="22"/>
                <w:szCs w:val="22"/>
              </w:rPr>
              <w:t>0.001</w:t>
            </w:r>
          </w:p>
        </w:tc>
      </w:tr>
      <w:tr w:rsidR="002F2BB2" w:rsidRPr="00532C61" w14:paraId="123E5F3A" w14:textId="77777777" w:rsidTr="0072694B">
        <w:trPr>
          <w:trHeight w:val="315"/>
        </w:trPr>
        <w:tc>
          <w:tcPr>
            <w:tcW w:w="1988" w:type="pct"/>
            <w:shd w:val="clear" w:color="auto" w:fill="auto"/>
            <w:tcMar>
              <w:top w:w="0" w:type="dxa"/>
              <w:left w:w="45" w:type="dxa"/>
              <w:bottom w:w="0" w:type="dxa"/>
              <w:right w:w="45" w:type="dxa"/>
            </w:tcMar>
            <w:vAlign w:val="bottom"/>
            <w:hideMark/>
          </w:tcPr>
          <w:p w14:paraId="56AEB9D4" w14:textId="77777777" w:rsidR="002F2BB2" w:rsidRPr="00532C61" w:rsidRDefault="002F2BB2" w:rsidP="0072694B">
            <w:pPr>
              <w:rPr>
                <w:b/>
                <w:bCs/>
                <w:sz w:val="22"/>
                <w:szCs w:val="22"/>
              </w:rPr>
            </w:pPr>
            <w:r w:rsidRPr="00532C61">
              <w:rPr>
                <w:b/>
                <w:bCs/>
                <w:sz w:val="22"/>
                <w:szCs w:val="22"/>
              </w:rPr>
              <w:t>Used Cocaine in P6M (Ref: No)</w:t>
            </w:r>
          </w:p>
        </w:tc>
        <w:tc>
          <w:tcPr>
            <w:tcW w:w="468" w:type="pct"/>
            <w:shd w:val="clear" w:color="auto" w:fill="auto"/>
            <w:tcMar>
              <w:top w:w="0" w:type="dxa"/>
              <w:left w:w="45" w:type="dxa"/>
              <w:bottom w:w="0" w:type="dxa"/>
              <w:right w:w="45" w:type="dxa"/>
            </w:tcMar>
            <w:vAlign w:val="center"/>
            <w:hideMark/>
          </w:tcPr>
          <w:p w14:paraId="081BEC83" w14:textId="77777777" w:rsidR="002F2BB2" w:rsidRPr="00532C61" w:rsidRDefault="002F2BB2" w:rsidP="0072694B">
            <w:pPr>
              <w:jc w:val="right"/>
              <w:rPr>
                <w:sz w:val="22"/>
                <w:szCs w:val="22"/>
              </w:rPr>
            </w:pPr>
            <w:r w:rsidRPr="00532C61">
              <w:rPr>
                <w:bCs/>
                <w:sz w:val="22"/>
                <w:szCs w:val="22"/>
              </w:rPr>
              <w:t>15</w:t>
            </w:r>
          </w:p>
        </w:tc>
        <w:tc>
          <w:tcPr>
            <w:tcW w:w="391" w:type="pct"/>
            <w:shd w:val="clear" w:color="auto" w:fill="auto"/>
            <w:tcMar>
              <w:top w:w="0" w:type="dxa"/>
              <w:left w:w="45" w:type="dxa"/>
              <w:bottom w:w="0" w:type="dxa"/>
              <w:right w:w="45" w:type="dxa"/>
            </w:tcMar>
            <w:vAlign w:val="center"/>
            <w:hideMark/>
          </w:tcPr>
          <w:p w14:paraId="324CFFAF" w14:textId="77777777" w:rsidR="002F2BB2" w:rsidRPr="00532C61" w:rsidRDefault="002F2BB2" w:rsidP="0072694B">
            <w:pPr>
              <w:jc w:val="right"/>
              <w:rPr>
                <w:sz w:val="22"/>
                <w:szCs w:val="22"/>
              </w:rPr>
            </w:pPr>
            <w:r w:rsidRPr="00532C61">
              <w:rPr>
                <w:sz w:val="22"/>
                <w:szCs w:val="22"/>
              </w:rPr>
              <w:t>22.4</w:t>
            </w:r>
          </w:p>
        </w:tc>
        <w:tc>
          <w:tcPr>
            <w:tcW w:w="468" w:type="pct"/>
            <w:shd w:val="clear" w:color="auto" w:fill="auto"/>
            <w:tcMar>
              <w:top w:w="0" w:type="dxa"/>
              <w:left w:w="45" w:type="dxa"/>
              <w:bottom w:w="0" w:type="dxa"/>
              <w:right w:w="45" w:type="dxa"/>
            </w:tcMar>
            <w:vAlign w:val="center"/>
            <w:hideMark/>
          </w:tcPr>
          <w:p w14:paraId="4EF9A8DA" w14:textId="77777777" w:rsidR="002F2BB2" w:rsidRPr="00532C61" w:rsidRDefault="002F2BB2" w:rsidP="0072694B">
            <w:pPr>
              <w:jc w:val="right"/>
              <w:rPr>
                <w:sz w:val="22"/>
                <w:szCs w:val="22"/>
              </w:rPr>
            </w:pPr>
            <w:r w:rsidRPr="00532C61">
              <w:rPr>
                <w:bCs/>
                <w:sz w:val="22"/>
                <w:szCs w:val="22"/>
              </w:rPr>
              <w:t>8</w:t>
            </w:r>
          </w:p>
        </w:tc>
        <w:tc>
          <w:tcPr>
            <w:tcW w:w="437" w:type="pct"/>
            <w:shd w:val="clear" w:color="auto" w:fill="auto"/>
            <w:tcMar>
              <w:top w:w="0" w:type="dxa"/>
              <w:left w:w="45" w:type="dxa"/>
              <w:bottom w:w="0" w:type="dxa"/>
              <w:right w:w="45" w:type="dxa"/>
            </w:tcMar>
            <w:vAlign w:val="center"/>
            <w:hideMark/>
          </w:tcPr>
          <w:p w14:paraId="5ACF8996" w14:textId="77777777" w:rsidR="002F2BB2" w:rsidRPr="00532C61" w:rsidRDefault="002F2BB2" w:rsidP="0072694B">
            <w:pPr>
              <w:jc w:val="right"/>
              <w:rPr>
                <w:sz w:val="22"/>
                <w:szCs w:val="22"/>
              </w:rPr>
            </w:pPr>
            <w:r w:rsidRPr="00532C61">
              <w:rPr>
                <w:sz w:val="22"/>
                <w:szCs w:val="22"/>
              </w:rPr>
              <w:t>38.1</w:t>
            </w:r>
          </w:p>
        </w:tc>
        <w:tc>
          <w:tcPr>
            <w:tcW w:w="468" w:type="pct"/>
            <w:shd w:val="clear" w:color="auto" w:fill="auto"/>
            <w:tcMar>
              <w:top w:w="0" w:type="dxa"/>
              <w:left w:w="45" w:type="dxa"/>
              <w:bottom w:w="0" w:type="dxa"/>
              <w:right w:w="45" w:type="dxa"/>
            </w:tcMar>
            <w:vAlign w:val="center"/>
            <w:hideMark/>
          </w:tcPr>
          <w:p w14:paraId="66DE29E3" w14:textId="77777777" w:rsidR="002F2BB2" w:rsidRPr="00532C61" w:rsidRDefault="002F2BB2" w:rsidP="0072694B">
            <w:pPr>
              <w:jc w:val="right"/>
              <w:rPr>
                <w:sz w:val="22"/>
                <w:szCs w:val="22"/>
              </w:rPr>
            </w:pPr>
            <w:r w:rsidRPr="00532C61">
              <w:rPr>
                <w:bCs/>
                <w:sz w:val="22"/>
                <w:szCs w:val="22"/>
              </w:rPr>
              <w:t>7</w:t>
            </w:r>
          </w:p>
        </w:tc>
        <w:tc>
          <w:tcPr>
            <w:tcW w:w="374" w:type="pct"/>
            <w:shd w:val="clear" w:color="auto" w:fill="auto"/>
            <w:tcMar>
              <w:top w:w="0" w:type="dxa"/>
              <w:left w:w="45" w:type="dxa"/>
              <w:bottom w:w="0" w:type="dxa"/>
              <w:right w:w="45" w:type="dxa"/>
            </w:tcMar>
            <w:vAlign w:val="center"/>
            <w:hideMark/>
          </w:tcPr>
          <w:p w14:paraId="73F9E6F8" w14:textId="77777777" w:rsidR="002F2BB2" w:rsidRPr="00532C61" w:rsidRDefault="002F2BB2" w:rsidP="0072694B">
            <w:pPr>
              <w:jc w:val="right"/>
              <w:rPr>
                <w:sz w:val="22"/>
                <w:szCs w:val="22"/>
              </w:rPr>
            </w:pPr>
            <w:r w:rsidRPr="00532C61">
              <w:rPr>
                <w:sz w:val="22"/>
                <w:szCs w:val="22"/>
              </w:rPr>
              <w:t>15.2</w:t>
            </w:r>
          </w:p>
        </w:tc>
        <w:tc>
          <w:tcPr>
            <w:tcW w:w="406" w:type="pct"/>
            <w:shd w:val="clear" w:color="auto" w:fill="auto"/>
            <w:tcMar>
              <w:top w:w="0" w:type="dxa"/>
              <w:left w:w="45" w:type="dxa"/>
              <w:bottom w:w="0" w:type="dxa"/>
              <w:right w:w="45" w:type="dxa"/>
            </w:tcMar>
            <w:vAlign w:val="bottom"/>
            <w:hideMark/>
          </w:tcPr>
          <w:p w14:paraId="551E9B73" w14:textId="77777777" w:rsidR="002F2BB2" w:rsidRPr="00532C61" w:rsidRDefault="002F2BB2" w:rsidP="0072694B">
            <w:pPr>
              <w:jc w:val="right"/>
              <w:rPr>
                <w:sz w:val="22"/>
                <w:szCs w:val="22"/>
              </w:rPr>
            </w:pPr>
            <w:r w:rsidRPr="00532C61">
              <w:rPr>
                <w:bCs/>
                <w:sz w:val="22"/>
                <w:szCs w:val="22"/>
              </w:rPr>
              <w:t>0.057</w:t>
            </w:r>
          </w:p>
        </w:tc>
      </w:tr>
      <w:tr w:rsidR="002F2BB2" w:rsidRPr="00532C61" w14:paraId="022CD3F5" w14:textId="77777777" w:rsidTr="0072694B">
        <w:trPr>
          <w:trHeight w:val="315"/>
        </w:trPr>
        <w:tc>
          <w:tcPr>
            <w:tcW w:w="1988" w:type="pct"/>
            <w:shd w:val="clear" w:color="auto" w:fill="auto"/>
            <w:tcMar>
              <w:top w:w="0" w:type="dxa"/>
              <w:left w:w="45" w:type="dxa"/>
              <w:bottom w:w="0" w:type="dxa"/>
              <w:right w:w="45" w:type="dxa"/>
            </w:tcMar>
            <w:vAlign w:val="bottom"/>
            <w:hideMark/>
          </w:tcPr>
          <w:p w14:paraId="7DD7DC61" w14:textId="77777777" w:rsidR="002F2BB2" w:rsidRPr="00532C61" w:rsidRDefault="002F2BB2" w:rsidP="0072694B">
            <w:pPr>
              <w:rPr>
                <w:b/>
                <w:bCs/>
                <w:sz w:val="22"/>
                <w:szCs w:val="22"/>
              </w:rPr>
            </w:pPr>
            <w:r w:rsidRPr="00532C61">
              <w:rPr>
                <w:b/>
                <w:bCs/>
                <w:sz w:val="22"/>
                <w:szCs w:val="22"/>
              </w:rPr>
              <w:t>Used Ketamine in P6M (Ref: No)</w:t>
            </w:r>
          </w:p>
        </w:tc>
        <w:tc>
          <w:tcPr>
            <w:tcW w:w="468" w:type="pct"/>
            <w:shd w:val="clear" w:color="auto" w:fill="auto"/>
            <w:tcMar>
              <w:top w:w="0" w:type="dxa"/>
              <w:left w:w="45" w:type="dxa"/>
              <w:bottom w:w="0" w:type="dxa"/>
              <w:right w:w="45" w:type="dxa"/>
            </w:tcMar>
            <w:vAlign w:val="center"/>
            <w:hideMark/>
          </w:tcPr>
          <w:p w14:paraId="5D2E6ACD" w14:textId="77777777" w:rsidR="002F2BB2" w:rsidRPr="00532C61" w:rsidRDefault="002F2BB2" w:rsidP="0072694B">
            <w:pPr>
              <w:jc w:val="right"/>
              <w:rPr>
                <w:sz w:val="22"/>
                <w:szCs w:val="22"/>
              </w:rPr>
            </w:pPr>
            <w:r w:rsidRPr="00532C61">
              <w:rPr>
                <w:bCs/>
                <w:sz w:val="22"/>
                <w:szCs w:val="22"/>
              </w:rPr>
              <w:t>19</w:t>
            </w:r>
          </w:p>
        </w:tc>
        <w:tc>
          <w:tcPr>
            <w:tcW w:w="391" w:type="pct"/>
            <w:shd w:val="clear" w:color="auto" w:fill="auto"/>
            <w:tcMar>
              <w:top w:w="0" w:type="dxa"/>
              <w:left w:w="45" w:type="dxa"/>
              <w:bottom w:w="0" w:type="dxa"/>
              <w:right w:w="45" w:type="dxa"/>
            </w:tcMar>
            <w:vAlign w:val="center"/>
            <w:hideMark/>
          </w:tcPr>
          <w:p w14:paraId="58C41429" w14:textId="77777777" w:rsidR="002F2BB2" w:rsidRPr="00532C61" w:rsidRDefault="002F2BB2" w:rsidP="0072694B">
            <w:pPr>
              <w:jc w:val="right"/>
              <w:rPr>
                <w:sz w:val="22"/>
                <w:szCs w:val="22"/>
              </w:rPr>
            </w:pPr>
            <w:r w:rsidRPr="00532C61">
              <w:rPr>
                <w:sz w:val="22"/>
                <w:szCs w:val="22"/>
              </w:rPr>
              <w:t>28.4</w:t>
            </w:r>
          </w:p>
        </w:tc>
        <w:tc>
          <w:tcPr>
            <w:tcW w:w="468" w:type="pct"/>
            <w:shd w:val="clear" w:color="auto" w:fill="auto"/>
            <w:tcMar>
              <w:top w:w="0" w:type="dxa"/>
              <w:left w:w="45" w:type="dxa"/>
              <w:bottom w:w="0" w:type="dxa"/>
              <w:right w:w="45" w:type="dxa"/>
            </w:tcMar>
            <w:vAlign w:val="center"/>
            <w:hideMark/>
          </w:tcPr>
          <w:p w14:paraId="754652FD" w14:textId="77777777" w:rsidR="002F2BB2" w:rsidRPr="00532C61" w:rsidRDefault="002F2BB2" w:rsidP="0072694B">
            <w:pPr>
              <w:jc w:val="right"/>
              <w:rPr>
                <w:sz w:val="22"/>
                <w:szCs w:val="22"/>
              </w:rPr>
            </w:pPr>
            <w:r w:rsidRPr="00532C61">
              <w:rPr>
                <w:bCs/>
                <w:sz w:val="22"/>
                <w:szCs w:val="22"/>
              </w:rPr>
              <w:t>10</w:t>
            </w:r>
          </w:p>
        </w:tc>
        <w:tc>
          <w:tcPr>
            <w:tcW w:w="437" w:type="pct"/>
            <w:shd w:val="clear" w:color="auto" w:fill="auto"/>
            <w:tcMar>
              <w:top w:w="0" w:type="dxa"/>
              <w:left w:w="45" w:type="dxa"/>
              <w:bottom w:w="0" w:type="dxa"/>
              <w:right w:w="45" w:type="dxa"/>
            </w:tcMar>
            <w:vAlign w:val="center"/>
            <w:hideMark/>
          </w:tcPr>
          <w:p w14:paraId="25EABBE8" w14:textId="77777777" w:rsidR="002F2BB2" w:rsidRPr="00532C61" w:rsidRDefault="002F2BB2" w:rsidP="0072694B">
            <w:pPr>
              <w:jc w:val="right"/>
              <w:rPr>
                <w:sz w:val="22"/>
                <w:szCs w:val="22"/>
              </w:rPr>
            </w:pPr>
            <w:r w:rsidRPr="00532C61">
              <w:rPr>
                <w:sz w:val="22"/>
                <w:szCs w:val="22"/>
              </w:rPr>
              <w:t>47.6</w:t>
            </w:r>
          </w:p>
        </w:tc>
        <w:tc>
          <w:tcPr>
            <w:tcW w:w="468" w:type="pct"/>
            <w:shd w:val="clear" w:color="auto" w:fill="auto"/>
            <w:tcMar>
              <w:top w:w="0" w:type="dxa"/>
              <w:left w:w="45" w:type="dxa"/>
              <w:bottom w:w="0" w:type="dxa"/>
              <w:right w:w="45" w:type="dxa"/>
            </w:tcMar>
            <w:vAlign w:val="center"/>
            <w:hideMark/>
          </w:tcPr>
          <w:p w14:paraId="393780D5" w14:textId="77777777" w:rsidR="002F2BB2" w:rsidRPr="00532C61" w:rsidRDefault="002F2BB2" w:rsidP="0072694B">
            <w:pPr>
              <w:jc w:val="right"/>
              <w:rPr>
                <w:sz w:val="22"/>
                <w:szCs w:val="22"/>
              </w:rPr>
            </w:pPr>
            <w:r w:rsidRPr="00532C61">
              <w:rPr>
                <w:bCs/>
                <w:sz w:val="22"/>
                <w:szCs w:val="22"/>
              </w:rPr>
              <w:t>9</w:t>
            </w:r>
          </w:p>
        </w:tc>
        <w:tc>
          <w:tcPr>
            <w:tcW w:w="374" w:type="pct"/>
            <w:shd w:val="clear" w:color="auto" w:fill="auto"/>
            <w:tcMar>
              <w:top w:w="0" w:type="dxa"/>
              <w:left w:w="45" w:type="dxa"/>
              <w:bottom w:w="0" w:type="dxa"/>
              <w:right w:w="45" w:type="dxa"/>
            </w:tcMar>
            <w:vAlign w:val="center"/>
            <w:hideMark/>
          </w:tcPr>
          <w:p w14:paraId="21564525" w14:textId="77777777" w:rsidR="002F2BB2" w:rsidRPr="00532C61" w:rsidRDefault="002F2BB2" w:rsidP="0072694B">
            <w:pPr>
              <w:jc w:val="right"/>
              <w:rPr>
                <w:sz w:val="22"/>
                <w:szCs w:val="22"/>
              </w:rPr>
            </w:pPr>
            <w:r w:rsidRPr="00532C61">
              <w:rPr>
                <w:sz w:val="22"/>
                <w:szCs w:val="22"/>
              </w:rPr>
              <w:t>19.6</w:t>
            </w:r>
          </w:p>
        </w:tc>
        <w:tc>
          <w:tcPr>
            <w:tcW w:w="406" w:type="pct"/>
            <w:shd w:val="clear" w:color="auto" w:fill="auto"/>
            <w:tcMar>
              <w:top w:w="0" w:type="dxa"/>
              <w:left w:w="45" w:type="dxa"/>
              <w:bottom w:w="0" w:type="dxa"/>
              <w:right w:w="45" w:type="dxa"/>
            </w:tcMar>
            <w:vAlign w:val="bottom"/>
            <w:hideMark/>
          </w:tcPr>
          <w:p w14:paraId="05A76726" w14:textId="77777777" w:rsidR="002F2BB2" w:rsidRPr="00532C61" w:rsidRDefault="002F2BB2" w:rsidP="0072694B">
            <w:pPr>
              <w:jc w:val="right"/>
              <w:rPr>
                <w:sz w:val="22"/>
                <w:szCs w:val="22"/>
              </w:rPr>
            </w:pPr>
            <w:r w:rsidRPr="00532C61">
              <w:rPr>
                <w:b/>
                <w:bCs/>
                <w:sz w:val="22"/>
                <w:szCs w:val="22"/>
              </w:rPr>
              <w:t>0.039</w:t>
            </w:r>
          </w:p>
        </w:tc>
      </w:tr>
      <w:tr w:rsidR="002F2BB2" w:rsidRPr="00532C61" w14:paraId="1328DD73" w14:textId="77777777" w:rsidTr="0072694B">
        <w:trPr>
          <w:trHeight w:val="315"/>
        </w:trPr>
        <w:tc>
          <w:tcPr>
            <w:tcW w:w="1988" w:type="pct"/>
            <w:shd w:val="clear" w:color="auto" w:fill="auto"/>
            <w:tcMar>
              <w:top w:w="0" w:type="dxa"/>
              <w:left w:w="45" w:type="dxa"/>
              <w:bottom w:w="0" w:type="dxa"/>
              <w:right w:w="45" w:type="dxa"/>
            </w:tcMar>
            <w:vAlign w:val="bottom"/>
            <w:hideMark/>
          </w:tcPr>
          <w:p w14:paraId="0CCC057F" w14:textId="77777777" w:rsidR="002F2BB2" w:rsidRPr="00532C61" w:rsidRDefault="002F2BB2" w:rsidP="0072694B">
            <w:pPr>
              <w:rPr>
                <w:b/>
                <w:bCs/>
                <w:sz w:val="22"/>
                <w:szCs w:val="22"/>
              </w:rPr>
            </w:pPr>
            <w:r w:rsidRPr="00532C61">
              <w:rPr>
                <w:b/>
                <w:bCs/>
                <w:sz w:val="22"/>
                <w:szCs w:val="22"/>
              </w:rPr>
              <w:t>Used Crack in P6M (Ref: No)</w:t>
            </w:r>
          </w:p>
        </w:tc>
        <w:tc>
          <w:tcPr>
            <w:tcW w:w="468" w:type="pct"/>
            <w:shd w:val="clear" w:color="auto" w:fill="auto"/>
            <w:tcMar>
              <w:top w:w="0" w:type="dxa"/>
              <w:left w:w="45" w:type="dxa"/>
              <w:bottom w:w="0" w:type="dxa"/>
              <w:right w:w="45" w:type="dxa"/>
            </w:tcMar>
            <w:vAlign w:val="center"/>
            <w:hideMark/>
          </w:tcPr>
          <w:p w14:paraId="09FB820E" w14:textId="77777777" w:rsidR="002F2BB2" w:rsidRPr="00532C61" w:rsidRDefault="002F2BB2" w:rsidP="0072694B">
            <w:pPr>
              <w:jc w:val="right"/>
              <w:rPr>
                <w:sz w:val="22"/>
                <w:szCs w:val="22"/>
              </w:rPr>
            </w:pPr>
            <w:r w:rsidRPr="00532C61">
              <w:rPr>
                <w:bCs/>
                <w:sz w:val="22"/>
                <w:szCs w:val="22"/>
              </w:rPr>
              <w:t>9</w:t>
            </w:r>
          </w:p>
        </w:tc>
        <w:tc>
          <w:tcPr>
            <w:tcW w:w="391" w:type="pct"/>
            <w:shd w:val="clear" w:color="auto" w:fill="auto"/>
            <w:tcMar>
              <w:top w:w="0" w:type="dxa"/>
              <w:left w:w="45" w:type="dxa"/>
              <w:bottom w:w="0" w:type="dxa"/>
              <w:right w:w="45" w:type="dxa"/>
            </w:tcMar>
            <w:vAlign w:val="center"/>
            <w:hideMark/>
          </w:tcPr>
          <w:p w14:paraId="10B8FDF0" w14:textId="77777777" w:rsidR="002F2BB2" w:rsidRPr="00532C61" w:rsidRDefault="002F2BB2" w:rsidP="0072694B">
            <w:pPr>
              <w:jc w:val="right"/>
              <w:rPr>
                <w:sz w:val="22"/>
                <w:szCs w:val="22"/>
              </w:rPr>
            </w:pPr>
            <w:r w:rsidRPr="00532C61">
              <w:rPr>
                <w:sz w:val="22"/>
                <w:szCs w:val="22"/>
              </w:rPr>
              <w:t>13.4</w:t>
            </w:r>
          </w:p>
        </w:tc>
        <w:tc>
          <w:tcPr>
            <w:tcW w:w="468" w:type="pct"/>
            <w:shd w:val="clear" w:color="auto" w:fill="auto"/>
            <w:tcMar>
              <w:top w:w="0" w:type="dxa"/>
              <w:left w:w="45" w:type="dxa"/>
              <w:bottom w:w="0" w:type="dxa"/>
              <w:right w:w="45" w:type="dxa"/>
            </w:tcMar>
            <w:vAlign w:val="center"/>
            <w:hideMark/>
          </w:tcPr>
          <w:p w14:paraId="23F2A6E0" w14:textId="77777777" w:rsidR="002F2BB2" w:rsidRPr="00532C61" w:rsidRDefault="002F2BB2" w:rsidP="0072694B">
            <w:pPr>
              <w:jc w:val="right"/>
              <w:rPr>
                <w:sz w:val="22"/>
                <w:szCs w:val="22"/>
              </w:rPr>
            </w:pPr>
            <w:r w:rsidRPr="00532C61">
              <w:rPr>
                <w:bCs/>
                <w:sz w:val="22"/>
                <w:szCs w:val="22"/>
              </w:rPr>
              <w:t>5</w:t>
            </w:r>
          </w:p>
        </w:tc>
        <w:tc>
          <w:tcPr>
            <w:tcW w:w="437" w:type="pct"/>
            <w:shd w:val="clear" w:color="auto" w:fill="auto"/>
            <w:tcMar>
              <w:top w:w="0" w:type="dxa"/>
              <w:left w:w="45" w:type="dxa"/>
              <w:bottom w:w="0" w:type="dxa"/>
              <w:right w:w="45" w:type="dxa"/>
            </w:tcMar>
            <w:vAlign w:val="center"/>
            <w:hideMark/>
          </w:tcPr>
          <w:p w14:paraId="2EF8A549" w14:textId="77777777" w:rsidR="002F2BB2" w:rsidRPr="00532C61" w:rsidRDefault="002F2BB2" w:rsidP="0072694B">
            <w:pPr>
              <w:jc w:val="right"/>
              <w:rPr>
                <w:sz w:val="22"/>
                <w:szCs w:val="22"/>
              </w:rPr>
            </w:pPr>
            <w:r w:rsidRPr="00532C61">
              <w:rPr>
                <w:sz w:val="22"/>
                <w:szCs w:val="22"/>
              </w:rPr>
              <w:t>23.8</w:t>
            </w:r>
          </w:p>
        </w:tc>
        <w:tc>
          <w:tcPr>
            <w:tcW w:w="468" w:type="pct"/>
            <w:shd w:val="clear" w:color="auto" w:fill="auto"/>
            <w:tcMar>
              <w:top w:w="0" w:type="dxa"/>
              <w:left w:w="45" w:type="dxa"/>
              <w:bottom w:w="0" w:type="dxa"/>
              <w:right w:w="45" w:type="dxa"/>
            </w:tcMar>
            <w:vAlign w:val="center"/>
            <w:hideMark/>
          </w:tcPr>
          <w:p w14:paraId="13E9A70E" w14:textId="77777777" w:rsidR="002F2BB2" w:rsidRPr="00532C61" w:rsidRDefault="002F2BB2" w:rsidP="0072694B">
            <w:pPr>
              <w:jc w:val="right"/>
              <w:rPr>
                <w:sz w:val="22"/>
                <w:szCs w:val="22"/>
              </w:rPr>
            </w:pPr>
            <w:r w:rsidRPr="00532C61">
              <w:rPr>
                <w:bCs/>
                <w:sz w:val="22"/>
                <w:szCs w:val="22"/>
              </w:rPr>
              <w:t>4</w:t>
            </w:r>
          </w:p>
        </w:tc>
        <w:tc>
          <w:tcPr>
            <w:tcW w:w="374" w:type="pct"/>
            <w:shd w:val="clear" w:color="auto" w:fill="auto"/>
            <w:tcMar>
              <w:top w:w="0" w:type="dxa"/>
              <w:left w:w="45" w:type="dxa"/>
              <w:bottom w:w="0" w:type="dxa"/>
              <w:right w:w="45" w:type="dxa"/>
            </w:tcMar>
            <w:vAlign w:val="center"/>
            <w:hideMark/>
          </w:tcPr>
          <w:p w14:paraId="05BA8D25" w14:textId="77777777" w:rsidR="002F2BB2" w:rsidRPr="00532C61" w:rsidRDefault="002F2BB2" w:rsidP="0072694B">
            <w:pPr>
              <w:jc w:val="right"/>
              <w:rPr>
                <w:sz w:val="22"/>
                <w:szCs w:val="22"/>
              </w:rPr>
            </w:pPr>
            <w:r w:rsidRPr="00532C61">
              <w:rPr>
                <w:sz w:val="22"/>
                <w:szCs w:val="22"/>
              </w:rPr>
              <w:t>8.7</w:t>
            </w:r>
          </w:p>
        </w:tc>
        <w:tc>
          <w:tcPr>
            <w:tcW w:w="406" w:type="pct"/>
            <w:shd w:val="clear" w:color="auto" w:fill="auto"/>
            <w:tcMar>
              <w:top w:w="0" w:type="dxa"/>
              <w:left w:w="45" w:type="dxa"/>
              <w:bottom w:w="0" w:type="dxa"/>
              <w:right w:w="45" w:type="dxa"/>
            </w:tcMar>
            <w:vAlign w:val="bottom"/>
            <w:hideMark/>
          </w:tcPr>
          <w:p w14:paraId="60C57BBD" w14:textId="77777777" w:rsidR="002F2BB2" w:rsidRPr="00532C61" w:rsidRDefault="002F2BB2" w:rsidP="0072694B">
            <w:pPr>
              <w:jc w:val="right"/>
              <w:rPr>
                <w:sz w:val="22"/>
                <w:szCs w:val="22"/>
              </w:rPr>
            </w:pPr>
            <w:r w:rsidRPr="00532C61">
              <w:rPr>
                <w:bCs/>
                <w:sz w:val="22"/>
                <w:szCs w:val="22"/>
              </w:rPr>
              <w:t>0.126</w:t>
            </w:r>
          </w:p>
        </w:tc>
      </w:tr>
      <w:tr w:rsidR="002F2BB2" w:rsidRPr="00532C61" w14:paraId="711A8CD1" w14:textId="77777777" w:rsidTr="0072694B">
        <w:trPr>
          <w:trHeight w:val="315"/>
        </w:trPr>
        <w:tc>
          <w:tcPr>
            <w:tcW w:w="1988" w:type="pct"/>
            <w:tcBorders>
              <w:bottom w:val="single" w:sz="4" w:space="0" w:color="auto"/>
            </w:tcBorders>
            <w:shd w:val="clear" w:color="auto" w:fill="auto"/>
            <w:tcMar>
              <w:top w:w="0" w:type="dxa"/>
              <w:left w:w="45" w:type="dxa"/>
              <w:bottom w:w="0" w:type="dxa"/>
              <w:right w:w="45" w:type="dxa"/>
            </w:tcMar>
            <w:vAlign w:val="bottom"/>
            <w:hideMark/>
          </w:tcPr>
          <w:p w14:paraId="21C44BD0" w14:textId="77777777" w:rsidR="002F2BB2" w:rsidRPr="00532C61" w:rsidRDefault="002F2BB2" w:rsidP="0072694B">
            <w:pPr>
              <w:rPr>
                <w:b/>
                <w:bCs/>
                <w:sz w:val="22"/>
                <w:szCs w:val="22"/>
              </w:rPr>
            </w:pPr>
            <w:r w:rsidRPr="00532C61">
              <w:rPr>
                <w:b/>
                <w:bCs/>
                <w:sz w:val="22"/>
                <w:szCs w:val="22"/>
              </w:rPr>
              <w:t>Used Heroin in P6M (Ref: No)</w:t>
            </w:r>
          </w:p>
        </w:tc>
        <w:tc>
          <w:tcPr>
            <w:tcW w:w="468" w:type="pct"/>
            <w:tcBorders>
              <w:bottom w:val="single" w:sz="4" w:space="0" w:color="auto"/>
            </w:tcBorders>
            <w:shd w:val="clear" w:color="auto" w:fill="auto"/>
            <w:tcMar>
              <w:top w:w="0" w:type="dxa"/>
              <w:left w:w="45" w:type="dxa"/>
              <w:bottom w:w="0" w:type="dxa"/>
              <w:right w:w="45" w:type="dxa"/>
            </w:tcMar>
            <w:vAlign w:val="center"/>
            <w:hideMark/>
          </w:tcPr>
          <w:p w14:paraId="029D2589" w14:textId="77777777" w:rsidR="002F2BB2" w:rsidRPr="00532C61" w:rsidRDefault="002F2BB2" w:rsidP="0072694B">
            <w:pPr>
              <w:jc w:val="right"/>
              <w:rPr>
                <w:sz w:val="22"/>
                <w:szCs w:val="22"/>
              </w:rPr>
            </w:pPr>
            <w:r w:rsidRPr="00532C61">
              <w:rPr>
                <w:bCs/>
                <w:sz w:val="22"/>
                <w:szCs w:val="22"/>
              </w:rPr>
              <w:t>10</w:t>
            </w:r>
          </w:p>
        </w:tc>
        <w:tc>
          <w:tcPr>
            <w:tcW w:w="391" w:type="pct"/>
            <w:tcBorders>
              <w:bottom w:val="single" w:sz="4" w:space="0" w:color="auto"/>
            </w:tcBorders>
            <w:shd w:val="clear" w:color="auto" w:fill="auto"/>
            <w:tcMar>
              <w:top w:w="0" w:type="dxa"/>
              <w:left w:w="45" w:type="dxa"/>
              <w:bottom w:w="0" w:type="dxa"/>
              <w:right w:w="45" w:type="dxa"/>
            </w:tcMar>
            <w:vAlign w:val="center"/>
            <w:hideMark/>
          </w:tcPr>
          <w:p w14:paraId="61B5AA5F" w14:textId="77777777" w:rsidR="002F2BB2" w:rsidRPr="00532C61" w:rsidRDefault="002F2BB2" w:rsidP="0072694B">
            <w:pPr>
              <w:jc w:val="right"/>
              <w:rPr>
                <w:sz w:val="22"/>
                <w:szCs w:val="22"/>
              </w:rPr>
            </w:pPr>
            <w:r w:rsidRPr="00532C61">
              <w:rPr>
                <w:sz w:val="22"/>
                <w:szCs w:val="22"/>
              </w:rPr>
              <w:t>14.9</w:t>
            </w:r>
          </w:p>
        </w:tc>
        <w:tc>
          <w:tcPr>
            <w:tcW w:w="468" w:type="pct"/>
            <w:tcBorders>
              <w:bottom w:val="single" w:sz="4" w:space="0" w:color="auto"/>
            </w:tcBorders>
            <w:shd w:val="clear" w:color="auto" w:fill="auto"/>
            <w:tcMar>
              <w:top w:w="0" w:type="dxa"/>
              <w:left w:w="45" w:type="dxa"/>
              <w:bottom w:w="0" w:type="dxa"/>
              <w:right w:w="45" w:type="dxa"/>
            </w:tcMar>
            <w:vAlign w:val="center"/>
            <w:hideMark/>
          </w:tcPr>
          <w:p w14:paraId="1155E1CC" w14:textId="77777777" w:rsidR="002F2BB2" w:rsidRPr="00532C61" w:rsidRDefault="002F2BB2" w:rsidP="0072694B">
            <w:pPr>
              <w:jc w:val="right"/>
              <w:rPr>
                <w:sz w:val="22"/>
                <w:szCs w:val="22"/>
              </w:rPr>
            </w:pPr>
            <w:r w:rsidRPr="00532C61">
              <w:rPr>
                <w:bCs/>
                <w:sz w:val="22"/>
                <w:szCs w:val="22"/>
              </w:rPr>
              <w:t>6</w:t>
            </w:r>
          </w:p>
        </w:tc>
        <w:tc>
          <w:tcPr>
            <w:tcW w:w="437" w:type="pct"/>
            <w:tcBorders>
              <w:bottom w:val="single" w:sz="4" w:space="0" w:color="auto"/>
            </w:tcBorders>
            <w:shd w:val="clear" w:color="auto" w:fill="auto"/>
            <w:tcMar>
              <w:top w:w="0" w:type="dxa"/>
              <w:left w:w="45" w:type="dxa"/>
              <w:bottom w:w="0" w:type="dxa"/>
              <w:right w:w="45" w:type="dxa"/>
            </w:tcMar>
            <w:vAlign w:val="center"/>
            <w:hideMark/>
          </w:tcPr>
          <w:p w14:paraId="26C40D14" w14:textId="77777777" w:rsidR="002F2BB2" w:rsidRPr="00532C61" w:rsidRDefault="002F2BB2" w:rsidP="0072694B">
            <w:pPr>
              <w:jc w:val="right"/>
              <w:rPr>
                <w:sz w:val="22"/>
                <w:szCs w:val="22"/>
              </w:rPr>
            </w:pPr>
            <w:r w:rsidRPr="00532C61">
              <w:rPr>
                <w:sz w:val="22"/>
                <w:szCs w:val="22"/>
              </w:rPr>
              <w:t>28.6</w:t>
            </w:r>
          </w:p>
        </w:tc>
        <w:tc>
          <w:tcPr>
            <w:tcW w:w="468" w:type="pct"/>
            <w:tcBorders>
              <w:bottom w:val="single" w:sz="4" w:space="0" w:color="auto"/>
            </w:tcBorders>
            <w:shd w:val="clear" w:color="auto" w:fill="auto"/>
            <w:tcMar>
              <w:top w:w="0" w:type="dxa"/>
              <w:left w:w="45" w:type="dxa"/>
              <w:bottom w:w="0" w:type="dxa"/>
              <w:right w:w="45" w:type="dxa"/>
            </w:tcMar>
            <w:vAlign w:val="center"/>
            <w:hideMark/>
          </w:tcPr>
          <w:p w14:paraId="4A36740F" w14:textId="77777777" w:rsidR="002F2BB2" w:rsidRPr="00532C61" w:rsidRDefault="002F2BB2" w:rsidP="0072694B">
            <w:pPr>
              <w:jc w:val="right"/>
              <w:rPr>
                <w:sz w:val="22"/>
                <w:szCs w:val="22"/>
              </w:rPr>
            </w:pPr>
            <w:r w:rsidRPr="00532C61">
              <w:rPr>
                <w:bCs/>
                <w:sz w:val="22"/>
                <w:szCs w:val="22"/>
              </w:rPr>
              <w:t>4</w:t>
            </w:r>
          </w:p>
        </w:tc>
        <w:tc>
          <w:tcPr>
            <w:tcW w:w="374" w:type="pct"/>
            <w:tcBorders>
              <w:bottom w:val="single" w:sz="4" w:space="0" w:color="auto"/>
            </w:tcBorders>
            <w:shd w:val="clear" w:color="auto" w:fill="auto"/>
            <w:tcMar>
              <w:top w:w="0" w:type="dxa"/>
              <w:left w:w="45" w:type="dxa"/>
              <w:bottom w:w="0" w:type="dxa"/>
              <w:right w:w="45" w:type="dxa"/>
            </w:tcMar>
            <w:vAlign w:val="center"/>
            <w:hideMark/>
          </w:tcPr>
          <w:p w14:paraId="260F3B58" w14:textId="77777777" w:rsidR="002F2BB2" w:rsidRPr="00532C61" w:rsidRDefault="002F2BB2" w:rsidP="0072694B">
            <w:pPr>
              <w:jc w:val="right"/>
              <w:rPr>
                <w:sz w:val="22"/>
                <w:szCs w:val="22"/>
              </w:rPr>
            </w:pPr>
            <w:r w:rsidRPr="00532C61">
              <w:rPr>
                <w:sz w:val="22"/>
                <w:szCs w:val="22"/>
              </w:rPr>
              <w:t>8.7</w:t>
            </w:r>
          </w:p>
        </w:tc>
        <w:tc>
          <w:tcPr>
            <w:tcW w:w="406" w:type="pct"/>
            <w:tcBorders>
              <w:bottom w:val="single" w:sz="4" w:space="0" w:color="auto"/>
            </w:tcBorders>
            <w:shd w:val="clear" w:color="auto" w:fill="auto"/>
            <w:tcMar>
              <w:top w:w="0" w:type="dxa"/>
              <w:left w:w="45" w:type="dxa"/>
              <w:bottom w:w="0" w:type="dxa"/>
              <w:right w:w="45" w:type="dxa"/>
            </w:tcMar>
            <w:vAlign w:val="bottom"/>
            <w:hideMark/>
          </w:tcPr>
          <w:p w14:paraId="316454EB" w14:textId="77777777" w:rsidR="002F2BB2" w:rsidRPr="00532C61" w:rsidRDefault="002F2BB2" w:rsidP="0072694B">
            <w:pPr>
              <w:jc w:val="right"/>
              <w:rPr>
                <w:sz w:val="22"/>
                <w:szCs w:val="22"/>
              </w:rPr>
            </w:pPr>
            <w:r w:rsidRPr="00532C61">
              <w:rPr>
                <w:bCs/>
                <w:sz w:val="22"/>
                <w:szCs w:val="22"/>
              </w:rPr>
              <w:t>0.060</w:t>
            </w:r>
          </w:p>
        </w:tc>
      </w:tr>
      <w:tr w:rsidR="002F2BB2" w:rsidRPr="00532C61" w14:paraId="6E7924A4" w14:textId="77777777" w:rsidTr="0072694B">
        <w:trPr>
          <w:trHeight w:val="315"/>
        </w:trPr>
        <w:tc>
          <w:tcPr>
            <w:tcW w:w="1988" w:type="pct"/>
            <w:tcBorders>
              <w:top w:val="single" w:sz="4" w:space="0" w:color="auto"/>
              <w:bottom w:val="single" w:sz="4" w:space="0" w:color="auto"/>
            </w:tcBorders>
            <w:shd w:val="clear" w:color="auto" w:fill="auto"/>
            <w:tcMar>
              <w:top w:w="0" w:type="dxa"/>
              <w:left w:w="45" w:type="dxa"/>
              <w:bottom w:w="0" w:type="dxa"/>
              <w:right w:w="45" w:type="dxa"/>
            </w:tcMar>
            <w:vAlign w:val="center"/>
          </w:tcPr>
          <w:p w14:paraId="229918C7" w14:textId="77777777" w:rsidR="002F2BB2" w:rsidRPr="00532C61" w:rsidRDefault="002F2BB2" w:rsidP="0072694B">
            <w:pPr>
              <w:rPr>
                <w:b/>
                <w:bCs/>
                <w:sz w:val="22"/>
                <w:szCs w:val="22"/>
              </w:rPr>
            </w:pPr>
            <w:r w:rsidRPr="00532C61">
              <w:rPr>
                <w:b/>
                <w:bCs/>
                <w:sz w:val="22"/>
                <w:szCs w:val="22"/>
              </w:rPr>
              <w:t>Continuous Variables</w:t>
            </w:r>
          </w:p>
        </w:tc>
        <w:tc>
          <w:tcPr>
            <w:tcW w:w="468" w:type="pct"/>
            <w:tcBorders>
              <w:top w:val="single" w:sz="4" w:space="0" w:color="auto"/>
              <w:bottom w:val="single" w:sz="4" w:space="0" w:color="auto"/>
            </w:tcBorders>
            <w:shd w:val="clear" w:color="auto" w:fill="auto"/>
            <w:tcMar>
              <w:top w:w="0" w:type="dxa"/>
              <w:left w:w="45" w:type="dxa"/>
              <w:bottom w:w="0" w:type="dxa"/>
              <w:right w:w="45" w:type="dxa"/>
            </w:tcMar>
            <w:vAlign w:val="center"/>
          </w:tcPr>
          <w:p w14:paraId="66583EAA" w14:textId="77777777" w:rsidR="002F2BB2" w:rsidRPr="00532C61" w:rsidRDefault="002F2BB2" w:rsidP="0072694B">
            <w:pPr>
              <w:jc w:val="right"/>
              <w:rPr>
                <w:bCs/>
                <w:sz w:val="22"/>
                <w:szCs w:val="22"/>
              </w:rPr>
            </w:pPr>
            <w:r w:rsidRPr="00532C61">
              <w:rPr>
                <w:b/>
                <w:bCs/>
                <w:sz w:val="22"/>
                <w:szCs w:val="22"/>
              </w:rPr>
              <w:t>Median</w:t>
            </w:r>
          </w:p>
        </w:tc>
        <w:tc>
          <w:tcPr>
            <w:tcW w:w="391" w:type="pct"/>
            <w:tcBorders>
              <w:top w:val="single" w:sz="4" w:space="0" w:color="auto"/>
              <w:bottom w:val="single" w:sz="4" w:space="0" w:color="auto"/>
            </w:tcBorders>
            <w:shd w:val="clear" w:color="auto" w:fill="auto"/>
            <w:tcMar>
              <w:top w:w="0" w:type="dxa"/>
              <w:left w:w="45" w:type="dxa"/>
              <w:bottom w:w="0" w:type="dxa"/>
              <w:right w:w="45" w:type="dxa"/>
            </w:tcMar>
            <w:vAlign w:val="center"/>
          </w:tcPr>
          <w:p w14:paraId="6268FEAF" w14:textId="77777777" w:rsidR="002F2BB2" w:rsidRPr="00532C61" w:rsidRDefault="002F2BB2" w:rsidP="0072694B">
            <w:pPr>
              <w:jc w:val="right"/>
              <w:rPr>
                <w:sz w:val="22"/>
                <w:szCs w:val="22"/>
              </w:rPr>
            </w:pPr>
            <w:r w:rsidRPr="00532C61">
              <w:rPr>
                <w:b/>
                <w:sz w:val="22"/>
                <w:szCs w:val="22"/>
              </w:rPr>
              <w:t>(Q1, Q3)</w:t>
            </w:r>
          </w:p>
        </w:tc>
        <w:tc>
          <w:tcPr>
            <w:tcW w:w="468" w:type="pct"/>
            <w:tcBorders>
              <w:top w:val="single" w:sz="4" w:space="0" w:color="auto"/>
              <w:bottom w:val="single" w:sz="4" w:space="0" w:color="auto"/>
            </w:tcBorders>
            <w:shd w:val="clear" w:color="auto" w:fill="auto"/>
            <w:tcMar>
              <w:top w:w="0" w:type="dxa"/>
              <w:left w:w="45" w:type="dxa"/>
              <w:bottom w:w="0" w:type="dxa"/>
              <w:right w:w="45" w:type="dxa"/>
            </w:tcMar>
            <w:vAlign w:val="center"/>
          </w:tcPr>
          <w:p w14:paraId="70FF743C" w14:textId="77777777" w:rsidR="002F2BB2" w:rsidRPr="00532C61" w:rsidRDefault="002F2BB2" w:rsidP="0072694B">
            <w:pPr>
              <w:jc w:val="right"/>
              <w:rPr>
                <w:bCs/>
                <w:sz w:val="22"/>
                <w:szCs w:val="22"/>
              </w:rPr>
            </w:pPr>
            <w:r w:rsidRPr="00532C61">
              <w:rPr>
                <w:b/>
                <w:bCs/>
                <w:sz w:val="22"/>
                <w:szCs w:val="22"/>
              </w:rPr>
              <w:t>Median</w:t>
            </w:r>
          </w:p>
        </w:tc>
        <w:tc>
          <w:tcPr>
            <w:tcW w:w="437" w:type="pct"/>
            <w:tcBorders>
              <w:top w:val="single" w:sz="4" w:space="0" w:color="auto"/>
              <w:bottom w:val="single" w:sz="4" w:space="0" w:color="auto"/>
            </w:tcBorders>
            <w:shd w:val="clear" w:color="auto" w:fill="auto"/>
            <w:tcMar>
              <w:top w:w="0" w:type="dxa"/>
              <w:left w:w="45" w:type="dxa"/>
              <w:bottom w:w="0" w:type="dxa"/>
              <w:right w:w="45" w:type="dxa"/>
            </w:tcMar>
            <w:vAlign w:val="center"/>
          </w:tcPr>
          <w:p w14:paraId="131B1AE2" w14:textId="77777777" w:rsidR="002F2BB2" w:rsidRPr="00532C61" w:rsidRDefault="002F2BB2" w:rsidP="0072694B">
            <w:pPr>
              <w:jc w:val="right"/>
              <w:rPr>
                <w:sz w:val="22"/>
                <w:szCs w:val="22"/>
              </w:rPr>
            </w:pPr>
            <w:r w:rsidRPr="00532C61">
              <w:rPr>
                <w:b/>
                <w:sz w:val="22"/>
                <w:szCs w:val="22"/>
              </w:rPr>
              <w:t>(Q1, Q3)</w:t>
            </w:r>
          </w:p>
        </w:tc>
        <w:tc>
          <w:tcPr>
            <w:tcW w:w="468" w:type="pct"/>
            <w:tcBorders>
              <w:top w:val="single" w:sz="4" w:space="0" w:color="auto"/>
              <w:bottom w:val="single" w:sz="4" w:space="0" w:color="auto"/>
            </w:tcBorders>
            <w:shd w:val="clear" w:color="auto" w:fill="auto"/>
            <w:tcMar>
              <w:top w:w="0" w:type="dxa"/>
              <w:left w:w="45" w:type="dxa"/>
              <w:bottom w:w="0" w:type="dxa"/>
              <w:right w:w="45" w:type="dxa"/>
            </w:tcMar>
            <w:vAlign w:val="center"/>
          </w:tcPr>
          <w:p w14:paraId="11E317F6" w14:textId="77777777" w:rsidR="002F2BB2" w:rsidRPr="00532C61" w:rsidRDefault="002F2BB2" w:rsidP="0072694B">
            <w:pPr>
              <w:jc w:val="right"/>
              <w:rPr>
                <w:bCs/>
                <w:sz w:val="22"/>
                <w:szCs w:val="22"/>
              </w:rPr>
            </w:pPr>
            <w:r w:rsidRPr="00532C61">
              <w:rPr>
                <w:b/>
                <w:bCs/>
                <w:sz w:val="22"/>
                <w:szCs w:val="22"/>
              </w:rPr>
              <w:t>Median</w:t>
            </w:r>
          </w:p>
        </w:tc>
        <w:tc>
          <w:tcPr>
            <w:tcW w:w="374" w:type="pct"/>
            <w:tcBorders>
              <w:top w:val="single" w:sz="4" w:space="0" w:color="auto"/>
              <w:bottom w:val="single" w:sz="4" w:space="0" w:color="auto"/>
            </w:tcBorders>
            <w:shd w:val="clear" w:color="auto" w:fill="auto"/>
            <w:tcMar>
              <w:top w:w="0" w:type="dxa"/>
              <w:left w:w="45" w:type="dxa"/>
              <w:bottom w:w="0" w:type="dxa"/>
              <w:right w:w="45" w:type="dxa"/>
            </w:tcMar>
            <w:vAlign w:val="center"/>
          </w:tcPr>
          <w:p w14:paraId="501AF343" w14:textId="77777777" w:rsidR="002F2BB2" w:rsidRPr="00532C61" w:rsidRDefault="002F2BB2" w:rsidP="0072694B">
            <w:pPr>
              <w:jc w:val="right"/>
              <w:rPr>
                <w:sz w:val="22"/>
                <w:szCs w:val="22"/>
              </w:rPr>
            </w:pPr>
            <w:r w:rsidRPr="00532C61">
              <w:rPr>
                <w:b/>
                <w:sz w:val="22"/>
                <w:szCs w:val="22"/>
              </w:rPr>
              <w:t>(Q1, Q3)</w:t>
            </w:r>
          </w:p>
        </w:tc>
        <w:tc>
          <w:tcPr>
            <w:tcW w:w="406" w:type="pct"/>
            <w:tcBorders>
              <w:top w:val="single" w:sz="4" w:space="0" w:color="auto"/>
              <w:bottom w:val="single" w:sz="4" w:space="0" w:color="auto"/>
            </w:tcBorders>
            <w:shd w:val="clear" w:color="auto" w:fill="auto"/>
            <w:tcMar>
              <w:top w:w="0" w:type="dxa"/>
              <w:left w:w="45" w:type="dxa"/>
              <w:bottom w:w="0" w:type="dxa"/>
              <w:right w:w="45" w:type="dxa"/>
            </w:tcMar>
            <w:vAlign w:val="bottom"/>
          </w:tcPr>
          <w:p w14:paraId="34F32257" w14:textId="77777777" w:rsidR="002F2BB2" w:rsidRPr="00532C61" w:rsidRDefault="002F2BB2" w:rsidP="0072694B">
            <w:pPr>
              <w:jc w:val="center"/>
              <w:rPr>
                <w:bCs/>
                <w:sz w:val="22"/>
                <w:szCs w:val="22"/>
              </w:rPr>
            </w:pPr>
            <w:r w:rsidRPr="00532C61">
              <w:rPr>
                <w:b/>
                <w:i/>
                <w:sz w:val="22"/>
                <w:szCs w:val="22"/>
              </w:rPr>
              <w:t>p</w:t>
            </w:r>
          </w:p>
        </w:tc>
      </w:tr>
      <w:tr w:rsidR="002F2BB2" w:rsidRPr="00532C61" w14:paraId="2BB2286C" w14:textId="77777777" w:rsidTr="0072694B">
        <w:trPr>
          <w:trHeight w:val="315"/>
        </w:trPr>
        <w:tc>
          <w:tcPr>
            <w:tcW w:w="1988" w:type="pct"/>
            <w:tcBorders>
              <w:top w:val="single" w:sz="4" w:space="0" w:color="auto"/>
            </w:tcBorders>
            <w:shd w:val="clear" w:color="auto" w:fill="auto"/>
            <w:tcMar>
              <w:top w:w="0" w:type="dxa"/>
              <w:left w:w="45" w:type="dxa"/>
              <w:bottom w:w="0" w:type="dxa"/>
              <w:right w:w="45" w:type="dxa"/>
            </w:tcMar>
            <w:vAlign w:val="center"/>
          </w:tcPr>
          <w:p w14:paraId="387F9AE5" w14:textId="77777777" w:rsidR="002F2BB2" w:rsidRPr="00532C61" w:rsidRDefault="002F2BB2" w:rsidP="0072694B">
            <w:pPr>
              <w:rPr>
                <w:b/>
                <w:bCs/>
                <w:sz w:val="22"/>
                <w:szCs w:val="22"/>
              </w:rPr>
            </w:pPr>
            <w:r w:rsidRPr="00532C61">
              <w:rPr>
                <w:b/>
                <w:bCs/>
                <w:sz w:val="22"/>
                <w:szCs w:val="22"/>
              </w:rPr>
              <w:t>HIV Treatment Optimism Scale (α=0.81)</w:t>
            </w:r>
          </w:p>
        </w:tc>
        <w:tc>
          <w:tcPr>
            <w:tcW w:w="468" w:type="pct"/>
            <w:tcBorders>
              <w:top w:val="single" w:sz="4" w:space="0" w:color="auto"/>
            </w:tcBorders>
            <w:shd w:val="clear" w:color="auto" w:fill="auto"/>
            <w:tcMar>
              <w:top w:w="0" w:type="dxa"/>
              <w:left w:w="45" w:type="dxa"/>
              <w:bottom w:w="0" w:type="dxa"/>
              <w:right w:w="45" w:type="dxa"/>
            </w:tcMar>
            <w:vAlign w:val="center"/>
          </w:tcPr>
          <w:p w14:paraId="12660BA6" w14:textId="77777777" w:rsidR="002F2BB2" w:rsidRPr="00532C61" w:rsidRDefault="002F2BB2" w:rsidP="0072694B">
            <w:pPr>
              <w:jc w:val="right"/>
              <w:rPr>
                <w:bCs/>
                <w:sz w:val="22"/>
                <w:szCs w:val="22"/>
              </w:rPr>
            </w:pPr>
            <w:r w:rsidRPr="00532C61">
              <w:rPr>
                <w:bCs/>
                <w:sz w:val="22"/>
                <w:szCs w:val="22"/>
              </w:rPr>
              <w:t>31</w:t>
            </w:r>
          </w:p>
        </w:tc>
        <w:tc>
          <w:tcPr>
            <w:tcW w:w="391" w:type="pct"/>
            <w:tcBorders>
              <w:top w:val="single" w:sz="4" w:space="0" w:color="auto"/>
            </w:tcBorders>
            <w:shd w:val="clear" w:color="auto" w:fill="auto"/>
            <w:tcMar>
              <w:top w:w="0" w:type="dxa"/>
              <w:left w:w="45" w:type="dxa"/>
              <w:bottom w:w="0" w:type="dxa"/>
              <w:right w:w="45" w:type="dxa"/>
            </w:tcMar>
            <w:vAlign w:val="center"/>
          </w:tcPr>
          <w:p w14:paraId="6FD9AB94" w14:textId="77777777" w:rsidR="002F2BB2" w:rsidRPr="00532C61" w:rsidRDefault="002F2BB2" w:rsidP="0072694B">
            <w:pPr>
              <w:jc w:val="right"/>
              <w:rPr>
                <w:sz w:val="22"/>
                <w:szCs w:val="22"/>
              </w:rPr>
            </w:pPr>
            <w:r w:rsidRPr="00532C61">
              <w:rPr>
                <w:sz w:val="22"/>
                <w:szCs w:val="22"/>
              </w:rPr>
              <w:t>(27, 33)</w:t>
            </w:r>
          </w:p>
        </w:tc>
        <w:tc>
          <w:tcPr>
            <w:tcW w:w="468" w:type="pct"/>
            <w:tcBorders>
              <w:top w:val="single" w:sz="4" w:space="0" w:color="auto"/>
            </w:tcBorders>
            <w:shd w:val="clear" w:color="auto" w:fill="auto"/>
            <w:tcMar>
              <w:top w:w="0" w:type="dxa"/>
              <w:left w:w="45" w:type="dxa"/>
              <w:bottom w:w="0" w:type="dxa"/>
              <w:right w:w="45" w:type="dxa"/>
            </w:tcMar>
            <w:vAlign w:val="center"/>
          </w:tcPr>
          <w:p w14:paraId="0C984986" w14:textId="77777777" w:rsidR="002F2BB2" w:rsidRPr="00532C61" w:rsidRDefault="002F2BB2" w:rsidP="0072694B">
            <w:pPr>
              <w:jc w:val="right"/>
              <w:rPr>
                <w:bCs/>
                <w:sz w:val="22"/>
                <w:szCs w:val="22"/>
              </w:rPr>
            </w:pPr>
            <w:r w:rsidRPr="00532C61">
              <w:rPr>
                <w:bCs/>
                <w:sz w:val="22"/>
                <w:szCs w:val="22"/>
              </w:rPr>
              <w:t>31</w:t>
            </w:r>
          </w:p>
        </w:tc>
        <w:tc>
          <w:tcPr>
            <w:tcW w:w="437" w:type="pct"/>
            <w:tcBorders>
              <w:top w:val="single" w:sz="4" w:space="0" w:color="auto"/>
            </w:tcBorders>
            <w:shd w:val="clear" w:color="auto" w:fill="auto"/>
            <w:tcMar>
              <w:top w:w="0" w:type="dxa"/>
              <w:left w:w="45" w:type="dxa"/>
              <w:bottom w:w="0" w:type="dxa"/>
              <w:right w:w="45" w:type="dxa"/>
            </w:tcMar>
            <w:vAlign w:val="center"/>
          </w:tcPr>
          <w:p w14:paraId="49495DCA" w14:textId="77777777" w:rsidR="002F2BB2" w:rsidRPr="00532C61" w:rsidRDefault="002F2BB2" w:rsidP="0072694B">
            <w:pPr>
              <w:jc w:val="right"/>
              <w:rPr>
                <w:sz w:val="22"/>
                <w:szCs w:val="22"/>
              </w:rPr>
            </w:pPr>
            <w:r w:rsidRPr="00532C61">
              <w:rPr>
                <w:sz w:val="22"/>
                <w:szCs w:val="22"/>
              </w:rPr>
              <w:t>(29, 34)</w:t>
            </w:r>
          </w:p>
        </w:tc>
        <w:tc>
          <w:tcPr>
            <w:tcW w:w="468" w:type="pct"/>
            <w:tcBorders>
              <w:top w:val="single" w:sz="4" w:space="0" w:color="auto"/>
            </w:tcBorders>
            <w:shd w:val="clear" w:color="auto" w:fill="auto"/>
            <w:tcMar>
              <w:top w:w="0" w:type="dxa"/>
              <w:left w:w="45" w:type="dxa"/>
              <w:bottom w:w="0" w:type="dxa"/>
              <w:right w:w="45" w:type="dxa"/>
            </w:tcMar>
            <w:vAlign w:val="center"/>
          </w:tcPr>
          <w:p w14:paraId="1E9FEC7F" w14:textId="77777777" w:rsidR="002F2BB2" w:rsidRPr="00532C61" w:rsidRDefault="002F2BB2" w:rsidP="0072694B">
            <w:pPr>
              <w:jc w:val="right"/>
              <w:rPr>
                <w:bCs/>
                <w:sz w:val="22"/>
                <w:szCs w:val="22"/>
              </w:rPr>
            </w:pPr>
            <w:r w:rsidRPr="00532C61">
              <w:rPr>
                <w:bCs/>
                <w:sz w:val="22"/>
                <w:szCs w:val="22"/>
              </w:rPr>
              <w:t>31</w:t>
            </w:r>
          </w:p>
        </w:tc>
        <w:tc>
          <w:tcPr>
            <w:tcW w:w="374" w:type="pct"/>
            <w:tcBorders>
              <w:top w:val="single" w:sz="4" w:space="0" w:color="auto"/>
            </w:tcBorders>
            <w:shd w:val="clear" w:color="auto" w:fill="auto"/>
            <w:tcMar>
              <w:top w:w="0" w:type="dxa"/>
              <w:left w:w="45" w:type="dxa"/>
              <w:bottom w:w="0" w:type="dxa"/>
              <w:right w:w="45" w:type="dxa"/>
            </w:tcMar>
            <w:vAlign w:val="center"/>
          </w:tcPr>
          <w:p w14:paraId="78407D01" w14:textId="77777777" w:rsidR="002F2BB2" w:rsidRPr="00532C61" w:rsidRDefault="002F2BB2" w:rsidP="0072694B">
            <w:pPr>
              <w:jc w:val="right"/>
              <w:rPr>
                <w:sz w:val="22"/>
                <w:szCs w:val="22"/>
              </w:rPr>
            </w:pPr>
            <w:r w:rsidRPr="00532C61">
              <w:rPr>
                <w:sz w:val="22"/>
                <w:szCs w:val="22"/>
              </w:rPr>
              <w:t>(27, 33)</w:t>
            </w:r>
          </w:p>
        </w:tc>
        <w:tc>
          <w:tcPr>
            <w:tcW w:w="406" w:type="pct"/>
            <w:tcBorders>
              <w:top w:val="single" w:sz="4" w:space="0" w:color="auto"/>
            </w:tcBorders>
            <w:shd w:val="clear" w:color="auto" w:fill="auto"/>
            <w:tcMar>
              <w:top w:w="0" w:type="dxa"/>
              <w:left w:w="45" w:type="dxa"/>
              <w:bottom w:w="0" w:type="dxa"/>
              <w:right w:w="45" w:type="dxa"/>
            </w:tcMar>
            <w:vAlign w:val="bottom"/>
          </w:tcPr>
          <w:p w14:paraId="5D088A65" w14:textId="77777777" w:rsidR="002F2BB2" w:rsidRPr="00532C61" w:rsidRDefault="002F2BB2" w:rsidP="0072694B">
            <w:pPr>
              <w:jc w:val="right"/>
              <w:rPr>
                <w:bCs/>
                <w:sz w:val="22"/>
                <w:szCs w:val="22"/>
              </w:rPr>
            </w:pPr>
            <w:r w:rsidRPr="00532C61">
              <w:rPr>
                <w:sz w:val="22"/>
                <w:szCs w:val="22"/>
              </w:rPr>
              <w:t>0.407</w:t>
            </w:r>
          </w:p>
        </w:tc>
      </w:tr>
      <w:tr w:rsidR="002F2BB2" w:rsidRPr="00532C61" w14:paraId="04E06EE7" w14:textId="77777777" w:rsidTr="0072694B">
        <w:trPr>
          <w:trHeight w:val="315"/>
        </w:trPr>
        <w:tc>
          <w:tcPr>
            <w:tcW w:w="1988" w:type="pct"/>
            <w:shd w:val="clear" w:color="auto" w:fill="auto"/>
            <w:tcMar>
              <w:top w:w="0" w:type="dxa"/>
              <w:left w:w="45" w:type="dxa"/>
              <w:bottom w:w="0" w:type="dxa"/>
              <w:right w:w="45" w:type="dxa"/>
            </w:tcMar>
            <w:vAlign w:val="center"/>
          </w:tcPr>
          <w:p w14:paraId="6CC58801" w14:textId="77777777" w:rsidR="002F2BB2" w:rsidRPr="00532C61" w:rsidRDefault="002F2BB2" w:rsidP="0072694B">
            <w:pPr>
              <w:rPr>
                <w:b/>
                <w:bCs/>
                <w:sz w:val="22"/>
                <w:szCs w:val="22"/>
              </w:rPr>
            </w:pPr>
            <w:r w:rsidRPr="00532C61">
              <w:rPr>
                <w:b/>
                <w:bCs/>
                <w:sz w:val="22"/>
                <w:szCs w:val="22"/>
              </w:rPr>
              <w:t>Sexual Sensation Seeking Scale (α=0.77)</w:t>
            </w:r>
          </w:p>
        </w:tc>
        <w:tc>
          <w:tcPr>
            <w:tcW w:w="468" w:type="pct"/>
            <w:shd w:val="clear" w:color="auto" w:fill="auto"/>
            <w:tcMar>
              <w:top w:w="0" w:type="dxa"/>
              <w:left w:w="45" w:type="dxa"/>
              <w:bottom w:w="0" w:type="dxa"/>
              <w:right w:w="45" w:type="dxa"/>
            </w:tcMar>
            <w:vAlign w:val="center"/>
          </w:tcPr>
          <w:p w14:paraId="70FF8738" w14:textId="77777777" w:rsidR="002F2BB2" w:rsidRPr="00532C61" w:rsidRDefault="002F2BB2" w:rsidP="0072694B">
            <w:pPr>
              <w:jc w:val="right"/>
              <w:rPr>
                <w:bCs/>
                <w:sz w:val="22"/>
                <w:szCs w:val="22"/>
              </w:rPr>
            </w:pPr>
            <w:r w:rsidRPr="00532C61">
              <w:rPr>
                <w:bCs/>
                <w:sz w:val="22"/>
                <w:szCs w:val="22"/>
              </w:rPr>
              <w:t>33</w:t>
            </w:r>
          </w:p>
        </w:tc>
        <w:tc>
          <w:tcPr>
            <w:tcW w:w="391" w:type="pct"/>
            <w:shd w:val="clear" w:color="auto" w:fill="auto"/>
            <w:tcMar>
              <w:top w:w="0" w:type="dxa"/>
              <w:left w:w="45" w:type="dxa"/>
              <w:bottom w:w="0" w:type="dxa"/>
              <w:right w:w="45" w:type="dxa"/>
            </w:tcMar>
            <w:vAlign w:val="center"/>
          </w:tcPr>
          <w:p w14:paraId="15F36F19" w14:textId="77777777" w:rsidR="002F2BB2" w:rsidRPr="00532C61" w:rsidRDefault="002F2BB2" w:rsidP="0072694B">
            <w:pPr>
              <w:jc w:val="right"/>
              <w:rPr>
                <w:sz w:val="22"/>
                <w:szCs w:val="22"/>
              </w:rPr>
            </w:pPr>
            <w:r w:rsidRPr="00532C61">
              <w:rPr>
                <w:sz w:val="22"/>
                <w:szCs w:val="22"/>
              </w:rPr>
              <w:t>(31, 36)</w:t>
            </w:r>
          </w:p>
        </w:tc>
        <w:tc>
          <w:tcPr>
            <w:tcW w:w="468" w:type="pct"/>
            <w:shd w:val="clear" w:color="auto" w:fill="auto"/>
            <w:tcMar>
              <w:top w:w="0" w:type="dxa"/>
              <w:left w:w="45" w:type="dxa"/>
              <w:bottom w:w="0" w:type="dxa"/>
              <w:right w:w="45" w:type="dxa"/>
            </w:tcMar>
            <w:vAlign w:val="center"/>
          </w:tcPr>
          <w:p w14:paraId="36F9E062" w14:textId="77777777" w:rsidR="002F2BB2" w:rsidRPr="00532C61" w:rsidRDefault="002F2BB2" w:rsidP="0072694B">
            <w:pPr>
              <w:jc w:val="right"/>
              <w:rPr>
                <w:bCs/>
                <w:sz w:val="22"/>
                <w:szCs w:val="22"/>
              </w:rPr>
            </w:pPr>
            <w:r>
              <w:rPr>
                <w:bCs/>
                <w:sz w:val="22"/>
                <w:szCs w:val="22"/>
              </w:rPr>
              <w:t>3</w:t>
            </w:r>
            <w:r w:rsidRPr="00532C61">
              <w:rPr>
                <w:bCs/>
                <w:sz w:val="22"/>
                <w:szCs w:val="22"/>
              </w:rPr>
              <w:t>3</w:t>
            </w:r>
          </w:p>
        </w:tc>
        <w:tc>
          <w:tcPr>
            <w:tcW w:w="437" w:type="pct"/>
            <w:shd w:val="clear" w:color="auto" w:fill="auto"/>
            <w:tcMar>
              <w:top w:w="0" w:type="dxa"/>
              <w:left w:w="45" w:type="dxa"/>
              <w:bottom w:w="0" w:type="dxa"/>
              <w:right w:w="45" w:type="dxa"/>
            </w:tcMar>
            <w:vAlign w:val="center"/>
          </w:tcPr>
          <w:p w14:paraId="2B21E253" w14:textId="77777777" w:rsidR="002F2BB2" w:rsidRPr="00532C61" w:rsidRDefault="002F2BB2" w:rsidP="0072694B">
            <w:pPr>
              <w:jc w:val="right"/>
              <w:rPr>
                <w:sz w:val="22"/>
                <w:szCs w:val="22"/>
              </w:rPr>
            </w:pPr>
            <w:r w:rsidRPr="00532C61">
              <w:rPr>
                <w:sz w:val="22"/>
                <w:szCs w:val="22"/>
              </w:rPr>
              <w:t>(31, 36)</w:t>
            </w:r>
          </w:p>
        </w:tc>
        <w:tc>
          <w:tcPr>
            <w:tcW w:w="468" w:type="pct"/>
            <w:shd w:val="clear" w:color="auto" w:fill="auto"/>
            <w:tcMar>
              <w:top w:w="0" w:type="dxa"/>
              <w:left w:w="45" w:type="dxa"/>
              <w:bottom w:w="0" w:type="dxa"/>
              <w:right w:w="45" w:type="dxa"/>
            </w:tcMar>
            <w:vAlign w:val="center"/>
          </w:tcPr>
          <w:p w14:paraId="4DF45202" w14:textId="77777777" w:rsidR="002F2BB2" w:rsidRPr="00532C61" w:rsidRDefault="002F2BB2" w:rsidP="0072694B">
            <w:pPr>
              <w:jc w:val="right"/>
              <w:rPr>
                <w:bCs/>
                <w:sz w:val="22"/>
                <w:szCs w:val="22"/>
              </w:rPr>
            </w:pPr>
            <w:r w:rsidRPr="00532C61">
              <w:rPr>
                <w:bCs/>
                <w:sz w:val="22"/>
                <w:szCs w:val="22"/>
              </w:rPr>
              <w:t>33</w:t>
            </w:r>
          </w:p>
        </w:tc>
        <w:tc>
          <w:tcPr>
            <w:tcW w:w="374" w:type="pct"/>
            <w:shd w:val="clear" w:color="auto" w:fill="auto"/>
            <w:tcMar>
              <w:top w:w="0" w:type="dxa"/>
              <w:left w:w="45" w:type="dxa"/>
              <w:bottom w:w="0" w:type="dxa"/>
              <w:right w:w="45" w:type="dxa"/>
            </w:tcMar>
            <w:vAlign w:val="center"/>
          </w:tcPr>
          <w:p w14:paraId="30FAF7FC" w14:textId="77777777" w:rsidR="002F2BB2" w:rsidRPr="00532C61" w:rsidRDefault="002F2BB2" w:rsidP="0072694B">
            <w:pPr>
              <w:jc w:val="right"/>
              <w:rPr>
                <w:sz w:val="22"/>
                <w:szCs w:val="22"/>
              </w:rPr>
            </w:pPr>
            <w:r w:rsidRPr="00532C61">
              <w:rPr>
                <w:sz w:val="22"/>
                <w:szCs w:val="22"/>
              </w:rPr>
              <w:t>(31, 36.5)</w:t>
            </w:r>
          </w:p>
        </w:tc>
        <w:tc>
          <w:tcPr>
            <w:tcW w:w="406" w:type="pct"/>
            <w:shd w:val="clear" w:color="auto" w:fill="auto"/>
            <w:tcMar>
              <w:top w:w="0" w:type="dxa"/>
              <w:left w:w="45" w:type="dxa"/>
              <w:bottom w:w="0" w:type="dxa"/>
              <w:right w:w="45" w:type="dxa"/>
            </w:tcMar>
            <w:vAlign w:val="bottom"/>
          </w:tcPr>
          <w:p w14:paraId="27084F8C" w14:textId="77777777" w:rsidR="002F2BB2" w:rsidRPr="00532C61" w:rsidRDefault="002F2BB2" w:rsidP="0072694B">
            <w:pPr>
              <w:jc w:val="right"/>
              <w:rPr>
                <w:bCs/>
                <w:sz w:val="22"/>
                <w:szCs w:val="22"/>
              </w:rPr>
            </w:pPr>
            <w:r w:rsidRPr="00532C61">
              <w:rPr>
                <w:sz w:val="22"/>
                <w:szCs w:val="22"/>
              </w:rPr>
              <w:t>1.000</w:t>
            </w:r>
          </w:p>
        </w:tc>
      </w:tr>
      <w:tr w:rsidR="002F2BB2" w:rsidRPr="00532C61" w14:paraId="7C5ECDEB" w14:textId="77777777" w:rsidTr="0072694B">
        <w:trPr>
          <w:trHeight w:val="315"/>
        </w:trPr>
        <w:tc>
          <w:tcPr>
            <w:tcW w:w="1988" w:type="pct"/>
            <w:shd w:val="clear" w:color="auto" w:fill="auto"/>
            <w:tcMar>
              <w:top w:w="0" w:type="dxa"/>
              <w:left w:w="45" w:type="dxa"/>
              <w:bottom w:w="0" w:type="dxa"/>
              <w:right w:w="45" w:type="dxa"/>
            </w:tcMar>
            <w:vAlign w:val="center"/>
          </w:tcPr>
          <w:p w14:paraId="310B3A82" w14:textId="77777777" w:rsidR="002F2BB2" w:rsidRPr="00532C61" w:rsidRDefault="002F2BB2" w:rsidP="0072694B">
            <w:pPr>
              <w:rPr>
                <w:b/>
                <w:bCs/>
                <w:sz w:val="22"/>
                <w:szCs w:val="22"/>
              </w:rPr>
            </w:pPr>
            <w:r w:rsidRPr="00532C61">
              <w:rPr>
                <w:b/>
                <w:bCs/>
                <w:sz w:val="22"/>
                <w:szCs w:val="22"/>
              </w:rPr>
              <w:t>Escape Motive Scale (α=0.90)</w:t>
            </w:r>
          </w:p>
        </w:tc>
        <w:tc>
          <w:tcPr>
            <w:tcW w:w="468" w:type="pct"/>
            <w:shd w:val="clear" w:color="auto" w:fill="auto"/>
            <w:tcMar>
              <w:top w:w="0" w:type="dxa"/>
              <w:left w:w="45" w:type="dxa"/>
              <w:bottom w:w="0" w:type="dxa"/>
              <w:right w:w="45" w:type="dxa"/>
            </w:tcMar>
            <w:vAlign w:val="center"/>
          </w:tcPr>
          <w:p w14:paraId="16D0559C" w14:textId="77777777" w:rsidR="002F2BB2" w:rsidRPr="00532C61" w:rsidRDefault="002F2BB2" w:rsidP="0072694B">
            <w:pPr>
              <w:jc w:val="right"/>
              <w:rPr>
                <w:bCs/>
                <w:sz w:val="22"/>
                <w:szCs w:val="22"/>
              </w:rPr>
            </w:pPr>
            <w:r w:rsidRPr="00532C61">
              <w:rPr>
                <w:bCs/>
                <w:sz w:val="22"/>
                <w:szCs w:val="22"/>
              </w:rPr>
              <w:t>32</w:t>
            </w:r>
          </w:p>
        </w:tc>
        <w:tc>
          <w:tcPr>
            <w:tcW w:w="391" w:type="pct"/>
            <w:shd w:val="clear" w:color="auto" w:fill="auto"/>
            <w:tcMar>
              <w:top w:w="0" w:type="dxa"/>
              <w:left w:w="45" w:type="dxa"/>
              <w:bottom w:w="0" w:type="dxa"/>
              <w:right w:w="45" w:type="dxa"/>
            </w:tcMar>
            <w:vAlign w:val="center"/>
          </w:tcPr>
          <w:p w14:paraId="517106FB" w14:textId="77777777" w:rsidR="002F2BB2" w:rsidRPr="00532C61" w:rsidRDefault="002F2BB2" w:rsidP="0072694B">
            <w:pPr>
              <w:jc w:val="right"/>
              <w:rPr>
                <w:sz w:val="22"/>
                <w:szCs w:val="22"/>
              </w:rPr>
            </w:pPr>
            <w:r w:rsidRPr="00532C61">
              <w:rPr>
                <w:sz w:val="22"/>
                <w:szCs w:val="22"/>
              </w:rPr>
              <w:t>(26, 36)</w:t>
            </w:r>
          </w:p>
        </w:tc>
        <w:tc>
          <w:tcPr>
            <w:tcW w:w="468" w:type="pct"/>
            <w:shd w:val="clear" w:color="auto" w:fill="auto"/>
            <w:tcMar>
              <w:top w:w="0" w:type="dxa"/>
              <w:left w:w="45" w:type="dxa"/>
              <w:bottom w:w="0" w:type="dxa"/>
              <w:right w:w="45" w:type="dxa"/>
            </w:tcMar>
            <w:vAlign w:val="center"/>
          </w:tcPr>
          <w:p w14:paraId="7825A5B2" w14:textId="77777777" w:rsidR="002F2BB2" w:rsidRPr="00532C61" w:rsidRDefault="002F2BB2" w:rsidP="0072694B">
            <w:pPr>
              <w:jc w:val="right"/>
              <w:rPr>
                <w:bCs/>
                <w:sz w:val="22"/>
                <w:szCs w:val="22"/>
              </w:rPr>
            </w:pPr>
            <w:r w:rsidRPr="00532C61">
              <w:rPr>
                <w:bCs/>
                <w:sz w:val="22"/>
                <w:szCs w:val="22"/>
              </w:rPr>
              <w:t>32</w:t>
            </w:r>
          </w:p>
        </w:tc>
        <w:tc>
          <w:tcPr>
            <w:tcW w:w="437" w:type="pct"/>
            <w:shd w:val="clear" w:color="auto" w:fill="auto"/>
            <w:tcMar>
              <w:top w:w="0" w:type="dxa"/>
              <w:left w:w="45" w:type="dxa"/>
              <w:bottom w:w="0" w:type="dxa"/>
              <w:right w:w="45" w:type="dxa"/>
            </w:tcMar>
            <w:vAlign w:val="center"/>
          </w:tcPr>
          <w:p w14:paraId="575287B0" w14:textId="77777777" w:rsidR="002F2BB2" w:rsidRPr="00532C61" w:rsidRDefault="002F2BB2" w:rsidP="0072694B">
            <w:pPr>
              <w:jc w:val="right"/>
              <w:rPr>
                <w:sz w:val="22"/>
                <w:szCs w:val="22"/>
              </w:rPr>
            </w:pPr>
            <w:r w:rsidRPr="00532C61">
              <w:rPr>
                <w:sz w:val="22"/>
                <w:szCs w:val="22"/>
              </w:rPr>
              <w:t>(28, 35)</w:t>
            </w:r>
          </w:p>
        </w:tc>
        <w:tc>
          <w:tcPr>
            <w:tcW w:w="468" w:type="pct"/>
            <w:shd w:val="clear" w:color="auto" w:fill="auto"/>
            <w:tcMar>
              <w:top w:w="0" w:type="dxa"/>
              <w:left w:w="45" w:type="dxa"/>
              <w:bottom w:w="0" w:type="dxa"/>
              <w:right w:w="45" w:type="dxa"/>
            </w:tcMar>
            <w:vAlign w:val="center"/>
          </w:tcPr>
          <w:p w14:paraId="142C45AE" w14:textId="77777777" w:rsidR="002F2BB2" w:rsidRPr="00532C61" w:rsidRDefault="002F2BB2" w:rsidP="0072694B">
            <w:pPr>
              <w:jc w:val="right"/>
              <w:rPr>
                <w:bCs/>
                <w:sz w:val="22"/>
                <w:szCs w:val="22"/>
              </w:rPr>
            </w:pPr>
            <w:r w:rsidRPr="00532C61">
              <w:rPr>
                <w:bCs/>
                <w:sz w:val="22"/>
                <w:szCs w:val="22"/>
              </w:rPr>
              <w:t>32</w:t>
            </w:r>
          </w:p>
        </w:tc>
        <w:tc>
          <w:tcPr>
            <w:tcW w:w="374" w:type="pct"/>
            <w:shd w:val="clear" w:color="auto" w:fill="auto"/>
            <w:tcMar>
              <w:top w:w="0" w:type="dxa"/>
              <w:left w:w="45" w:type="dxa"/>
              <w:bottom w:w="0" w:type="dxa"/>
              <w:right w:w="45" w:type="dxa"/>
            </w:tcMar>
            <w:vAlign w:val="center"/>
          </w:tcPr>
          <w:p w14:paraId="0179D66B" w14:textId="77777777" w:rsidR="002F2BB2" w:rsidRPr="00532C61" w:rsidRDefault="002F2BB2" w:rsidP="0072694B">
            <w:pPr>
              <w:jc w:val="right"/>
              <w:rPr>
                <w:sz w:val="22"/>
                <w:szCs w:val="22"/>
              </w:rPr>
            </w:pPr>
            <w:r w:rsidRPr="00532C61">
              <w:rPr>
                <w:sz w:val="22"/>
                <w:szCs w:val="22"/>
              </w:rPr>
              <w:t>(26, 37)</w:t>
            </w:r>
          </w:p>
        </w:tc>
        <w:tc>
          <w:tcPr>
            <w:tcW w:w="406" w:type="pct"/>
            <w:shd w:val="clear" w:color="auto" w:fill="auto"/>
            <w:tcMar>
              <w:top w:w="0" w:type="dxa"/>
              <w:left w:w="45" w:type="dxa"/>
              <w:bottom w:w="0" w:type="dxa"/>
              <w:right w:w="45" w:type="dxa"/>
            </w:tcMar>
            <w:vAlign w:val="bottom"/>
          </w:tcPr>
          <w:p w14:paraId="3A236ECF" w14:textId="77777777" w:rsidR="002F2BB2" w:rsidRPr="00532C61" w:rsidRDefault="002F2BB2" w:rsidP="0072694B">
            <w:pPr>
              <w:jc w:val="right"/>
              <w:rPr>
                <w:bCs/>
                <w:sz w:val="22"/>
                <w:szCs w:val="22"/>
              </w:rPr>
            </w:pPr>
            <w:r w:rsidRPr="00532C61">
              <w:rPr>
                <w:sz w:val="22"/>
                <w:szCs w:val="22"/>
              </w:rPr>
              <w:t>0.983</w:t>
            </w:r>
          </w:p>
        </w:tc>
      </w:tr>
      <w:tr w:rsidR="002F2BB2" w:rsidRPr="00532C61" w14:paraId="20CCC077" w14:textId="77777777" w:rsidTr="0072694B">
        <w:trPr>
          <w:trHeight w:val="315"/>
        </w:trPr>
        <w:tc>
          <w:tcPr>
            <w:tcW w:w="1988" w:type="pct"/>
            <w:shd w:val="clear" w:color="auto" w:fill="auto"/>
            <w:tcMar>
              <w:top w:w="0" w:type="dxa"/>
              <w:left w:w="45" w:type="dxa"/>
              <w:bottom w:w="0" w:type="dxa"/>
              <w:right w:w="45" w:type="dxa"/>
            </w:tcMar>
            <w:vAlign w:val="center"/>
          </w:tcPr>
          <w:p w14:paraId="5C0EAA0E" w14:textId="77777777" w:rsidR="002F2BB2" w:rsidRPr="00532C61" w:rsidRDefault="002F2BB2" w:rsidP="0072694B">
            <w:pPr>
              <w:rPr>
                <w:b/>
                <w:bCs/>
                <w:sz w:val="22"/>
                <w:szCs w:val="22"/>
              </w:rPr>
            </w:pPr>
            <w:r w:rsidRPr="00532C61">
              <w:rPr>
                <w:b/>
                <w:bCs/>
                <w:sz w:val="22"/>
                <w:szCs w:val="22"/>
              </w:rPr>
              <w:t>Gay/Bisexual Self Esteem Scale (α=0.90)</w:t>
            </w:r>
          </w:p>
        </w:tc>
        <w:tc>
          <w:tcPr>
            <w:tcW w:w="468" w:type="pct"/>
            <w:shd w:val="clear" w:color="auto" w:fill="auto"/>
            <w:tcMar>
              <w:top w:w="0" w:type="dxa"/>
              <w:left w:w="45" w:type="dxa"/>
              <w:bottom w:w="0" w:type="dxa"/>
              <w:right w:w="45" w:type="dxa"/>
            </w:tcMar>
            <w:vAlign w:val="center"/>
          </w:tcPr>
          <w:p w14:paraId="399EB454" w14:textId="77777777" w:rsidR="002F2BB2" w:rsidRPr="00532C61" w:rsidRDefault="002F2BB2" w:rsidP="0072694B">
            <w:pPr>
              <w:jc w:val="right"/>
              <w:rPr>
                <w:bCs/>
                <w:sz w:val="22"/>
                <w:szCs w:val="22"/>
              </w:rPr>
            </w:pPr>
            <w:r w:rsidRPr="00532C61">
              <w:rPr>
                <w:bCs/>
                <w:sz w:val="22"/>
                <w:szCs w:val="22"/>
              </w:rPr>
              <w:t>13</w:t>
            </w:r>
          </w:p>
        </w:tc>
        <w:tc>
          <w:tcPr>
            <w:tcW w:w="391" w:type="pct"/>
            <w:shd w:val="clear" w:color="auto" w:fill="auto"/>
            <w:tcMar>
              <w:top w:w="0" w:type="dxa"/>
              <w:left w:w="45" w:type="dxa"/>
              <w:bottom w:w="0" w:type="dxa"/>
              <w:right w:w="45" w:type="dxa"/>
            </w:tcMar>
            <w:vAlign w:val="center"/>
          </w:tcPr>
          <w:p w14:paraId="1878BACF" w14:textId="77777777" w:rsidR="002F2BB2" w:rsidRPr="00532C61" w:rsidRDefault="002F2BB2" w:rsidP="0072694B">
            <w:pPr>
              <w:jc w:val="right"/>
              <w:rPr>
                <w:sz w:val="22"/>
                <w:szCs w:val="22"/>
              </w:rPr>
            </w:pPr>
            <w:r w:rsidRPr="00532C61">
              <w:rPr>
                <w:sz w:val="22"/>
                <w:szCs w:val="22"/>
              </w:rPr>
              <w:t>(10, 17)</w:t>
            </w:r>
          </w:p>
        </w:tc>
        <w:tc>
          <w:tcPr>
            <w:tcW w:w="468" w:type="pct"/>
            <w:shd w:val="clear" w:color="auto" w:fill="auto"/>
            <w:tcMar>
              <w:top w:w="0" w:type="dxa"/>
              <w:left w:w="45" w:type="dxa"/>
              <w:bottom w:w="0" w:type="dxa"/>
              <w:right w:w="45" w:type="dxa"/>
            </w:tcMar>
            <w:vAlign w:val="center"/>
          </w:tcPr>
          <w:p w14:paraId="6AA344D4" w14:textId="77777777" w:rsidR="002F2BB2" w:rsidRPr="00532C61" w:rsidRDefault="002F2BB2" w:rsidP="0072694B">
            <w:pPr>
              <w:jc w:val="right"/>
              <w:rPr>
                <w:bCs/>
                <w:sz w:val="22"/>
                <w:szCs w:val="22"/>
              </w:rPr>
            </w:pPr>
            <w:r w:rsidRPr="00532C61">
              <w:rPr>
                <w:bCs/>
                <w:sz w:val="22"/>
                <w:szCs w:val="22"/>
              </w:rPr>
              <w:t>12</w:t>
            </w:r>
          </w:p>
        </w:tc>
        <w:tc>
          <w:tcPr>
            <w:tcW w:w="437" w:type="pct"/>
            <w:shd w:val="clear" w:color="auto" w:fill="auto"/>
            <w:tcMar>
              <w:top w:w="0" w:type="dxa"/>
              <w:left w:w="45" w:type="dxa"/>
              <w:bottom w:w="0" w:type="dxa"/>
              <w:right w:w="45" w:type="dxa"/>
            </w:tcMar>
            <w:vAlign w:val="center"/>
          </w:tcPr>
          <w:p w14:paraId="14946A9C" w14:textId="77777777" w:rsidR="002F2BB2" w:rsidRPr="00532C61" w:rsidRDefault="002F2BB2" w:rsidP="0072694B">
            <w:pPr>
              <w:jc w:val="right"/>
              <w:rPr>
                <w:sz w:val="22"/>
                <w:szCs w:val="22"/>
              </w:rPr>
            </w:pPr>
            <w:r w:rsidRPr="00532C61">
              <w:rPr>
                <w:sz w:val="22"/>
                <w:szCs w:val="22"/>
              </w:rPr>
              <w:t>(9, 15)</w:t>
            </w:r>
          </w:p>
        </w:tc>
        <w:tc>
          <w:tcPr>
            <w:tcW w:w="468" w:type="pct"/>
            <w:shd w:val="clear" w:color="auto" w:fill="auto"/>
            <w:tcMar>
              <w:top w:w="0" w:type="dxa"/>
              <w:left w:w="45" w:type="dxa"/>
              <w:bottom w:w="0" w:type="dxa"/>
              <w:right w:w="45" w:type="dxa"/>
            </w:tcMar>
            <w:vAlign w:val="center"/>
          </w:tcPr>
          <w:p w14:paraId="1CCAA43D" w14:textId="77777777" w:rsidR="002F2BB2" w:rsidRPr="00532C61" w:rsidRDefault="002F2BB2" w:rsidP="0072694B">
            <w:pPr>
              <w:jc w:val="right"/>
              <w:rPr>
                <w:bCs/>
                <w:sz w:val="22"/>
                <w:szCs w:val="22"/>
              </w:rPr>
            </w:pPr>
            <w:r w:rsidRPr="00532C61">
              <w:rPr>
                <w:bCs/>
                <w:sz w:val="22"/>
                <w:szCs w:val="22"/>
              </w:rPr>
              <w:t>13.5</w:t>
            </w:r>
          </w:p>
        </w:tc>
        <w:tc>
          <w:tcPr>
            <w:tcW w:w="374" w:type="pct"/>
            <w:shd w:val="clear" w:color="auto" w:fill="auto"/>
            <w:tcMar>
              <w:top w:w="0" w:type="dxa"/>
              <w:left w:w="45" w:type="dxa"/>
              <w:bottom w:w="0" w:type="dxa"/>
              <w:right w:w="45" w:type="dxa"/>
            </w:tcMar>
            <w:vAlign w:val="center"/>
          </w:tcPr>
          <w:p w14:paraId="250B692A" w14:textId="77777777" w:rsidR="002F2BB2" w:rsidRPr="00532C61" w:rsidRDefault="002F2BB2" w:rsidP="0072694B">
            <w:pPr>
              <w:jc w:val="right"/>
              <w:rPr>
                <w:sz w:val="22"/>
                <w:szCs w:val="22"/>
              </w:rPr>
            </w:pPr>
            <w:r w:rsidRPr="00532C61">
              <w:rPr>
                <w:sz w:val="22"/>
                <w:szCs w:val="22"/>
              </w:rPr>
              <w:t>(11, 18)</w:t>
            </w:r>
          </w:p>
        </w:tc>
        <w:tc>
          <w:tcPr>
            <w:tcW w:w="406" w:type="pct"/>
            <w:shd w:val="clear" w:color="auto" w:fill="auto"/>
            <w:tcMar>
              <w:top w:w="0" w:type="dxa"/>
              <w:left w:w="45" w:type="dxa"/>
              <w:bottom w:w="0" w:type="dxa"/>
              <w:right w:w="45" w:type="dxa"/>
            </w:tcMar>
            <w:vAlign w:val="bottom"/>
          </w:tcPr>
          <w:p w14:paraId="41CE4228" w14:textId="77777777" w:rsidR="002F2BB2" w:rsidRPr="00532C61" w:rsidRDefault="002F2BB2" w:rsidP="0072694B">
            <w:pPr>
              <w:jc w:val="right"/>
              <w:rPr>
                <w:bCs/>
                <w:sz w:val="22"/>
                <w:szCs w:val="22"/>
              </w:rPr>
            </w:pPr>
            <w:r w:rsidRPr="00532C61">
              <w:rPr>
                <w:bCs/>
                <w:sz w:val="22"/>
                <w:szCs w:val="22"/>
              </w:rPr>
              <w:t>0.150</w:t>
            </w:r>
          </w:p>
        </w:tc>
      </w:tr>
      <w:tr w:rsidR="002F2BB2" w:rsidRPr="00532C61" w14:paraId="4D2A8F70" w14:textId="77777777" w:rsidTr="0072694B">
        <w:trPr>
          <w:trHeight w:val="315"/>
        </w:trPr>
        <w:tc>
          <w:tcPr>
            <w:tcW w:w="1988" w:type="pct"/>
            <w:tcBorders>
              <w:bottom w:val="single" w:sz="4" w:space="0" w:color="auto"/>
            </w:tcBorders>
            <w:shd w:val="clear" w:color="auto" w:fill="auto"/>
            <w:tcMar>
              <w:top w:w="0" w:type="dxa"/>
              <w:left w:w="45" w:type="dxa"/>
              <w:bottom w:w="0" w:type="dxa"/>
              <w:right w:w="45" w:type="dxa"/>
            </w:tcMar>
            <w:vAlign w:val="center"/>
          </w:tcPr>
          <w:p w14:paraId="6A005717" w14:textId="77777777" w:rsidR="002F2BB2" w:rsidRPr="00532C61" w:rsidRDefault="002F2BB2" w:rsidP="0072694B">
            <w:pPr>
              <w:rPr>
                <w:b/>
                <w:bCs/>
                <w:sz w:val="22"/>
                <w:szCs w:val="22"/>
              </w:rPr>
            </w:pPr>
            <w:r w:rsidRPr="00532C61">
              <w:rPr>
                <w:b/>
                <w:bCs/>
                <w:sz w:val="22"/>
                <w:szCs w:val="22"/>
              </w:rPr>
              <w:lastRenderedPageBreak/>
              <w:t>Social Support Score (α=0.84)</w:t>
            </w:r>
          </w:p>
        </w:tc>
        <w:tc>
          <w:tcPr>
            <w:tcW w:w="468" w:type="pct"/>
            <w:tcBorders>
              <w:bottom w:val="single" w:sz="4" w:space="0" w:color="auto"/>
            </w:tcBorders>
            <w:shd w:val="clear" w:color="auto" w:fill="auto"/>
            <w:tcMar>
              <w:top w:w="0" w:type="dxa"/>
              <w:left w:w="45" w:type="dxa"/>
              <w:bottom w:w="0" w:type="dxa"/>
              <w:right w:w="45" w:type="dxa"/>
            </w:tcMar>
            <w:vAlign w:val="center"/>
          </w:tcPr>
          <w:p w14:paraId="2A1A0099" w14:textId="77777777" w:rsidR="002F2BB2" w:rsidRPr="00532C61" w:rsidRDefault="002F2BB2" w:rsidP="0072694B">
            <w:pPr>
              <w:jc w:val="right"/>
              <w:rPr>
                <w:bCs/>
                <w:sz w:val="22"/>
                <w:szCs w:val="22"/>
              </w:rPr>
            </w:pPr>
            <w:r w:rsidRPr="00532C61">
              <w:rPr>
                <w:bCs/>
                <w:sz w:val="22"/>
                <w:szCs w:val="22"/>
              </w:rPr>
              <w:t>10</w:t>
            </w:r>
          </w:p>
        </w:tc>
        <w:tc>
          <w:tcPr>
            <w:tcW w:w="391" w:type="pct"/>
            <w:tcBorders>
              <w:bottom w:val="single" w:sz="4" w:space="0" w:color="auto"/>
            </w:tcBorders>
            <w:shd w:val="clear" w:color="auto" w:fill="auto"/>
            <w:tcMar>
              <w:top w:w="0" w:type="dxa"/>
              <w:left w:w="45" w:type="dxa"/>
              <w:bottom w:w="0" w:type="dxa"/>
              <w:right w:w="45" w:type="dxa"/>
            </w:tcMar>
            <w:vAlign w:val="center"/>
          </w:tcPr>
          <w:p w14:paraId="4295AEFF" w14:textId="77777777" w:rsidR="002F2BB2" w:rsidRPr="00532C61" w:rsidRDefault="002F2BB2" w:rsidP="0072694B">
            <w:pPr>
              <w:jc w:val="right"/>
              <w:rPr>
                <w:sz w:val="22"/>
                <w:szCs w:val="22"/>
              </w:rPr>
            </w:pPr>
            <w:r w:rsidRPr="00532C61">
              <w:rPr>
                <w:sz w:val="22"/>
                <w:szCs w:val="22"/>
              </w:rPr>
              <w:t>(6, 11)</w:t>
            </w:r>
          </w:p>
        </w:tc>
        <w:tc>
          <w:tcPr>
            <w:tcW w:w="468" w:type="pct"/>
            <w:tcBorders>
              <w:bottom w:val="single" w:sz="4" w:space="0" w:color="auto"/>
            </w:tcBorders>
            <w:shd w:val="clear" w:color="auto" w:fill="auto"/>
            <w:tcMar>
              <w:top w:w="0" w:type="dxa"/>
              <w:left w:w="45" w:type="dxa"/>
              <w:bottom w:w="0" w:type="dxa"/>
              <w:right w:w="45" w:type="dxa"/>
            </w:tcMar>
            <w:vAlign w:val="center"/>
          </w:tcPr>
          <w:p w14:paraId="03673612" w14:textId="77777777" w:rsidR="002F2BB2" w:rsidRPr="00532C61" w:rsidRDefault="002F2BB2" w:rsidP="0072694B">
            <w:pPr>
              <w:jc w:val="right"/>
              <w:rPr>
                <w:bCs/>
                <w:sz w:val="22"/>
                <w:szCs w:val="22"/>
              </w:rPr>
            </w:pPr>
            <w:r w:rsidRPr="00532C61">
              <w:rPr>
                <w:bCs/>
                <w:sz w:val="22"/>
                <w:szCs w:val="22"/>
              </w:rPr>
              <w:t>10</w:t>
            </w:r>
          </w:p>
        </w:tc>
        <w:tc>
          <w:tcPr>
            <w:tcW w:w="437" w:type="pct"/>
            <w:tcBorders>
              <w:bottom w:val="single" w:sz="4" w:space="0" w:color="auto"/>
            </w:tcBorders>
            <w:shd w:val="clear" w:color="auto" w:fill="auto"/>
            <w:tcMar>
              <w:top w:w="0" w:type="dxa"/>
              <w:left w:w="45" w:type="dxa"/>
              <w:bottom w:w="0" w:type="dxa"/>
              <w:right w:w="45" w:type="dxa"/>
            </w:tcMar>
            <w:vAlign w:val="center"/>
          </w:tcPr>
          <w:p w14:paraId="29920451" w14:textId="77777777" w:rsidR="002F2BB2" w:rsidRPr="00532C61" w:rsidRDefault="002F2BB2" w:rsidP="0072694B">
            <w:pPr>
              <w:jc w:val="right"/>
              <w:rPr>
                <w:sz w:val="22"/>
                <w:szCs w:val="22"/>
              </w:rPr>
            </w:pPr>
            <w:r w:rsidRPr="00532C61">
              <w:rPr>
                <w:sz w:val="22"/>
                <w:szCs w:val="22"/>
              </w:rPr>
              <w:t>(8, 12)</w:t>
            </w:r>
          </w:p>
        </w:tc>
        <w:tc>
          <w:tcPr>
            <w:tcW w:w="468" w:type="pct"/>
            <w:tcBorders>
              <w:bottom w:val="single" w:sz="4" w:space="0" w:color="auto"/>
            </w:tcBorders>
            <w:shd w:val="clear" w:color="auto" w:fill="auto"/>
            <w:tcMar>
              <w:top w:w="0" w:type="dxa"/>
              <w:left w:w="45" w:type="dxa"/>
              <w:bottom w:w="0" w:type="dxa"/>
              <w:right w:w="45" w:type="dxa"/>
            </w:tcMar>
            <w:vAlign w:val="center"/>
          </w:tcPr>
          <w:p w14:paraId="61BC5E9B" w14:textId="77777777" w:rsidR="002F2BB2" w:rsidRPr="00532C61" w:rsidRDefault="002F2BB2" w:rsidP="0072694B">
            <w:pPr>
              <w:jc w:val="right"/>
              <w:rPr>
                <w:bCs/>
                <w:sz w:val="22"/>
                <w:szCs w:val="22"/>
              </w:rPr>
            </w:pPr>
            <w:r w:rsidRPr="00532C61">
              <w:rPr>
                <w:bCs/>
                <w:sz w:val="22"/>
                <w:szCs w:val="22"/>
              </w:rPr>
              <w:t>9</w:t>
            </w:r>
          </w:p>
        </w:tc>
        <w:tc>
          <w:tcPr>
            <w:tcW w:w="374" w:type="pct"/>
            <w:tcBorders>
              <w:bottom w:val="single" w:sz="4" w:space="0" w:color="auto"/>
            </w:tcBorders>
            <w:shd w:val="clear" w:color="auto" w:fill="auto"/>
            <w:tcMar>
              <w:top w:w="0" w:type="dxa"/>
              <w:left w:w="45" w:type="dxa"/>
              <w:bottom w:w="0" w:type="dxa"/>
              <w:right w:w="45" w:type="dxa"/>
            </w:tcMar>
            <w:vAlign w:val="center"/>
          </w:tcPr>
          <w:p w14:paraId="12864F95" w14:textId="77777777" w:rsidR="002F2BB2" w:rsidRPr="00532C61" w:rsidRDefault="002F2BB2" w:rsidP="0072694B">
            <w:pPr>
              <w:jc w:val="right"/>
              <w:rPr>
                <w:sz w:val="22"/>
                <w:szCs w:val="22"/>
              </w:rPr>
            </w:pPr>
            <w:r w:rsidRPr="00532C61">
              <w:rPr>
                <w:sz w:val="22"/>
                <w:szCs w:val="22"/>
              </w:rPr>
              <w:t>(6, 11)</w:t>
            </w:r>
          </w:p>
        </w:tc>
        <w:tc>
          <w:tcPr>
            <w:tcW w:w="406" w:type="pct"/>
            <w:tcBorders>
              <w:bottom w:val="single" w:sz="4" w:space="0" w:color="auto"/>
            </w:tcBorders>
            <w:shd w:val="clear" w:color="auto" w:fill="auto"/>
            <w:tcMar>
              <w:top w:w="0" w:type="dxa"/>
              <w:left w:w="45" w:type="dxa"/>
              <w:bottom w:w="0" w:type="dxa"/>
              <w:right w:w="45" w:type="dxa"/>
            </w:tcMar>
            <w:vAlign w:val="bottom"/>
          </w:tcPr>
          <w:p w14:paraId="45A7B07D" w14:textId="77777777" w:rsidR="002F2BB2" w:rsidRPr="00532C61" w:rsidRDefault="002F2BB2" w:rsidP="0072694B">
            <w:pPr>
              <w:jc w:val="right"/>
              <w:rPr>
                <w:bCs/>
                <w:sz w:val="22"/>
                <w:szCs w:val="22"/>
              </w:rPr>
            </w:pPr>
            <w:r w:rsidRPr="00532C61">
              <w:rPr>
                <w:sz w:val="22"/>
                <w:szCs w:val="22"/>
              </w:rPr>
              <w:t>0.379</w:t>
            </w:r>
          </w:p>
        </w:tc>
      </w:tr>
    </w:tbl>
    <w:p w14:paraId="74CDA855" w14:textId="77777777" w:rsidR="002F2BB2" w:rsidRDefault="002F2BB2" w:rsidP="002F2BB2">
      <w:pPr>
        <w:rPr>
          <w:sz w:val="22"/>
          <w:szCs w:val="22"/>
        </w:rPr>
      </w:pPr>
    </w:p>
    <w:p w14:paraId="10BFAD42" w14:textId="77777777" w:rsidR="002F2BB2" w:rsidRPr="00B34C2C" w:rsidRDefault="002F2BB2" w:rsidP="002F2BB2">
      <w:pPr>
        <w:rPr>
          <w:i/>
          <w:iCs/>
          <w:sz w:val="22"/>
          <w:szCs w:val="22"/>
        </w:rPr>
      </w:pPr>
      <w:r w:rsidRPr="00B34C2C">
        <w:rPr>
          <w:i/>
          <w:iCs/>
          <w:sz w:val="22"/>
          <w:szCs w:val="22"/>
        </w:rPr>
        <w:t>Q</w:t>
      </w:r>
      <w:proofErr w:type="gramStart"/>
      <w:r w:rsidRPr="00B34C2C">
        <w:rPr>
          <w:i/>
          <w:iCs/>
          <w:sz w:val="22"/>
          <w:szCs w:val="22"/>
        </w:rPr>
        <w:t>1,Q</w:t>
      </w:r>
      <w:proofErr w:type="gramEnd"/>
      <w:r w:rsidRPr="00B34C2C">
        <w:rPr>
          <w:i/>
          <w:iCs/>
          <w:sz w:val="22"/>
          <w:szCs w:val="22"/>
        </w:rPr>
        <w:t>3 = first quartile, third quartile values, HADS = Hospital Anxiety &amp; Depression Scale; gbMSM = gay and bisexual men who have sex with men; P6M = past 6 months; MA = methamphetamine; Ref = referent category; poppers = amyl nitrites; GHB = gamma-</w:t>
      </w:r>
      <w:r w:rsidRPr="00B34C2C">
        <w:rPr>
          <w:i/>
          <w:iCs/>
          <w:color w:val="000000" w:themeColor="text1"/>
          <w:sz w:val="22"/>
          <w:szCs w:val="22"/>
        </w:rPr>
        <w:t xml:space="preserve">hydroxybutyrate; Data with </w:t>
      </w:r>
      <w:r w:rsidRPr="00B34C2C">
        <w:rPr>
          <w:b/>
          <w:i/>
          <w:iCs/>
          <w:color w:val="000000" w:themeColor="text1"/>
          <w:sz w:val="22"/>
          <w:szCs w:val="22"/>
        </w:rPr>
        <w:t xml:space="preserve">bold emphasis </w:t>
      </w:r>
      <w:r w:rsidRPr="00B34C2C">
        <w:rPr>
          <w:i/>
          <w:iCs/>
          <w:color w:val="000000" w:themeColor="text1"/>
          <w:sz w:val="22"/>
          <w:szCs w:val="22"/>
        </w:rPr>
        <w:t>indicates statistical significance at P&lt;0.05.</w:t>
      </w:r>
    </w:p>
    <w:p w14:paraId="24667181" w14:textId="77777777" w:rsidR="002F2BB2" w:rsidRDefault="002F2BB2" w:rsidP="002F2BB2">
      <w:pPr>
        <w:rPr>
          <w:sz w:val="22"/>
          <w:szCs w:val="22"/>
        </w:rPr>
      </w:pPr>
    </w:p>
    <w:p w14:paraId="091D2201" w14:textId="77777777" w:rsidR="002F2BB2" w:rsidRDefault="002F2BB2" w:rsidP="002F2BB2">
      <w:pPr>
        <w:rPr>
          <w:sz w:val="22"/>
          <w:szCs w:val="22"/>
        </w:rPr>
      </w:pPr>
    </w:p>
    <w:p w14:paraId="3DAE466C" w14:textId="77777777" w:rsidR="002F2BB2" w:rsidRDefault="002F2BB2" w:rsidP="002F2BB2">
      <w:pPr>
        <w:rPr>
          <w:sz w:val="22"/>
          <w:szCs w:val="22"/>
        </w:rPr>
      </w:pPr>
    </w:p>
    <w:p w14:paraId="61D070B4" w14:textId="77777777" w:rsidR="002F2BB2" w:rsidRDefault="002F2BB2" w:rsidP="002F2BB2">
      <w:pPr>
        <w:rPr>
          <w:sz w:val="22"/>
          <w:szCs w:val="22"/>
        </w:rPr>
      </w:pPr>
    </w:p>
    <w:p w14:paraId="14809092" w14:textId="77777777" w:rsidR="002F2BB2" w:rsidRDefault="002F2BB2" w:rsidP="002F2BB2">
      <w:pPr>
        <w:rPr>
          <w:sz w:val="22"/>
          <w:szCs w:val="22"/>
        </w:rPr>
      </w:pPr>
    </w:p>
    <w:p w14:paraId="2336E916" w14:textId="77777777" w:rsidR="002F2BB2" w:rsidRDefault="002F2BB2" w:rsidP="002F2BB2">
      <w:pPr>
        <w:rPr>
          <w:sz w:val="22"/>
          <w:szCs w:val="22"/>
        </w:rPr>
      </w:pPr>
    </w:p>
    <w:p w14:paraId="0C98C5BD" w14:textId="77777777" w:rsidR="002F2BB2" w:rsidRDefault="002F2BB2" w:rsidP="002F2BB2">
      <w:pPr>
        <w:rPr>
          <w:sz w:val="22"/>
          <w:szCs w:val="22"/>
        </w:rPr>
      </w:pPr>
    </w:p>
    <w:p w14:paraId="5BE6A7D8" w14:textId="77777777" w:rsidR="002F2BB2" w:rsidRDefault="002F2BB2" w:rsidP="002F2BB2">
      <w:pPr>
        <w:rPr>
          <w:sz w:val="22"/>
          <w:szCs w:val="22"/>
        </w:rPr>
      </w:pPr>
    </w:p>
    <w:p w14:paraId="3AC1EE8C" w14:textId="77777777" w:rsidR="002F2BB2" w:rsidRDefault="002F2BB2" w:rsidP="002F2BB2">
      <w:pPr>
        <w:rPr>
          <w:sz w:val="22"/>
          <w:szCs w:val="22"/>
        </w:rPr>
      </w:pPr>
    </w:p>
    <w:p w14:paraId="3CE94BF9" w14:textId="77777777" w:rsidR="002F2BB2" w:rsidRDefault="002F2BB2" w:rsidP="002F2BB2">
      <w:pPr>
        <w:rPr>
          <w:sz w:val="22"/>
          <w:szCs w:val="22"/>
        </w:rPr>
      </w:pPr>
    </w:p>
    <w:p w14:paraId="5D146480" w14:textId="77777777" w:rsidR="002F2BB2" w:rsidRDefault="002F2BB2" w:rsidP="002F2BB2">
      <w:pPr>
        <w:rPr>
          <w:sz w:val="22"/>
          <w:szCs w:val="22"/>
        </w:rPr>
      </w:pPr>
    </w:p>
    <w:p w14:paraId="7260628E" w14:textId="77777777" w:rsidR="002F2BB2" w:rsidRDefault="002F2BB2" w:rsidP="002F2BB2">
      <w:pPr>
        <w:rPr>
          <w:sz w:val="22"/>
          <w:szCs w:val="22"/>
        </w:rPr>
      </w:pPr>
    </w:p>
    <w:p w14:paraId="76B1DC8A" w14:textId="77777777" w:rsidR="002F2BB2" w:rsidRDefault="002F2BB2" w:rsidP="002F2BB2">
      <w:pPr>
        <w:rPr>
          <w:sz w:val="22"/>
          <w:szCs w:val="22"/>
        </w:rPr>
      </w:pPr>
    </w:p>
    <w:p w14:paraId="20669D2F" w14:textId="77777777" w:rsidR="002F2BB2" w:rsidRDefault="002F2BB2" w:rsidP="002F2BB2">
      <w:pPr>
        <w:rPr>
          <w:sz w:val="22"/>
          <w:szCs w:val="22"/>
        </w:rPr>
      </w:pPr>
    </w:p>
    <w:p w14:paraId="1BA8E214" w14:textId="77777777" w:rsidR="002F2BB2" w:rsidRDefault="002F2BB2" w:rsidP="002F2BB2">
      <w:pPr>
        <w:rPr>
          <w:sz w:val="22"/>
          <w:szCs w:val="22"/>
        </w:rPr>
      </w:pPr>
    </w:p>
    <w:p w14:paraId="38F5D01D" w14:textId="77777777" w:rsidR="002F2BB2" w:rsidRDefault="002F2BB2" w:rsidP="002F2BB2">
      <w:pPr>
        <w:rPr>
          <w:sz w:val="22"/>
          <w:szCs w:val="22"/>
        </w:rPr>
      </w:pPr>
    </w:p>
    <w:p w14:paraId="493DC0E0" w14:textId="77777777" w:rsidR="002F2BB2" w:rsidRDefault="002F2BB2" w:rsidP="002F2BB2">
      <w:pPr>
        <w:rPr>
          <w:sz w:val="22"/>
          <w:szCs w:val="22"/>
        </w:rPr>
      </w:pPr>
    </w:p>
    <w:p w14:paraId="611D3122" w14:textId="77777777" w:rsidR="002F2BB2" w:rsidRDefault="002F2BB2" w:rsidP="002F2BB2">
      <w:pPr>
        <w:rPr>
          <w:sz w:val="22"/>
          <w:szCs w:val="22"/>
        </w:rPr>
      </w:pPr>
    </w:p>
    <w:p w14:paraId="37F2C470" w14:textId="77777777" w:rsidR="002F2BB2" w:rsidRDefault="002F2BB2" w:rsidP="002F2BB2">
      <w:pPr>
        <w:rPr>
          <w:sz w:val="22"/>
          <w:szCs w:val="22"/>
        </w:rPr>
      </w:pPr>
    </w:p>
    <w:p w14:paraId="7766C36B" w14:textId="77777777" w:rsidR="002F2BB2" w:rsidRDefault="002F2BB2" w:rsidP="002F2BB2">
      <w:pPr>
        <w:rPr>
          <w:sz w:val="22"/>
          <w:szCs w:val="22"/>
        </w:rPr>
      </w:pPr>
    </w:p>
    <w:p w14:paraId="3C63CBB2" w14:textId="77777777" w:rsidR="002F2BB2" w:rsidRDefault="002F2BB2" w:rsidP="002F2BB2">
      <w:pPr>
        <w:rPr>
          <w:sz w:val="22"/>
          <w:szCs w:val="22"/>
        </w:rPr>
      </w:pPr>
    </w:p>
    <w:p w14:paraId="5B8A2DD3" w14:textId="77777777" w:rsidR="002F2BB2" w:rsidRDefault="002F2BB2" w:rsidP="002F2BB2">
      <w:pPr>
        <w:rPr>
          <w:sz w:val="22"/>
          <w:szCs w:val="22"/>
        </w:rPr>
      </w:pPr>
    </w:p>
    <w:p w14:paraId="5F0CE067" w14:textId="77777777" w:rsidR="002F2BB2" w:rsidRDefault="002F2BB2" w:rsidP="002F2BB2">
      <w:pPr>
        <w:rPr>
          <w:sz w:val="22"/>
          <w:szCs w:val="22"/>
        </w:rPr>
      </w:pPr>
    </w:p>
    <w:p w14:paraId="0C09A6B7" w14:textId="77777777" w:rsidR="002F2BB2" w:rsidRDefault="002F2BB2" w:rsidP="002F2BB2">
      <w:pPr>
        <w:rPr>
          <w:sz w:val="22"/>
          <w:szCs w:val="22"/>
        </w:rPr>
      </w:pPr>
    </w:p>
    <w:p w14:paraId="694D5F0B" w14:textId="77777777" w:rsidR="002F2BB2" w:rsidRDefault="002F2BB2" w:rsidP="002F2BB2">
      <w:pPr>
        <w:rPr>
          <w:sz w:val="22"/>
          <w:szCs w:val="22"/>
        </w:rPr>
      </w:pPr>
    </w:p>
    <w:p w14:paraId="58441B69" w14:textId="77777777" w:rsidR="002F2BB2" w:rsidRDefault="002F2BB2" w:rsidP="002F2BB2">
      <w:pPr>
        <w:rPr>
          <w:sz w:val="22"/>
          <w:szCs w:val="22"/>
        </w:rPr>
      </w:pPr>
    </w:p>
    <w:p w14:paraId="47DC72FF" w14:textId="77777777" w:rsidR="002F2BB2" w:rsidRDefault="002F2BB2" w:rsidP="002F2BB2">
      <w:pPr>
        <w:rPr>
          <w:sz w:val="22"/>
          <w:szCs w:val="22"/>
        </w:rPr>
      </w:pPr>
    </w:p>
    <w:p w14:paraId="6F347108" w14:textId="77777777" w:rsidR="002F2BB2" w:rsidRDefault="002F2BB2" w:rsidP="002F2BB2">
      <w:pPr>
        <w:rPr>
          <w:sz w:val="22"/>
          <w:szCs w:val="22"/>
        </w:rPr>
      </w:pPr>
    </w:p>
    <w:p w14:paraId="49E13C49" w14:textId="77777777" w:rsidR="002F2BB2" w:rsidRDefault="002F2BB2" w:rsidP="002F2BB2">
      <w:pPr>
        <w:rPr>
          <w:sz w:val="22"/>
          <w:szCs w:val="22"/>
        </w:rPr>
      </w:pPr>
    </w:p>
    <w:p w14:paraId="60D2AA70" w14:textId="77777777" w:rsidR="002F2BB2" w:rsidRDefault="002F2BB2" w:rsidP="002F2BB2">
      <w:pPr>
        <w:rPr>
          <w:sz w:val="22"/>
          <w:szCs w:val="22"/>
        </w:rPr>
      </w:pPr>
    </w:p>
    <w:p w14:paraId="0CE17670" w14:textId="77777777" w:rsidR="002F2BB2" w:rsidRDefault="002F2BB2" w:rsidP="002F2BB2">
      <w:pPr>
        <w:rPr>
          <w:b/>
          <w:sz w:val="22"/>
          <w:szCs w:val="22"/>
        </w:rPr>
        <w:sectPr w:rsidR="002F2BB2" w:rsidSect="000F59B2">
          <w:pgSz w:w="12240" w:h="15840"/>
          <w:pgMar w:top="1440" w:right="1440" w:bottom="1440" w:left="1440" w:header="708" w:footer="708" w:gutter="0"/>
          <w:cols w:space="708"/>
          <w:docGrid w:linePitch="360"/>
        </w:sectPr>
      </w:pPr>
    </w:p>
    <w:p w14:paraId="408961CE" w14:textId="77777777" w:rsidR="002F2BB2" w:rsidRDefault="002F2BB2" w:rsidP="002F2BB2">
      <w:pPr>
        <w:rPr>
          <w:b/>
          <w:sz w:val="22"/>
          <w:szCs w:val="22"/>
        </w:rPr>
      </w:pPr>
      <w:r w:rsidRPr="00532C61">
        <w:rPr>
          <w:b/>
          <w:sz w:val="22"/>
          <w:szCs w:val="22"/>
        </w:rPr>
        <w:lastRenderedPageBreak/>
        <w:t xml:space="preserve">Table </w:t>
      </w:r>
      <w:r>
        <w:rPr>
          <w:b/>
          <w:sz w:val="22"/>
          <w:szCs w:val="22"/>
        </w:rPr>
        <w:t>3</w:t>
      </w:r>
      <w:r w:rsidRPr="00532C61">
        <w:rPr>
          <w:b/>
          <w:sz w:val="22"/>
          <w:szCs w:val="22"/>
        </w:rPr>
        <w:t>: Univariable analysis of factors associated with methamphetamine use reduction</w:t>
      </w:r>
      <w:r>
        <w:rPr>
          <w:b/>
          <w:sz w:val="22"/>
          <w:szCs w:val="22"/>
        </w:rPr>
        <w:t xml:space="preserve"> among gbMSM who reported frequent use between 2012-2015 in Vancouver, Canada (n=46)</w:t>
      </w:r>
    </w:p>
    <w:p w14:paraId="717A01BC" w14:textId="77777777" w:rsidR="002F2BB2" w:rsidRPr="00532C61" w:rsidRDefault="002F2BB2" w:rsidP="002F2BB2">
      <w:pPr>
        <w:rPr>
          <w:b/>
          <w:sz w:val="22"/>
          <w:szCs w:val="22"/>
        </w:rPr>
      </w:pPr>
    </w:p>
    <w:tbl>
      <w:tblPr>
        <w:tblW w:w="0" w:type="auto"/>
        <w:tblCellMar>
          <w:left w:w="0" w:type="dxa"/>
          <w:right w:w="0" w:type="dxa"/>
        </w:tblCellMar>
        <w:tblLook w:val="04A0" w:firstRow="1" w:lastRow="0" w:firstColumn="1" w:lastColumn="0" w:noHBand="0" w:noVBand="1"/>
      </w:tblPr>
      <w:tblGrid>
        <w:gridCol w:w="5798"/>
        <w:gridCol w:w="647"/>
        <w:gridCol w:w="646"/>
        <w:gridCol w:w="646"/>
        <w:gridCol w:w="901"/>
      </w:tblGrid>
      <w:tr w:rsidR="002F2BB2" w:rsidRPr="00532C61" w14:paraId="02168093" w14:textId="77777777" w:rsidTr="0072694B">
        <w:trPr>
          <w:trHeight w:val="315"/>
        </w:trPr>
        <w:tc>
          <w:tcPr>
            <w:tcW w:w="0" w:type="auto"/>
            <w:tcBorders>
              <w:top w:val="single" w:sz="4" w:space="0" w:color="auto"/>
              <w:bottom w:val="single" w:sz="4" w:space="0" w:color="auto"/>
            </w:tcBorders>
            <w:tcMar>
              <w:top w:w="0" w:type="dxa"/>
              <w:left w:w="45" w:type="dxa"/>
              <w:bottom w:w="0" w:type="dxa"/>
              <w:right w:w="45" w:type="dxa"/>
            </w:tcMar>
            <w:vAlign w:val="center"/>
            <w:hideMark/>
          </w:tcPr>
          <w:p w14:paraId="70A18AB2" w14:textId="77777777" w:rsidR="002F2BB2" w:rsidRPr="00532C61" w:rsidRDefault="002F2BB2" w:rsidP="0072694B">
            <w:pPr>
              <w:jc w:val="center"/>
              <w:rPr>
                <w:b/>
                <w:bCs/>
                <w:color w:val="000000"/>
                <w:sz w:val="22"/>
                <w:szCs w:val="22"/>
              </w:rPr>
            </w:pPr>
          </w:p>
        </w:tc>
        <w:tc>
          <w:tcPr>
            <w:tcW w:w="0" w:type="auto"/>
            <w:gridSpan w:val="4"/>
            <w:tcBorders>
              <w:top w:val="single" w:sz="4" w:space="0" w:color="auto"/>
              <w:bottom w:val="single" w:sz="4" w:space="0" w:color="auto"/>
            </w:tcBorders>
            <w:tcMar>
              <w:top w:w="0" w:type="dxa"/>
              <w:left w:w="45" w:type="dxa"/>
              <w:bottom w:w="0" w:type="dxa"/>
              <w:right w:w="45" w:type="dxa"/>
            </w:tcMar>
            <w:vAlign w:val="center"/>
            <w:hideMark/>
          </w:tcPr>
          <w:p w14:paraId="0052C32F" w14:textId="77777777" w:rsidR="002F2BB2" w:rsidRPr="00532C61" w:rsidRDefault="002F2BB2" w:rsidP="0072694B">
            <w:pPr>
              <w:jc w:val="center"/>
              <w:rPr>
                <w:b/>
                <w:bCs/>
                <w:color w:val="000000"/>
                <w:sz w:val="22"/>
                <w:szCs w:val="22"/>
              </w:rPr>
            </w:pPr>
            <w:r w:rsidRPr="00532C61">
              <w:rPr>
                <w:b/>
                <w:bCs/>
                <w:color w:val="000000"/>
                <w:sz w:val="22"/>
                <w:szCs w:val="22"/>
              </w:rPr>
              <w:t>60</w:t>
            </w:r>
            <w:r>
              <w:rPr>
                <w:b/>
                <w:bCs/>
                <w:color w:val="000000"/>
                <w:sz w:val="22"/>
                <w:szCs w:val="22"/>
              </w:rPr>
              <w:t xml:space="preserve"> </w:t>
            </w:r>
            <w:r w:rsidRPr="00532C61">
              <w:rPr>
                <w:b/>
                <w:bCs/>
                <w:color w:val="000000"/>
                <w:sz w:val="22"/>
                <w:szCs w:val="22"/>
              </w:rPr>
              <w:t>MA-reduced visits</w:t>
            </w:r>
            <w:r>
              <w:rPr>
                <w:b/>
                <w:bCs/>
                <w:color w:val="000000"/>
                <w:sz w:val="22"/>
                <w:szCs w:val="22"/>
              </w:rPr>
              <w:t xml:space="preserve"> </w:t>
            </w:r>
            <w:r w:rsidRPr="00532C61">
              <w:rPr>
                <w:b/>
                <w:bCs/>
                <w:color w:val="000000"/>
                <w:sz w:val="22"/>
                <w:szCs w:val="22"/>
              </w:rPr>
              <w:t>vs</w:t>
            </w:r>
            <w:r>
              <w:rPr>
                <w:b/>
                <w:bCs/>
                <w:color w:val="000000"/>
                <w:sz w:val="22"/>
                <w:szCs w:val="22"/>
              </w:rPr>
              <w:t xml:space="preserve">.  </w:t>
            </w:r>
            <w:r w:rsidRPr="00532C61">
              <w:rPr>
                <w:b/>
                <w:bCs/>
                <w:color w:val="000000"/>
                <w:sz w:val="22"/>
                <w:szCs w:val="22"/>
              </w:rPr>
              <w:t>160</w:t>
            </w:r>
          </w:p>
        </w:tc>
      </w:tr>
      <w:tr w:rsidR="002F2BB2" w:rsidRPr="00532C61" w14:paraId="1D3DC483" w14:textId="77777777" w:rsidTr="0072694B">
        <w:trPr>
          <w:trHeight w:val="300"/>
        </w:trPr>
        <w:tc>
          <w:tcPr>
            <w:tcW w:w="0" w:type="auto"/>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344F381C" w14:textId="77777777" w:rsidR="002F2BB2" w:rsidRPr="00532C61" w:rsidRDefault="002F2BB2" w:rsidP="0072694B">
            <w:pPr>
              <w:jc w:val="center"/>
              <w:rPr>
                <w:b/>
                <w:bCs/>
                <w:sz w:val="22"/>
                <w:szCs w:val="22"/>
              </w:rPr>
            </w:pPr>
          </w:p>
        </w:tc>
        <w:tc>
          <w:tcPr>
            <w:tcW w:w="0" w:type="auto"/>
            <w:tcBorders>
              <w:top w:val="single" w:sz="4" w:space="0" w:color="auto"/>
              <w:bottom w:val="single" w:sz="4" w:space="0" w:color="auto"/>
            </w:tcBorders>
            <w:shd w:val="clear" w:color="auto" w:fill="auto"/>
            <w:tcMar>
              <w:top w:w="0" w:type="dxa"/>
              <w:left w:w="45" w:type="dxa"/>
              <w:bottom w:w="0" w:type="dxa"/>
              <w:right w:w="45" w:type="dxa"/>
            </w:tcMar>
            <w:vAlign w:val="bottom"/>
            <w:hideMark/>
          </w:tcPr>
          <w:p w14:paraId="5E284E91" w14:textId="77777777" w:rsidR="002F2BB2" w:rsidRPr="00532C61" w:rsidRDefault="002F2BB2" w:rsidP="0072694B">
            <w:pPr>
              <w:jc w:val="center"/>
              <w:rPr>
                <w:b/>
                <w:bCs/>
                <w:sz w:val="22"/>
                <w:szCs w:val="22"/>
              </w:rPr>
            </w:pPr>
            <w:r w:rsidRPr="00532C61">
              <w:rPr>
                <w:b/>
                <w:bCs/>
                <w:sz w:val="22"/>
                <w:szCs w:val="22"/>
              </w:rPr>
              <w:t>RR</w:t>
            </w:r>
          </w:p>
        </w:tc>
        <w:tc>
          <w:tcPr>
            <w:tcW w:w="0" w:type="auto"/>
            <w:gridSpan w:val="2"/>
            <w:tcBorders>
              <w:top w:val="single" w:sz="4" w:space="0" w:color="auto"/>
              <w:bottom w:val="single" w:sz="4" w:space="0" w:color="auto"/>
            </w:tcBorders>
            <w:shd w:val="clear" w:color="auto" w:fill="auto"/>
            <w:tcMar>
              <w:top w:w="0" w:type="dxa"/>
              <w:left w:w="45" w:type="dxa"/>
              <w:bottom w:w="0" w:type="dxa"/>
              <w:right w:w="45" w:type="dxa"/>
            </w:tcMar>
            <w:vAlign w:val="bottom"/>
            <w:hideMark/>
          </w:tcPr>
          <w:p w14:paraId="4B5B0AC5" w14:textId="77777777" w:rsidR="002F2BB2" w:rsidRPr="00532C61" w:rsidRDefault="002F2BB2" w:rsidP="0072694B">
            <w:pPr>
              <w:jc w:val="center"/>
              <w:rPr>
                <w:b/>
                <w:bCs/>
                <w:sz w:val="22"/>
                <w:szCs w:val="22"/>
              </w:rPr>
            </w:pPr>
            <w:r w:rsidRPr="00532C61">
              <w:rPr>
                <w:b/>
                <w:bCs/>
                <w:sz w:val="22"/>
                <w:szCs w:val="22"/>
              </w:rPr>
              <w:t>95% CI</w:t>
            </w:r>
          </w:p>
        </w:tc>
        <w:tc>
          <w:tcPr>
            <w:tcW w:w="0" w:type="auto"/>
            <w:tcBorders>
              <w:top w:val="single" w:sz="4" w:space="0" w:color="auto"/>
              <w:bottom w:val="single" w:sz="4" w:space="0" w:color="auto"/>
            </w:tcBorders>
            <w:shd w:val="clear" w:color="auto" w:fill="auto"/>
            <w:tcMar>
              <w:top w:w="0" w:type="dxa"/>
              <w:left w:w="45" w:type="dxa"/>
              <w:bottom w:w="0" w:type="dxa"/>
              <w:right w:w="45" w:type="dxa"/>
            </w:tcMar>
            <w:vAlign w:val="bottom"/>
            <w:hideMark/>
          </w:tcPr>
          <w:p w14:paraId="7EB913E9" w14:textId="77777777" w:rsidR="002F2BB2" w:rsidRPr="00532C61" w:rsidRDefault="002F2BB2" w:rsidP="0072694B">
            <w:pPr>
              <w:jc w:val="center"/>
              <w:rPr>
                <w:b/>
                <w:bCs/>
                <w:i/>
                <w:sz w:val="22"/>
                <w:szCs w:val="22"/>
              </w:rPr>
            </w:pPr>
            <w:r w:rsidRPr="00532C61">
              <w:rPr>
                <w:b/>
                <w:bCs/>
                <w:i/>
                <w:sz w:val="22"/>
                <w:szCs w:val="22"/>
              </w:rPr>
              <w:t>p</w:t>
            </w:r>
          </w:p>
        </w:tc>
      </w:tr>
      <w:tr w:rsidR="002F2BB2" w:rsidRPr="00532C61" w14:paraId="67183D97" w14:textId="77777777" w:rsidTr="0072694B">
        <w:trPr>
          <w:trHeight w:val="269"/>
        </w:trPr>
        <w:tc>
          <w:tcPr>
            <w:tcW w:w="0" w:type="auto"/>
            <w:tcBorders>
              <w:top w:val="single" w:sz="4" w:space="0" w:color="auto"/>
            </w:tcBorders>
            <w:shd w:val="clear" w:color="auto" w:fill="auto"/>
            <w:tcMar>
              <w:top w:w="0" w:type="dxa"/>
              <w:left w:w="45" w:type="dxa"/>
              <w:bottom w:w="0" w:type="dxa"/>
              <w:right w:w="45" w:type="dxa"/>
            </w:tcMar>
            <w:vAlign w:val="bottom"/>
          </w:tcPr>
          <w:p w14:paraId="65A89A99" w14:textId="77777777" w:rsidR="002F2BB2" w:rsidRPr="00B34C2C" w:rsidRDefault="002F2BB2" w:rsidP="0072694B">
            <w:pPr>
              <w:rPr>
                <w:b/>
                <w:bCs/>
                <w:i/>
                <w:sz w:val="22"/>
                <w:szCs w:val="22"/>
                <w:u w:val="single"/>
              </w:rPr>
            </w:pPr>
            <w:r w:rsidRPr="00B34C2C">
              <w:rPr>
                <w:b/>
                <w:bCs/>
                <w:i/>
                <w:sz w:val="22"/>
                <w:szCs w:val="22"/>
                <w:u w:val="single"/>
              </w:rPr>
              <w:t>Demographic Information</w:t>
            </w:r>
          </w:p>
        </w:tc>
        <w:tc>
          <w:tcPr>
            <w:tcW w:w="0" w:type="auto"/>
            <w:tcBorders>
              <w:top w:val="single" w:sz="4" w:space="0" w:color="auto"/>
            </w:tcBorders>
            <w:shd w:val="clear" w:color="auto" w:fill="auto"/>
            <w:tcMar>
              <w:top w:w="0" w:type="dxa"/>
              <w:left w:w="45" w:type="dxa"/>
              <w:bottom w:w="0" w:type="dxa"/>
              <w:right w:w="45" w:type="dxa"/>
            </w:tcMar>
            <w:vAlign w:val="bottom"/>
          </w:tcPr>
          <w:p w14:paraId="103FC497" w14:textId="77777777" w:rsidR="002F2BB2" w:rsidRPr="00532C61" w:rsidRDefault="002F2BB2" w:rsidP="0072694B">
            <w:pPr>
              <w:jc w:val="right"/>
              <w:rPr>
                <w:sz w:val="22"/>
                <w:szCs w:val="22"/>
              </w:rPr>
            </w:pPr>
          </w:p>
        </w:tc>
        <w:tc>
          <w:tcPr>
            <w:tcW w:w="0" w:type="auto"/>
            <w:tcBorders>
              <w:top w:val="single" w:sz="4" w:space="0" w:color="auto"/>
            </w:tcBorders>
            <w:shd w:val="clear" w:color="auto" w:fill="auto"/>
            <w:tcMar>
              <w:top w:w="0" w:type="dxa"/>
              <w:left w:w="45" w:type="dxa"/>
              <w:bottom w:w="0" w:type="dxa"/>
              <w:right w:w="45" w:type="dxa"/>
            </w:tcMar>
            <w:vAlign w:val="bottom"/>
          </w:tcPr>
          <w:p w14:paraId="796582A2" w14:textId="77777777" w:rsidR="002F2BB2" w:rsidRPr="00532C61" w:rsidRDefault="002F2BB2" w:rsidP="0072694B">
            <w:pPr>
              <w:jc w:val="right"/>
              <w:rPr>
                <w:sz w:val="22"/>
                <w:szCs w:val="22"/>
              </w:rPr>
            </w:pPr>
          </w:p>
        </w:tc>
        <w:tc>
          <w:tcPr>
            <w:tcW w:w="0" w:type="auto"/>
            <w:tcBorders>
              <w:top w:val="single" w:sz="4" w:space="0" w:color="auto"/>
            </w:tcBorders>
            <w:shd w:val="clear" w:color="auto" w:fill="auto"/>
            <w:tcMar>
              <w:top w:w="0" w:type="dxa"/>
              <w:left w:w="45" w:type="dxa"/>
              <w:bottom w:w="0" w:type="dxa"/>
              <w:right w:w="45" w:type="dxa"/>
            </w:tcMar>
            <w:vAlign w:val="bottom"/>
          </w:tcPr>
          <w:p w14:paraId="46518061" w14:textId="77777777" w:rsidR="002F2BB2" w:rsidRPr="00532C61" w:rsidRDefault="002F2BB2" w:rsidP="0072694B">
            <w:pPr>
              <w:jc w:val="right"/>
              <w:rPr>
                <w:sz w:val="22"/>
                <w:szCs w:val="22"/>
              </w:rPr>
            </w:pPr>
          </w:p>
        </w:tc>
        <w:tc>
          <w:tcPr>
            <w:tcW w:w="0" w:type="auto"/>
            <w:tcBorders>
              <w:top w:val="single" w:sz="4" w:space="0" w:color="auto"/>
            </w:tcBorders>
            <w:shd w:val="clear" w:color="auto" w:fill="auto"/>
            <w:tcMar>
              <w:top w:w="0" w:type="dxa"/>
              <w:left w:w="45" w:type="dxa"/>
              <w:bottom w:w="0" w:type="dxa"/>
              <w:right w:w="45" w:type="dxa"/>
            </w:tcMar>
            <w:vAlign w:val="bottom"/>
          </w:tcPr>
          <w:p w14:paraId="3FB6E912" w14:textId="77777777" w:rsidR="002F2BB2" w:rsidRPr="00532C61" w:rsidRDefault="002F2BB2" w:rsidP="0072694B">
            <w:pPr>
              <w:jc w:val="right"/>
              <w:rPr>
                <w:bCs/>
                <w:sz w:val="22"/>
                <w:szCs w:val="22"/>
              </w:rPr>
            </w:pPr>
          </w:p>
        </w:tc>
      </w:tr>
      <w:tr w:rsidR="002F2BB2" w:rsidRPr="00532C61" w14:paraId="36EA03E5" w14:textId="77777777" w:rsidTr="0072694B">
        <w:trPr>
          <w:trHeight w:val="300"/>
        </w:trPr>
        <w:tc>
          <w:tcPr>
            <w:tcW w:w="0" w:type="auto"/>
            <w:shd w:val="clear" w:color="auto" w:fill="auto"/>
            <w:tcMar>
              <w:top w:w="0" w:type="dxa"/>
              <w:left w:w="45" w:type="dxa"/>
              <w:bottom w:w="0" w:type="dxa"/>
              <w:right w:w="45" w:type="dxa"/>
            </w:tcMar>
            <w:vAlign w:val="bottom"/>
          </w:tcPr>
          <w:p w14:paraId="27FFB2D5" w14:textId="77777777" w:rsidR="002F2BB2" w:rsidRPr="00532C61" w:rsidRDefault="002F2BB2" w:rsidP="0072694B">
            <w:pPr>
              <w:rPr>
                <w:b/>
                <w:bCs/>
                <w:sz w:val="22"/>
                <w:szCs w:val="22"/>
              </w:rPr>
            </w:pPr>
            <w:r w:rsidRPr="00532C61">
              <w:rPr>
                <w:b/>
                <w:bCs/>
                <w:sz w:val="22"/>
                <w:szCs w:val="22"/>
              </w:rPr>
              <w:t>Age</w:t>
            </w:r>
          </w:p>
        </w:tc>
        <w:tc>
          <w:tcPr>
            <w:tcW w:w="0" w:type="auto"/>
            <w:shd w:val="clear" w:color="auto" w:fill="auto"/>
            <w:tcMar>
              <w:top w:w="0" w:type="dxa"/>
              <w:left w:w="45" w:type="dxa"/>
              <w:bottom w:w="0" w:type="dxa"/>
              <w:right w:w="45" w:type="dxa"/>
            </w:tcMar>
            <w:vAlign w:val="bottom"/>
          </w:tcPr>
          <w:p w14:paraId="177C5B37" w14:textId="77777777" w:rsidR="002F2BB2" w:rsidRPr="00532C61" w:rsidRDefault="002F2BB2" w:rsidP="0072694B">
            <w:pPr>
              <w:jc w:val="right"/>
              <w:rPr>
                <w:sz w:val="22"/>
                <w:szCs w:val="22"/>
              </w:rPr>
            </w:pPr>
            <w:r w:rsidRPr="00532C61">
              <w:rPr>
                <w:sz w:val="22"/>
                <w:szCs w:val="22"/>
              </w:rPr>
              <w:t>1.01</w:t>
            </w:r>
          </w:p>
        </w:tc>
        <w:tc>
          <w:tcPr>
            <w:tcW w:w="0" w:type="auto"/>
            <w:shd w:val="clear" w:color="auto" w:fill="auto"/>
            <w:tcMar>
              <w:top w:w="0" w:type="dxa"/>
              <w:left w:w="45" w:type="dxa"/>
              <w:bottom w:w="0" w:type="dxa"/>
              <w:right w:w="45" w:type="dxa"/>
            </w:tcMar>
            <w:vAlign w:val="bottom"/>
          </w:tcPr>
          <w:p w14:paraId="18C40B8C" w14:textId="77777777" w:rsidR="002F2BB2" w:rsidRPr="00532C61" w:rsidRDefault="002F2BB2" w:rsidP="0072694B">
            <w:pPr>
              <w:jc w:val="right"/>
              <w:rPr>
                <w:sz w:val="22"/>
                <w:szCs w:val="22"/>
              </w:rPr>
            </w:pPr>
            <w:r w:rsidRPr="00532C61">
              <w:rPr>
                <w:sz w:val="22"/>
                <w:szCs w:val="22"/>
              </w:rPr>
              <w:t>0.98</w:t>
            </w:r>
          </w:p>
        </w:tc>
        <w:tc>
          <w:tcPr>
            <w:tcW w:w="0" w:type="auto"/>
            <w:shd w:val="clear" w:color="auto" w:fill="auto"/>
            <w:tcMar>
              <w:top w:w="0" w:type="dxa"/>
              <w:left w:w="45" w:type="dxa"/>
              <w:bottom w:w="0" w:type="dxa"/>
              <w:right w:w="45" w:type="dxa"/>
            </w:tcMar>
            <w:vAlign w:val="bottom"/>
          </w:tcPr>
          <w:p w14:paraId="33FBC709" w14:textId="77777777" w:rsidR="002F2BB2" w:rsidRPr="00532C61" w:rsidRDefault="002F2BB2" w:rsidP="0072694B">
            <w:pPr>
              <w:jc w:val="right"/>
              <w:rPr>
                <w:sz w:val="22"/>
                <w:szCs w:val="22"/>
              </w:rPr>
            </w:pPr>
            <w:r w:rsidRPr="00532C61">
              <w:rPr>
                <w:sz w:val="22"/>
                <w:szCs w:val="22"/>
              </w:rPr>
              <w:t>1.04</w:t>
            </w:r>
          </w:p>
        </w:tc>
        <w:tc>
          <w:tcPr>
            <w:tcW w:w="0" w:type="auto"/>
            <w:shd w:val="clear" w:color="auto" w:fill="auto"/>
            <w:tcMar>
              <w:top w:w="0" w:type="dxa"/>
              <w:left w:w="45" w:type="dxa"/>
              <w:bottom w:w="0" w:type="dxa"/>
              <w:right w:w="45" w:type="dxa"/>
            </w:tcMar>
            <w:vAlign w:val="bottom"/>
          </w:tcPr>
          <w:p w14:paraId="5D0F818E" w14:textId="77777777" w:rsidR="002F2BB2" w:rsidRPr="00532C61" w:rsidRDefault="002F2BB2" w:rsidP="0072694B">
            <w:pPr>
              <w:jc w:val="right"/>
              <w:rPr>
                <w:bCs/>
                <w:sz w:val="22"/>
                <w:szCs w:val="22"/>
              </w:rPr>
            </w:pPr>
            <w:r w:rsidRPr="00532C61">
              <w:rPr>
                <w:bCs/>
                <w:sz w:val="22"/>
                <w:szCs w:val="22"/>
              </w:rPr>
              <w:t>0.603</w:t>
            </w:r>
          </w:p>
        </w:tc>
      </w:tr>
      <w:tr w:rsidR="002F2BB2" w:rsidRPr="00532C61" w14:paraId="4AF13C2A" w14:textId="77777777" w:rsidTr="0072694B">
        <w:trPr>
          <w:trHeight w:val="300"/>
        </w:trPr>
        <w:tc>
          <w:tcPr>
            <w:tcW w:w="0" w:type="auto"/>
            <w:shd w:val="clear" w:color="auto" w:fill="auto"/>
            <w:tcMar>
              <w:top w:w="0" w:type="dxa"/>
              <w:left w:w="45" w:type="dxa"/>
              <w:bottom w:w="0" w:type="dxa"/>
              <w:right w:w="45" w:type="dxa"/>
            </w:tcMar>
            <w:vAlign w:val="center"/>
          </w:tcPr>
          <w:p w14:paraId="4AA443D4" w14:textId="77777777" w:rsidR="002F2BB2" w:rsidRPr="00532C61" w:rsidRDefault="002F2BB2" w:rsidP="0072694B">
            <w:pPr>
              <w:rPr>
                <w:b/>
                <w:bCs/>
                <w:sz w:val="22"/>
                <w:szCs w:val="22"/>
              </w:rPr>
            </w:pPr>
            <w:r w:rsidRPr="00532C61">
              <w:rPr>
                <w:b/>
                <w:bCs/>
                <w:sz w:val="22"/>
                <w:szCs w:val="22"/>
              </w:rPr>
              <w:t xml:space="preserve">HIV </w:t>
            </w:r>
            <w:proofErr w:type="spellStart"/>
            <w:r w:rsidRPr="00532C61">
              <w:rPr>
                <w:b/>
                <w:bCs/>
                <w:sz w:val="22"/>
                <w:szCs w:val="22"/>
              </w:rPr>
              <w:t>Sero</w:t>
            </w:r>
            <w:proofErr w:type="spellEnd"/>
            <w:r w:rsidRPr="00532C61">
              <w:rPr>
                <w:b/>
                <w:bCs/>
                <w:sz w:val="22"/>
                <w:szCs w:val="22"/>
              </w:rPr>
              <w:t>-Status</w:t>
            </w:r>
          </w:p>
        </w:tc>
        <w:tc>
          <w:tcPr>
            <w:tcW w:w="0" w:type="auto"/>
            <w:shd w:val="clear" w:color="auto" w:fill="auto"/>
            <w:tcMar>
              <w:top w:w="0" w:type="dxa"/>
              <w:left w:w="45" w:type="dxa"/>
              <w:bottom w:w="0" w:type="dxa"/>
              <w:right w:w="45" w:type="dxa"/>
            </w:tcMar>
            <w:vAlign w:val="bottom"/>
          </w:tcPr>
          <w:p w14:paraId="1ACAFB7A"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781E3A87"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3AB84AA0"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4B13A016" w14:textId="77777777" w:rsidR="002F2BB2" w:rsidRPr="00532C61" w:rsidRDefault="002F2BB2" w:rsidP="0072694B">
            <w:pPr>
              <w:jc w:val="right"/>
              <w:rPr>
                <w:bCs/>
                <w:sz w:val="22"/>
                <w:szCs w:val="22"/>
              </w:rPr>
            </w:pPr>
          </w:p>
        </w:tc>
      </w:tr>
      <w:tr w:rsidR="002F2BB2" w:rsidRPr="00532C61" w14:paraId="729A8002" w14:textId="77777777" w:rsidTr="0072694B">
        <w:trPr>
          <w:trHeight w:val="300"/>
        </w:trPr>
        <w:tc>
          <w:tcPr>
            <w:tcW w:w="0" w:type="auto"/>
            <w:shd w:val="clear" w:color="auto" w:fill="auto"/>
            <w:tcMar>
              <w:top w:w="0" w:type="dxa"/>
              <w:left w:w="45" w:type="dxa"/>
              <w:bottom w:w="0" w:type="dxa"/>
              <w:right w:w="45" w:type="dxa"/>
            </w:tcMar>
            <w:vAlign w:val="center"/>
          </w:tcPr>
          <w:p w14:paraId="239DFEBC" w14:textId="77777777" w:rsidR="002F2BB2" w:rsidRPr="00532C61" w:rsidRDefault="002F2BB2" w:rsidP="0072694B">
            <w:pPr>
              <w:rPr>
                <w:b/>
                <w:bCs/>
                <w:sz w:val="22"/>
                <w:szCs w:val="22"/>
              </w:rPr>
            </w:pPr>
            <w:r w:rsidRPr="00532C61">
              <w:rPr>
                <w:sz w:val="22"/>
                <w:szCs w:val="22"/>
              </w:rPr>
              <w:t xml:space="preserve">    Negative</w:t>
            </w:r>
          </w:p>
        </w:tc>
        <w:tc>
          <w:tcPr>
            <w:tcW w:w="0" w:type="auto"/>
            <w:shd w:val="clear" w:color="auto" w:fill="auto"/>
            <w:tcMar>
              <w:top w:w="0" w:type="dxa"/>
              <w:left w:w="45" w:type="dxa"/>
              <w:bottom w:w="0" w:type="dxa"/>
              <w:right w:w="45" w:type="dxa"/>
            </w:tcMar>
            <w:vAlign w:val="bottom"/>
          </w:tcPr>
          <w:p w14:paraId="7F424637"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tcPr>
          <w:p w14:paraId="2C8C969B"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287A7E12"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7E433022" w14:textId="77777777" w:rsidR="002F2BB2" w:rsidRPr="00532C61" w:rsidRDefault="002F2BB2" w:rsidP="0072694B">
            <w:pPr>
              <w:jc w:val="right"/>
              <w:rPr>
                <w:bCs/>
                <w:sz w:val="22"/>
                <w:szCs w:val="22"/>
              </w:rPr>
            </w:pPr>
          </w:p>
        </w:tc>
      </w:tr>
      <w:tr w:rsidR="002F2BB2" w:rsidRPr="00532C61" w14:paraId="057026A8" w14:textId="77777777" w:rsidTr="0072694B">
        <w:trPr>
          <w:trHeight w:val="300"/>
        </w:trPr>
        <w:tc>
          <w:tcPr>
            <w:tcW w:w="0" w:type="auto"/>
            <w:shd w:val="clear" w:color="auto" w:fill="auto"/>
            <w:tcMar>
              <w:top w:w="0" w:type="dxa"/>
              <w:left w:w="45" w:type="dxa"/>
              <w:bottom w:w="0" w:type="dxa"/>
              <w:right w:w="45" w:type="dxa"/>
            </w:tcMar>
            <w:vAlign w:val="center"/>
          </w:tcPr>
          <w:p w14:paraId="2C2DD014" w14:textId="77777777" w:rsidR="002F2BB2" w:rsidRPr="00532C61" w:rsidRDefault="002F2BB2" w:rsidP="0072694B">
            <w:pPr>
              <w:rPr>
                <w:b/>
                <w:bCs/>
                <w:sz w:val="22"/>
                <w:szCs w:val="22"/>
              </w:rPr>
            </w:pPr>
            <w:r w:rsidRPr="00532C61">
              <w:rPr>
                <w:sz w:val="22"/>
                <w:szCs w:val="22"/>
              </w:rPr>
              <w:t xml:space="preserve">    Positive</w:t>
            </w:r>
          </w:p>
        </w:tc>
        <w:tc>
          <w:tcPr>
            <w:tcW w:w="0" w:type="auto"/>
            <w:shd w:val="clear" w:color="auto" w:fill="auto"/>
            <w:tcMar>
              <w:top w:w="0" w:type="dxa"/>
              <w:left w:w="45" w:type="dxa"/>
              <w:bottom w:w="0" w:type="dxa"/>
              <w:right w:w="45" w:type="dxa"/>
            </w:tcMar>
            <w:vAlign w:val="bottom"/>
          </w:tcPr>
          <w:p w14:paraId="749452C6" w14:textId="77777777" w:rsidR="002F2BB2" w:rsidRPr="00532C61" w:rsidRDefault="002F2BB2" w:rsidP="0072694B">
            <w:pPr>
              <w:jc w:val="right"/>
              <w:rPr>
                <w:sz w:val="22"/>
                <w:szCs w:val="22"/>
              </w:rPr>
            </w:pPr>
            <w:r w:rsidRPr="00532C61">
              <w:rPr>
                <w:sz w:val="22"/>
                <w:szCs w:val="22"/>
              </w:rPr>
              <w:t>1.49</w:t>
            </w:r>
          </w:p>
        </w:tc>
        <w:tc>
          <w:tcPr>
            <w:tcW w:w="0" w:type="auto"/>
            <w:shd w:val="clear" w:color="auto" w:fill="auto"/>
            <w:tcMar>
              <w:top w:w="0" w:type="dxa"/>
              <w:left w:w="45" w:type="dxa"/>
              <w:bottom w:w="0" w:type="dxa"/>
              <w:right w:w="45" w:type="dxa"/>
            </w:tcMar>
            <w:vAlign w:val="bottom"/>
          </w:tcPr>
          <w:p w14:paraId="79386904" w14:textId="77777777" w:rsidR="002F2BB2" w:rsidRPr="00532C61" w:rsidRDefault="002F2BB2" w:rsidP="0072694B">
            <w:pPr>
              <w:jc w:val="right"/>
              <w:rPr>
                <w:sz w:val="22"/>
                <w:szCs w:val="22"/>
              </w:rPr>
            </w:pPr>
            <w:r w:rsidRPr="00532C61">
              <w:rPr>
                <w:sz w:val="22"/>
                <w:szCs w:val="22"/>
              </w:rPr>
              <w:t>0.67</w:t>
            </w:r>
          </w:p>
        </w:tc>
        <w:tc>
          <w:tcPr>
            <w:tcW w:w="0" w:type="auto"/>
            <w:shd w:val="clear" w:color="auto" w:fill="auto"/>
            <w:tcMar>
              <w:top w:w="0" w:type="dxa"/>
              <w:left w:w="45" w:type="dxa"/>
              <w:bottom w:w="0" w:type="dxa"/>
              <w:right w:w="45" w:type="dxa"/>
            </w:tcMar>
            <w:vAlign w:val="bottom"/>
          </w:tcPr>
          <w:p w14:paraId="0421BEA9" w14:textId="77777777" w:rsidR="002F2BB2" w:rsidRPr="00532C61" w:rsidRDefault="002F2BB2" w:rsidP="0072694B">
            <w:pPr>
              <w:jc w:val="right"/>
              <w:rPr>
                <w:sz w:val="22"/>
                <w:szCs w:val="22"/>
              </w:rPr>
            </w:pPr>
            <w:r w:rsidRPr="00532C61">
              <w:rPr>
                <w:sz w:val="22"/>
                <w:szCs w:val="22"/>
              </w:rPr>
              <w:t>3.32</w:t>
            </w:r>
          </w:p>
        </w:tc>
        <w:tc>
          <w:tcPr>
            <w:tcW w:w="0" w:type="auto"/>
            <w:shd w:val="clear" w:color="auto" w:fill="auto"/>
            <w:tcMar>
              <w:top w:w="0" w:type="dxa"/>
              <w:left w:w="45" w:type="dxa"/>
              <w:bottom w:w="0" w:type="dxa"/>
              <w:right w:w="45" w:type="dxa"/>
            </w:tcMar>
            <w:vAlign w:val="bottom"/>
          </w:tcPr>
          <w:p w14:paraId="1D9C04C8" w14:textId="77777777" w:rsidR="002F2BB2" w:rsidRPr="00532C61" w:rsidRDefault="002F2BB2" w:rsidP="0072694B">
            <w:pPr>
              <w:jc w:val="right"/>
              <w:rPr>
                <w:bCs/>
                <w:sz w:val="22"/>
                <w:szCs w:val="22"/>
              </w:rPr>
            </w:pPr>
            <w:r w:rsidRPr="00532C61">
              <w:rPr>
                <w:bCs/>
                <w:sz w:val="22"/>
                <w:szCs w:val="22"/>
              </w:rPr>
              <w:t>0.326</w:t>
            </w:r>
          </w:p>
        </w:tc>
      </w:tr>
      <w:tr w:rsidR="002F2BB2" w:rsidRPr="00532C61" w14:paraId="59DF82E5" w14:textId="77777777" w:rsidTr="0072694B">
        <w:trPr>
          <w:trHeight w:val="300"/>
        </w:trPr>
        <w:tc>
          <w:tcPr>
            <w:tcW w:w="0" w:type="auto"/>
            <w:shd w:val="clear" w:color="auto" w:fill="auto"/>
            <w:tcMar>
              <w:top w:w="0" w:type="dxa"/>
              <w:left w:w="45" w:type="dxa"/>
              <w:bottom w:w="0" w:type="dxa"/>
              <w:right w:w="45" w:type="dxa"/>
            </w:tcMar>
            <w:vAlign w:val="center"/>
          </w:tcPr>
          <w:p w14:paraId="3A879EC6" w14:textId="77777777" w:rsidR="002F2BB2" w:rsidRPr="00532C61" w:rsidRDefault="002F2BB2" w:rsidP="0072694B">
            <w:pPr>
              <w:rPr>
                <w:b/>
                <w:bCs/>
                <w:sz w:val="22"/>
                <w:szCs w:val="22"/>
              </w:rPr>
            </w:pPr>
            <w:r w:rsidRPr="00532C61">
              <w:rPr>
                <w:b/>
                <w:bCs/>
                <w:sz w:val="22"/>
                <w:szCs w:val="22"/>
              </w:rPr>
              <w:t>Sexual Orientation</w:t>
            </w:r>
          </w:p>
        </w:tc>
        <w:tc>
          <w:tcPr>
            <w:tcW w:w="0" w:type="auto"/>
            <w:shd w:val="clear" w:color="auto" w:fill="auto"/>
            <w:tcMar>
              <w:top w:w="0" w:type="dxa"/>
              <w:left w:w="45" w:type="dxa"/>
              <w:bottom w:w="0" w:type="dxa"/>
              <w:right w:w="45" w:type="dxa"/>
            </w:tcMar>
            <w:vAlign w:val="bottom"/>
          </w:tcPr>
          <w:p w14:paraId="7FE2DE0E"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3D6DADE8"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33B569A2"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51A24936" w14:textId="77777777" w:rsidR="002F2BB2" w:rsidRPr="00532C61" w:rsidRDefault="002F2BB2" w:rsidP="0072694B">
            <w:pPr>
              <w:jc w:val="right"/>
              <w:rPr>
                <w:bCs/>
                <w:sz w:val="22"/>
                <w:szCs w:val="22"/>
              </w:rPr>
            </w:pPr>
          </w:p>
        </w:tc>
      </w:tr>
      <w:tr w:rsidR="002F2BB2" w:rsidRPr="00532C61" w14:paraId="1C745342" w14:textId="77777777" w:rsidTr="0072694B">
        <w:trPr>
          <w:trHeight w:val="300"/>
        </w:trPr>
        <w:tc>
          <w:tcPr>
            <w:tcW w:w="0" w:type="auto"/>
            <w:shd w:val="clear" w:color="auto" w:fill="auto"/>
            <w:tcMar>
              <w:top w:w="0" w:type="dxa"/>
              <w:left w:w="45" w:type="dxa"/>
              <w:bottom w:w="0" w:type="dxa"/>
              <w:right w:w="45" w:type="dxa"/>
            </w:tcMar>
            <w:vAlign w:val="center"/>
          </w:tcPr>
          <w:p w14:paraId="6EAD62B5" w14:textId="77777777" w:rsidR="002F2BB2" w:rsidRPr="00532C61" w:rsidRDefault="002F2BB2" w:rsidP="0072694B">
            <w:pPr>
              <w:rPr>
                <w:b/>
                <w:bCs/>
                <w:sz w:val="22"/>
                <w:szCs w:val="22"/>
              </w:rPr>
            </w:pPr>
            <w:r w:rsidRPr="00532C61">
              <w:rPr>
                <w:sz w:val="22"/>
                <w:szCs w:val="22"/>
              </w:rPr>
              <w:t xml:space="preserve">    Gay</w:t>
            </w:r>
          </w:p>
        </w:tc>
        <w:tc>
          <w:tcPr>
            <w:tcW w:w="0" w:type="auto"/>
            <w:shd w:val="clear" w:color="auto" w:fill="auto"/>
            <w:tcMar>
              <w:top w:w="0" w:type="dxa"/>
              <w:left w:w="45" w:type="dxa"/>
              <w:bottom w:w="0" w:type="dxa"/>
              <w:right w:w="45" w:type="dxa"/>
            </w:tcMar>
            <w:vAlign w:val="bottom"/>
          </w:tcPr>
          <w:p w14:paraId="0CB09997"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tcPr>
          <w:p w14:paraId="6E00F59E"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35DB9E58"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455657D5" w14:textId="77777777" w:rsidR="002F2BB2" w:rsidRPr="00532C61" w:rsidRDefault="002F2BB2" w:rsidP="0072694B">
            <w:pPr>
              <w:jc w:val="right"/>
              <w:rPr>
                <w:bCs/>
                <w:sz w:val="22"/>
                <w:szCs w:val="22"/>
              </w:rPr>
            </w:pPr>
          </w:p>
        </w:tc>
      </w:tr>
      <w:tr w:rsidR="002F2BB2" w:rsidRPr="00532C61" w14:paraId="5FB693E3" w14:textId="77777777" w:rsidTr="0072694B">
        <w:trPr>
          <w:trHeight w:val="300"/>
        </w:trPr>
        <w:tc>
          <w:tcPr>
            <w:tcW w:w="0" w:type="auto"/>
            <w:shd w:val="clear" w:color="auto" w:fill="auto"/>
            <w:tcMar>
              <w:top w:w="0" w:type="dxa"/>
              <w:left w:w="45" w:type="dxa"/>
              <w:bottom w:w="0" w:type="dxa"/>
              <w:right w:w="45" w:type="dxa"/>
            </w:tcMar>
            <w:vAlign w:val="center"/>
          </w:tcPr>
          <w:p w14:paraId="35AACC64" w14:textId="77777777" w:rsidR="002F2BB2" w:rsidRPr="00532C61" w:rsidRDefault="002F2BB2" w:rsidP="0072694B">
            <w:pPr>
              <w:rPr>
                <w:b/>
                <w:bCs/>
                <w:sz w:val="22"/>
                <w:szCs w:val="22"/>
              </w:rPr>
            </w:pPr>
            <w:r w:rsidRPr="00532C61">
              <w:rPr>
                <w:sz w:val="22"/>
                <w:szCs w:val="22"/>
              </w:rPr>
              <w:t xml:space="preserve">    Bisexual/Other</w:t>
            </w:r>
          </w:p>
        </w:tc>
        <w:tc>
          <w:tcPr>
            <w:tcW w:w="0" w:type="auto"/>
            <w:shd w:val="clear" w:color="auto" w:fill="auto"/>
            <w:tcMar>
              <w:top w:w="0" w:type="dxa"/>
              <w:left w:w="45" w:type="dxa"/>
              <w:bottom w:w="0" w:type="dxa"/>
              <w:right w:w="45" w:type="dxa"/>
            </w:tcMar>
            <w:vAlign w:val="bottom"/>
          </w:tcPr>
          <w:p w14:paraId="746FE1C1" w14:textId="77777777" w:rsidR="002F2BB2" w:rsidRPr="00532C61" w:rsidRDefault="002F2BB2" w:rsidP="0072694B">
            <w:pPr>
              <w:jc w:val="right"/>
              <w:rPr>
                <w:sz w:val="22"/>
                <w:szCs w:val="22"/>
              </w:rPr>
            </w:pPr>
            <w:r w:rsidRPr="00532C61">
              <w:rPr>
                <w:sz w:val="22"/>
                <w:szCs w:val="22"/>
              </w:rPr>
              <w:t>1.00</w:t>
            </w:r>
          </w:p>
        </w:tc>
        <w:tc>
          <w:tcPr>
            <w:tcW w:w="0" w:type="auto"/>
            <w:shd w:val="clear" w:color="auto" w:fill="auto"/>
            <w:tcMar>
              <w:top w:w="0" w:type="dxa"/>
              <w:left w:w="45" w:type="dxa"/>
              <w:bottom w:w="0" w:type="dxa"/>
              <w:right w:w="45" w:type="dxa"/>
            </w:tcMar>
            <w:vAlign w:val="bottom"/>
          </w:tcPr>
          <w:p w14:paraId="0334A99F" w14:textId="77777777" w:rsidR="002F2BB2" w:rsidRPr="00532C61" w:rsidRDefault="002F2BB2" w:rsidP="0072694B">
            <w:pPr>
              <w:jc w:val="right"/>
              <w:rPr>
                <w:sz w:val="22"/>
                <w:szCs w:val="22"/>
              </w:rPr>
            </w:pPr>
            <w:r w:rsidRPr="00532C61">
              <w:rPr>
                <w:sz w:val="22"/>
                <w:szCs w:val="22"/>
              </w:rPr>
              <w:t>0.49</w:t>
            </w:r>
          </w:p>
        </w:tc>
        <w:tc>
          <w:tcPr>
            <w:tcW w:w="0" w:type="auto"/>
            <w:shd w:val="clear" w:color="auto" w:fill="auto"/>
            <w:tcMar>
              <w:top w:w="0" w:type="dxa"/>
              <w:left w:w="45" w:type="dxa"/>
              <w:bottom w:w="0" w:type="dxa"/>
              <w:right w:w="45" w:type="dxa"/>
            </w:tcMar>
            <w:vAlign w:val="bottom"/>
          </w:tcPr>
          <w:p w14:paraId="165BD9A8" w14:textId="77777777" w:rsidR="002F2BB2" w:rsidRPr="00532C61" w:rsidRDefault="002F2BB2" w:rsidP="0072694B">
            <w:pPr>
              <w:jc w:val="right"/>
              <w:rPr>
                <w:sz w:val="22"/>
                <w:szCs w:val="22"/>
              </w:rPr>
            </w:pPr>
            <w:r w:rsidRPr="00532C61">
              <w:rPr>
                <w:sz w:val="22"/>
                <w:szCs w:val="22"/>
              </w:rPr>
              <w:t>2.04</w:t>
            </w:r>
          </w:p>
        </w:tc>
        <w:tc>
          <w:tcPr>
            <w:tcW w:w="0" w:type="auto"/>
            <w:shd w:val="clear" w:color="auto" w:fill="auto"/>
            <w:tcMar>
              <w:top w:w="0" w:type="dxa"/>
              <w:left w:w="45" w:type="dxa"/>
              <w:bottom w:w="0" w:type="dxa"/>
              <w:right w:w="45" w:type="dxa"/>
            </w:tcMar>
            <w:vAlign w:val="bottom"/>
          </w:tcPr>
          <w:p w14:paraId="5CB9D1E8" w14:textId="77777777" w:rsidR="002F2BB2" w:rsidRPr="00532C61" w:rsidRDefault="002F2BB2" w:rsidP="0072694B">
            <w:pPr>
              <w:jc w:val="right"/>
              <w:rPr>
                <w:bCs/>
                <w:sz w:val="22"/>
                <w:szCs w:val="22"/>
              </w:rPr>
            </w:pPr>
            <w:r w:rsidRPr="00532C61">
              <w:rPr>
                <w:bCs/>
                <w:sz w:val="22"/>
                <w:szCs w:val="22"/>
              </w:rPr>
              <w:t>0.995</w:t>
            </w:r>
          </w:p>
        </w:tc>
      </w:tr>
      <w:tr w:rsidR="002F2BB2" w:rsidRPr="00532C61" w14:paraId="17E5007E" w14:textId="77777777" w:rsidTr="0072694B">
        <w:trPr>
          <w:trHeight w:val="300"/>
        </w:trPr>
        <w:tc>
          <w:tcPr>
            <w:tcW w:w="0" w:type="auto"/>
            <w:shd w:val="clear" w:color="auto" w:fill="auto"/>
            <w:tcMar>
              <w:top w:w="0" w:type="dxa"/>
              <w:left w:w="45" w:type="dxa"/>
              <w:bottom w:w="0" w:type="dxa"/>
              <w:right w:w="45" w:type="dxa"/>
            </w:tcMar>
            <w:vAlign w:val="center"/>
          </w:tcPr>
          <w:p w14:paraId="7A5446CD" w14:textId="77777777" w:rsidR="002F2BB2" w:rsidRPr="00532C61" w:rsidRDefault="002F2BB2" w:rsidP="0072694B">
            <w:pPr>
              <w:rPr>
                <w:b/>
                <w:bCs/>
                <w:sz w:val="22"/>
                <w:szCs w:val="22"/>
              </w:rPr>
            </w:pPr>
            <w:r w:rsidRPr="00532C61">
              <w:rPr>
                <w:b/>
                <w:bCs/>
                <w:sz w:val="22"/>
                <w:szCs w:val="22"/>
              </w:rPr>
              <w:t>Ethnicity</w:t>
            </w:r>
          </w:p>
        </w:tc>
        <w:tc>
          <w:tcPr>
            <w:tcW w:w="0" w:type="auto"/>
            <w:shd w:val="clear" w:color="auto" w:fill="auto"/>
            <w:tcMar>
              <w:top w:w="0" w:type="dxa"/>
              <w:left w:w="45" w:type="dxa"/>
              <w:bottom w:w="0" w:type="dxa"/>
              <w:right w:w="45" w:type="dxa"/>
            </w:tcMar>
            <w:vAlign w:val="bottom"/>
          </w:tcPr>
          <w:p w14:paraId="0E2D106D"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71DBD314"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193D89EC"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68E0ECB0" w14:textId="77777777" w:rsidR="002F2BB2" w:rsidRPr="00532C61" w:rsidRDefault="002F2BB2" w:rsidP="0072694B">
            <w:pPr>
              <w:jc w:val="right"/>
              <w:rPr>
                <w:bCs/>
                <w:sz w:val="22"/>
                <w:szCs w:val="22"/>
              </w:rPr>
            </w:pPr>
          </w:p>
        </w:tc>
      </w:tr>
      <w:tr w:rsidR="002F2BB2" w:rsidRPr="00532C61" w14:paraId="7C245886" w14:textId="77777777" w:rsidTr="0072694B">
        <w:trPr>
          <w:trHeight w:val="300"/>
        </w:trPr>
        <w:tc>
          <w:tcPr>
            <w:tcW w:w="0" w:type="auto"/>
            <w:shd w:val="clear" w:color="auto" w:fill="auto"/>
            <w:tcMar>
              <w:top w:w="0" w:type="dxa"/>
              <w:left w:w="45" w:type="dxa"/>
              <w:bottom w:w="0" w:type="dxa"/>
              <w:right w:w="45" w:type="dxa"/>
            </w:tcMar>
            <w:vAlign w:val="center"/>
          </w:tcPr>
          <w:p w14:paraId="4750B279" w14:textId="77777777" w:rsidR="002F2BB2" w:rsidRPr="00532C61" w:rsidRDefault="002F2BB2" w:rsidP="0072694B">
            <w:pPr>
              <w:rPr>
                <w:b/>
                <w:bCs/>
                <w:sz w:val="22"/>
                <w:szCs w:val="22"/>
              </w:rPr>
            </w:pPr>
            <w:r w:rsidRPr="00532C61">
              <w:rPr>
                <w:sz w:val="22"/>
                <w:szCs w:val="22"/>
              </w:rPr>
              <w:t xml:space="preserve">    White</w:t>
            </w:r>
          </w:p>
        </w:tc>
        <w:tc>
          <w:tcPr>
            <w:tcW w:w="0" w:type="auto"/>
            <w:shd w:val="clear" w:color="auto" w:fill="auto"/>
            <w:tcMar>
              <w:top w:w="0" w:type="dxa"/>
              <w:left w:w="45" w:type="dxa"/>
              <w:bottom w:w="0" w:type="dxa"/>
              <w:right w:w="45" w:type="dxa"/>
            </w:tcMar>
            <w:vAlign w:val="bottom"/>
          </w:tcPr>
          <w:p w14:paraId="7DDB977B"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tcPr>
          <w:p w14:paraId="6C4F4D7B"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395C5501"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2635E1CE" w14:textId="77777777" w:rsidR="002F2BB2" w:rsidRPr="00532C61" w:rsidRDefault="002F2BB2" w:rsidP="0072694B">
            <w:pPr>
              <w:jc w:val="right"/>
              <w:rPr>
                <w:bCs/>
                <w:sz w:val="22"/>
                <w:szCs w:val="22"/>
              </w:rPr>
            </w:pPr>
          </w:p>
        </w:tc>
      </w:tr>
      <w:tr w:rsidR="002F2BB2" w:rsidRPr="00532C61" w14:paraId="69F8F16C" w14:textId="77777777" w:rsidTr="0072694B">
        <w:trPr>
          <w:trHeight w:val="300"/>
        </w:trPr>
        <w:tc>
          <w:tcPr>
            <w:tcW w:w="0" w:type="auto"/>
            <w:shd w:val="clear" w:color="auto" w:fill="auto"/>
            <w:tcMar>
              <w:top w:w="0" w:type="dxa"/>
              <w:left w:w="45" w:type="dxa"/>
              <w:bottom w:w="0" w:type="dxa"/>
              <w:right w:w="45" w:type="dxa"/>
            </w:tcMar>
            <w:vAlign w:val="center"/>
          </w:tcPr>
          <w:p w14:paraId="196511D4" w14:textId="77777777" w:rsidR="002F2BB2" w:rsidRPr="00532C61" w:rsidRDefault="002F2BB2" w:rsidP="0072694B">
            <w:pPr>
              <w:rPr>
                <w:b/>
                <w:bCs/>
                <w:sz w:val="22"/>
                <w:szCs w:val="22"/>
              </w:rPr>
            </w:pPr>
            <w:r w:rsidRPr="00532C61">
              <w:rPr>
                <w:sz w:val="22"/>
                <w:szCs w:val="22"/>
              </w:rPr>
              <w:t xml:space="preserve">    Asian</w:t>
            </w:r>
          </w:p>
        </w:tc>
        <w:tc>
          <w:tcPr>
            <w:tcW w:w="0" w:type="auto"/>
            <w:shd w:val="clear" w:color="auto" w:fill="auto"/>
            <w:tcMar>
              <w:top w:w="0" w:type="dxa"/>
              <w:left w:w="45" w:type="dxa"/>
              <w:bottom w:w="0" w:type="dxa"/>
              <w:right w:w="45" w:type="dxa"/>
            </w:tcMar>
            <w:vAlign w:val="bottom"/>
          </w:tcPr>
          <w:p w14:paraId="5569C350" w14:textId="77777777" w:rsidR="002F2BB2" w:rsidRPr="00532C61" w:rsidRDefault="002F2BB2" w:rsidP="0072694B">
            <w:pPr>
              <w:jc w:val="right"/>
              <w:rPr>
                <w:sz w:val="22"/>
                <w:szCs w:val="22"/>
              </w:rPr>
            </w:pPr>
            <w:r w:rsidRPr="00532C61">
              <w:rPr>
                <w:sz w:val="22"/>
                <w:szCs w:val="22"/>
              </w:rPr>
              <w:t>2.13</w:t>
            </w:r>
          </w:p>
        </w:tc>
        <w:tc>
          <w:tcPr>
            <w:tcW w:w="0" w:type="auto"/>
            <w:shd w:val="clear" w:color="auto" w:fill="auto"/>
            <w:tcMar>
              <w:top w:w="0" w:type="dxa"/>
              <w:left w:w="45" w:type="dxa"/>
              <w:bottom w:w="0" w:type="dxa"/>
              <w:right w:w="45" w:type="dxa"/>
            </w:tcMar>
            <w:vAlign w:val="bottom"/>
          </w:tcPr>
          <w:p w14:paraId="5576B0F9" w14:textId="77777777" w:rsidR="002F2BB2" w:rsidRPr="00532C61" w:rsidRDefault="002F2BB2" w:rsidP="0072694B">
            <w:pPr>
              <w:jc w:val="right"/>
              <w:rPr>
                <w:sz w:val="22"/>
                <w:szCs w:val="22"/>
              </w:rPr>
            </w:pPr>
            <w:r w:rsidRPr="00532C61">
              <w:rPr>
                <w:sz w:val="22"/>
                <w:szCs w:val="22"/>
              </w:rPr>
              <w:t>0.55</w:t>
            </w:r>
          </w:p>
        </w:tc>
        <w:tc>
          <w:tcPr>
            <w:tcW w:w="0" w:type="auto"/>
            <w:shd w:val="clear" w:color="auto" w:fill="auto"/>
            <w:tcMar>
              <w:top w:w="0" w:type="dxa"/>
              <w:left w:w="45" w:type="dxa"/>
              <w:bottom w:w="0" w:type="dxa"/>
              <w:right w:w="45" w:type="dxa"/>
            </w:tcMar>
            <w:vAlign w:val="bottom"/>
          </w:tcPr>
          <w:p w14:paraId="4570234A" w14:textId="77777777" w:rsidR="002F2BB2" w:rsidRPr="00532C61" w:rsidRDefault="002F2BB2" w:rsidP="0072694B">
            <w:pPr>
              <w:jc w:val="right"/>
              <w:rPr>
                <w:sz w:val="22"/>
                <w:szCs w:val="22"/>
              </w:rPr>
            </w:pPr>
            <w:r w:rsidRPr="00532C61">
              <w:rPr>
                <w:sz w:val="22"/>
                <w:szCs w:val="22"/>
              </w:rPr>
              <w:t>8.19</w:t>
            </w:r>
          </w:p>
        </w:tc>
        <w:tc>
          <w:tcPr>
            <w:tcW w:w="0" w:type="auto"/>
            <w:shd w:val="clear" w:color="auto" w:fill="auto"/>
            <w:tcMar>
              <w:top w:w="0" w:type="dxa"/>
              <w:left w:w="45" w:type="dxa"/>
              <w:bottom w:w="0" w:type="dxa"/>
              <w:right w:w="45" w:type="dxa"/>
            </w:tcMar>
            <w:vAlign w:val="bottom"/>
          </w:tcPr>
          <w:p w14:paraId="7A0697C2" w14:textId="77777777" w:rsidR="002F2BB2" w:rsidRPr="00532C61" w:rsidRDefault="002F2BB2" w:rsidP="0072694B">
            <w:pPr>
              <w:jc w:val="right"/>
              <w:rPr>
                <w:bCs/>
                <w:sz w:val="22"/>
                <w:szCs w:val="22"/>
              </w:rPr>
            </w:pPr>
            <w:r w:rsidRPr="00532C61">
              <w:rPr>
                <w:bCs/>
                <w:sz w:val="22"/>
                <w:szCs w:val="22"/>
              </w:rPr>
              <w:t>0.268</w:t>
            </w:r>
          </w:p>
        </w:tc>
      </w:tr>
      <w:tr w:rsidR="002F2BB2" w:rsidRPr="00532C61" w14:paraId="3C197FDF" w14:textId="77777777" w:rsidTr="0072694B">
        <w:trPr>
          <w:trHeight w:val="300"/>
        </w:trPr>
        <w:tc>
          <w:tcPr>
            <w:tcW w:w="0" w:type="auto"/>
            <w:shd w:val="clear" w:color="auto" w:fill="auto"/>
            <w:tcMar>
              <w:top w:w="0" w:type="dxa"/>
              <w:left w:w="45" w:type="dxa"/>
              <w:bottom w:w="0" w:type="dxa"/>
              <w:right w:w="45" w:type="dxa"/>
            </w:tcMar>
            <w:vAlign w:val="center"/>
          </w:tcPr>
          <w:p w14:paraId="0E52B77F" w14:textId="77777777" w:rsidR="002F2BB2" w:rsidRPr="00532C61" w:rsidRDefault="002F2BB2" w:rsidP="0072694B">
            <w:pPr>
              <w:rPr>
                <w:b/>
                <w:bCs/>
                <w:sz w:val="22"/>
                <w:szCs w:val="22"/>
              </w:rPr>
            </w:pPr>
            <w:r w:rsidRPr="00532C61">
              <w:rPr>
                <w:sz w:val="22"/>
                <w:szCs w:val="22"/>
              </w:rPr>
              <w:t xml:space="preserve">    Indigenous</w:t>
            </w:r>
          </w:p>
        </w:tc>
        <w:tc>
          <w:tcPr>
            <w:tcW w:w="0" w:type="auto"/>
            <w:shd w:val="clear" w:color="auto" w:fill="auto"/>
            <w:tcMar>
              <w:top w:w="0" w:type="dxa"/>
              <w:left w:w="45" w:type="dxa"/>
              <w:bottom w:w="0" w:type="dxa"/>
              <w:right w:w="45" w:type="dxa"/>
            </w:tcMar>
            <w:vAlign w:val="bottom"/>
          </w:tcPr>
          <w:p w14:paraId="16562EE6" w14:textId="77777777" w:rsidR="002F2BB2" w:rsidRPr="00532C61" w:rsidRDefault="002F2BB2" w:rsidP="0072694B">
            <w:pPr>
              <w:jc w:val="right"/>
              <w:rPr>
                <w:sz w:val="22"/>
                <w:szCs w:val="22"/>
              </w:rPr>
            </w:pPr>
            <w:r w:rsidRPr="00532C61">
              <w:rPr>
                <w:sz w:val="22"/>
                <w:szCs w:val="22"/>
              </w:rPr>
              <w:t>0.71</w:t>
            </w:r>
          </w:p>
        </w:tc>
        <w:tc>
          <w:tcPr>
            <w:tcW w:w="0" w:type="auto"/>
            <w:shd w:val="clear" w:color="auto" w:fill="auto"/>
            <w:tcMar>
              <w:top w:w="0" w:type="dxa"/>
              <w:left w:w="45" w:type="dxa"/>
              <w:bottom w:w="0" w:type="dxa"/>
              <w:right w:w="45" w:type="dxa"/>
            </w:tcMar>
            <w:vAlign w:val="bottom"/>
          </w:tcPr>
          <w:p w14:paraId="0351E408" w14:textId="77777777" w:rsidR="002F2BB2" w:rsidRPr="00532C61" w:rsidRDefault="002F2BB2" w:rsidP="0072694B">
            <w:pPr>
              <w:jc w:val="right"/>
              <w:rPr>
                <w:sz w:val="22"/>
                <w:szCs w:val="22"/>
              </w:rPr>
            </w:pPr>
            <w:r w:rsidRPr="00532C61">
              <w:rPr>
                <w:sz w:val="22"/>
                <w:szCs w:val="22"/>
              </w:rPr>
              <w:t>0.25</w:t>
            </w:r>
          </w:p>
        </w:tc>
        <w:tc>
          <w:tcPr>
            <w:tcW w:w="0" w:type="auto"/>
            <w:shd w:val="clear" w:color="auto" w:fill="auto"/>
            <w:tcMar>
              <w:top w:w="0" w:type="dxa"/>
              <w:left w:w="45" w:type="dxa"/>
              <w:bottom w:w="0" w:type="dxa"/>
              <w:right w:w="45" w:type="dxa"/>
            </w:tcMar>
            <w:vAlign w:val="bottom"/>
          </w:tcPr>
          <w:p w14:paraId="77A5BC67" w14:textId="77777777" w:rsidR="002F2BB2" w:rsidRPr="00532C61" w:rsidRDefault="002F2BB2" w:rsidP="0072694B">
            <w:pPr>
              <w:jc w:val="right"/>
              <w:rPr>
                <w:sz w:val="22"/>
                <w:szCs w:val="22"/>
              </w:rPr>
            </w:pPr>
            <w:r w:rsidRPr="00532C61">
              <w:rPr>
                <w:sz w:val="22"/>
                <w:szCs w:val="22"/>
              </w:rPr>
              <w:t>1.97</w:t>
            </w:r>
          </w:p>
        </w:tc>
        <w:tc>
          <w:tcPr>
            <w:tcW w:w="0" w:type="auto"/>
            <w:shd w:val="clear" w:color="auto" w:fill="auto"/>
            <w:tcMar>
              <w:top w:w="0" w:type="dxa"/>
              <w:left w:w="45" w:type="dxa"/>
              <w:bottom w:w="0" w:type="dxa"/>
              <w:right w:w="45" w:type="dxa"/>
            </w:tcMar>
            <w:vAlign w:val="bottom"/>
          </w:tcPr>
          <w:p w14:paraId="2C39AFC9" w14:textId="77777777" w:rsidR="002F2BB2" w:rsidRPr="00532C61" w:rsidRDefault="002F2BB2" w:rsidP="0072694B">
            <w:pPr>
              <w:jc w:val="right"/>
              <w:rPr>
                <w:bCs/>
                <w:sz w:val="22"/>
                <w:szCs w:val="22"/>
              </w:rPr>
            </w:pPr>
            <w:r w:rsidRPr="00532C61">
              <w:rPr>
                <w:bCs/>
                <w:sz w:val="22"/>
                <w:szCs w:val="22"/>
              </w:rPr>
              <w:t>0.504</w:t>
            </w:r>
          </w:p>
        </w:tc>
      </w:tr>
      <w:tr w:rsidR="002F2BB2" w:rsidRPr="00532C61" w14:paraId="584B37E3" w14:textId="77777777" w:rsidTr="0072694B">
        <w:trPr>
          <w:trHeight w:val="300"/>
        </w:trPr>
        <w:tc>
          <w:tcPr>
            <w:tcW w:w="0" w:type="auto"/>
            <w:shd w:val="clear" w:color="auto" w:fill="auto"/>
            <w:tcMar>
              <w:top w:w="0" w:type="dxa"/>
              <w:left w:w="45" w:type="dxa"/>
              <w:bottom w:w="0" w:type="dxa"/>
              <w:right w:w="45" w:type="dxa"/>
            </w:tcMar>
            <w:vAlign w:val="bottom"/>
          </w:tcPr>
          <w:p w14:paraId="394B5D49" w14:textId="77777777" w:rsidR="002F2BB2" w:rsidRPr="00532C61" w:rsidRDefault="002F2BB2" w:rsidP="0072694B">
            <w:pPr>
              <w:rPr>
                <w:b/>
                <w:bCs/>
                <w:sz w:val="22"/>
                <w:szCs w:val="22"/>
                <w:u w:val="single"/>
              </w:rPr>
            </w:pPr>
            <w:r w:rsidRPr="00532C61">
              <w:rPr>
                <w:b/>
                <w:bCs/>
                <w:sz w:val="22"/>
                <w:szCs w:val="22"/>
              </w:rPr>
              <w:t>Born in Canada (Ref: No)</w:t>
            </w:r>
          </w:p>
        </w:tc>
        <w:tc>
          <w:tcPr>
            <w:tcW w:w="0" w:type="auto"/>
            <w:shd w:val="clear" w:color="auto" w:fill="auto"/>
            <w:tcMar>
              <w:top w:w="0" w:type="dxa"/>
              <w:left w:w="45" w:type="dxa"/>
              <w:bottom w:w="0" w:type="dxa"/>
              <w:right w:w="45" w:type="dxa"/>
            </w:tcMar>
            <w:vAlign w:val="bottom"/>
          </w:tcPr>
          <w:p w14:paraId="1B469A1B" w14:textId="77777777" w:rsidR="002F2BB2" w:rsidRPr="00532C61" w:rsidRDefault="002F2BB2" w:rsidP="0072694B">
            <w:pPr>
              <w:jc w:val="right"/>
              <w:rPr>
                <w:sz w:val="22"/>
                <w:szCs w:val="22"/>
              </w:rPr>
            </w:pPr>
            <w:r w:rsidRPr="00532C61">
              <w:rPr>
                <w:b/>
                <w:sz w:val="22"/>
                <w:szCs w:val="22"/>
              </w:rPr>
              <w:t>0.45</w:t>
            </w:r>
          </w:p>
        </w:tc>
        <w:tc>
          <w:tcPr>
            <w:tcW w:w="0" w:type="auto"/>
            <w:shd w:val="clear" w:color="auto" w:fill="auto"/>
            <w:tcMar>
              <w:top w:w="0" w:type="dxa"/>
              <w:left w:w="45" w:type="dxa"/>
              <w:bottom w:w="0" w:type="dxa"/>
              <w:right w:w="45" w:type="dxa"/>
            </w:tcMar>
            <w:vAlign w:val="bottom"/>
          </w:tcPr>
          <w:p w14:paraId="7E92B673" w14:textId="77777777" w:rsidR="002F2BB2" w:rsidRPr="00532C61" w:rsidRDefault="002F2BB2" w:rsidP="0072694B">
            <w:pPr>
              <w:jc w:val="right"/>
              <w:rPr>
                <w:sz w:val="22"/>
                <w:szCs w:val="22"/>
              </w:rPr>
            </w:pPr>
            <w:r w:rsidRPr="00532C61">
              <w:rPr>
                <w:b/>
                <w:sz w:val="22"/>
                <w:szCs w:val="22"/>
              </w:rPr>
              <w:t>0.22</w:t>
            </w:r>
          </w:p>
        </w:tc>
        <w:tc>
          <w:tcPr>
            <w:tcW w:w="0" w:type="auto"/>
            <w:shd w:val="clear" w:color="auto" w:fill="auto"/>
            <w:tcMar>
              <w:top w:w="0" w:type="dxa"/>
              <w:left w:w="45" w:type="dxa"/>
              <w:bottom w:w="0" w:type="dxa"/>
              <w:right w:w="45" w:type="dxa"/>
            </w:tcMar>
            <w:vAlign w:val="bottom"/>
          </w:tcPr>
          <w:p w14:paraId="5D6E6644" w14:textId="77777777" w:rsidR="002F2BB2" w:rsidRPr="00532C61" w:rsidRDefault="002F2BB2" w:rsidP="0072694B">
            <w:pPr>
              <w:jc w:val="right"/>
              <w:rPr>
                <w:sz w:val="22"/>
                <w:szCs w:val="22"/>
              </w:rPr>
            </w:pPr>
            <w:r w:rsidRPr="00532C61">
              <w:rPr>
                <w:b/>
                <w:sz w:val="22"/>
                <w:szCs w:val="22"/>
              </w:rPr>
              <w:t>0.91</w:t>
            </w:r>
          </w:p>
        </w:tc>
        <w:tc>
          <w:tcPr>
            <w:tcW w:w="0" w:type="auto"/>
            <w:shd w:val="clear" w:color="auto" w:fill="auto"/>
            <w:tcMar>
              <w:top w:w="0" w:type="dxa"/>
              <w:left w:w="45" w:type="dxa"/>
              <w:bottom w:w="0" w:type="dxa"/>
              <w:right w:w="45" w:type="dxa"/>
            </w:tcMar>
            <w:vAlign w:val="bottom"/>
          </w:tcPr>
          <w:p w14:paraId="6F562EB8" w14:textId="77777777" w:rsidR="002F2BB2" w:rsidRPr="00532C61" w:rsidRDefault="002F2BB2" w:rsidP="0072694B">
            <w:pPr>
              <w:jc w:val="right"/>
              <w:rPr>
                <w:bCs/>
                <w:sz w:val="22"/>
                <w:szCs w:val="22"/>
              </w:rPr>
            </w:pPr>
            <w:r w:rsidRPr="00532C61">
              <w:rPr>
                <w:b/>
                <w:bCs/>
                <w:sz w:val="22"/>
                <w:szCs w:val="22"/>
              </w:rPr>
              <w:t>0.026</w:t>
            </w:r>
          </w:p>
        </w:tc>
      </w:tr>
      <w:tr w:rsidR="002F2BB2" w:rsidRPr="00532C61" w14:paraId="70FF8CDB" w14:textId="77777777" w:rsidTr="0072694B">
        <w:trPr>
          <w:trHeight w:val="300"/>
        </w:trPr>
        <w:tc>
          <w:tcPr>
            <w:tcW w:w="0" w:type="auto"/>
            <w:shd w:val="clear" w:color="auto" w:fill="auto"/>
            <w:tcMar>
              <w:top w:w="0" w:type="dxa"/>
              <w:left w:w="45" w:type="dxa"/>
              <w:bottom w:w="0" w:type="dxa"/>
              <w:right w:w="45" w:type="dxa"/>
            </w:tcMar>
            <w:vAlign w:val="center"/>
          </w:tcPr>
          <w:p w14:paraId="58ABE0CC" w14:textId="77777777" w:rsidR="002F2BB2" w:rsidRPr="00532C61" w:rsidRDefault="002F2BB2" w:rsidP="0072694B">
            <w:pPr>
              <w:rPr>
                <w:sz w:val="22"/>
                <w:szCs w:val="22"/>
              </w:rPr>
            </w:pPr>
            <w:r w:rsidRPr="00532C61">
              <w:rPr>
                <w:b/>
                <w:sz w:val="22"/>
                <w:szCs w:val="22"/>
              </w:rPr>
              <w:t>Self-Perceived Current Health</w:t>
            </w:r>
          </w:p>
        </w:tc>
        <w:tc>
          <w:tcPr>
            <w:tcW w:w="0" w:type="auto"/>
            <w:shd w:val="clear" w:color="auto" w:fill="auto"/>
            <w:tcMar>
              <w:top w:w="0" w:type="dxa"/>
              <w:left w:w="45" w:type="dxa"/>
              <w:bottom w:w="0" w:type="dxa"/>
              <w:right w:w="45" w:type="dxa"/>
            </w:tcMar>
            <w:vAlign w:val="bottom"/>
          </w:tcPr>
          <w:p w14:paraId="54DBCA13"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0EE41E30"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6066BE66"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60A33A47" w14:textId="77777777" w:rsidR="002F2BB2" w:rsidRPr="00532C61" w:rsidRDefault="002F2BB2" w:rsidP="0072694B">
            <w:pPr>
              <w:jc w:val="right"/>
              <w:rPr>
                <w:bCs/>
                <w:sz w:val="22"/>
                <w:szCs w:val="22"/>
              </w:rPr>
            </w:pPr>
          </w:p>
        </w:tc>
      </w:tr>
      <w:tr w:rsidR="002F2BB2" w:rsidRPr="00532C61" w14:paraId="4D46C0B8" w14:textId="77777777" w:rsidTr="0072694B">
        <w:trPr>
          <w:trHeight w:val="300"/>
        </w:trPr>
        <w:tc>
          <w:tcPr>
            <w:tcW w:w="0" w:type="auto"/>
            <w:shd w:val="clear" w:color="auto" w:fill="auto"/>
            <w:tcMar>
              <w:top w:w="0" w:type="dxa"/>
              <w:left w:w="45" w:type="dxa"/>
              <w:bottom w:w="0" w:type="dxa"/>
              <w:right w:w="45" w:type="dxa"/>
            </w:tcMar>
            <w:vAlign w:val="bottom"/>
          </w:tcPr>
          <w:p w14:paraId="16CBB050" w14:textId="77777777" w:rsidR="002F2BB2" w:rsidRPr="00532C61" w:rsidRDefault="002F2BB2" w:rsidP="0072694B">
            <w:pPr>
              <w:rPr>
                <w:sz w:val="22"/>
                <w:szCs w:val="22"/>
              </w:rPr>
            </w:pPr>
            <w:r w:rsidRPr="00532C61">
              <w:rPr>
                <w:sz w:val="22"/>
                <w:szCs w:val="22"/>
              </w:rPr>
              <w:t xml:space="preserve">    Excellent/Very good</w:t>
            </w:r>
          </w:p>
        </w:tc>
        <w:tc>
          <w:tcPr>
            <w:tcW w:w="0" w:type="auto"/>
            <w:shd w:val="clear" w:color="auto" w:fill="auto"/>
            <w:tcMar>
              <w:top w:w="0" w:type="dxa"/>
              <w:left w:w="45" w:type="dxa"/>
              <w:bottom w:w="0" w:type="dxa"/>
              <w:right w:w="45" w:type="dxa"/>
            </w:tcMar>
            <w:vAlign w:val="bottom"/>
          </w:tcPr>
          <w:p w14:paraId="1F379F31"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tcPr>
          <w:p w14:paraId="33E2E222"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220A0932"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760F8AA5" w14:textId="77777777" w:rsidR="002F2BB2" w:rsidRPr="00532C61" w:rsidRDefault="002F2BB2" w:rsidP="0072694B">
            <w:pPr>
              <w:jc w:val="right"/>
              <w:rPr>
                <w:bCs/>
                <w:sz w:val="22"/>
                <w:szCs w:val="22"/>
              </w:rPr>
            </w:pPr>
          </w:p>
        </w:tc>
      </w:tr>
      <w:tr w:rsidR="002F2BB2" w:rsidRPr="00532C61" w14:paraId="7691223B" w14:textId="77777777" w:rsidTr="0072694B">
        <w:trPr>
          <w:trHeight w:val="300"/>
        </w:trPr>
        <w:tc>
          <w:tcPr>
            <w:tcW w:w="0" w:type="auto"/>
            <w:shd w:val="clear" w:color="auto" w:fill="auto"/>
            <w:tcMar>
              <w:top w:w="0" w:type="dxa"/>
              <w:left w:w="45" w:type="dxa"/>
              <w:bottom w:w="0" w:type="dxa"/>
              <w:right w:w="45" w:type="dxa"/>
            </w:tcMar>
            <w:vAlign w:val="bottom"/>
          </w:tcPr>
          <w:p w14:paraId="2E5C3886" w14:textId="77777777" w:rsidR="002F2BB2" w:rsidRPr="00532C61" w:rsidRDefault="002F2BB2" w:rsidP="0072694B">
            <w:pPr>
              <w:rPr>
                <w:sz w:val="22"/>
                <w:szCs w:val="22"/>
              </w:rPr>
            </w:pPr>
            <w:r w:rsidRPr="00532C61">
              <w:rPr>
                <w:sz w:val="22"/>
                <w:szCs w:val="22"/>
              </w:rPr>
              <w:t xml:space="preserve">    Good/Fair/Poor</w:t>
            </w:r>
          </w:p>
        </w:tc>
        <w:tc>
          <w:tcPr>
            <w:tcW w:w="0" w:type="auto"/>
            <w:shd w:val="clear" w:color="auto" w:fill="auto"/>
            <w:tcMar>
              <w:top w:w="0" w:type="dxa"/>
              <w:left w:w="45" w:type="dxa"/>
              <w:bottom w:w="0" w:type="dxa"/>
              <w:right w:w="45" w:type="dxa"/>
            </w:tcMar>
            <w:vAlign w:val="bottom"/>
          </w:tcPr>
          <w:p w14:paraId="22F132D1" w14:textId="77777777" w:rsidR="002F2BB2" w:rsidRPr="00532C61" w:rsidRDefault="002F2BB2" w:rsidP="0072694B">
            <w:pPr>
              <w:jc w:val="right"/>
              <w:rPr>
                <w:b/>
                <w:sz w:val="22"/>
                <w:szCs w:val="22"/>
              </w:rPr>
            </w:pPr>
            <w:r w:rsidRPr="00532C61">
              <w:rPr>
                <w:b/>
                <w:sz w:val="22"/>
                <w:szCs w:val="22"/>
              </w:rPr>
              <w:t>0.47</w:t>
            </w:r>
          </w:p>
        </w:tc>
        <w:tc>
          <w:tcPr>
            <w:tcW w:w="0" w:type="auto"/>
            <w:shd w:val="clear" w:color="auto" w:fill="auto"/>
            <w:tcMar>
              <w:top w:w="0" w:type="dxa"/>
              <w:left w:w="45" w:type="dxa"/>
              <w:bottom w:w="0" w:type="dxa"/>
              <w:right w:w="45" w:type="dxa"/>
            </w:tcMar>
            <w:vAlign w:val="bottom"/>
          </w:tcPr>
          <w:p w14:paraId="1A373001" w14:textId="77777777" w:rsidR="002F2BB2" w:rsidRPr="00532C61" w:rsidRDefault="002F2BB2" w:rsidP="0072694B">
            <w:pPr>
              <w:jc w:val="right"/>
              <w:rPr>
                <w:b/>
                <w:sz w:val="22"/>
                <w:szCs w:val="22"/>
              </w:rPr>
            </w:pPr>
            <w:r w:rsidRPr="00532C61">
              <w:rPr>
                <w:b/>
                <w:sz w:val="22"/>
                <w:szCs w:val="22"/>
              </w:rPr>
              <w:t>0.28</w:t>
            </w:r>
          </w:p>
        </w:tc>
        <w:tc>
          <w:tcPr>
            <w:tcW w:w="0" w:type="auto"/>
            <w:shd w:val="clear" w:color="auto" w:fill="auto"/>
            <w:tcMar>
              <w:top w:w="0" w:type="dxa"/>
              <w:left w:w="45" w:type="dxa"/>
              <w:bottom w:w="0" w:type="dxa"/>
              <w:right w:w="45" w:type="dxa"/>
            </w:tcMar>
            <w:vAlign w:val="bottom"/>
          </w:tcPr>
          <w:p w14:paraId="5239530E" w14:textId="77777777" w:rsidR="002F2BB2" w:rsidRPr="00532C61" w:rsidRDefault="002F2BB2" w:rsidP="0072694B">
            <w:pPr>
              <w:jc w:val="right"/>
              <w:rPr>
                <w:b/>
                <w:sz w:val="22"/>
                <w:szCs w:val="22"/>
              </w:rPr>
            </w:pPr>
            <w:r w:rsidRPr="00532C61">
              <w:rPr>
                <w:b/>
                <w:sz w:val="22"/>
                <w:szCs w:val="22"/>
              </w:rPr>
              <w:t>0.82</w:t>
            </w:r>
          </w:p>
        </w:tc>
        <w:tc>
          <w:tcPr>
            <w:tcW w:w="0" w:type="auto"/>
            <w:shd w:val="clear" w:color="auto" w:fill="auto"/>
            <w:tcMar>
              <w:top w:w="0" w:type="dxa"/>
              <w:left w:w="45" w:type="dxa"/>
              <w:bottom w:w="0" w:type="dxa"/>
              <w:right w:w="45" w:type="dxa"/>
            </w:tcMar>
            <w:vAlign w:val="bottom"/>
          </w:tcPr>
          <w:p w14:paraId="7C341EDE" w14:textId="77777777" w:rsidR="002F2BB2" w:rsidRPr="00532C61" w:rsidRDefault="002F2BB2" w:rsidP="0072694B">
            <w:pPr>
              <w:jc w:val="right"/>
              <w:rPr>
                <w:b/>
                <w:bCs/>
                <w:sz w:val="22"/>
                <w:szCs w:val="22"/>
              </w:rPr>
            </w:pPr>
            <w:r w:rsidRPr="00532C61">
              <w:rPr>
                <w:b/>
                <w:bCs/>
                <w:sz w:val="22"/>
                <w:szCs w:val="22"/>
              </w:rPr>
              <w:t>0.007</w:t>
            </w:r>
          </w:p>
        </w:tc>
      </w:tr>
      <w:tr w:rsidR="002F2BB2" w:rsidRPr="00532C61" w14:paraId="6A61DD24" w14:textId="77777777" w:rsidTr="0072694B">
        <w:trPr>
          <w:trHeight w:val="300"/>
        </w:trPr>
        <w:tc>
          <w:tcPr>
            <w:tcW w:w="0" w:type="auto"/>
            <w:tcMar>
              <w:top w:w="0" w:type="dxa"/>
              <w:left w:w="45" w:type="dxa"/>
              <w:bottom w:w="0" w:type="dxa"/>
              <w:right w:w="45" w:type="dxa"/>
            </w:tcMar>
            <w:vAlign w:val="center"/>
          </w:tcPr>
          <w:p w14:paraId="38DB2DBE" w14:textId="77777777" w:rsidR="002F2BB2" w:rsidRPr="00B34C2C" w:rsidRDefault="002F2BB2" w:rsidP="0072694B">
            <w:pPr>
              <w:rPr>
                <w:b/>
                <w:bCs/>
                <w:i/>
                <w:iCs/>
                <w:sz w:val="22"/>
                <w:szCs w:val="22"/>
                <w:u w:val="single"/>
              </w:rPr>
            </w:pPr>
            <w:r w:rsidRPr="00B34C2C">
              <w:rPr>
                <w:b/>
                <w:bCs/>
                <w:i/>
                <w:iCs/>
                <w:sz w:val="22"/>
                <w:szCs w:val="22"/>
                <w:u w:val="single"/>
              </w:rPr>
              <w:t>Anxiety and Depression</w:t>
            </w:r>
          </w:p>
        </w:tc>
        <w:tc>
          <w:tcPr>
            <w:tcW w:w="0" w:type="auto"/>
            <w:shd w:val="clear" w:color="auto" w:fill="auto"/>
            <w:tcMar>
              <w:top w:w="0" w:type="dxa"/>
              <w:left w:w="45" w:type="dxa"/>
              <w:bottom w:w="0" w:type="dxa"/>
              <w:right w:w="45" w:type="dxa"/>
            </w:tcMar>
            <w:vAlign w:val="bottom"/>
          </w:tcPr>
          <w:p w14:paraId="4B7692B0"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1EE63A6A"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015BAB22"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34C0FACA" w14:textId="77777777" w:rsidR="002F2BB2" w:rsidRPr="00532C61" w:rsidRDefault="002F2BB2" w:rsidP="0072694B">
            <w:pPr>
              <w:jc w:val="right"/>
              <w:rPr>
                <w:b/>
                <w:bCs/>
                <w:sz w:val="22"/>
                <w:szCs w:val="22"/>
              </w:rPr>
            </w:pPr>
          </w:p>
        </w:tc>
      </w:tr>
      <w:tr w:rsidR="002F2BB2" w:rsidRPr="00532C61" w14:paraId="6E466FDE" w14:textId="77777777" w:rsidTr="0072694B">
        <w:trPr>
          <w:trHeight w:val="300"/>
        </w:trPr>
        <w:tc>
          <w:tcPr>
            <w:tcW w:w="0" w:type="auto"/>
            <w:tcMar>
              <w:top w:w="0" w:type="dxa"/>
              <w:left w:w="45" w:type="dxa"/>
              <w:bottom w:w="0" w:type="dxa"/>
              <w:right w:w="45" w:type="dxa"/>
            </w:tcMar>
            <w:vAlign w:val="center"/>
          </w:tcPr>
          <w:p w14:paraId="476D978A" w14:textId="77777777" w:rsidR="002F2BB2" w:rsidRPr="00532C61" w:rsidRDefault="002F2BB2" w:rsidP="0072694B">
            <w:pPr>
              <w:rPr>
                <w:b/>
                <w:bCs/>
                <w:sz w:val="22"/>
                <w:szCs w:val="22"/>
              </w:rPr>
            </w:pPr>
            <w:r w:rsidRPr="00532C61">
              <w:rPr>
                <w:b/>
                <w:bCs/>
                <w:sz w:val="22"/>
                <w:szCs w:val="22"/>
              </w:rPr>
              <w:t>HADS Anxiety Sub-Scale</w:t>
            </w:r>
          </w:p>
        </w:tc>
        <w:tc>
          <w:tcPr>
            <w:tcW w:w="0" w:type="auto"/>
            <w:shd w:val="clear" w:color="auto" w:fill="auto"/>
            <w:tcMar>
              <w:top w:w="0" w:type="dxa"/>
              <w:left w:w="45" w:type="dxa"/>
              <w:bottom w:w="0" w:type="dxa"/>
              <w:right w:w="45" w:type="dxa"/>
            </w:tcMar>
            <w:vAlign w:val="bottom"/>
          </w:tcPr>
          <w:p w14:paraId="525B690A"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17D991A8"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10B59886"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21A912E4" w14:textId="77777777" w:rsidR="002F2BB2" w:rsidRPr="00532C61" w:rsidRDefault="002F2BB2" w:rsidP="0072694B">
            <w:pPr>
              <w:jc w:val="right"/>
              <w:rPr>
                <w:b/>
                <w:bCs/>
                <w:sz w:val="22"/>
                <w:szCs w:val="22"/>
              </w:rPr>
            </w:pPr>
          </w:p>
        </w:tc>
      </w:tr>
      <w:tr w:rsidR="002F2BB2" w:rsidRPr="00532C61" w14:paraId="13CC1EB5" w14:textId="77777777" w:rsidTr="0072694B">
        <w:trPr>
          <w:trHeight w:val="300"/>
        </w:trPr>
        <w:tc>
          <w:tcPr>
            <w:tcW w:w="0" w:type="auto"/>
            <w:tcMar>
              <w:top w:w="0" w:type="dxa"/>
              <w:left w:w="45" w:type="dxa"/>
              <w:bottom w:w="0" w:type="dxa"/>
              <w:right w:w="45" w:type="dxa"/>
            </w:tcMar>
            <w:vAlign w:val="bottom"/>
          </w:tcPr>
          <w:p w14:paraId="1F3E9CF3" w14:textId="77777777" w:rsidR="002F2BB2" w:rsidRPr="00532C61" w:rsidRDefault="002F2BB2" w:rsidP="0072694B">
            <w:pPr>
              <w:rPr>
                <w:b/>
                <w:bCs/>
                <w:sz w:val="22"/>
                <w:szCs w:val="22"/>
              </w:rPr>
            </w:pPr>
            <w:r w:rsidRPr="00532C61">
              <w:rPr>
                <w:sz w:val="22"/>
                <w:szCs w:val="22"/>
              </w:rPr>
              <w:t xml:space="preserve">    &lt;11</w:t>
            </w:r>
          </w:p>
        </w:tc>
        <w:tc>
          <w:tcPr>
            <w:tcW w:w="0" w:type="auto"/>
            <w:shd w:val="clear" w:color="auto" w:fill="auto"/>
            <w:tcMar>
              <w:top w:w="0" w:type="dxa"/>
              <w:left w:w="45" w:type="dxa"/>
              <w:bottom w:w="0" w:type="dxa"/>
              <w:right w:w="45" w:type="dxa"/>
            </w:tcMar>
            <w:vAlign w:val="bottom"/>
          </w:tcPr>
          <w:p w14:paraId="4017CF26" w14:textId="77777777" w:rsidR="002F2BB2" w:rsidRPr="00532C61" w:rsidRDefault="002F2BB2" w:rsidP="0072694B">
            <w:pPr>
              <w:jc w:val="right"/>
              <w:rPr>
                <w:b/>
                <w:sz w:val="22"/>
                <w:szCs w:val="22"/>
              </w:rPr>
            </w:pPr>
            <w:r w:rsidRPr="00532C61">
              <w:rPr>
                <w:color w:val="000000"/>
                <w:sz w:val="22"/>
                <w:szCs w:val="22"/>
              </w:rPr>
              <w:t>Ref</w:t>
            </w:r>
          </w:p>
        </w:tc>
        <w:tc>
          <w:tcPr>
            <w:tcW w:w="0" w:type="auto"/>
            <w:shd w:val="clear" w:color="auto" w:fill="auto"/>
            <w:tcMar>
              <w:top w:w="0" w:type="dxa"/>
              <w:left w:w="45" w:type="dxa"/>
              <w:bottom w:w="0" w:type="dxa"/>
              <w:right w:w="45" w:type="dxa"/>
            </w:tcMar>
            <w:vAlign w:val="bottom"/>
          </w:tcPr>
          <w:p w14:paraId="6C72B979"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08423A8A"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6FCC830B" w14:textId="77777777" w:rsidR="002F2BB2" w:rsidRPr="00532C61" w:rsidRDefault="002F2BB2" w:rsidP="0072694B">
            <w:pPr>
              <w:jc w:val="right"/>
              <w:rPr>
                <w:b/>
                <w:bCs/>
                <w:sz w:val="22"/>
                <w:szCs w:val="22"/>
              </w:rPr>
            </w:pPr>
          </w:p>
        </w:tc>
      </w:tr>
      <w:tr w:rsidR="002F2BB2" w:rsidRPr="00532C61" w14:paraId="4FB7BF93" w14:textId="77777777" w:rsidTr="0072694B">
        <w:trPr>
          <w:trHeight w:val="300"/>
        </w:trPr>
        <w:tc>
          <w:tcPr>
            <w:tcW w:w="0" w:type="auto"/>
            <w:tcMar>
              <w:top w:w="0" w:type="dxa"/>
              <w:left w:w="45" w:type="dxa"/>
              <w:bottom w:w="0" w:type="dxa"/>
              <w:right w:w="45" w:type="dxa"/>
            </w:tcMar>
            <w:vAlign w:val="bottom"/>
          </w:tcPr>
          <w:p w14:paraId="18C2B3D6" w14:textId="77777777" w:rsidR="002F2BB2" w:rsidRPr="00532C61" w:rsidRDefault="002F2BB2" w:rsidP="0072694B">
            <w:pPr>
              <w:rPr>
                <w:b/>
                <w:bCs/>
                <w:sz w:val="22"/>
                <w:szCs w:val="22"/>
              </w:rPr>
            </w:pPr>
            <w:r w:rsidRPr="00532C61">
              <w:rPr>
                <w:sz w:val="22"/>
                <w:szCs w:val="22"/>
              </w:rPr>
              <w:t xml:space="preserve">    11+</w:t>
            </w:r>
          </w:p>
        </w:tc>
        <w:tc>
          <w:tcPr>
            <w:tcW w:w="0" w:type="auto"/>
            <w:shd w:val="clear" w:color="auto" w:fill="auto"/>
            <w:tcMar>
              <w:top w:w="0" w:type="dxa"/>
              <w:left w:w="45" w:type="dxa"/>
              <w:bottom w:w="0" w:type="dxa"/>
              <w:right w:w="45" w:type="dxa"/>
            </w:tcMar>
            <w:vAlign w:val="bottom"/>
          </w:tcPr>
          <w:p w14:paraId="0079E76C" w14:textId="77777777" w:rsidR="002F2BB2" w:rsidRPr="00532C61" w:rsidRDefault="002F2BB2" w:rsidP="0072694B">
            <w:pPr>
              <w:jc w:val="right"/>
              <w:rPr>
                <w:b/>
                <w:sz w:val="22"/>
                <w:szCs w:val="22"/>
              </w:rPr>
            </w:pPr>
            <w:r w:rsidRPr="00532C61">
              <w:rPr>
                <w:color w:val="000000"/>
                <w:sz w:val="22"/>
                <w:szCs w:val="22"/>
              </w:rPr>
              <w:t>0.84</w:t>
            </w:r>
          </w:p>
        </w:tc>
        <w:tc>
          <w:tcPr>
            <w:tcW w:w="0" w:type="auto"/>
            <w:shd w:val="clear" w:color="auto" w:fill="auto"/>
            <w:tcMar>
              <w:top w:w="0" w:type="dxa"/>
              <w:left w:w="45" w:type="dxa"/>
              <w:bottom w:w="0" w:type="dxa"/>
              <w:right w:w="45" w:type="dxa"/>
            </w:tcMar>
            <w:vAlign w:val="bottom"/>
          </w:tcPr>
          <w:p w14:paraId="5FAFC312" w14:textId="77777777" w:rsidR="002F2BB2" w:rsidRPr="00532C61" w:rsidRDefault="002F2BB2" w:rsidP="0072694B">
            <w:pPr>
              <w:jc w:val="right"/>
              <w:rPr>
                <w:b/>
                <w:sz w:val="22"/>
                <w:szCs w:val="22"/>
              </w:rPr>
            </w:pPr>
            <w:r w:rsidRPr="00532C61">
              <w:rPr>
                <w:color w:val="000000"/>
                <w:sz w:val="22"/>
                <w:szCs w:val="22"/>
              </w:rPr>
              <w:t>0.43</w:t>
            </w:r>
          </w:p>
        </w:tc>
        <w:tc>
          <w:tcPr>
            <w:tcW w:w="0" w:type="auto"/>
            <w:shd w:val="clear" w:color="auto" w:fill="auto"/>
            <w:tcMar>
              <w:top w:w="0" w:type="dxa"/>
              <w:left w:w="45" w:type="dxa"/>
              <w:bottom w:w="0" w:type="dxa"/>
              <w:right w:w="45" w:type="dxa"/>
            </w:tcMar>
            <w:vAlign w:val="bottom"/>
          </w:tcPr>
          <w:p w14:paraId="74DB6327" w14:textId="77777777" w:rsidR="002F2BB2" w:rsidRPr="00532C61" w:rsidRDefault="002F2BB2" w:rsidP="0072694B">
            <w:pPr>
              <w:jc w:val="right"/>
              <w:rPr>
                <w:b/>
                <w:sz w:val="22"/>
                <w:szCs w:val="22"/>
              </w:rPr>
            </w:pPr>
            <w:r w:rsidRPr="00532C61">
              <w:rPr>
                <w:color w:val="000000"/>
                <w:sz w:val="22"/>
                <w:szCs w:val="22"/>
              </w:rPr>
              <w:t>1.63</w:t>
            </w:r>
          </w:p>
        </w:tc>
        <w:tc>
          <w:tcPr>
            <w:tcW w:w="0" w:type="auto"/>
            <w:shd w:val="clear" w:color="auto" w:fill="auto"/>
            <w:tcMar>
              <w:top w:w="0" w:type="dxa"/>
              <w:left w:w="45" w:type="dxa"/>
              <w:bottom w:w="0" w:type="dxa"/>
              <w:right w:w="45" w:type="dxa"/>
            </w:tcMar>
            <w:vAlign w:val="bottom"/>
          </w:tcPr>
          <w:p w14:paraId="1F77BDC4" w14:textId="77777777" w:rsidR="002F2BB2" w:rsidRPr="00532C61" w:rsidRDefault="002F2BB2" w:rsidP="0072694B">
            <w:pPr>
              <w:jc w:val="right"/>
              <w:rPr>
                <w:b/>
                <w:bCs/>
                <w:sz w:val="22"/>
                <w:szCs w:val="22"/>
              </w:rPr>
            </w:pPr>
            <w:r w:rsidRPr="00532C61">
              <w:rPr>
                <w:color w:val="000000"/>
                <w:sz w:val="22"/>
                <w:szCs w:val="22"/>
              </w:rPr>
              <w:t>0.602</w:t>
            </w:r>
          </w:p>
        </w:tc>
      </w:tr>
      <w:tr w:rsidR="002F2BB2" w:rsidRPr="00532C61" w14:paraId="66E1A423" w14:textId="77777777" w:rsidTr="0072694B">
        <w:trPr>
          <w:trHeight w:val="300"/>
        </w:trPr>
        <w:tc>
          <w:tcPr>
            <w:tcW w:w="0" w:type="auto"/>
            <w:tcMar>
              <w:top w:w="0" w:type="dxa"/>
              <w:left w:w="45" w:type="dxa"/>
              <w:bottom w:w="0" w:type="dxa"/>
              <w:right w:w="45" w:type="dxa"/>
            </w:tcMar>
            <w:vAlign w:val="center"/>
          </w:tcPr>
          <w:p w14:paraId="573D4D28" w14:textId="77777777" w:rsidR="002F2BB2" w:rsidRPr="00532C61" w:rsidRDefault="002F2BB2" w:rsidP="0072694B">
            <w:pPr>
              <w:rPr>
                <w:b/>
                <w:bCs/>
                <w:sz w:val="22"/>
                <w:szCs w:val="22"/>
              </w:rPr>
            </w:pPr>
            <w:r w:rsidRPr="00532C61">
              <w:rPr>
                <w:b/>
                <w:bCs/>
                <w:sz w:val="22"/>
                <w:szCs w:val="22"/>
              </w:rPr>
              <w:t>HADS Depression Sub-Scale</w:t>
            </w:r>
          </w:p>
        </w:tc>
        <w:tc>
          <w:tcPr>
            <w:tcW w:w="0" w:type="auto"/>
            <w:shd w:val="clear" w:color="auto" w:fill="auto"/>
            <w:tcMar>
              <w:top w:w="0" w:type="dxa"/>
              <w:left w:w="45" w:type="dxa"/>
              <w:bottom w:w="0" w:type="dxa"/>
              <w:right w:w="45" w:type="dxa"/>
            </w:tcMar>
            <w:vAlign w:val="bottom"/>
          </w:tcPr>
          <w:p w14:paraId="65C5E0CE"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734E208A"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174348F1"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0B52144E" w14:textId="77777777" w:rsidR="002F2BB2" w:rsidRPr="00532C61" w:rsidRDefault="002F2BB2" w:rsidP="0072694B">
            <w:pPr>
              <w:jc w:val="right"/>
              <w:rPr>
                <w:b/>
                <w:bCs/>
                <w:sz w:val="22"/>
                <w:szCs w:val="22"/>
              </w:rPr>
            </w:pPr>
          </w:p>
        </w:tc>
      </w:tr>
      <w:tr w:rsidR="002F2BB2" w:rsidRPr="00532C61" w14:paraId="704CA3FD" w14:textId="77777777" w:rsidTr="0072694B">
        <w:trPr>
          <w:trHeight w:val="300"/>
        </w:trPr>
        <w:tc>
          <w:tcPr>
            <w:tcW w:w="0" w:type="auto"/>
            <w:tcMar>
              <w:top w:w="0" w:type="dxa"/>
              <w:left w:w="45" w:type="dxa"/>
              <w:bottom w:w="0" w:type="dxa"/>
              <w:right w:w="45" w:type="dxa"/>
            </w:tcMar>
            <w:vAlign w:val="bottom"/>
          </w:tcPr>
          <w:p w14:paraId="7962CE91" w14:textId="77777777" w:rsidR="002F2BB2" w:rsidRPr="00532C61" w:rsidRDefault="002F2BB2" w:rsidP="0072694B">
            <w:pPr>
              <w:rPr>
                <w:b/>
                <w:bCs/>
                <w:sz w:val="22"/>
                <w:szCs w:val="22"/>
              </w:rPr>
            </w:pPr>
            <w:r w:rsidRPr="00532C61">
              <w:rPr>
                <w:sz w:val="22"/>
                <w:szCs w:val="22"/>
              </w:rPr>
              <w:t xml:space="preserve">    &lt;11</w:t>
            </w:r>
          </w:p>
        </w:tc>
        <w:tc>
          <w:tcPr>
            <w:tcW w:w="0" w:type="auto"/>
            <w:shd w:val="clear" w:color="auto" w:fill="auto"/>
            <w:tcMar>
              <w:top w:w="0" w:type="dxa"/>
              <w:left w:w="45" w:type="dxa"/>
              <w:bottom w:w="0" w:type="dxa"/>
              <w:right w:w="45" w:type="dxa"/>
            </w:tcMar>
            <w:vAlign w:val="bottom"/>
          </w:tcPr>
          <w:p w14:paraId="5E9B9A8B" w14:textId="77777777" w:rsidR="002F2BB2" w:rsidRPr="00532C61" w:rsidRDefault="002F2BB2" w:rsidP="0072694B">
            <w:pPr>
              <w:jc w:val="right"/>
              <w:rPr>
                <w:b/>
                <w:sz w:val="22"/>
                <w:szCs w:val="22"/>
              </w:rPr>
            </w:pPr>
            <w:r w:rsidRPr="00532C61">
              <w:rPr>
                <w:color w:val="000000"/>
                <w:sz w:val="22"/>
                <w:szCs w:val="22"/>
              </w:rPr>
              <w:t>Ref</w:t>
            </w:r>
          </w:p>
        </w:tc>
        <w:tc>
          <w:tcPr>
            <w:tcW w:w="0" w:type="auto"/>
            <w:shd w:val="clear" w:color="auto" w:fill="auto"/>
            <w:tcMar>
              <w:top w:w="0" w:type="dxa"/>
              <w:left w:w="45" w:type="dxa"/>
              <w:bottom w:w="0" w:type="dxa"/>
              <w:right w:w="45" w:type="dxa"/>
            </w:tcMar>
            <w:vAlign w:val="bottom"/>
          </w:tcPr>
          <w:p w14:paraId="1284A8BB"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0649C66F"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574E4227" w14:textId="77777777" w:rsidR="002F2BB2" w:rsidRPr="00532C61" w:rsidRDefault="002F2BB2" w:rsidP="0072694B">
            <w:pPr>
              <w:jc w:val="right"/>
              <w:rPr>
                <w:b/>
                <w:bCs/>
                <w:sz w:val="22"/>
                <w:szCs w:val="22"/>
              </w:rPr>
            </w:pPr>
          </w:p>
        </w:tc>
      </w:tr>
      <w:tr w:rsidR="002F2BB2" w:rsidRPr="00532C61" w14:paraId="7912DB27" w14:textId="77777777" w:rsidTr="0072694B">
        <w:trPr>
          <w:trHeight w:val="300"/>
        </w:trPr>
        <w:tc>
          <w:tcPr>
            <w:tcW w:w="0" w:type="auto"/>
            <w:tcMar>
              <w:top w:w="0" w:type="dxa"/>
              <w:left w:w="45" w:type="dxa"/>
              <w:bottom w:w="0" w:type="dxa"/>
              <w:right w:w="45" w:type="dxa"/>
            </w:tcMar>
            <w:vAlign w:val="bottom"/>
          </w:tcPr>
          <w:p w14:paraId="473C083C" w14:textId="77777777" w:rsidR="002F2BB2" w:rsidRPr="00532C61" w:rsidRDefault="002F2BB2" w:rsidP="0072694B">
            <w:pPr>
              <w:rPr>
                <w:b/>
                <w:bCs/>
                <w:sz w:val="22"/>
                <w:szCs w:val="22"/>
              </w:rPr>
            </w:pPr>
            <w:r w:rsidRPr="00532C61">
              <w:rPr>
                <w:sz w:val="22"/>
                <w:szCs w:val="22"/>
              </w:rPr>
              <w:t xml:space="preserve">    11+</w:t>
            </w:r>
          </w:p>
        </w:tc>
        <w:tc>
          <w:tcPr>
            <w:tcW w:w="0" w:type="auto"/>
            <w:shd w:val="clear" w:color="auto" w:fill="auto"/>
            <w:tcMar>
              <w:top w:w="0" w:type="dxa"/>
              <w:left w:w="45" w:type="dxa"/>
              <w:bottom w:w="0" w:type="dxa"/>
              <w:right w:w="45" w:type="dxa"/>
            </w:tcMar>
            <w:vAlign w:val="bottom"/>
          </w:tcPr>
          <w:p w14:paraId="6514D237" w14:textId="77777777" w:rsidR="002F2BB2" w:rsidRPr="00532C61" w:rsidRDefault="002F2BB2" w:rsidP="0072694B">
            <w:pPr>
              <w:jc w:val="right"/>
              <w:rPr>
                <w:b/>
                <w:sz w:val="22"/>
                <w:szCs w:val="22"/>
              </w:rPr>
            </w:pPr>
            <w:r w:rsidRPr="00532C61">
              <w:rPr>
                <w:color w:val="000000"/>
                <w:sz w:val="22"/>
                <w:szCs w:val="22"/>
              </w:rPr>
              <w:t>0.93</w:t>
            </w:r>
          </w:p>
        </w:tc>
        <w:tc>
          <w:tcPr>
            <w:tcW w:w="0" w:type="auto"/>
            <w:shd w:val="clear" w:color="auto" w:fill="auto"/>
            <w:tcMar>
              <w:top w:w="0" w:type="dxa"/>
              <w:left w:w="45" w:type="dxa"/>
              <w:bottom w:w="0" w:type="dxa"/>
              <w:right w:w="45" w:type="dxa"/>
            </w:tcMar>
            <w:vAlign w:val="bottom"/>
          </w:tcPr>
          <w:p w14:paraId="6AD181D0" w14:textId="77777777" w:rsidR="002F2BB2" w:rsidRPr="00532C61" w:rsidRDefault="002F2BB2" w:rsidP="0072694B">
            <w:pPr>
              <w:jc w:val="right"/>
              <w:rPr>
                <w:b/>
                <w:sz w:val="22"/>
                <w:szCs w:val="22"/>
              </w:rPr>
            </w:pPr>
            <w:r w:rsidRPr="00532C61">
              <w:rPr>
                <w:color w:val="000000"/>
                <w:sz w:val="22"/>
                <w:szCs w:val="22"/>
              </w:rPr>
              <w:t>0.40</w:t>
            </w:r>
          </w:p>
        </w:tc>
        <w:tc>
          <w:tcPr>
            <w:tcW w:w="0" w:type="auto"/>
            <w:shd w:val="clear" w:color="auto" w:fill="auto"/>
            <w:tcMar>
              <w:top w:w="0" w:type="dxa"/>
              <w:left w:w="45" w:type="dxa"/>
              <w:bottom w:w="0" w:type="dxa"/>
              <w:right w:w="45" w:type="dxa"/>
            </w:tcMar>
            <w:vAlign w:val="bottom"/>
          </w:tcPr>
          <w:p w14:paraId="026DEFBE" w14:textId="77777777" w:rsidR="002F2BB2" w:rsidRPr="00532C61" w:rsidRDefault="002F2BB2" w:rsidP="0072694B">
            <w:pPr>
              <w:jc w:val="right"/>
              <w:rPr>
                <w:b/>
                <w:sz w:val="22"/>
                <w:szCs w:val="22"/>
              </w:rPr>
            </w:pPr>
            <w:r w:rsidRPr="00532C61">
              <w:rPr>
                <w:color w:val="000000"/>
                <w:sz w:val="22"/>
                <w:szCs w:val="22"/>
              </w:rPr>
              <w:t>2.15</w:t>
            </w:r>
          </w:p>
        </w:tc>
        <w:tc>
          <w:tcPr>
            <w:tcW w:w="0" w:type="auto"/>
            <w:shd w:val="clear" w:color="auto" w:fill="auto"/>
            <w:tcMar>
              <w:top w:w="0" w:type="dxa"/>
              <w:left w:w="45" w:type="dxa"/>
              <w:bottom w:w="0" w:type="dxa"/>
              <w:right w:w="45" w:type="dxa"/>
            </w:tcMar>
            <w:vAlign w:val="bottom"/>
          </w:tcPr>
          <w:p w14:paraId="4E930425" w14:textId="77777777" w:rsidR="002F2BB2" w:rsidRPr="00532C61" w:rsidRDefault="002F2BB2" w:rsidP="0072694B">
            <w:pPr>
              <w:jc w:val="right"/>
              <w:rPr>
                <w:b/>
                <w:bCs/>
                <w:sz w:val="22"/>
                <w:szCs w:val="22"/>
              </w:rPr>
            </w:pPr>
            <w:r w:rsidRPr="00532C61">
              <w:rPr>
                <w:color w:val="000000"/>
                <w:sz w:val="22"/>
                <w:szCs w:val="22"/>
              </w:rPr>
              <w:t>0.860</w:t>
            </w:r>
          </w:p>
        </w:tc>
      </w:tr>
      <w:tr w:rsidR="002F2BB2" w:rsidRPr="00532C61" w14:paraId="768A4F05" w14:textId="77777777" w:rsidTr="0072694B">
        <w:trPr>
          <w:trHeight w:val="315"/>
        </w:trPr>
        <w:tc>
          <w:tcPr>
            <w:tcW w:w="0" w:type="auto"/>
            <w:shd w:val="clear" w:color="auto" w:fill="auto"/>
            <w:tcMar>
              <w:top w:w="0" w:type="dxa"/>
              <w:left w:w="45" w:type="dxa"/>
              <w:bottom w:w="0" w:type="dxa"/>
              <w:right w:w="45" w:type="dxa"/>
            </w:tcMar>
            <w:vAlign w:val="center"/>
          </w:tcPr>
          <w:p w14:paraId="636E6499" w14:textId="77777777" w:rsidR="002F2BB2" w:rsidRPr="00532C61" w:rsidRDefault="002F2BB2" w:rsidP="0072694B">
            <w:pPr>
              <w:rPr>
                <w:b/>
                <w:i/>
                <w:sz w:val="22"/>
                <w:szCs w:val="22"/>
                <w:u w:val="single"/>
              </w:rPr>
            </w:pPr>
            <w:r w:rsidRPr="00532C61">
              <w:rPr>
                <w:b/>
                <w:bCs/>
                <w:i/>
                <w:sz w:val="22"/>
                <w:szCs w:val="22"/>
                <w:u w:val="single"/>
              </w:rPr>
              <w:t>HIV Prevention Practices and Risk Behaviours</w:t>
            </w:r>
          </w:p>
        </w:tc>
        <w:tc>
          <w:tcPr>
            <w:tcW w:w="0" w:type="auto"/>
            <w:shd w:val="clear" w:color="auto" w:fill="auto"/>
            <w:tcMar>
              <w:top w:w="0" w:type="dxa"/>
              <w:left w:w="45" w:type="dxa"/>
              <w:bottom w:w="0" w:type="dxa"/>
              <w:right w:w="45" w:type="dxa"/>
            </w:tcMar>
            <w:vAlign w:val="bottom"/>
          </w:tcPr>
          <w:p w14:paraId="1D161E1F"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748E4B3F"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11E9B4BD"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4DC76C15" w14:textId="77777777" w:rsidR="002F2BB2" w:rsidRPr="00532C61" w:rsidRDefault="002F2BB2" w:rsidP="0072694B">
            <w:pPr>
              <w:jc w:val="right"/>
              <w:rPr>
                <w:sz w:val="22"/>
                <w:szCs w:val="22"/>
              </w:rPr>
            </w:pPr>
          </w:p>
        </w:tc>
      </w:tr>
      <w:tr w:rsidR="002F2BB2" w:rsidRPr="00532C61" w14:paraId="17C516A6" w14:textId="77777777" w:rsidTr="0072694B">
        <w:trPr>
          <w:trHeight w:val="315"/>
        </w:trPr>
        <w:tc>
          <w:tcPr>
            <w:tcW w:w="0" w:type="auto"/>
            <w:shd w:val="clear" w:color="auto" w:fill="auto"/>
            <w:tcMar>
              <w:top w:w="0" w:type="dxa"/>
              <w:left w:w="45" w:type="dxa"/>
              <w:bottom w:w="0" w:type="dxa"/>
              <w:right w:w="45" w:type="dxa"/>
            </w:tcMar>
            <w:vAlign w:val="center"/>
            <w:hideMark/>
          </w:tcPr>
          <w:p w14:paraId="33067A83" w14:textId="77777777" w:rsidR="002F2BB2" w:rsidRPr="00532C61" w:rsidRDefault="002F2BB2" w:rsidP="0072694B">
            <w:pPr>
              <w:rPr>
                <w:b/>
                <w:sz w:val="22"/>
                <w:szCs w:val="22"/>
              </w:rPr>
            </w:pPr>
            <w:r w:rsidRPr="00532C61">
              <w:rPr>
                <w:b/>
                <w:sz w:val="22"/>
                <w:szCs w:val="22"/>
              </w:rPr>
              <w:t>Used Apps to Seek Sex</w:t>
            </w:r>
          </w:p>
        </w:tc>
        <w:tc>
          <w:tcPr>
            <w:tcW w:w="0" w:type="auto"/>
            <w:shd w:val="clear" w:color="auto" w:fill="auto"/>
            <w:tcMar>
              <w:top w:w="0" w:type="dxa"/>
              <w:left w:w="45" w:type="dxa"/>
              <w:bottom w:w="0" w:type="dxa"/>
              <w:right w:w="45" w:type="dxa"/>
            </w:tcMar>
            <w:vAlign w:val="bottom"/>
            <w:hideMark/>
          </w:tcPr>
          <w:p w14:paraId="1A96CBA2"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260EC9BD"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205E20DE"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561FA9E2" w14:textId="77777777" w:rsidR="002F2BB2" w:rsidRPr="00532C61" w:rsidRDefault="002F2BB2" w:rsidP="0072694B">
            <w:pPr>
              <w:jc w:val="right"/>
              <w:rPr>
                <w:sz w:val="22"/>
                <w:szCs w:val="22"/>
              </w:rPr>
            </w:pPr>
          </w:p>
        </w:tc>
      </w:tr>
      <w:tr w:rsidR="002F2BB2" w:rsidRPr="00532C61" w14:paraId="5B48EF02" w14:textId="77777777" w:rsidTr="0072694B">
        <w:trPr>
          <w:trHeight w:val="315"/>
        </w:trPr>
        <w:tc>
          <w:tcPr>
            <w:tcW w:w="0" w:type="auto"/>
            <w:shd w:val="clear" w:color="auto" w:fill="auto"/>
            <w:tcMar>
              <w:top w:w="0" w:type="dxa"/>
              <w:left w:w="45" w:type="dxa"/>
              <w:bottom w:w="0" w:type="dxa"/>
              <w:right w:w="45" w:type="dxa"/>
            </w:tcMar>
            <w:vAlign w:val="bottom"/>
            <w:hideMark/>
          </w:tcPr>
          <w:p w14:paraId="7F02A615" w14:textId="77777777" w:rsidR="002F2BB2" w:rsidRPr="00532C61" w:rsidRDefault="002F2BB2" w:rsidP="0072694B">
            <w:pPr>
              <w:rPr>
                <w:sz w:val="22"/>
                <w:szCs w:val="22"/>
              </w:rPr>
            </w:pPr>
            <w:r w:rsidRPr="00532C61">
              <w:rPr>
                <w:sz w:val="22"/>
                <w:szCs w:val="22"/>
              </w:rPr>
              <w:t xml:space="preserve">    About once per month or less</w:t>
            </w:r>
          </w:p>
        </w:tc>
        <w:tc>
          <w:tcPr>
            <w:tcW w:w="0" w:type="auto"/>
            <w:shd w:val="clear" w:color="auto" w:fill="auto"/>
            <w:tcMar>
              <w:top w:w="0" w:type="dxa"/>
              <w:left w:w="45" w:type="dxa"/>
              <w:bottom w:w="0" w:type="dxa"/>
              <w:right w:w="45" w:type="dxa"/>
            </w:tcMar>
            <w:vAlign w:val="bottom"/>
            <w:hideMark/>
          </w:tcPr>
          <w:p w14:paraId="23AA7448"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hideMark/>
          </w:tcPr>
          <w:p w14:paraId="5D3BC359"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58C21B53"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299F31DF" w14:textId="77777777" w:rsidR="002F2BB2" w:rsidRPr="00532C61" w:rsidRDefault="002F2BB2" w:rsidP="0072694B">
            <w:pPr>
              <w:jc w:val="right"/>
              <w:rPr>
                <w:sz w:val="22"/>
                <w:szCs w:val="22"/>
              </w:rPr>
            </w:pPr>
          </w:p>
        </w:tc>
      </w:tr>
      <w:tr w:rsidR="002F2BB2" w:rsidRPr="00532C61" w14:paraId="6207DEB6" w14:textId="77777777" w:rsidTr="0072694B">
        <w:trPr>
          <w:trHeight w:val="315"/>
        </w:trPr>
        <w:tc>
          <w:tcPr>
            <w:tcW w:w="0" w:type="auto"/>
            <w:shd w:val="clear" w:color="auto" w:fill="auto"/>
            <w:tcMar>
              <w:top w:w="0" w:type="dxa"/>
              <w:left w:w="45" w:type="dxa"/>
              <w:bottom w:w="0" w:type="dxa"/>
              <w:right w:w="45" w:type="dxa"/>
            </w:tcMar>
            <w:vAlign w:val="bottom"/>
            <w:hideMark/>
          </w:tcPr>
          <w:p w14:paraId="18060602" w14:textId="77777777" w:rsidR="002F2BB2" w:rsidRPr="00532C61" w:rsidRDefault="002F2BB2" w:rsidP="0072694B">
            <w:pPr>
              <w:rPr>
                <w:sz w:val="22"/>
                <w:szCs w:val="22"/>
              </w:rPr>
            </w:pPr>
            <w:r w:rsidRPr="00532C61">
              <w:rPr>
                <w:sz w:val="22"/>
                <w:szCs w:val="22"/>
              </w:rPr>
              <w:t xml:space="preserve">    More than once per month</w:t>
            </w:r>
          </w:p>
        </w:tc>
        <w:tc>
          <w:tcPr>
            <w:tcW w:w="0" w:type="auto"/>
            <w:shd w:val="clear" w:color="auto" w:fill="auto"/>
            <w:tcMar>
              <w:top w:w="0" w:type="dxa"/>
              <w:left w:w="45" w:type="dxa"/>
              <w:bottom w:w="0" w:type="dxa"/>
              <w:right w:w="45" w:type="dxa"/>
            </w:tcMar>
            <w:vAlign w:val="bottom"/>
            <w:hideMark/>
          </w:tcPr>
          <w:p w14:paraId="3A212BE1" w14:textId="77777777" w:rsidR="002F2BB2" w:rsidRPr="00532C61" w:rsidRDefault="002F2BB2" w:rsidP="0072694B">
            <w:pPr>
              <w:jc w:val="right"/>
              <w:rPr>
                <w:b/>
                <w:sz w:val="22"/>
                <w:szCs w:val="22"/>
              </w:rPr>
            </w:pPr>
            <w:r w:rsidRPr="00532C61">
              <w:rPr>
                <w:b/>
                <w:sz w:val="22"/>
                <w:szCs w:val="22"/>
              </w:rPr>
              <w:t>0.42</w:t>
            </w:r>
          </w:p>
        </w:tc>
        <w:tc>
          <w:tcPr>
            <w:tcW w:w="0" w:type="auto"/>
            <w:shd w:val="clear" w:color="auto" w:fill="auto"/>
            <w:tcMar>
              <w:top w:w="0" w:type="dxa"/>
              <w:left w:w="45" w:type="dxa"/>
              <w:bottom w:w="0" w:type="dxa"/>
              <w:right w:w="45" w:type="dxa"/>
            </w:tcMar>
            <w:vAlign w:val="bottom"/>
            <w:hideMark/>
          </w:tcPr>
          <w:p w14:paraId="259D3693" w14:textId="77777777" w:rsidR="002F2BB2" w:rsidRPr="00532C61" w:rsidRDefault="002F2BB2" w:rsidP="0072694B">
            <w:pPr>
              <w:jc w:val="right"/>
              <w:rPr>
                <w:b/>
                <w:sz w:val="22"/>
                <w:szCs w:val="22"/>
              </w:rPr>
            </w:pPr>
            <w:r w:rsidRPr="00532C61">
              <w:rPr>
                <w:b/>
                <w:sz w:val="22"/>
                <w:szCs w:val="22"/>
              </w:rPr>
              <w:t>0.19</w:t>
            </w:r>
          </w:p>
        </w:tc>
        <w:tc>
          <w:tcPr>
            <w:tcW w:w="0" w:type="auto"/>
            <w:shd w:val="clear" w:color="auto" w:fill="auto"/>
            <w:tcMar>
              <w:top w:w="0" w:type="dxa"/>
              <w:left w:w="45" w:type="dxa"/>
              <w:bottom w:w="0" w:type="dxa"/>
              <w:right w:w="45" w:type="dxa"/>
            </w:tcMar>
            <w:vAlign w:val="bottom"/>
            <w:hideMark/>
          </w:tcPr>
          <w:p w14:paraId="1B436518" w14:textId="77777777" w:rsidR="002F2BB2" w:rsidRPr="00532C61" w:rsidRDefault="002F2BB2" w:rsidP="0072694B">
            <w:pPr>
              <w:jc w:val="right"/>
              <w:rPr>
                <w:b/>
                <w:sz w:val="22"/>
                <w:szCs w:val="22"/>
              </w:rPr>
            </w:pPr>
            <w:r w:rsidRPr="00532C61">
              <w:rPr>
                <w:b/>
                <w:sz w:val="22"/>
                <w:szCs w:val="22"/>
              </w:rPr>
              <w:t>0.92</w:t>
            </w:r>
          </w:p>
        </w:tc>
        <w:tc>
          <w:tcPr>
            <w:tcW w:w="0" w:type="auto"/>
            <w:shd w:val="clear" w:color="auto" w:fill="auto"/>
            <w:tcMar>
              <w:top w:w="0" w:type="dxa"/>
              <w:left w:w="45" w:type="dxa"/>
              <w:bottom w:w="0" w:type="dxa"/>
              <w:right w:w="45" w:type="dxa"/>
            </w:tcMar>
            <w:vAlign w:val="bottom"/>
            <w:hideMark/>
          </w:tcPr>
          <w:p w14:paraId="038A0C56" w14:textId="77777777" w:rsidR="002F2BB2" w:rsidRPr="00532C61" w:rsidRDefault="002F2BB2" w:rsidP="0072694B">
            <w:pPr>
              <w:jc w:val="right"/>
              <w:rPr>
                <w:b/>
                <w:bCs/>
                <w:sz w:val="22"/>
                <w:szCs w:val="22"/>
              </w:rPr>
            </w:pPr>
            <w:r w:rsidRPr="00532C61">
              <w:rPr>
                <w:b/>
                <w:bCs/>
                <w:sz w:val="22"/>
                <w:szCs w:val="22"/>
              </w:rPr>
              <w:t>0.031</w:t>
            </w:r>
          </w:p>
        </w:tc>
      </w:tr>
      <w:tr w:rsidR="002F2BB2" w:rsidRPr="00532C61" w14:paraId="0EC2D2FA" w14:textId="77777777" w:rsidTr="0072694B">
        <w:trPr>
          <w:trHeight w:val="315"/>
        </w:trPr>
        <w:tc>
          <w:tcPr>
            <w:tcW w:w="0" w:type="auto"/>
            <w:shd w:val="clear" w:color="auto" w:fill="auto"/>
            <w:tcMar>
              <w:top w:w="0" w:type="dxa"/>
              <w:left w:w="45" w:type="dxa"/>
              <w:bottom w:w="0" w:type="dxa"/>
              <w:right w:w="45" w:type="dxa"/>
            </w:tcMar>
            <w:vAlign w:val="center"/>
            <w:hideMark/>
          </w:tcPr>
          <w:p w14:paraId="62F7D10B" w14:textId="77777777" w:rsidR="002F2BB2" w:rsidRPr="00532C61" w:rsidRDefault="002F2BB2" w:rsidP="0072694B">
            <w:pPr>
              <w:rPr>
                <w:b/>
                <w:sz w:val="22"/>
                <w:szCs w:val="22"/>
              </w:rPr>
            </w:pPr>
            <w:r w:rsidRPr="00532C61">
              <w:rPr>
                <w:b/>
                <w:sz w:val="22"/>
                <w:szCs w:val="22"/>
              </w:rPr>
              <w:t>Used Internet to Seek Sex</w:t>
            </w:r>
          </w:p>
        </w:tc>
        <w:tc>
          <w:tcPr>
            <w:tcW w:w="0" w:type="auto"/>
            <w:shd w:val="clear" w:color="auto" w:fill="auto"/>
            <w:tcMar>
              <w:top w:w="0" w:type="dxa"/>
              <w:left w:w="45" w:type="dxa"/>
              <w:bottom w:w="0" w:type="dxa"/>
              <w:right w:w="45" w:type="dxa"/>
            </w:tcMar>
            <w:vAlign w:val="bottom"/>
            <w:hideMark/>
          </w:tcPr>
          <w:p w14:paraId="581B8689"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3305130E"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64B8DF65"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235F0155" w14:textId="77777777" w:rsidR="002F2BB2" w:rsidRPr="00532C61" w:rsidRDefault="002F2BB2" w:rsidP="0072694B">
            <w:pPr>
              <w:jc w:val="right"/>
              <w:rPr>
                <w:sz w:val="22"/>
                <w:szCs w:val="22"/>
              </w:rPr>
            </w:pPr>
          </w:p>
        </w:tc>
      </w:tr>
      <w:tr w:rsidR="002F2BB2" w:rsidRPr="00532C61" w14:paraId="270E51B8" w14:textId="77777777" w:rsidTr="0072694B">
        <w:trPr>
          <w:trHeight w:val="315"/>
        </w:trPr>
        <w:tc>
          <w:tcPr>
            <w:tcW w:w="0" w:type="auto"/>
            <w:shd w:val="clear" w:color="auto" w:fill="auto"/>
            <w:tcMar>
              <w:top w:w="0" w:type="dxa"/>
              <w:left w:w="45" w:type="dxa"/>
              <w:bottom w:w="0" w:type="dxa"/>
              <w:right w:w="45" w:type="dxa"/>
            </w:tcMar>
            <w:vAlign w:val="bottom"/>
            <w:hideMark/>
          </w:tcPr>
          <w:p w14:paraId="63248407" w14:textId="77777777" w:rsidR="002F2BB2" w:rsidRPr="00532C61" w:rsidRDefault="002F2BB2" w:rsidP="0072694B">
            <w:pPr>
              <w:rPr>
                <w:sz w:val="22"/>
                <w:szCs w:val="22"/>
              </w:rPr>
            </w:pPr>
            <w:r w:rsidRPr="00532C61">
              <w:rPr>
                <w:sz w:val="22"/>
                <w:szCs w:val="22"/>
              </w:rPr>
              <w:t xml:space="preserve">    About once per month or less</w:t>
            </w:r>
          </w:p>
        </w:tc>
        <w:tc>
          <w:tcPr>
            <w:tcW w:w="0" w:type="auto"/>
            <w:shd w:val="clear" w:color="auto" w:fill="auto"/>
            <w:tcMar>
              <w:top w:w="0" w:type="dxa"/>
              <w:left w:w="45" w:type="dxa"/>
              <w:bottom w:w="0" w:type="dxa"/>
              <w:right w:w="45" w:type="dxa"/>
            </w:tcMar>
            <w:vAlign w:val="bottom"/>
            <w:hideMark/>
          </w:tcPr>
          <w:p w14:paraId="0AE9FE20"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hideMark/>
          </w:tcPr>
          <w:p w14:paraId="4DC6D596"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5FFCABAA"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7B52803B" w14:textId="77777777" w:rsidR="002F2BB2" w:rsidRPr="00532C61" w:rsidRDefault="002F2BB2" w:rsidP="0072694B">
            <w:pPr>
              <w:jc w:val="right"/>
              <w:rPr>
                <w:sz w:val="22"/>
                <w:szCs w:val="22"/>
              </w:rPr>
            </w:pPr>
          </w:p>
        </w:tc>
      </w:tr>
      <w:tr w:rsidR="002F2BB2" w:rsidRPr="00532C61" w14:paraId="1A4E5B5F" w14:textId="77777777" w:rsidTr="0072694B">
        <w:trPr>
          <w:trHeight w:val="315"/>
        </w:trPr>
        <w:tc>
          <w:tcPr>
            <w:tcW w:w="0" w:type="auto"/>
            <w:shd w:val="clear" w:color="auto" w:fill="auto"/>
            <w:tcMar>
              <w:top w:w="0" w:type="dxa"/>
              <w:left w:w="45" w:type="dxa"/>
              <w:bottom w:w="0" w:type="dxa"/>
              <w:right w:w="45" w:type="dxa"/>
            </w:tcMar>
            <w:vAlign w:val="bottom"/>
            <w:hideMark/>
          </w:tcPr>
          <w:p w14:paraId="6B61C41A" w14:textId="77777777" w:rsidR="002F2BB2" w:rsidRPr="00532C61" w:rsidRDefault="002F2BB2" w:rsidP="0072694B">
            <w:pPr>
              <w:rPr>
                <w:sz w:val="22"/>
                <w:szCs w:val="22"/>
              </w:rPr>
            </w:pPr>
            <w:r w:rsidRPr="00532C61">
              <w:rPr>
                <w:sz w:val="22"/>
                <w:szCs w:val="22"/>
              </w:rPr>
              <w:t xml:space="preserve">    More than once per month</w:t>
            </w:r>
          </w:p>
        </w:tc>
        <w:tc>
          <w:tcPr>
            <w:tcW w:w="0" w:type="auto"/>
            <w:shd w:val="clear" w:color="auto" w:fill="auto"/>
            <w:tcMar>
              <w:top w:w="0" w:type="dxa"/>
              <w:left w:w="45" w:type="dxa"/>
              <w:bottom w:w="0" w:type="dxa"/>
              <w:right w:w="45" w:type="dxa"/>
            </w:tcMar>
            <w:vAlign w:val="bottom"/>
            <w:hideMark/>
          </w:tcPr>
          <w:p w14:paraId="20AD057F" w14:textId="77777777" w:rsidR="002F2BB2" w:rsidRPr="00532C61" w:rsidRDefault="002F2BB2" w:rsidP="0072694B">
            <w:pPr>
              <w:jc w:val="right"/>
              <w:rPr>
                <w:b/>
                <w:sz w:val="22"/>
                <w:szCs w:val="22"/>
              </w:rPr>
            </w:pPr>
            <w:r w:rsidRPr="00532C61">
              <w:rPr>
                <w:b/>
                <w:sz w:val="22"/>
                <w:szCs w:val="22"/>
              </w:rPr>
              <w:t>0.43</w:t>
            </w:r>
          </w:p>
        </w:tc>
        <w:tc>
          <w:tcPr>
            <w:tcW w:w="0" w:type="auto"/>
            <w:shd w:val="clear" w:color="auto" w:fill="auto"/>
            <w:tcMar>
              <w:top w:w="0" w:type="dxa"/>
              <w:left w:w="45" w:type="dxa"/>
              <w:bottom w:w="0" w:type="dxa"/>
              <w:right w:w="45" w:type="dxa"/>
            </w:tcMar>
            <w:vAlign w:val="bottom"/>
            <w:hideMark/>
          </w:tcPr>
          <w:p w14:paraId="28B889EB" w14:textId="77777777" w:rsidR="002F2BB2" w:rsidRPr="00532C61" w:rsidRDefault="002F2BB2" w:rsidP="0072694B">
            <w:pPr>
              <w:jc w:val="right"/>
              <w:rPr>
                <w:b/>
                <w:sz w:val="22"/>
                <w:szCs w:val="22"/>
              </w:rPr>
            </w:pPr>
            <w:r w:rsidRPr="00532C61">
              <w:rPr>
                <w:b/>
                <w:sz w:val="22"/>
                <w:szCs w:val="22"/>
              </w:rPr>
              <w:t>0.22</w:t>
            </w:r>
          </w:p>
        </w:tc>
        <w:tc>
          <w:tcPr>
            <w:tcW w:w="0" w:type="auto"/>
            <w:shd w:val="clear" w:color="auto" w:fill="auto"/>
            <w:tcMar>
              <w:top w:w="0" w:type="dxa"/>
              <w:left w:w="45" w:type="dxa"/>
              <w:bottom w:w="0" w:type="dxa"/>
              <w:right w:w="45" w:type="dxa"/>
            </w:tcMar>
            <w:vAlign w:val="bottom"/>
            <w:hideMark/>
          </w:tcPr>
          <w:p w14:paraId="4A8FB95D" w14:textId="77777777" w:rsidR="002F2BB2" w:rsidRPr="00532C61" w:rsidRDefault="002F2BB2" w:rsidP="0072694B">
            <w:pPr>
              <w:jc w:val="right"/>
              <w:rPr>
                <w:b/>
                <w:sz w:val="22"/>
                <w:szCs w:val="22"/>
              </w:rPr>
            </w:pPr>
            <w:r w:rsidRPr="00532C61">
              <w:rPr>
                <w:b/>
                <w:sz w:val="22"/>
                <w:szCs w:val="22"/>
              </w:rPr>
              <w:t>0.85</w:t>
            </w:r>
          </w:p>
        </w:tc>
        <w:tc>
          <w:tcPr>
            <w:tcW w:w="0" w:type="auto"/>
            <w:shd w:val="clear" w:color="auto" w:fill="auto"/>
            <w:tcMar>
              <w:top w:w="0" w:type="dxa"/>
              <w:left w:w="45" w:type="dxa"/>
              <w:bottom w:w="0" w:type="dxa"/>
              <w:right w:w="45" w:type="dxa"/>
            </w:tcMar>
            <w:vAlign w:val="bottom"/>
            <w:hideMark/>
          </w:tcPr>
          <w:p w14:paraId="06C6F915" w14:textId="77777777" w:rsidR="002F2BB2" w:rsidRPr="00532C61" w:rsidRDefault="002F2BB2" w:rsidP="0072694B">
            <w:pPr>
              <w:jc w:val="right"/>
              <w:rPr>
                <w:b/>
                <w:bCs/>
                <w:sz w:val="22"/>
                <w:szCs w:val="22"/>
              </w:rPr>
            </w:pPr>
            <w:r w:rsidRPr="00532C61">
              <w:rPr>
                <w:b/>
                <w:bCs/>
                <w:sz w:val="22"/>
                <w:szCs w:val="22"/>
              </w:rPr>
              <w:t>0.015</w:t>
            </w:r>
          </w:p>
        </w:tc>
      </w:tr>
      <w:tr w:rsidR="002F2BB2" w:rsidRPr="00532C61" w14:paraId="0E4E7439" w14:textId="77777777" w:rsidTr="0072694B">
        <w:trPr>
          <w:trHeight w:val="315"/>
        </w:trPr>
        <w:tc>
          <w:tcPr>
            <w:tcW w:w="0" w:type="auto"/>
            <w:shd w:val="clear" w:color="auto" w:fill="auto"/>
            <w:tcMar>
              <w:top w:w="0" w:type="dxa"/>
              <w:left w:w="45" w:type="dxa"/>
              <w:bottom w:w="0" w:type="dxa"/>
              <w:right w:w="45" w:type="dxa"/>
            </w:tcMar>
            <w:vAlign w:val="center"/>
            <w:hideMark/>
          </w:tcPr>
          <w:p w14:paraId="4B13FC97" w14:textId="77777777" w:rsidR="002F2BB2" w:rsidRPr="00532C61" w:rsidRDefault="002F2BB2" w:rsidP="0072694B">
            <w:pPr>
              <w:rPr>
                <w:b/>
                <w:sz w:val="22"/>
                <w:szCs w:val="22"/>
              </w:rPr>
            </w:pPr>
            <w:r w:rsidRPr="00532C61">
              <w:rPr>
                <w:b/>
                <w:sz w:val="22"/>
                <w:szCs w:val="22"/>
              </w:rPr>
              <w:t>Social Time with other gbMSM</w:t>
            </w:r>
          </w:p>
        </w:tc>
        <w:tc>
          <w:tcPr>
            <w:tcW w:w="0" w:type="auto"/>
            <w:shd w:val="clear" w:color="auto" w:fill="auto"/>
            <w:tcMar>
              <w:top w:w="0" w:type="dxa"/>
              <w:left w:w="45" w:type="dxa"/>
              <w:bottom w:w="0" w:type="dxa"/>
              <w:right w:w="45" w:type="dxa"/>
            </w:tcMar>
            <w:vAlign w:val="bottom"/>
            <w:hideMark/>
          </w:tcPr>
          <w:p w14:paraId="58CE05B8"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72BE4E04"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09C3D80F"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39445A71" w14:textId="77777777" w:rsidR="002F2BB2" w:rsidRPr="00532C61" w:rsidRDefault="002F2BB2" w:rsidP="0072694B">
            <w:pPr>
              <w:jc w:val="right"/>
              <w:rPr>
                <w:sz w:val="22"/>
                <w:szCs w:val="22"/>
              </w:rPr>
            </w:pPr>
          </w:p>
        </w:tc>
      </w:tr>
      <w:tr w:rsidR="002F2BB2" w:rsidRPr="00532C61" w14:paraId="13937AC4" w14:textId="77777777" w:rsidTr="0072694B">
        <w:trPr>
          <w:trHeight w:val="315"/>
        </w:trPr>
        <w:tc>
          <w:tcPr>
            <w:tcW w:w="0" w:type="auto"/>
            <w:shd w:val="clear" w:color="auto" w:fill="auto"/>
            <w:tcMar>
              <w:top w:w="0" w:type="dxa"/>
              <w:left w:w="45" w:type="dxa"/>
              <w:bottom w:w="0" w:type="dxa"/>
              <w:right w:w="45" w:type="dxa"/>
            </w:tcMar>
            <w:vAlign w:val="bottom"/>
            <w:hideMark/>
          </w:tcPr>
          <w:p w14:paraId="72CD7A02" w14:textId="77777777" w:rsidR="002F2BB2" w:rsidRPr="00532C61" w:rsidRDefault="002F2BB2" w:rsidP="0072694B">
            <w:pPr>
              <w:rPr>
                <w:b/>
                <w:sz w:val="22"/>
                <w:szCs w:val="22"/>
              </w:rPr>
            </w:pPr>
            <w:r w:rsidRPr="00532C61">
              <w:rPr>
                <w:sz w:val="22"/>
                <w:szCs w:val="22"/>
              </w:rPr>
              <w:t xml:space="preserve">    50% or less of total social time</w:t>
            </w:r>
          </w:p>
        </w:tc>
        <w:tc>
          <w:tcPr>
            <w:tcW w:w="0" w:type="auto"/>
            <w:shd w:val="clear" w:color="auto" w:fill="auto"/>
            <w:tcMar>
              <w:top w:w="0" w:type="dxa"/>
              <w:left w:w="45" w:type="dxa"/>
              <w:bottom w:w="0" w:type="dxa"/>
              <w:right w:w="45" w:type="dxa"/>
            </w:tcMar>
            <w:vAlign w:val="bottom"/>
            <w:hideMark/>
          </w:tcPr>
          <w:p w14:paraId="4FCE8D9F"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hideMark/>
          </w:tcPr>
          <w:p w14:paraId="421BE002"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426D7EFF"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7DADE768" w14:textId="77777777" w:rsidR="002F2BB2" w:rsidRPr="00532C61" w:rsidRDefault="002F2BB2" w:rsidP="0072694B">
            <w:pPr>
              <w:jc w:val="right"/>
              <w:rPr>
                <w:sz w:val="22"/>
                <w:szCs w:val="22"/>
              </w:rPr>
            </w:pPr>
          </w:p>
        </w:tc>
      </w:tr>
      <w:tr w:rsidR="002F2BB2" w:rsidRPr="00532C61" w14:paraId="5CAB5E58" w14:textId="77777777" w:rsidTr="0072694B">
        <w:trPr>
          <w:trHeight w:val="315"/>
        </w:trPr>
        <w:tc>
          <w:tcPr>
            <w:tcW w:w="0" w:type="auto"/>
            <w:shd w:val="clear" w:color="auto" w:fill="auto"/>
            <w:tcMar>
              <w:top w:w="0" w:type="dxa"/>
              <w:left w:w="45" w:type="dxa"/>
              <w:bottom w:w="0" w:type="dxa"/>
              <w:right w:w="45" w:type="dxa"/>
            </w:tcMar>
            <w:vAlign w:val="bottom"/>
            <w:hideMark/>
          </w:tcPr>
          <w:p w14:paraId="1BD97FF5" w14:textId="77777777" w:rsidR="002F2BB2" w:rsidRPr="00532C61" w:rsidRDefault="002F2BB2" w:rsidP="0072694B">
            <w:pPr>
              <w:rPr>
                <w:sz w:val="22"/>
                <w:szCs w:val="22"/>
              </w:rPr>
            </w:pPr>
            <w:r w:rsidRPr="00532C61">
              <w:rPr>
                <w:sz w:val="22"/>
                <w:szCs w:val="22"/>
              </w:rPr>
              <w:t xml:space="preserve">    at least 50% </w:t>
            </w:r>
          </w:p>
        </w:tc>
        <w:tc>
          <w:tcPr>
            <w:tcW w:w="0" w:type="auto"/>
            <w:shd w:val="clear" w:color="auto" w:fill="auto"/>
            <w:tcMar>
              <w:top w:w="0" w:type="dxa"/>
              <w:left w:w="45" w:type="dxa"/>
              <w:bottom w:w="0" w:type="dxa"/>
              <w:right w:w="45" w:type="dxa"/>
            </w:tcMar>
            <w:vAlign w:val="bottom"/>
            <w:hideMark/>
          </w:tcPr>
          <w:p w14:paraId="020E89D0" w14:textId="77777777" w:rsidR="002F2BB2" w:rsidRPr="00532C61" w:rsidRDefault="002F2BB2" w:rsidP="0072694B">
            <w:pPr>
              <w:jc w:val="right"/>
              <w:rPr>
                <w:sz w:val="22"/>
                <w:szCs w:val="22"/>
              </w:rPr>
            </w:pPr>
            <w:r w:rsidRPr="00532C61">
              <w:rPr>
                <w:sz w:val="22"/>
                <w:szCs w:val="22"/>
              </w:rPr>
              <w:t>0.57</w:t>
            </w:r>
          </w:p>
        </w:tc>
        <w:tc>
          <w:tcPr>
            <w:tcW w:w="0" w:type="auto"/>
            <w:shd w:val="clear" w:color="auto" w:fill="auto"/>
            <w:tcMar>
              <w:top w:w="0" w:type="dxa"/>
              <w:left w:w="45" w:type="dxa"/>
              <w:bottom w:w="0" w:type="dxa"/>
              <w:right w:w="45" w:type="dxa"/>
            </w:tcMar>
            <w:vAlign w:val="bottom"/>
            <w:hideMark/>
          </w:tcPr>
          <w:p w14:paraId="02C99FB2" w14:textId="77777777" w:rsidR="002F2BB2" w:rsidRPr="00532C61" w:rsidRDefault="002F2BB2" w:rsidP="0072694B">
            <w:pPr>
              <w:jc w:val="right"/>
              <w:rPr>
                <w:sz w:val="22"/>
                <w:szCs w:val="22"/>
              </w:rPr>
            </w:pPr>
            <w:r w:rsidRPr="00532C61">
              <w:rPr>
                <w:sz w:val="22"/>
                <w:szCs w:val="22"/>
              </w:rPr>
              <w:t>0.32</w:t>
            </w:r>
          </w:p>
        </w:tc>
        <w:tc>
          <w:tcPr>
            <w:tcW w:w="0" w:type="auto"/>
            <w:shd w:val="clear" w:color="auto" w:fill="auto"/>
            <w:tcMar>
              <w:top w:w="0" w:type="dxa"/>
              <w:left w:w="45" w:type="dxa"/>
              <w:bottom w:w="0" w:type="dxa"/>
              <w:right w:w="45" w:type="dxa"/>
            </w:tcMar>
            <w:vAlign w:val="bottom"/>
            <w:hideMark/>
          </w:tcPr>
          <w:p w14:paraId="0C002CD0" w14:textId="77777777" w:rsidR="002F2BB2" w:rsidRPr="00532C61" w:rsidRDefault="002F2BB2" w:rsidP="0072694B">
            <w:pPr>
              <w:jc w:val="right"/>
              <w:rPr>
                <w:sz w:val="22"/>
                <w:szCs w:val="22"/>
              </w:rPr>
            </w:pPr>
            <w:r w:rsidRPr="00532C61">
              <w:rPr>
                <w:sz w:val="22"/>
                <w:szCs w:val="22"/>
              </w:rPr>
              <w:t>1.03</w:t>
            </w:r>
          </w:p>
        </w:tc>
        <w:tc>
          <w:tcPr>
            <w:tcW w:w="0" w:type="auto"/>
            <w:shd w:val="clear" w:color="auto" w:fill="auto"/>
            <w:tcMar>
              <w:top w:w="0" w:type="dxa"/>
              <w:left w:w="45" w:type="dxa"/>
              <w:bottom w:w="0" w:type="dxa"/>
              <w:right w:w="45" w:type="dxa"/>
            </w:tcMar>
            <w:vAlign w:val="bottom"/>
            <w:hideMark/>
          </w:tcPr>
          <w:p w14:paraId="7DC3D410" w14:textId="77777777" w:rsidR="002F2BB2" w:rsidRPr="00532C61" w:rsidRDefault="002F2BB2" w:rsidP="0072694B">
            <w:pPr>
              <w:jc w:val="right"/>
              <w:rPr>
                <w:bCs/>
                <w:sz w:val="22"/>
                <w:szCs w:val="22"/>
              </w:rPr>
            </w:pPr>
            <w:r w:rsidRPr="00532C61">
              <w:rPr>
                <w:bCs/>
                <w:sz w:val="22"/>
                <w:szCs w:val="22"/>
              </w:rPr>
              <w:t>0.061</w:t>
            </w:r>
          </w:p>
        </w:tc>
      </w:tr>
      <w:tr w:rsidR="002F2BB2" w:rsidRPr="00532C61" w14:paraId="1F9ABB48" w14:textId="77777777" w:rsidTr="0072694B">
        <w:trPr>
          <w:trHeight w:val="315"/>
        </w:trPr>
        <w:tc>
          <w:tcPr>
            <w:tcW w:w="0" w:type="auto"/>
            <w:shd w:val="clear" w:color="auto" w:fill="auto"/>
            <w:tcMar>
              <w:top w:w="0" w:type="dxa"/>
              <w:left w:w="45" w:type="dxa"/>
              <w:bottom w:w="0" w:type="dxa"/>
              <w:right w:w="45" w:type="dxa"/>
            </w:tcMar>
            <w:vAlign w:val="bottom"/>
            <w:hideMark/>
          </w:tcPr>
          <w:p w14:paraId="354F3966" w14:textId="77777777" w:rsidR="002F2BB2" w:rsidRPr="00532C61" w:rsidRDefault="002F2BB2" w:rsidP="0072694B">
            <w:pPr>
              <w:rPr>
                <w:b/>
                <w:bCs/>
                <w:sz w:val="22"/>
                <w:szCs w:val="22"/>
              </w:rPr>
            </w:pPr>
            <w:r w:rsidRPr="00532C61">
              <w:rPr>
                <w:b/>
                <w:bCs/>
                <w:sz w:val="22"/>
                <w:szCs w:val="22"/>
              </w:rPr>
              <w:t>Received/Given Drugs for Sex in P6M (Ref: No)</w:t>
            </w:r>
          </w:p>
        </w:tc>
        <w:tc>
          <w:tcPr>
            <w:tcW w:w="0" w:type="auto"/>
            <w:shd w:val="clear" w:color="auto" w:fill="auto"/>
            <w:tcMar>
              <w:top w:w="0" w:type="dxa"/>
              <w:left w:w="45" w:type="dxa"/>
              <w:bottom w:w="0" w:type="dxa"/>
              <w:right w:w="45" w:type="dxa"/>
            </w:tcMar>
            <w:vAlign w:val="bottom"/>
            <w:hideMark/>
          </w:tcPr>
          <w:p w14:paraId="3B59D951" w14:textId="77777777" w:rsidR="002F2BB2" w:rsidRPr="00532C61" w:rsidRDefault="002F2BB2" w:rsidP="0072694B">
            <w:pPr>
              <w:jc w:val="right"/>
              <w:rPr>
                <w:sz w:val="22"/>
                <w:szCs w:val="22"/>
              </w:rPr>
            </w:pPr>
            <w:r w:rsidRPr="00532C61">
              <w:rPr>
                <w:b/>
                <w:sz w:val="22"/>
                <w:szCs w:val="22"/>
              </w:rPr>
              <w:t>0.34</w:t>
            </w:r>
          </w:p>
        </w:tc>
        <w:tc>
          <w:tcPr>
            <w:tcW w:w="0" w:type="auto"/>
            <w:shd w:val="clear" w:color="auto" w:fill="auto"/>
            <w:tcMar>
              <w:top w:w="0" w:type="dxa"/>
              <w:left w:w="45" w:type="dxa"/>
              <w:bottom w:w="0" w:type="dxa"/>
              <w:right w:w="45" w:type="dxa"/>
            </w:tcMar>
            <w:vAlign w:val="bottom"/>
            <w:hideMark/>
          </w:tcPr>
          <w:p w14:paraId="00F2DB69" w14:textId="77777777" w:rsidR="002F2BB2" w:rsidRPr="00532C61" w:rsidRDefault="002F2BB2" w:rsidP="0072694B">
            <w:pPr>
              <w:jc w:val="right"/>
              <w:rPr>
                <w:sz w:val="22"/>
                <w:szCs w:val="22"/>
              </w:rPr>
            </w:pPr>
            <w:r w:rsidRPr="00532C61">
              <w:rPr>
                <w:b/>
                <w:sz w:val="22"/>
                <w:szCs w:val="22"/>
              </w:rPr>
              <w:t>0.13</w:t>
            </w:r>
          </w:p>
        </w:tc>
        <w:tc>
          <w:tcPr>
            <w:tcW w:w="0" w:type="auto"/>
            <w:shd w:val="clear" w:color="auto" w:fill="auto"/>
            <w:tcMar>
              <w:top w:w="0" w:type="dxa"/>
              <w:left w:w="45" w:type="dxa"/>
              <w:bottom w:w="0" w:type="dxa"/>
              <w:right w:w="45" w:type="dxa"/>
            </w:tcMar>
            <w:vAlign w:val="bottom"/>
            <w:hideMark/>
          </w:tcPr>
          <w:p w14:paraId="7FD7FC98" w14:textId="77777777" w:rsidR="002F2BB2" w:rsidRPr="00532C61" w:rsidRDefault="002F2BB2" w:rsidP="0072694B">
            <w:pPr>
              <w:jc w:val="right"/>
              <w:rPr>
                <w:sz w:val="22"/>
                <w:szCs w:val="22"/>
              </w:rPr>
            </w:pPr>
            <w:r w:rsidRPr="00532C61">
              <w:rPr>
                <w:b/>
                <w:sz w:val="22"/>
                <w:szCs w:val="22"/>
              </w:rPr>
              <w:t>0.87</w:t>
            </w:r>
          </w:p>
        </w:tc>
        <w:tc>
          <w:tcPr>
            <w:tcW w:w="0" w:type="auto"/>
            <w:shd w:val="clear" w:color="auto" w:fill="auto"/>
            <w:tcMar>
              <w:top w:w="0" w:type="dxa"/>
              <w:left w:w="45" w:type="dxa"/>
              <w:bottom w:w="0" w:type="dxa"/>
              <w:right w:w="45" w:type="dxa"/>
            </w:tcMar>
            <w:vAlign w:val="bottom"/>
            <w:hideMark/>
          </w:tcPr>
          <w:p w14:paraId="1C024EEE" w14:textId="77777777" w:rsidR="002F2BB2" w:rsidRPr="00532C61" w:rsidRDefault="002F2BB2" w:rsidP="0072694B">
            <w:pPr>
              <w:jc w:val="right"/>
              <w:rPr>
                <w:sz w:val="22"/>
                <w:szCs w:val="22"/>
              </w:rPr>
            </w:pPr>
            <w:r w:rsidRPr="00532C61">
              <w:rPr>
                <w:b/>
                <w:bCs/>
                <w:sz w:val="22"/>
                <w:szCs w:val="22"/>
              </w:rPr>
              <w:t>0.026</w:t>
            </w:r>
          </w:p>
        </w:tc>
      </w:tr>
      <w:tr w:rsidR="002F2BB2" w:rsidRPr="00532C61" w14:paraId="4DC329D2" w14:textId="77777777" w:rsidTr="0072694B">
        <w:trPr>
          <w:trHeight w:val="315"/>
        </w:trPr>
        <w:tc>
          <w:tcPr>
            <w:tcW w:w="0" w:type="auto"/>
            <w:shd w:val="clear" w:color="auto" w:fill="auto"/>
            <w:tcMar>
              <w:top w:w="0" w:type="dxa"/>
              <w:left w:w="45" w:type="dxa"/>
              <w:bottom w:w="0" w:type="dxa"/>
              <w:right w:w="45" w:type="dxa"/>
            </w:tcMar>
            <w:vAlign w:val="bottom"/>
          </w:tcPr>
          <w:p w14:paraId="0E0F8330" w14:textId="77777777" w:rsidR="002F2BB2" w:rsidRPr="00532C61" w:rsidRDefault="002F2BB2" w:rsidP="0072694B">
            <w:pPr>
              <w:rPr>
                <w:b/>
                <w:bCs/>
                <w:i/>
                <w:sz w:val="22"/>
                <w:szCs w:val="22"/>
                <w:u w:val="single"/>
              </w:rPr>
            </w:pPr>
            <w:r w:rsidRPr="00532C61">
              <w:rPr>
                <w:b/>
                <w:bCs/>
                <w:i/>
                <w:sz w:val="22"/>
                <w:szCs w:val="22"/>
                <w:u w:val="single"/>
              </w:rPr>
              <w:t>Substance Use Behaviours</w:t>
            </w:r>
          </w:p>
        </w:tc>
        <w:tc>
          <w:tcPr>
            <w:tcW w:w="0" w:type="auto"/>
            <w:shd w:val="clear" w:color="auto" w:fill="auto"/>
            <w:tcMar>
              <w:top w:w="0" w:type="dxa"/>
              <w:left w:w="45" w:type="dxa"/>
              <w:bottom w:w="0" w:type="dxa"/>
              <w:right w:w="45" w:type="dxa"/>
            </w:tcMar>
            <w:vAlign w:val="bottom"/>
          </w:tcPr>
          <w:p w14:paraId="04288D9A"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22CCF329"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2B9937CC"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2FFE6706" w14:textId="77777777" w:rsidR="002F2BB2" w:rsidRPr="00532C61" w:rsidRDefault="002F2BB2" w:rsidP="0072694B">
            <w:pPr>
              <w:jc w:val="right"/>
              <w:rPr>
                <w:sz w:val="22"/>
                <w:szCs w:val="22"/>
              </w:rPr>
            </w:pPr>
          </w:p>
        </w:tc>
      </w:tr>
      <w:tr w:rsidR="002F2BB2" w:rsidRPr="00532C61" w14:paraId="7B234942" w14:textId="77777777" w:rsidTr="0072694B">
        <w:trPr>
          <w:trHeight w:val="315"/>
        </w:trPr>
        <w:tc>
          <w:tcPr>
            <w:tcW w:w="0" w:type="auto"/>
            <w:shd w:val="clear" w:color="auto" w:fill="auto"/>
            <w:tcMar>
              <w:top w:w="0" w:type="dxa"/>
              <w:left w:w="45" w:type="dxa"/>
              <w:bottom w:w="0" w:type="dxa"/>
              <w:right w:w="45" w:type="dxa"/>
            </w:tcMar>
            <w:vAlign w:val="bottom"/>
          </w:tcPr>
          <w:p w14:paraId="5328328E" w14:textId="77777777" w:rsidR="002F2BB2" w:rsidRPr="00532C61" w:rsidRDefault="002F2BB2" w:rsidP="0072694B">
            <w:pPr>
              <w:rPr>
                <w:b/>
                <w:bCs/>
                <w:sz w:val="22"/>
                <w:szCs w:val="22"/>
              </w:rPr>
            </w:pPr>
            <w:r w:rsidRPr="00532C61">
              <w:rPr>
                <w:b/>
                <w:bCs/>
                <w:sz w:val="22"/>
                <w:szCs w:val="22"/>
              </w:rPr>
              <w:t>Method of MA use at Last High Frequency Use</w:t>
            </w:r>
          </w:p>
        </w:tc>
        <w:tc>
          <w:tcPr>
            <w:tcW w:w="0" w:type="auto"/>
            <w:shd w:val="clear" w:color="auto" w:fill="auto"/>
            <w:tcMar>
              <w:top w:w="0" w:type="dxa"/>
              <w:left w:w="45" w:type="dxa"/>
              <w:bottom w:w="0" w:type="dxa"/>
              <w:right w:w="45" w:type="dxa"/>
            </w:tcMar>
            <w:vAlign w:val="bottom"/>
          </w:tcPr>
          <w:p w14:paraId="4828668C"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50F2F774"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140BFAE1" w14:textId="77777777" w:rsidR="002F2BB2" w:rsidRPr="00532C61" w:rsidRDefault="002F2BB2" w:rsidP="0072694B">
            <w:pPr>
              <w:jc w:val="right"/>
              <w:rPr>
                <w:b/>
                <w:sz w:val="22"/>
                <w:szCs w:val="22"/>
              </w:rPr>
            </w:pPr>
          </w:p>
        </w:tc>
        <w:tc>
          <w:tcPr>
            <w:tcW w:w="0" w:type="auto"/>
            <w:shd w:val="clear" w:color="auto" w:fill="auto"/>
            <w:tcMar>
              <w:top w:w="0" w:type="dxa"/>
              <w:left w:w="45" w:type="dxa"/>
              <w:bottom w:w="0" w:type="dxa"/>
              <w:right w:w="45" w:type="dxa"/>
            </w:tcMar>
            <w:vAlign w:val="bottom"/>
          </w:tcPr>
          <w:p w14:paraId="2AA44622" w14:textId="77777777" w:rsidR="002F2BB2" w:rsidRPr="00532C61" w:rsidRDefault="002F2BB2" w:rsidP="0072694B">
            <w:pPr>
              <w:jc w:val="center"/>
              <w:rPr>
                <w:b/>
                <w:bCs/>
                <w:sz w:val="22"/>
                <w:szCs w:val="22"/>
              </w:rPr>
            </w:pPr>
          </w:p>
        </w:tc>
      </w:tr>
      <w:tr w:rsidR="002F2BB2" w:rsidRPr="00532C61" w14:paraId="57168DC4" w14:textId="77777777" w:rsidTr="0072694B">
        <w:trPr>
          <w:trHeight w:val="315"/>
        </w:trPr>
        <w:tc>
          <w:tcPr>
            <w:tcW w:w="0" w:type="auto"/>
            <w:shd w:val="clear" w:color="auto" w:fill="auto"/>
            <w:tcMar>
              <w:top w:w="0" w:type="dxa"/>
              <w:left w:w="45" w:type="dxa"/>
              <w:bottom w:w="0" w:type="dxa"/>
              <w:right w:w="45" w:type="dxa"/>
            </w:tcMar>
            <w:vAlign w:val="bottom"/>
          </w:tcPr>
          <w:p w14:paraId="13BE710D" w14:textId="77777777" w:rsidR="002F2BB2" w:rsidRPr="00532C61" w:rsidRDefault="002F2BB2" w:rsidP="0072694B">
            <w:pPr>
              <w:rPr>
                <w:b/>
                <w:bCs/>
                <w:sz w:val="22"/>
                <w:szCs w:val="22"/>
              </w:rPr>
            </w:pPr>
            <w:r w:rsidRPr="00532C61">
              <w:rPr>
                <w:bCs/>
                <w:sz w:val="22"/>
                <w:szCs w:val="22"/>
              </w:rPr>
              <w:t xml:space="preserve">    Use without Injection</w:t>
            </w:r>
          </w:p>
        </w:tc>
        <w:tc>
          <w:tcPr>
            <w:tcW w:w="0" w:type="auto"/>
            <w:shd w:val="clear" w:color="auto" w:fill="auto"/>
            <w:tcMar>
              <w:top w:w="0" w:type="dxa"/>
              <w:left w:w="45" w:type="dxa"/>
              <w:bottom w:w="0" w:type="dxa"/>
              <w:right w:w="45" w:type="dxa"/>
            </w:tcMar>
            <w:vAlign w:val="bottom"/>
          </w:tcPr>
          <w:p w14:paraId="0C03ADCF"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tcPr>
          <w:p w14:paraId="042F8684"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2E481ECA" w14:textId="77777777" w:rsidR="002F2BB2" w:rsidRPr="00532C61" w:rsidRDefault="002F2BB2" w:rsidP="0072694B">
            <w:pPr>
              <w:jc w:val="center"/>
              <w:rPr>
                <w:sz w:val="22"/>
                <w:szCs w:val="22"/>
              </w:rPr>
            </w:pPr>
          </w:p>
        </w:tc>
        <w:tc>
          <w:tcPr>
            <w:tcW w:w="0" w:type="auto"/>
            <w:shd w:val="clear" w:color="auto" w:fill="auto"/>
            <w:tcMar>
              <w:top w:w="0" w:type="dxa"/>
              <w:left w:w="45" w:type="dxa"/>
              <w:bottom w:w="0" w:type="dxa"/>
              <w:right w:w="45" w:type="dxa"/>
            </w:tcMar>
            <w:vAlign w:val="bottom"/>
          </w:tcPr>
          <w:p w14:paraId="1FD20500" w14:textId="77777777" w:rsidR="002F2BB2" w:rsidRPr="00532C61" w:rsidRDefault="002F2BB2" w:rsidP="0072694B">
            <w:pPr>
              <w:jc w:val="right"/>
              <w:rPr>
                <w:bCs/>
                <w:sz w:val="22"/>
                <w:szCs w:val="22"/>
              </w:rPr>
            </w:pPr>
          </w:p>
        </w:tc>
      </w:tr>
      <w:tr w:rsidR="002F2BB2" w:rsidRPr="00532C61" w14:paraId="22182B51" w14:textId="77777777" w:rsidTr="0072694B">
        <w:trPr>
          <w:trHeight w:val="315"/>
        </w:trPr>
        <w:tc>
          <w:tcPr>
            <w:tcW w:w="0" w:type="auto"/>
            <w:shd w:val="clear" w:color="auto" w:fill="auto"/>
            <w:tcMar>
              <w:top w:w="0" w:type="dxa"/>
              <w:left w:w="45" w:type="dxa"/>
              <w:bottom w:w="0" w:type="dxa"/>
              <w:right w:w="45" w:type="dxa"/>
            </w:tcMar>
            <w:vAlign w:val="bottom"/>
          </w:tcPr>
          <w:p w14:paraId="17497DF5" w14:textId="77777777" w:rsidR="002F2BB2" w:rsidRPr="00532C61" w:rsidRDefault="002F2BB2" w:rsidP="0072694B">
            <w:pPr>
              <w:rPr>
                <w:b/>
                <w:bCs/>
                <w:sz w:val="22"/>
                <w:szCs w:val="22"/>
              </w:rPr>
            </w:pPr>
            <w:r w:rsidRPr="00532C61">
              <w:rPr>
                <w:bCs/>
                <w:sz w:val="22"/>
                <w:szCs w:val="22"/>
              </w:rPr>
              <w:lastRenderedPageBreak/>
              <w:t xml:space="preserve">    Injection</w:t>
            </w:r>
          </w:p>
        </w:tc>
        <w:tc>
          <w:tcPr>
            <w:tcW w:w="0" w:type="auto"/>
            <w:shd w:val="clear" w:color="auto" w:fill="auto"/>
            <w:tcMar>
              <w:top w:w="0" w:type="dxa"/>
              <w:left w:w="45" w:type="dxa"/>
              <w:bottom w:w="0" w:type="dxa"/>
              <w:right w:w="45" w:type="dxa"/>
            </w:tcMar>
            <w:vAlign w:val="bottom"/>
          </w:tcPr>
          <w:p w14:paraId="7971ED1A" w14:textId="77777777" w:rsidR="002F2BB2" w:rsidRPr="00532C61" w:rsidRDefault="002F2BB2" w:rsidP="0072694B">
            <w:pPr>
              <w:jc w:val="right"/>
              <w:rPr>
                <w:sz w:val="22"/>
                <w:szCs w:val="22"/>
              </w:rPr>
            </w:pPr>
            <w:r w:rsidRPr="00532C61">
              <w:rPr>
                <w:sz w:val="22"/>
                <w:szCs w:val="22"/>
              </w:rPr>
              <w:t>0.72</w:t>
            </w:r>
          </w:p>
        </w:tc>
        <w:tc>
          <w:tcPr>
            <w:tcW w:w="0" w:type="auto"/>
            <w:shd w:val="clear" w:color="auto" w:fill="auto"/>
            <w:tcMar>
              <w:top w:w="0" w:type="dxa"/>
              <w:left w:w="45" w:type="dxa"/>
              <w:bottom w:w="0" w:type="dxa"/>
              <w:right w:w="45" w:type="dxa"/>
            </w:tcMar>
            <w:vAlign w:val="bottom"/>
          </w:tcPr>
          <w:p w14:paraId="22A1FB21" w14:textId="77777777" w:rsidR="002F2BB2" w:rsidRPr="00532C61" w:rsidRDefault="002F2BB2" w:rsidP="0072694B">
            <w:pPr>
              <w:jc w:val="right"/>
              <w:rPr>
                <w:sz w:val="22"/>
                <w:szCs w:val="22"/>
              </w:rPr>
            </w:pPr>
            <w:r w:rsidRPr="00532C61">
              <w:rPr>
                <w:sz w:val="22"/>
                <w:szCs w:val="22"/>
              </w:rPr>
              <w:t>0.39</w:t>
            </w:r>
          </w:p>
        </w:tc>
        <w:tc>
          <w:tcPr>
            <w:tcW w:w="0" w:type="auto"/>
            <w:shd w:val="clear" w:color="auto" w:fill="auto"/>
            <w:tcMar>
              <w:top w:w="0" w:type="dxa"/>
              <w:left w:w="45" w:type="dxa"/>
              <w:bottom w:w="0" w:type="dxa"/>
              <w:right w:w="45" w:type="dxa"/>
            </w:tcMar>
            <w:vAlign w:val="bottom"/>
          </w:tcPr>
          <w:p w14:paraId="3B2BDE0E" w14:textId="77777777" w:rsidR="002F2BB2" w:rsidRPr="00532C61" w:rsidRDefault="002F2BB2" w:rsidP="0072694B">
            <w:pPr>
              <w:jc w:val="right"/>
              <w:rPr>
                <w:sz w:val="22"/>
                <w:szCs w:val="22"/>
              </w:rPr>
            </w:pPr>
            <w:r w:rsidRPr="00532C61">
              <w:rPr>
                <w:sz w:val="22"/>
                <w:szCs w:val="22"/>
              </w:rPr>
              <w:t>1.31</w:t>
            </w:r>
          </w:p>
        </w:tc>
        <w:tc>
          <w:tcPr>
            <w:tcW w:w="0" w:type="auto"/>
            <w:shd w:val="clear" w:color="auto" w:fill="auto"/>
            <w:tcMar>
              <w:top w:w="0" w:type="dxa"/>
              <w:left w:w="45" w:type="dxa"/>
              <w:bottom w:w="0" w:type="dxa"/>
              <w:right w:w="45" w:type="dxa"/>
            </w:tcMar>
            <w:vAlign w:val="bottom"/>
          </w:tcPr>
          <w:p w14:paraId="1CF29A5A" w14:textId="77777777" w:rsidR="002F2BB2" w:rsidRPr="00532C61" w:rsidRDefault="002F2BB2" w:rsidP="0072694B">
            <w:pPr>
              <w:jc w:val="right"/>
              <w:rPr>
                <w:bCs/>
                <w:sz w:val="22"/>
                <w:szCs w:val="22"/>
              </w:rPr>
            </w:pPr>
            <w:r w:rsidRPr="00532C61">
              <w:rPr>
                <w:bCs/>
                <w:sz w:val="22"/>
                <w:szCs w:val="22"/>
              </w:rPr>
              <w:t>0.276</w:t>
            </w:r>
          </w:p>
        </w:tc>
      </w:tr>
      <w:tr w:rsidR="002F2BB2" w:rsidRPr="00532C61" w14:paraId="14B1B164" w14:textId="77777777" w:rsidTr="0072694B">
        <w:trPr>
          <w:trHeight w:val="315"/>
        </w:trPr>
        <w:tc>
          <w:tcPr>
            <w:tcW w:w="0" w:type="auto"/>
            <w:shd w:val="clear" w:color="auto" w:fill="auto"/>
            <w:tcMar>
              <w:top w:w="0" w:type="dxa"/>
              <w:left w:w="45" w:type="dxa"/>
              <w:bottom w:w="0" w:type="dxa"/>
              <w:right w:w="45" w:type="dxa"/>
            </w:tcMar>
            <w:vAlign w:val="bottom"/>
            <w:hideMark/>
          </w:tcPr>
          <w:p w14:paraId="144273E2" w14:textId="77777777" w:rsidR="002F2BB2" w:rsidRPr="00532C61" w:rsidRDefault="002F2BB2" w:rsidP="0072694B">
            <w:pPr>
              <w:rPr>
                <w:b/>
                <w:bCs/>
                <w:sz w:val="22"/>
                <w:szCs w:val="22"/>
              </w:rPr>
            </w:pPr>
            <w:r w:rsidRPr="00532C61">
              <w:rPr>
                <w:b/>
                <w:bCs/>
                <w:sz w:val="22"/>
                <w:szCs w:val="22"/>
              </w:rPr>
              <w:t>Any Injection Drug Use in P6M, excluding steroids (Ref: No)</w:t>
            </w:r>
          </w:p>
        </w:tc>
        <w:tc>
          <w:tcPr>
            <w:tcW w:w="0" w:type="auto"/>
            <w:shd w:val="clear" w:color="auto" w:fill="auto"/>
            <w:tcMar>
              <w:top w:w="0" w:type="dxa"/>
              <w:left w:w="45" w:type="dxa"/>
              <w:bottom w:w="0" w:type="dxa"/>
              <w:right w:w="45" w:type="dxa"/>
            </w:tcMar>
            <w:vAlign w:val="bottom"/>
            <w:hideMark/>
          </w:tcPr>
          <w:p w14:paraId="54645415" w14:textId="77777777" w:rsidR="002F2BB2" w:rsidRPr="00532C61" w:rsidRDefault="002F2BB2" w:rsidP="0072694B">
            <w:pPr>
              <w:jc w:val="right"/>
              <w:rPr>
                <w:sz w:val="22"/>
                <w:szCs w:val="22"/>
              </w:rPr>
            </w:pPr>
            <w:r w:rsidRPr="00532C61">
              <w:rPr>
                <w:b/>
                <w:sz w:val="22"/>
                <w:szCs w:val="22"/>
              </w:rPr>
              <w:t>0.29</w:t>
            </w:r>
          </w:p>
        </w:tc>
        <w:tc>
          <w:tcPr>
            <w:tcW w:w="0" w:type="auto"/>
            <w:shd w:val="clear" w:color="auto" w:fill="auto"/>
            <w:tcMar>
              <w:top w:w="0" w:type="dxa"/>
              <w:left w:w="45" w:type="dxa"/>
              <w:bottom w:w="0" w:type="dxa"/>
              <w:right w:w="45" w:type="dxa"/>
            </w:tcMar>
            <w:vAlign w:val="bottom"/>
            <w:hideMark/>
          </w:tcPr>
          <w:p w14:paraId="27FA7F33" w14:textId="77777777" w:rsidR="002F2BB2" w:rsidRPr="00532C61" w:rsidRDefault="002F2BB2" w:rsidP="0072694B">
            <w:pPr>
              <w:jc w:val="right"/>
              <w:rPr>
                <w:sz w:val="22"/>
                <w:szCs w:val="22"/>
              </w:rPr>
            </w:pPr>
            <w:r w:rsidRPr="00532C61">
              <w:rPr>
                <w:b/>
                <w:sz w:val="22"/>
                <w:szCs w:val="22"/>
              </w:rPr>
              <w:t>0.14</w:t>
            </w:r>
          </w:p>
        </w:tc>
        <w:tc>
          <w:tcPr>
            <w:tcW w:w="0" w:type="auto"/>
            <w:shd w:val="clear" w:color="auto" w:fill="auto"/>
            <w:tcMar>
              <w:top w:w="0" w:type="dxa"/>
              <w:left w:w="45" w:type="dxa"/>
              <w:bottom w:w="0" w:type="dxa"/>
              <w:right w:w="45" w:type="dxa"/>
            </w:tcMar>
            <w:vAlign w:val="bottom"/>
            <w:hideMark/>
          </w:tcPr>
          <w:p w14:paraId="4FEE8BA3" w14:textId="77777777" w:rsidR="002F2BB2" w:rsidRPr="00532C61" w:rsidRDefault="002F2BB2" w:rsidP="0072694B">
            <w:pPr>
              <w:jc w:val="right"/>
              <w:rPr>
                <w:sz w:val="22"/>
                <w:szCs w:val="22"/>
              </w:rPr>
            </w:pPr>
            <w:r w:rsidRPr="00532C61">
              <w:rPr>
                <w:b/>
                <w:sz w:val="22"/>
                <w:szCs w:val="22"/>
              </w:rPr>
              <w:t>0.57</w:t>
            </w:r>
          </w:p>
        </w:tc>
        <w:tc>
          <w:tcPr>
            <w:tcW w:w="0" w:type="auto"/>
            <w:shd w:val="clear" w:color="auto" w:fill="auto"/>
            <w:tcMar>
              <w:top w:w="0" w:type="dxa"/>
              <w:left w:w="45" w:type="dxa"/>
              <w:bottom w:w="0" w:type="dxa"/>
              <w:right w:w="45" w:type="dxa"/>
            </w:tcMar>
            <w:vAlign w:val="bottom"/>
            <w:hideMark/>
          </w:tcPr>
          <w:p w14:paraId="0D6FCA54" w14:textId="77777777" w:rsidR="002F2BB2" w:rsidRPr="00532C61" w:rsidRDefault="002F2BB2" w:rsidP="0072694B">
            <w:pPr>
              <w:jc w:val="right"/>
              <w:rPr>
                <w:sz w:val="22"/>
                <w:szCs w:val="22"/>
              </w:rPr>
            </w:pPr>
            <w:r w:rsidRPr="00532C61">
              <w:rPr>
                <w:b/>
                <w:bCs/>
                <w:sz w:val="22"/>
                <w:szCs w:val="22"/>
              </w:rPr>
              <w:t>0.000</w:t>
            </w:r>
          </w:p>
        </w:tc>
      </w:tr>
      <w:tr w:rsidR="002F2BB2" w:rsidRPr="00532C61" w14:paraId="71038F5F" w14:textId="77777777" w:rsidTr="0072694B">
        <w:trPr>
          <w:trHeight w:val="315"/>
        </w:trPr>
        <w:tc>
          <w:tcPr>
            <w:tcW w:w="0" w:type="auto"/>
            <w:shd w:val="clear" w:color="auto" w:fill="auto"/>
            <w:tcMar>
              <w:top w:w="0" w:type="dxa"/>
              <w:left w:w="45" w:type="dxa"/>
              <w:bottom w:w="0" w:type="dxa"/>
              <w:right w:w="45" w:type="dxa"/>
            </w:tcMar>
            <w:vAlign w:val="center"/>
            <w:hideMark/>
          </w:tcPr>
          <w:p w14:paraId="7FEEF7A1" w14:textId="77777777" w:rsidR="002F2BB2" w:rsidRPr="00532C61" w:rsidRDefault="002F2BB2" w:rsidP="0072694B">
            <w:pPr>
              <w:rPr>
                <w:b/>
                <w:bCs/>
                <w:sz w:val="22"/>
                <w:szCs w:val="22"/>
              </w:rPr>
            </w:pPr>
            <w:r w:rsidRPr="00532C61">
              <w:rPr>
                <w:b/>
                <w:bCs/>
                <w:sz w:val="22"/>
                <w:szCs w:val="22"/>
              </w:rPr>
              <w:t>Binge Drinking Frequency (5+ Drinks on One Occasion)</w:t>
            </w:r>
          </w:p>
        </w:tc>
        <w:tc>
          <w:tcPr>
            <w:tcW w:w="0" w:type="auto"/>
            <w:shd w:val="clear" w:color="auto" w:fill="auto"/>
            <w:tcMar>
              <w:top w:w="0" w:type="dxa"/>
              <w:left w:w="45" w:type="dxa"/>
              <w:bottom w:w="0" w:type="dxa"/>
              <w:right w:w="45" w:type="dxa"/>
            </w:tcMar>
            <w:vAlign w:val="bottom"/>
            <w:hideMark/>
          </w:tcPr>
          <w:p w14:paraId="0D9EE56F"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23D4963D"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2D945D81"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2FD3F24F" w14:textId="77777777" w:rsidR="002F2BB2" w:rsidRPr="00532C61" w:rsidRDefault="002F2BB2" w:rsidP="0072694B">
            <w:pPr>
              <w:jc w:val="right"/>
              <w:rPr>
                <w:sz w:val="22"/>
                <w:szCs w:val="22"/>
              </w:rPr>
            </w:pPr>
          </w:p>
        </w:tc>
      </w:tr>
      <w:tr w:rsidR="002F2BB2" w:rsidRPr="00532C61" w14:paraId="47FC403A" w14:textId="77777777" w:rsidTr="0072694B">
        <w:trPr>
          <w:trHeight w:val="315"/>
        </w:trPr>
        <w:tc>
          <w:tcPr>
            <w:tcW w:w="0" w:type="auto"/>
            <w:shd w:val="clear" w:color="auto" w:fill="auto"/>
            <w:tcMar>
              <w:top w:w="0" w:type="dxa"/>
              <w:left w:w="45" w:type="dxa"/>
              <w:bottom w:w="0" w:type="dxa"/>
              <w:right w:w="45" w:type="dxa"/>
            </w:tcMar>
            <w:vAlign w:val="bottom"/>
            <w:hideMark/>
          </w:tcPr>
          <w:p w14:paraId="30A02513" w14:textId="77777777" w:rsidR="002F2BB2" w:rsidRPr="00532C61" w:rsidRDefault="002F2BB2" w:rsidP="0072694B">
            <w:pPr>
              <w:rPr>
                <w:sz w:val="22"/>
                <w:szCs w:val="22"/>
              </w:rPr>
            </w:pPr>
            <w:r w:rsidRPr="00532C61">
              <w:rPr>
                <w:sz w:val="22"/>
                <w:szCs w:val="22"/>
              </w:rPr>
              <w:t xml:space="preserve">    Never/Less than monthly/Monthly</w:t>
            </w:r>
          </w:p>
        </w:tc>
        <w:tc>
          <w:tcPr>
            <w:tcW w:w="0" w:type="auto"/>
            <w:shd w:val="clear" w:color="auto" w:fill="auto"/>
            <w:tcMar>
              <w:top w:w="0" w:type="dxa"/>
              <w:left w:w="45" w:type="dxa"/>
              <w:bottom w:w="0" w:type="dxa"/>
              <w:right w:w="45" w:type="dxa"/>
            </w:tcMar>
            <w:vAlign w:val="bottom"/>
            <w:hideMark/>
          </w:tcPr>
          <w:p w14:paraId="0ABB2398" w14:textId="77777777" w:rsidR="002F2BB2" w:rsidRPr="00532C61" w:rsidRDefault="002F2BB2" w:rsidP="0072694B">
            <w:pPr>
              <w:jc w:val="right"/>
              <w:rPr>
                <w:sz w:val="22"/>
                <w:szCs w:val="22"/>
              </w:rPr>
            </w:pPr>
            <w:r w:rsidRPr="00532C61">
              <w:rPr>
                <w:sz w:val="22"/>
                <w:szCs w:val="22"/>
              </w:rPr>
              <w:t>Ref</w:t>
            </w:r>
          </w:p>
        </w:tc>
        <w:tc>
          <w:tcPr>
            <w:tcW w:w="0" w:type="auto"/>
            <w:shd w:val="clear" w:color="auto" w:fill="auto"/>
            <w:tcMar>
              <w:top w:w="0" w:type="dxa"/>
              <w:left w:w="45" w:type="dxa"/>
              <w:bottom w:w="0" w:type="dxa"/>
              <w:right w:w="45" w:type="dxa"/>
            </w:tcMar>
            <w:vAlign w:val="bottom"/>
            <w:hideMark/>
          </w:tcPr>
          <w:p w14:paraId="485141F4"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705C0F45"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hideMark/>
          </w:tcPr>
          <w:p w14:paraId="16C2BDE9" w14:textId="77777777" w:rsidR="002F2BB2" w:rsidRPr="00532C61" w:rsidRDefault="002F2BB2" w:rsidP="0072694B">
            <w:pPr>
              <w:jc w:val="right"/>
              <w:rPr>
                <w:sz w:val="22"/>
                <w:szCs w:val="22"/>
              </w:rPr>
            </w:pPr>
          </w:p>
        </w:tc>
      </w:tr>
      <w:tr w:rsidR="002F2BB2" w:rsidRPr="00532C61" w14:paraId="18E51C11" w14:textId="77777777" w:rsidTr="0072694B">
        <w:trPr>
          <w:trHeight w:val="315"/>
        </w:trPr>
        <w:tc>
          <w:tcPr>
            <w:tcW w:w="0" w:type="auto"/>
            <w:shd w:val="clear" w:color="auto" w:fill="auto"/>
            <w:tcMar>
              <w:top w:w="0" w:type="dxa"/>
              <w:left w:w="45" w:type="dxa"/>
              <w:bottom w:w="0" w:type="dxa"/>
              <w:right w:w="45" w:type="dxa"/>
            </w:tcMar>
            <w:vAlign w:val="bottom"/>
            <w:hideMark/>
          </w:tcPr>
          <w:p w14:paraId="3338CDD5" w14:textId="77777777" w:rsidR="002F2BB2" w:rsidRPr="00532C61" w:rsidRDefault="002F2BB2" w:rsidP="0072694B">
            <w:pPr>
              <w:rPr>
                <w:sz w:val="22"/>
                <w:szCs w:val="22"/>
              </w:rPr>
            </w:pPr>
            <w:r w:rsidRPr="00532C61">
              <w:rPr>
                <w:sz w:val="22"/>
                <w:szCs w:val="22"/>
              </w:rPr>
              <w:t xml:space="preserve">    Weekly/Daily or almost daily</w:t>
            </w:r>
          </w:p>
        </w:tc>
        <w:tc>
          <w:tcPr>
            <w:tcW w:w="0" w:type="auto"/>
            <w:shd w:val="clear" w:color="auto" w:fill="auto"/>
            <w:tcMar>
              <w:top w:w="0" w:type="dxa"/>
              <w:left w:w="45" w:type="dxa"/>
              <w:bottom w:w="0" w:type="dxa"/>
              <w:right w:w="45" w:type="dxa"/>
            </w:tcMar>
            <w:vAlign w:val="bottom"/>
            <w:hideMark/>
          </w:tcPr>
          <w:p w14:paraId="253D3946" w14:textId="77777777" w:rsidR="002F2BB2" w:rsidRPr="00532C61" w:rsidRDefault="002F2BB2" w:rsidP="0072694B">
            <w:pPr>
              <w:jc w:val="right"/>
              <w:rPr>
                <w:sz w:val="22"/>
                <w:szCs w:val="22"/>
              </w:rPr>
            </w:pPr>
            <w:r w:rsidRPr="00532C61">
              <w:rPr>
                <w:sz w:val="22"/>
                <w:szCs w:val="22"/>
              </w:rPr>
              <w:t>2.03</w:t>
            </w:r>
          </w:p>
        </w:tc>
        <w:tc>
          <w:tcPr>
            <w:tcW w:w="0" w:type="auto"/>
            <w:shd w:val="clear" w:color="auto" w:fill="auto"/>
            <w:tcMar>
              <w:top w:w="0" w:type="dxa"/>
              <w:left w:w="45" w:type="dxa"/>
              <w:bottom w:w="0" w:type="dxa"/>
              <w:right w:w="45" w:type="dxa"/>
            </w:tcMar>
            <w:vAlign w:val="bottom"/>
            <w:hideMark/>
          </w:tcPr>
          <w:p w14:paraId="38CB048D" w14:textId="77777777" w:rsidR="002F2BB2" w:rsidRPr="00532C61" w:rsidRDefault="002F2BB2" w:rsidP="0072694B">
            <w:pPr>
              <w:jc w:val="right"/>
              <w:rPr>
                <w:sz w:val="22"/>
                <w:szCs w:val="22"/>
              </w:rPr>
            </w:pPr>
            <w:r w:rsidRPr="00532C61">
              <w:rPr>
                <w:sz w:val="22"/>
                <w:szCs w:val="22"/>
              </w:rPr>
              <w:t>0.90</w:t>
            </w:r>
          </w:p>
        </w:tc>
        <w:tc>
          <w:tcPr>
            <w:tcW w:w="0" w:type="auto"/>
            <w:shd w:val="clear" w:color="auto" w:fill="auto"/>
            <w:tcMar>
              <w:top w:w="0" w:type="dxa"/>
              <w:left w:w="45" w:type="dxa"/>
              <w:bottom w:w="0" w:type="dxa"/>
              <w:right w:w="45" w:type="dxa"/>
            </w:tcMar>
            <w:vAlign w:val="bottom"/>
            <w:hideMark/>
          </w:tcPr>
          <w:p w14:paraId="5F7A720F" w14:textId="77777777" w:rsidR="002F2BB2" w:rsidRPr="00532C61" w:rsidRDefault="002F2BB2" w:rsidP="0072694B">
            <w:pPr>
              <w:jc w:val="right"/>
              <w:rPr>
                <w:sz w:val="22"/>
                <w:szCs w:val="22"/>
              </w:rPr>
            </w:pPr>
            <w:r w:rsidRPr="00532C61">
              <w:rPr>
                <w:sz w:val="22"/>
                <w:szCs w:val="22"/>
              </w:rPr>
              <w:t>4.57</w:t>
            </w:r>
          </w:p>
        </w:tc>
        <w:tc>
          <w:tcPr>
            <w:tcW w:w="0" w:type="auto"/>
            <w:shd w:val="clear" w:color="auto" w:fill="auto"/>
            <w:tcMar>
              <w:top w:w="0" w:type="dxa"/>
              <w:left w:w="45" w:type="dxa"/>
              <w:bottom w:w="0" w:type="dxa"/>
              <w:right w:w="45" w:type="dxa"/>
            </w:tcMar>
            <w:vAlign w:val="bottom"/>
            <w:hideMark/>
          </w:tcPr>
          <w:p w14:paraId="7776854F" w14:textId="77777777" w:rsidR="002F2BB2" w:rsidRPr="00532C61" w:rsidRDefault="002F2BB2" w:rsidP="0072694B">
            <w:pPr>
              <w:jc w:val="right"/>
              <w:rPr>
                <w:bCs/>
                <w:sz w:val="22"/>
                <w:szCs w:val="22"/>
              </w:rPr>
            </w:pPr>
            <w:r w:rsidRPr="00532C61">
              <w:rPr>
                <w:bCs/>
                <w:sz w:val="22"/>
                <w:szCs w:val="22"/>
              </w:rPr>
              <w:t>0.088</w:t>
            </w:r>
          </w:p>
        </w:tc>
      </w:tr>
      <w:tr w:rsidR="002F2BB2" w:rsidRPr="00532C61" w14:paraId="6B40080C" w14:textId="77777777" w:rsidTr="0072694B">
        <w:trPr>
          <w:trHeight w:val="315"/>
        </w:trPr>
        <w:tc>
          <w:tcPr>
            <w:tcW w:w="0" w:type="auto"/>
            <w:shd w:val="clear" w:color="auto" w:fill="auto"/>
            <w:tcMar>
              <w:top w:w="0" w:type="dxa"/>
              <w:left w:w="45" w:type="dxa"/>
              <w:bottom w:w="0" w:type="dxa"/>
              <w:right w:w="45" w:type="dxa"/>
            </w:tcMar>
            <w:vAlign w:val="bottom"/>
            <w:hideMark/>
          </w:tcPr>
          <w:p w14:paraId="28726F1A" w14:textId="77777777" w:rsidR="002F2BB2" w:rsidRPr="00532C61" w:rsidRDefault="002F2BB2" w:rsidP="0072694B">
            <w:pPr>
              <w:rPr>
                <w:b/>
                <w:bCs/>
                <w:sz w:val="22"/>
                <w:szCs w:val="22"/>
              </w:rPr>
            </w:pPr>
            <w:r w:rsidRPr="00532C61">
              <w:rPr>
                <w:b/>
                <w:bCs/>
                <w:sz w:val="22"/>
                <w:szCs w:val="22"/>
              </w:rPr>
              <w:t>Used Tobacco in P6M (Ref: No)</w:t>
            </w:r>
          </w:p>
        </w:tc>
        <w:tc>
          <w:tcPr>
            <w:tcW w:w="0" w:type="auto"/>
            <w:shd w:val="clear" w:color="auto" w:fill="auto"/>
            <w:tcMar>
              <w:top w:w="0" w:type="dxa"/>
              <w:left w:w="45" w:type="dxa"/>
              <w:bottom w:w="0" w:type="dxa"/>
              <w:right w:w="45" w:type="dxa"/>
            </w:tcMar>
            <w:vAlign w:val="bottom"/>
            <w:hideMark/>
          </w:tcPr>
          <w:p w14:paraId="491CF164" w14:textId="77777777" w:rsidR="002F2BB2" w:rsidRPr="00532C61" w:rsidRDefault="002F2BB2" w:rsidP="0072694B">
            <w:pPr>
              <w:jc w:val="right"/>
              <w:rPr>
                <w:sz w:val="22"/>
                <w:szCs w:val="22"/>
              </w:rPr>
            </w:pPr>
            <w:r w:rsidRPr="00532C61">
              <w:rPr>
                <w:sz w:val="22"/>
                <w:szCs w:val="22"/>
              </w:rPr>
              <w:t>0.65</w:t>
            </w:r>
          </w:p>
        </w:tc>
        <w:tc>
          <w:tcPr>
            <w:tcW w:w="0" w:type="auto"/>
            <w:shd w:val="clear" w:color="auto" w:fill="auto"/>
            <w:tcMar>
              <w:top w:w="0" w:type="dxa"/>
              <w:left w:w="45" w:type="dxa"/>
              <w:bottom w:w="0" w:type="dxa"/>
              <w:right w:w="45" w:type="dxa"/>
            </w:tcMar>
            <w:vAlign w:val="bottom"/>
            <w:hideMark/>
          </w:tcPr>
          <w:p w14:paraId="766564F6" w14:textId="77777777" w:rsidR="002F2BB2" w:rsidRPr="00532C61" w:rsidRDefault="002F2BB2" w:rsidP="0072694B">
            <w:pPr>
              <w:jc w:val="right"/>
              <w:rPr>
                <w:sz w:val="22"/>
                <w:szCs w:val="22"/>
              </w:rPr>
            </w:pPr>
            <w:r w:rsidRPr="00532C61">
              <w:rPr>
                <w:sz w:val="22"/>
                <w:szCs w:val="22"/>
              </w:rPr>
              <w:t>0.37</w:t>
            </w:r>
          </w:p>
        </w:tc>
        <w:tc>
          <w:tcPr>
            <w:tcW w:w="0" w:type="auto"/>
            <w:shd w:val="clear" w:color="auto" w:fill="auto"/>
            <w:tcMar>
              <w:top w:w="0" w:type="dxa"/>
              <w:left w:w="45" w:type="dxa"/>
              <w:bottom w:w="0" w:type="dxa"/>
              <w:right w:w="45" w:type="dxa"/>
            </w:tcMar>
            <w:vAlign w:val="bottom"/>
            <w:hideMark/>
          </w:tcPr>
          <w:p w14:paraId="2ADF3731" w14:textId="77777777" w:rsidR="002F2BB2" w:rsidRPr="00532C61" w:rsidRDefault="002F2BB2" w:rsidP="0072694B">
            <w:pPr>
              <w:jc w:val="right"/>
              <w:rPr>
                <w:sz w:val="22"/>
                <w:szCs w:val="22"/>
              </w:rPr>
            </w:pPr>
            <w:r w:rsidRPr="00532C61">
              <w:rPr>
                <w:sz w:val="22"/>
                <w:szCs w:val="22"/>
              </w:rPr>
              <w:t>1.12</w:t>
            </w:r>
          </w:p>
        </w:tc>
        <w:tc>
          <w:tcPr>
            <w:tcW w:w="0" w:type="auto"/>
            <w:shd w:val="clear" w:color="auto" w:fill="auto"/>
            <w:tcMar>
              <w:top w:w="0" w:type="dxa"/>
              <w:left w:w="45" w:type="dxa"/>
              <w:bottom w:w="0" w:type="dxa"/>
              <w:right w:w="45" w:type="dxa"/>
            </w:tcMar>
            <w:vAlign w:val="bottom"/>
            <w:hideMark/>
          </w:tcPr>
          <w:p w14:paraId="50551629" w14:textId="77777777" w:rsidR="002F2BB2" w:rsidRPr="00532C61" w:rsidRDefault="002F2BB2" w:rsidP="0072694B">
            <w:pPr>
              <w:jc w:val="right"/>
              <w:rPr>
                <w:sz w:val="22"/>
                <w:szCs w:val="22"/>
              </w:rPr>
            </w:pPr>
            <w:r w:rsidRPr="00532C61">
              <w:rPr>
                <w:bCs/>
                <w:sz w:val="22"/>
                <w:szCs w:val="22"/>
              </w:rPr>
              <w:t>0.121</w:t>
            </w:r>
          </w:p>
        </w:tc>
      </w:tr>
      <w:tr w:rsidR="002F2BB2" w:rsidRPr="00532C61" w14:paraId="5FF8852A" w14:textId="77777777" w:rsidTr="0072694B">
        <w:trPr>
          <w:trHeight w:val="315"/>
        </w:trPr>
        <w:tc>
          <w:tcPr>
            <w:tcW w:w="0" w:type="auto"/>
            <w:shd w:val="clear" w:color="auto" w:fill="auto"/>
            <w:tcMar>
              <w:top w:w="0" w:type="dxa"/>
              <w:left w:w="45" w:type="dxa"/>
              <w:bottom w:w="0" w:type="dxa"/>
              <w:right w:w="45" w:type="dxa"/>
            </w:tcMar>
            <w:vAlign w:val="bottom"/>
            <w:hideMark/>
          </w:tcPr>
          <w:p w14:paraId="12819672" w14:textId="77777777" w:rsidR="002F2BB2" w:rsidRPr="00532C61" w:rsidRDefault="002F2BB2" w:rsidP="0072694B">
            <w:pPr>
              <w:rPr>
                <w:b/>
                <w:bCs/>
                <w:sz w:val="22"/>
                <w:szCs w:val="22"/>
              </w:rPr>
            </w:pPr>
            <w:r w:rsidRPr="00532C61">
              <w:rPr>
                <w:b/>
                <w:bCs/>
                <w:sz w:val="22"/>
                <w:szCs w:val="22"/>
              </w:rPr>
              <w:t>Used Poppers in P6M (Ref: No)</w:t>
            </w:r>
          </w:p>
        </w:tc>
        <w:tc>
          <w:tcPr>
            <w:tcW w:w="0" w:type="auto"/>
            <w:shd w:val="clear" w:color="auto" w:fill="auto"/>
            <w:tcMar>
              <w:top w:w="0" w:type="dxa"/>
              <w:left w:w="45" w:type="dxa"/>
              <w:bottom w:w="0" w:type="dxa"/>
              <w:right w:w="45" w:type="dxa"/>
            </w:tcMar>
            <w:vAlign w:val="bottom"/>
            <w:hideMark/>
          </w:tcPr>
          <w:p w14:paraId="10753E0D" w14:textId="77777777" w:rsidR="002F2BB2" w:rsidRPr="00532C61" w:rsidRDefault="002F2BB2" w:rsidP="0072694B">
            <w:pPr>
              <w:jc w:val="right"/>
              <w:rPr>
                <w:sz w:val="22"/>
                <w:szCs w:val="22"/>
              </w:rPr>
            </w:pPr>
            <w:r w:rsidRPr="00532C61">
              <w:rPr>
                <w:b/>
                <w:sz w:val="22"/>
                <w:szCs w:val="22"/>
              </w:rPr>
              <w:t>0.53</w:t>
            </w:r>
          </w:p>
        </w:tc>
        <w:tc>
          <w:tcPr>
            <w:tcW w:w="0" w:type="auto"/>
            <w:shd w:val="clear" w:color="auto" w:fill="auto"/>
            <w:tcMar>
              <w:top w:w="0" w:type="dxa"/>
              <w:left w:w="45" w:type="dxa"/>
              <w:bottom w:w="0" w:type="dxa"/>
              <w:right w:w="45" w:type="dxa"/>
            </w:tcMar>
            <w:vAlign w:val="bottom"/>
            <w:hideMark/>
          </w:tcPr>
          <w:p w14:paraId="7CDA39C2" w14:textId="77777777" w:rsidR="002F2BB2" w:rsidRPr="00532C61" w:rsidRDefault="002F2BB2" w:rsidP="0072694B">
            <w:pPr>
              <w:jc w:val="right"/>
              <w:rPr>
                <w:sz w:val="22"/>
                <w:szCs w:val="22"/>
              </w:rPr>
            </w:pPr>
            <w:r w:rsidRPr="00532C61">
              <w:rPr>
                <w:b/>
                <w:sz w:val="22"/>
                <w:szCs w:val="22"/>
              </w:rPr>
              <w:t>0.29</w:t>
            </w:r>
          </w:p>
        </w:tc>
        <w:tc>
          <w:tcPr>
            <w:tcW w:w="0" w:type="auto"/>
            <w:shd w:val="clear" w:color="auto" w:fill="auto"/>
            <w:tcMar>
              <w:top w:w="0" w:type="dxa"/>
              <w:left w:w="45" w:type="dxa"/>
              <w:bottom w:w="0" w:type="dxa"/>
              <w:right w:w="45" w:type="dxa"/>
            </w:tcMar>
            <w:vAlign w:val="bottom"/>
            <w:hideMark/>
          </w:tcPr>
          <w:p w14:paraId="5AE6BACA" w14:textId="77777777" w:rsidR="002F2BB2" w:rsidRPr="00532C61" w:rsidRDefault="002F2BB2" w:rsidP="0072694B">
            <w:pPr>
              <w:jc w:val="right"/>
              <w:rPr>
                <w:sz w:val="22"/>
                <w:szCs w:val="22"/>
              </w:rPr>
            </w:pPr>
            <w:r w:rsidRPr="00532C61">
              <w:rPr>
                <w:b/>
                <w:sz w:val="22"/>
                <w:szCs w:val="22"/>
              </w:rPr>
              <w:t>0.96</w:t>
            </w:r>
          </w:p>
        </w:tc>
        <w:tc>
          <w:tcPr>
            <w:tcW w:w="0" w:type="auto"/>
            <w:shd w:val="clear" w:color="auto" w:fill="auto"/>
            <w:tcMar>
              <w:top w:w="0" w:type="dxa"/>
              <w:left w:w="45" w:type="dxa"/>
              <w:bottom w:w="0" w:type="dxa"/>
              <w:right w:w="45" w:type="dxa"/>
            </w:tcMar>
            <w:vAlign w:val="bottom"/>
            <w:hideMark/>
          </w:tcPr>
          <w:p w14:paraId="6098C633" w14:textId="77777777" w:rsidR="002F2BB2" w:rsidRPr="00532C61" w:rsidRDefault="002F2BB2" w:rsidP="0072694B">
            <w:pPr>
              <w:jc w:val="right"/>
              <w:rPr>
                <w:sz w:val="22"/>
                <w:szCs w:val="22"/>
              </w:rPr>
            </w:pPr>
            <w:r w:rsidRPr="00532C61">
              <w:rPr>
                <w:b/>
                <w:bCs/>
                <w:sz w:val="22"/>
                <w:szCs w:val="22"/>
              </w:rPr>
              <w:t>0.037</w:t>
            </w:r>
          </w:p>
        </w:tc>
      </w:tr>
      <w:tr w:rsidR="002F2BB2" w:rsidRPr="00532C61" w14:paraId="3BCC708D" w14:textId="77777777" w:rsidTr="0072694B">
        <w:trPr>
          <w:trHeight w:val="315"/>
        </w:trPr>
        <w:tc>
          <w:tcPr>
            <w:tcW w:w="0" w:type="auto"/>
            <w:shd w:val="clear" w:color="auto" w:fill="auto"/>
            <w:tcMar>
              <w:top w:w="0" w:type="dxa"/>
              <w:left w:w="45" w:type="dxa"/>
              <w:bottom w:w="0" w:type="dxa"/>
              <w:right w:w="45" w:type="dxa"/>
            </w:tcMar>
            <w:vAlign w:val="bottom"/>
            <w:hideMark/>
          </w:tcPr>
          <w:p w14:paraId="5C199903" w14:textId="77777777" w:rsidR="002F2BB2" w:rsidRPr="00532C61" w:rsidRDefault="002F2BB2" w:rsidP="0072694B">
            <w:pPr>
              <w:rPr>
                <w:b/>
                <w:bCs/>
                <w:sz w:val="22"/>
                <w:szCs w:val="22"/>
              </w:rPr>
            </w:pPr>
            <w:r w:rsidRPr="00532C61">
              <w:rPr>
                <w:b/>
                <w:bCs/>
                <w:sz w:val="22"/>
                <w:szCs w:val="22"/>
              </w:rPr>
              <w:t>Used GHB in P6M (Ref: No)</w:t>
            </w:r>
          </w:p>
        </w:tc>
        <w:tc>
          <w:tcPr>
            <w:tcW w:w="0" w:type="auto"/>
            <w:shd w:val="clear" w:color="auto" w:fill="auto"/>
            <w:tcMar>
              <w:top w:w="0" w:type="dxa"/>
              <w:left w:w="45" w:type="dxa"/>
              <w:bottom w:w="0" w:type="dxa"/>
              <w:right w:w="45" w:type="dxa"/>
            </w:tcMar>
            <w:vAlign w:val="bottom"/>
            <w:hideMark/>
          </w:tcPr>
          <w:p w14:paraId="5D0FF27D" w14:textId="77777777" w:rsidR="002F2BB2" w:rsidRPr="00532C61" w:rsidRDefault="002F2BB2" w:rsidP="0072694B">
            <w:pPr>
              <w:jc w:val="right"/>
              <w:rPr>
                <w:sz w:val="22"/>
                <w:szCs w:val="22"/>
              </w:rPr>
            </w:pPr>
            <w:r w:rsidRPr="00532C61">
              <w:rPr>
                <w:b/>
                <w:sz w:val="22"/>
                <w:szCs w:val="22"/>
              </w:rPr>
              <w:t>0.26</w:t>
            </w:r>
          </w:p>
        </w:tc>
        <w:tc>
          <w:tcPr>
            <w:tcW w:w="0" w:type="auto"/>
            <w:shd w:val="clear" w:color="auto" w:fill="auto"/>
            <w:tcMar>
              <w:top w:w="0" w:type="dxa"/>
              <w:left w:w="45" w:type="dxa"/>
              <w:bottom w:w="0" w:type="dxa"/>
              <w:right w:w="45" w:type="dxa"/>
            </w:tcMar>
            <w:vAlign w:val="bottom"/>
            <w:hideMark/>
          </w:tcPr>
          <w:p w14:paraId="47D67C8D" w14:textId="77777777" w:rsidR="002F2BB2" w:rsidRPr="00532C61" w:rsidRDefault="002F2BB2" w:rsidP="0072694B">
            <w:pPr>
              <w:jc w:val="right"/>
              <w:rPr>
                <w:sz w:val="22"/>
                <w:szCs w:val="22"/>
              </w:rPr>
            </w:pPr>
            <w:r w:rsidRPr="00532C61">
              <w:rPr>
                <w:b/>
                <w:sz w:val="22"/>
                <w:szCs w:val="22"/>
              </w:rPr>
              <w:t>0.14</w:t>
            </w:r>
          </w:p>
        </w:tc>
        <w:tc>
          <w:tcPr>
            <w:tcW w:w="0" w:type="auto"/>
            <w:shd w:val="clear" w:color="auto" w:fill="auto"/>
            <w:tcMar>
              <w:top w:w="0" w:type="dxa"/>
              <w:left w:w="45" w:type="dxa"/>
              <w:bottom w:w="0" w:type="dxa"/>
              <w:right w:w="45" w:type="dxa"/>
            </w:tcMar>
            <w:vAlign w:val="bottom"/>
            <w:hideMark/>
          </w:tcPr>
          <w:p w14:paraId="0A751095" w14:textId="77777777" w:rsidR="002F2BB2" w:rsidRPr="00532C61" w:rsidRDefault="002F2BB2" w:rsidP="0072694B">
            <w:pPr>
              <w:jc w:val="right"/>
              <w:rPr>
                <w:sz w:val="22"/>
                <w:szCs w:val="22"/>
              </w:rPr>
            </w:pPr>
            <w:r w:rsidRPr="00532C61">
              <w:rPr>
                <w:b/>
                <w:sz w:val="22"/>
                <w:szCs w:val="22"/>
              </w:rPr>
              <w:t>0.49</w:t>
            </w:r>
          </w:p>
        </w:tc>
        <w:tc>
          <w:tcPr>
            <w:tcW w:w="0" w:type="auto"/>
            <w:shd w:val="clear" w:color="auto" w:fill="auto"/>
            <w:tcMar>
              <w:top w:w="0" w:type="dxa"/>
              <w:left w:w="45" w:type="dxa"/>
              <w:bottom w:w="0" w:type="dxa"/>
              <w:right w:w="45" w:type="dxa"/>
            </w:tcMar>
            <w:vAlign w:val="bottom"/>
            <w:hideMark/>
          </w:tcPr>
          <w:p w14:paraId="4809D20F" w14:textId="77777777" w:rsidR="002F2BB2" w:rsidRPr="00532C61" w:rsidRDefault="002F2BB2" w:rsidP="0072694B">
            <w:pPr>
              <w:jc w:val="right"/>
              <w:rPr>
                <w:sz w:val="22"/>
                <w:szCs w:val="22"/>
              </w:rPr>
            </w:pPr>
            <w:r w:rsidRPr="00532C61">
              <w:rPr>
                <w:b/>
                <w:bCs/>
                <w:sz w:val="22"/>
                <w:szCs w:val="22"/>
              </w:rPr>
              <w:t>&lt;.0001</w:t>
            </w:r>
          </w:p>
        </w:tc>
      </w:tr>
      <w:tr w:rsidR="002F2BB2" w:rsidRPr="00532C61" w14:paraId="28861FB4" w14:textId="77777777" w:rsidTr="0072694B">
        <w:trPr>
          <w:trHeight w:val="315"/>
        </w:trPr>
        <w:tc>
          <w:tcPr>
            <w:tcW w:w="0" w:type="auto"/>
            <w:shd w:val="clear" w:color="auto" w:fill="auto"/>
            <w:tcMar>
              <w:top w:w="0" w:type="dxa"/>
              <w:left w:w="45" w:type="dxa"/>
              <w:bottom w:w="0" w:type="dxa"/>
              <w:right w:w="45" w:type="dxa"/>
            </w:tcMar>
            <w:vAlign w:val="bottom"/>
            <w:hideMark/>
          </w:tcPr>
          <w:p w14:paraId="2D06A8AA" w14:textId="77777777" w:rsidR="002F2BB2" w:rsidRPr="00532C61" w:rsidRDefault="002F2BB2" w:rsidP="0072694B">
            <w:pPr>
              <w:rPr>
                <w:b/>
                <w:bCs/>
                <w:sz w:val="22"/>
                <w:szCs w:val="22"/>
              </w:rPr>
            </w:pPr>
            <w:r w:rsidRPr="00532C61">
              <w:rPr>
                <w:b/>
                <w:bCs/>
                <w:sz w:val="22"/>
                <w:szCs w:val="22"/>
              </w:rPr>
              <w:t>Used Ecstasy in P6M (Ref: No)</w:t>
            </w:r>
          </w:p>
        </w:tc>
        <w:tc>
          <w:tcPr>
            <w:tcW w:w="0" w:type="auto"/>
            <w:shd w:val="clear" w:color="auto" w:fill="auto"/>
            <w:tcMar>
              <w:top w:w="0" w:type="dxa"/>
              <w:left w:w="45" w:type="dxa"/>
              <w:bottom w:w="0" w:type="dxa"/>
              <w:right w:w="45" w:type="dxa"/>
            </w:tcMar>
            <w:vAlign w:val="bottom"/>
            <w:hideMark/>
          </w:tcPr>
          <w:p w14:paraId="73815A9F" w14:textId="77777777" w:rsidR="002F2BB2" w:rsidRPr="00532C61" w:rsidRDefault="002F2BB2" w:rsidP="0072694B">
            <w:pPr>
              <w:jc w:val="right"/>
              <w:rPr>
                <w:sz w:val="22"/>
                <w:szCs w:val="22"/>
              </w:rPr>
            </w:pPr>
            <w:r w:rsidRPr="00532C61">
              <w:rPr>
                <w:b/>
                <w:sz w:val="22"/>
                <w:szCs w:val="22"/>
              </w:rPr>
              <w:t>0.46</w:t>
            </w:r>
          </w:p>
        </w:tc>
        <w:tc>
          <w:tcPr>
            <w:tcW w:w="0" w:type="auto"/>
            <w:shd w:val="clear" w:color="auto" w:fill="auto"/>
            <w:tcMar>
              <w:top w:w="0" w:type="dxa"/>
              <w:left w:w="45" w:type="dxa"/>
              <w:bottom w:w="0" w:type="dxa"/>
              <w:right w:w="45" w:type="dxa"/>
            </w:tcMar>
            <w:vAlign w:val="bottom"/>
            <w:hideMark/>
          </w:tcPr>
          <w:p w14:paraId="447E6FEF" w14:textId="77777777" w:rsidR="002F2BB2" w:rsidRPr="00532C61" w:rsidRDefault="002F2BB2" w:rsidP="0072694B">
            <w:pPr>
              <w:jc w:val="right"/>
              <w:rPr>
                <w:sz w:val="22"/>
                <w:szCs w:val="22"/>
              </w:rPr>
            </w:pPr>
            <w:r w:rsidRPr="00532C61">
              <w:rPr>
                <w:b/>
                <w:sz w:val="22"/>
                <w:szCs w:val="22"/>
              </w:rPr>
              <w:t>0.24</w:t>
            </w:r>
          </w:p>
        </w:tc>
        <w:tc>
          <w:tcPr>
            <w:tcW w:w="0" w:type="auto"/>
            <w:shd w:val="clear" w:color="auto" w:fill="auto"/>
            <w:tcMar>
              <w:top w:w="0" w:type="dxa"/>
              <w:left w:w="45" w:type="dxa"/>
              <w:bottom w:w="0" w:type="dxa"/>
              <w:right w:w="45" w:type="dxa"/>
            </w:tcMar>
            <w:vAlign w:val="bottom"/>
            <w:hideMark/>
          </w:tcPr>
          <w:p w14:paraId="41990C80" w14:textId="77777777" w:rsidR="002F2BB2" w:rsidRPr="00532C61" w:rsidRDefault="002F2BB2" w:rsidP="0072694B">
            <w:pPr>
              <w:jc w:val="right"/>
              <w:rPr>
                <w:sz w:val="22"/>
                <w:szCs w:val="22"/>
              </w:rPr>
            </w:pPr>
            <w:r w:rsidRPr="00532C61">
              <w:rPr>
                <w:b/>
                <w:sz w:val="22"/>
                <w:szCs w:val="22"/>
              </w:rPr>
              <w:t>0.89</w:t>
            </w:r>
          </w:p>
        </w:tc>
        <w:tc>
          <w:tcPr>
            <w:tcW w:w="0" w:type="auto"/>
            <w:shd w:val="clear" w:color="auto" w:fill="auto"/>
            <w:tcMar>
              <w:top w:w="0" w:type="dxa"/>
              <w:left w:w="45" w:type="dxa"/>
              <w:bottom w:w="0" w:type="dxa"/>
              <w:right w:w="45" w:type="dxa"/>
            </w:tcMar>
            <w:vAlign w:val="bottom"/>
            <w:hideMark/>
          </w:tcPr>
          <w:p w14:paraId="27815AD3" w14:textId="77777777" w:rsidR="002F2BB2" w:rsidRPr="00532C61" w:rsidRDefault="002F2BB2" w:rsidP="0072694B">
            <w:pPr>
              <w:jc w:val="right"/>
              <w:rPr>
                <w:sz w:val="22"/>
                <w:szCs w:val="22"/>
              </w:rPr>
            </w:pPr>
            <w:r w:rsidRPr="00532C61">
              <w:rPr>
                <w:b/>
                <w:bCs/>
                <w:sz w:val="22"/>
                <w:szCs w:val="22"/>
              </w:rPr>
              <w:t>0.021</w:t>
            </w:r>
          </w:p>
        </w:tc>
      </w:tr>
      <w:tr w:rsidR="002F2BB2" w:rsidRPr="00532C61" w14:paraId="633D784E" w14:textId="77777777" w:rsidTr="0072694B">
        <w:trPr>
          <w:trHeight w:val="315"/>
        </w:trPr>
        <w:tc>
          <w:tcPr>
            <w:tcW w:w="0" w:type="auto"/>
            <w:shd w:val="clear" w:color="auto" w:fill="auto"/>
            <w:tcMar>
              <w:top w:w="0" w:type="dxa"/>
              <w:left w:w="45" w:type="dxa"/>
              <w:bottom w:w="0" w:type="dxa"/>
              <w:right w:w="45" w:type="dxa"/>
            </w:tcMar>
            <w:vAlign w:val="bottom"/>
            <w:hideMark/>
          </w:tcPr>
          <w:p w14:paraId="3C7B0812" w14:textId="77777777" w:rsidR="002F2BB2" w:rsidRPr="00532C61" w:rsidRDefault="002F2BB2" w:rsidP="0072694B">
            <w:pPr>
              <w:rPr>
                <w:b/>
                <w:bCs/>
                <w:sz w:val="22"/>
                <w:szCs w:val="22"/>
              </w:rPr>
            </w:pPr>
            <w:r w:rsidRPr="00532C61">
              <w:rPr>
                <w:b/>
                <w:bCs/>
                <w:sz w:val="22"/>
                <w:szCs w:val="22"/>
              </w:rPr>
              <w:t>Used Cocaine in P6M (Ref: No)</w:t>
            </w:r>
          </w:p>
        </w:tc>
        <w:tc>
          <w:tcPr>
            <w:tcW w:w="0" w:type="auto"/>
            <w:shd w:val="clear" w:color="auto" w:fill="auto"/>
            <w:tcMar>
              <w:top w:w="0" w:type="dxa"/>
              <w:left w:w="45" w:type="dxa"/>
              <w:bottom w:w="0" w:type="dxa"/>
              <w:right w:w="45" w:type="dxa"/>
            </w:tcMar>
            <w:vAlign w:val="bottom"/>
            <w:hideMark/>
          </w:tcPr>
          <w:p w14:paraId="56F15F8C" w14:textId="77777777" w:rsidR="002F2BB2" w:rsidRPr="00532C61" w:rsidRDefault="002F2BB2" w:rsidP="0072694B">
            <w:pPr>
              <w:jc w:val="right"/>
              <w:rPr>
                <w:sz w:val="22"/>
                <w:szCs w:val="22"/>
              </w:rPr>
            </w:pPr>
            <w:r w:rsidRPr="00532C61">
              <w:rPr>
                <w:sz w:val="22"/>
                <w:szCs w:val="22"/>
              </w:rPr>
              <w:t>0.60</w:t>
            </w:r>
          </w:p>
        </w:tc>
        <w:tc>
          <w:tcPr>
            <w:tcW w:w="0" w:type="auto"/>
            <w:shd w:val="clear" w:color="auto" w:fill="auto"/>
            <w:tcMar>
              <w:top w:w="0" w:type="dxa"/>
              <w:left w:w="45" w:type="dxa"/>
              <w:bottom w:w="0" w:type="dxa"/>
              <w:right w:w="45" w:type="dxa"/>
            </w:tcMar>
            <w:vAlign w:val="bottom"/>
            <w:hideMark/>
          </w:tcPr>
          <w:p w14:paraId="04EB62DE" w14:textId="77777777" w:rsidR="002F2BB2" w:rsidRPr="00532C61" w:rsidRDefault="002F2BB2" w:rsidP="0072694B">
            <w:pPr>
              <w:jc w:val="right"/>
              <w:rPr>
                <w:sz w:val="22"/>
                <w:szCs w:val="22"/>
              </w:rPr>
            </w:pPr>
            <w:r w:rsidRPr="00532C61">
              <w:rPr>
                <w:sz w:val="22"/>
                <w:szCs w:val="22"/>
              </w:rPr>
              <w:t>0.28</w:t>
            </w:r>
          </w:p>
        </w:tc>
        <w:tc>
          <w:tcPr>
            <w:tcW w:w="0" w:type="auto"/>
            <w:shd w:val="clear" w:color="auto" w:fill="auto"/>
            <w:tcMar>
              <w:top w:w="0" w:type="dxa"/>
              <w:left w:w="45" w:type="dxa"/>
              <w:bottom w:w="0" w:type="dxa"/>
              <w:right w:w="45" w:type="dxa"/>
            </w:tcMar>
            <w:vAlign w:val="bottom"/>
            <w:hideMark/>
          </w:tcPr>
          <w:p w14:paraId="553C8C6E" w14:textId="77777777" w:rsidR="002F2BB2" w:rsidRPr="00532C61" w:rsidRDefault="002F2BB2" w:rsidP="0072694B">
            <w:pPr>
              <w:jc w:val="right"/>
              <w:rPr>
                <w:sz w:val="22"/>
                <w:szCs w:val="22"/>
              </w:rPr>
            </w:pPr>
            <w:r w:rsidRPr="00532C61">
              <w:rPr>
                <w:sz w:val="22"/>
                <w:szCs w:val="22"/>
              </w:rPr>
              <w:t>1.25</w:t>
            </w:r>
          </w:p>
        </w:tc>
        <w:tc>
          <w:tcPr>
            <w:tcW w:w="0" w:type="auto"/>
            <w:shd w:val="clear" w:color="auto" w:fill="auto"/>
            <w:tcMar>
              <w:top w:w="0" w:type="dxa"/>
              <w:left w:w="45" w:type="dxa"/>
              <w:bottom w:w="0" w:type="dxa"/>
              <w:right w:w="45" w:type="dxa"/>
            </w:tcMar>
            <w:vAlign w:val="bottom"/>
            <w:hideMark/>
          </w:tcPr>
          <w:p w14:paraId="0EE43121" w14:textId="77777777" w:rsidR="002F2BB2" w:rsidRPr="00532C61" w:rsidRDefault="002F2BB2" w:rsidP="0072694B">
            <w:pPr>
              <w:jc w:val="right"/>
              <w:rPr>
                <w:sz w:val="22"/>
                <w:szCs w:val="22"/>
              </w:rPr>
            </w:pPr>
            <w:r w:rsidRPr="00532C61">
              <w:rPr>
                <w:bCs/>
                <w:sz w:val="22"/>
                <w:szCs w:val="22"/>
              </w:rPr>
              <w:t>0.169</w:t>
            </w:r>
          </w:p>
        </w:tc>
      </w:tr>
      <w:tr w:rsidR="002F2BB2" w:rsidRPr="00532C61" w14:paraId="728645B1" w14:textId="77777777" w:rsidTr="0072694B">
        <w:trPr>
          <w:trHeight w:val="315"/>
        </w:trPr>
        <w:tc>
          <w:tcPr>
            <w:tcW w:w="0" w:type="auto"/>
            <w:shd w:val="clear" w:color="auto" w:fill="auto"/>
            <w:tcMar>
              <w:top w:w="0" w:type="dxa"/>
              <w:left w:w="45" w:type="dxa"/>
              <w:bottom w:w="0" w:type="dxa"/>
              <w:right w:w="45" w:type="dxa"/>
            </w:tcMar>
            <w:vAlign w:val="bottom"/>
            <w:hideMark/>
          </w:tcPr>
          <w:p w14:paraId="483D46D1" w14:textId="77777777" w:rsidR="002F2BB2" w:rsidRPr="00532C61" w:rsidRDefault="002F2BB2" w:rsidP="0072694B">
            <w:pPr>
              <w:rPr>
                <w:b/>
                <w:bCs/>
                <w:sz w:val="22"/>
                <w:szCs w:val="22"/>
              </w:rPr>
            </w:pPr>
            <w:r w:rsidRPr="00532C61">
              <w:rPr>
                <w:b/>
                <w:bCs/>
                <w:sz w:val="22"/>
                <w:szCs w:val="22"/>
              </w:rPr>
              <w:t>Used Ketamine in P6M (Ref: No)</w:t>
            </w:r>
          </w:p>
        </w:tc>
        <w:tc>
          <w:tcPr>
            <w:tcW w:w="0" w:type="auto"/>
            <w:shd w:val="clear" w:color="auto" w:fill="auto"/>
            <w:tcMar>
              <w:top w:w="0" w:type="dxa"/>
              <w:left w:w="45" w:type="dxa"/>
              <w:bottom w:w="0" w:type="dxa"/>
              <w:right w:w="45" w:type="dxa"/>
            </w:tcMar>
            <w:vAlign w:val="bottom"/>
            <w:hideMark/>
          </w:tcPr>
          <w:p w14:paraId="71D28AC7" w14:textId="77777777" w:rsidR="002F2BB2" w:rsidRPr="00532C61" w:rsidRDefault="002F2BB2" w:rsidP="0072694B">
            <w:pPr>
              <w:jc w:val="right"/>
              <w:rPr>
                <w:sz w:val="22"/>
                <w:szCs w:val="22"/>
              </w:rPr>
            </w:pPr>
            <w:r w:rsidRPr="00532C61">
              <w:rPr>
                <w:b/>
                <w:sz w:val="22"/>
                <w:szCs w:val="22"/>
              </w:rPr>
              <w:t>0.37</w:t>
            </w:r>
          </w:p>
        </w:tc>
        <w:tc>
          <w:tcPr>
            <w:tcW w:w="0" w:type="auto"/>
            <w:shd w:val="clear" w:color="auto" w:fill="auto"/>
            <w:tcMar>
              <w:top w:w="0" w:type="dxa"/>
              <w:left w:w="45" w:type="dxa"/>
              <w:bottom w:w="0" w:type="dxa"/>
              <w:right w:w="45" w:type="dxa"/>
            </w:tcMar>
            <w:vAlign w:val="bottom"/>
            <w:hideMark/>
          </w:tcPr>
          <w:p w14:paraId="3522DFBE" w14:textId="77777777" w:rsidR="002F2BB2" w:rsidRPr="00532C61" w:rsidRDefault="002F2BB2" w:rsidP="0072694B">
            <w:pPr>
              <w:jc w:val="right"/>
              <w:rPr>
                <w:sz w:val="22"/>
                <w:szCs w:val="22"/>
              </w:rPr>
            </w:pPr>
            <w:r w:rsidRPr="00532C61">
              <w:rPr>
                <w:b/>
                <w:sz w:val="22"/>
                <w:szCs w:val="22"/>
              </w:rPr>
              <w:t>0.18</w:t>
            </w:r>
          </w:p>
        </w:tc>
        <w:tc>
          <w:tcPr>
            <w:tcW w:w="0" w:type="auto"/>
            <w:shd w:val="clear" w:color="auto" w:fill="auto"/>
            <w:tcMar>
              <w:top w:w="0" w:type="dxa"/>
              <w:left w:w="45" w:type="dxa"/>
              <w:bottom w:w="0" w:type="dxa"/>
              <w:right w:w="45" w:type="dxa"/>
            </w:tcMar>
            <w:vAlign w:val="bottom"/>
            <w:hideMark/>
          </w:tcPr>
          <w:p w14:paraId="15EE41C9" w14:textId="77777777" w:rsidR="002F2BB2" w:rsidRPr="00532C61" w:rsidRDefault="002F2BB2" w:rsidP="0072694B">
            <w:pPr>
              <w:jc w:val="right"/>
              <w:rPr>
                <w:sz w:val="22"/>
                <w:szCs w:val="22"/>
              </w:rPr>
            </w:pPr>
            <w:r w:rsidRPr="00532C61">
              <w:rPr>
                <w:b/>
                <w:sz w:val="22"/>
                <w:szCs w:val="22"/>
              </w:rPr>
              <w:t>0.76</w:t>
            </w:r>
          </w:p>
        </w:tc>
        <w:tc>
          <w:tcPr>
            <w:tcW w:w="0" w:type="auto"/>
            <w:shd w:val="clear" w:color="auto" w:fill="auto"/>
            <w:tcMar>
              <w:top w:w="0" w:type="dxa"/>
              <w:left w:w="45" w:type="dxa"/>
              <w:bottom w:w="0" w:type="dxa"/>
              <w:right w:w="45" w:type="dxa"/>
            </w:tcMar>
            <w:vAlign w:val="bottom"/>
            <w:hideMark/>
          </w:tcPr>
          <w:p w14:paraId="705E739D" w14:textId="77777777" w:rsidR="002F2BB2" w:rsidRPr="00532C61" w:rsidRDefault="002F2BB2" w:rsidP="0072694B">
            <w:pPr>
              <w:jc w:val="right"/>
              <w:rPr>
                <w:sz w:val="22"/>
                <w:szCs w:val="22"/>
              </w:rPr>
            </w:pPr>
            <w:r w:rsidRPr="00532C61">
              <w:rPr>
                <w:b/>
                <w:bCs/>
                <w:sz w:val="22"/>
                <w:szCs w:val="22"/>
              </w:rPr>
              <w:t>0.007</w:t>
            </w:r>
          </w:p>
        </w:tc>
      </w:tr>
      <w:tr w:rsidR="002F2BB2" w:rsidRPr="00532C61" w14:paraId="3BFCC4DF" w14:textId="77777777" w:rsidTr="0072694B">
        <w:trPr>
          <w:trHeight w:val="315"/>
        </w:trPr>
        <w:tc>
          <w:tcPr>
            <w:tcW w:w="0" w:type="auto"/>
            <w:shd w:val="clear" w:color="auto" w:fill="auto"/>
            <w:tcMar>
              <w:top w:w="0" w:type="dxa"/>
              <w:left w:w="45" w:type="dxa"/>
              <w:bottom w:w="0" w:type="dxa"/>
              <w:right w:w="45" w:type="dxa"/>
            </w:tcMar>
            <w:vAlign w:val="bottom"/>
            <w:hideMark/>
          </w:tcPr>
          <w:p w14:paraId="242C9AA7" w14:textId="77777777" w:rsidR="002F2BB2" w:rsidRPr="00532C61" w:rsidRDefault="002F2BB2" w:rsidP="0072694B">
            <w:pPr>
              <w:rPr>
                <w:b/>
                <w:bCs/>
                <w:sz w:val="22"/>
                <w:szCs w:val="22"/>
              </w:rPr>
            </w:pPr>
            <w:r w:rsidRPr="00532C61">
              <w:rPr>
                <w:b/>
                <w:bCs/>
                <w:sz w:val="22"/>
                <w:szCs w:val="22"/>
              </w:rPr>
              <w:t>Used Crack in P6M (Ref: No)</w:t>
            </w:r>
          </w:p>
        </w:tc>
        <w:tc>
          <w:tcPr>
            <w:tcW w:w="0" w:type="auto"/>
            <w:shd w:val="clear" w:color="auto" w:fill="auto"/>
            <w:tcMar>
              <w:top w:w="0" w:type="dxa"/>
              <w:left w:w="45" w:type="dxa"/>
              <w:bottom w:w="0" w:type="dxa"/>
              <w:right w:w="45" w:type="dxa"/>
            </w:tcMar>
            <w:vAlign w:val="bottom"/>
            <w:hideMark/>
          </w:tcPr>
          <w:p w14:paraId="5E35BC2D" w14:textId="77777777" w:rsidR="002F2BB2" w:rsidRPr="00532C61" w:rsidRDefault="002F2BB2" w:rsidP="0072694B">
            <w:pPr>
              <w:jc w:val="right"/>
              <w:rPr>
                <w:sz w:val="22"/>
                <w:szCs w:val="22"/>
              </w:rPr>
            </w:pPr>
            <w:r w:rsidRPr="00532C61">
              <w:rPr>
                <w:sz w:val="22"/>
                <w:szCs w:val="22"/>
              </w:rPr>
              <w:t>0.53</w:t>
            </w:r>
          </w:p>
        </w:tc>
        <w:tc>
          <w:tcPr>
            <w:tcW w:w="0" w:type="auto"/>
            <w:shd w:val="clear" w:color="auto" w:fill="auto"/>
            <w:tcMar>
              <w:top w:w="0" w:type="dxa"/>
              <w:left w:w="45" w:type="dxa"/>
              <w:bottom w:w="0" w:type="dxa"/>
              <w:right w:w="45" w:type="dxa"/>
            </w:tcMar>
            <w:vAlign w:val="bottom"/>
            <w:hideMark/>
          </w:tcPr>
          <w:p w14:paraId="4E80FD70" w14:textId="77777777" w:rsidR="002F2BB2" w:rsidRPr="00532C61" w:rsidRDefault="002F2BB2" w:rsidP="0072694B">
            <w:pPr>
              <w:jc w:val="right"/>
              <w:rPr>
                <w:sz w:val="22"/>
                <w:szCs w:val="22"/>
              </w:rPr>
            </w:pPr>
            <w:r w:rsidRPr="00532C61">
              <w:rPr>
                <w:sz w:val="22"/>
                <w:szCs w:val="22"/>
              </w:rPr>
              <w:t>0.23</w:t>
            </w:r>
          </w:p>
        </w:tc>
        <w:tc>
          <w:tcPr>
            <w:tcW w:w="0" w:type="auto"/>
            <w:shd w:val="clear" w:color="auto" w:fill="auto"/>
            <w:tcMar>
              <w:top w:w="0" w:type="dxa"/>
              <w:left w:w="45" w:type="dxa"/>
              <w:bottom w:w="0" w:type="dxa"/>
              <w:right w:w="45" w:type="dxa"/>
            </w:tcMar>
            <w:vAlign w:val="bottom"/>
            <w:hideMark/>
          </w:tcPr>
          <w:p w14:paraId="45878B87" w14:textId="77777777" w:rsidR="002F2BB2" w:rsidRPr="00532C61" w:rsidRDefault="002F2BB2" w:rsidP="0072694B">
            <w:pPr>
              <w:jc w:val="right"/>
              <w:rPr>
                <w:sz w:val="22"/>
                <w:szCs w:val="22"/>
              </w:rPr>
            </w:pPr>
            <w:r w:rsidRPr="00532C61">
              <w:rPr>
                <w:sz w:val="22"/>
                <w:szCs w:val="22"/>
              </w:rPr>
              <w:t>1.23</w:t>
            </w:r>
          </w:p>
        </w:tc>
        <w:tc>
          <w:tcPr>
            <w:tcW w:w="0" w:type="auto"/>
            <w:shd w:val="clear" w:color="auto" w:fill="auto"/>
            <w:tcMar>
              <w:top w:w="0" w:type="dxa"/>
              <w:left w:w="45" w:type="dxa"/>
              <w:bottom w:w="0" w:type="dxa"/>
              <w:right w:w="45" w:type="dxa"/>
            </w:tcMar>
            <w:vAlign w:val="bottom"/>
            <w:hideMark/>
          </w:tcPr>
          <w:p w14:paraId="7C008BB6" w14:textId="77777777" w:rsidR="002F2BB2" w:rsidRPr="00532C61" w:rsidRDefault="002F2BB2" w:rsidP="0072694B">
            <w:pPr>
              <w:jc w:val="right"/>
              <w:rPr>
                <w:sz w:val="22"/>
                <w:szCs w:val="22"/>
              </w:rPr>
            </w:pPr>
            <w:r w:rsidRPr="00532C61">
              <w:rPr>
                <w:bCs/>
                <w:sz w:val="22"/>
                <w:szCs w:val="22"/>
              </w:rPr>
              <w:t>0.138</w:t>
            </w:r>
          </w:p>
        </w:tc>
      </w:tr>
      <w:tr w:rsidR="002F2BB2" w:rsidRPr="00532C61" w14:paraId="2958AF3C" w14:textId="77777777" w:rsidTr="0072694B">
        <w:trPr>
          <w:trHeight w:val="315"/>
        </w:trPr>
        <w:tc>
          <w:tcPr>
            <w:tcW w:w="0" w:type="auto"/>
            <w:shd w:val="clear" w:color="auto" w:fill="auto"/>
            <w:tcMar>
              <w:top w:w="0" w:type="dxa"/>
              <w:left w:w="45" w:type="dxa"/>
              <w:bottom w:w="0" w:type="dxa"/>
              <w:right w:w="45" w:type="dxa"/>
            </w:tcMar>
            <w:vAlign w:val="bottom"/>
            <w:hideMark/>
          </w:tcPr>
          <w:p w14:paraId="6B196D4F" w14:textId="77777777" w:rsidR="002F2BB2" w:rsidRPr="00532C61" w:rsidRDefault="002F2BB2" w:rsidP="0072694B">
            <w:pPr>
              <w:rPr>
                <w:b/>
                <w:bCs/>
                <w:sz w:val="22"/>
                <w:szCs w:val="22"/>
              </w:rPr>
            </w:pPr>
            <w:r w:rsidRPr="00532C61">
              <w:rPr>
                <w:b/>
                <w:bCs/>
                <w:sz w:val="22"/>
                <w:szCs w:val="22"/>
              </w:rPr>
              <w:t>Used Heroin in P6M (Ref: No)</w:t>
            </w:r>
          </w:p>
        </w:tc>
        <w:tc>
          <w:tcPr>
            <w:tcW w:w="0" w:type="auto"/>
            <w:shd w:val="clear" w:color="auto" w:fill="auto"/>
            <w:tcMar>
              <w:top w:w="0" w:type="dxa"/>
              <w:left w:w="45" w:type="dxa"/>
              <w:bottom w:w="0" w:type="dxa"/>
              <w:right w:w="45" w:type="dxa"/>
            </w:tcMar>
            <w:vAlign w:val="bottom"/>
            <w:hideMark/>
          </w:tcPr>
          <w:p w14:paraId="498368C8" w14:textId="77777777" w:rsidR="002F2BB2" w:rsidRPr="00532C61" w:rsidRDefault="002F2BB2" w:rsidP="0072694B">
            <w:pPr>
              <w:jc w:val="right"/>
              <w:rPr>
                <w:sz w:val="22"/>
                <w:szCs w:val="22"/>
              </w:rPr>
            </w:pPr>
            <w:r w:rsidRPr="00532C61">
              <w:rPr>
                <w:sz w:val="22"/>
                <w:szCs w:val="22"/>
              </w:rPr>
              <w:t>0.46</w:t>
            </w:r>
          </w:p>
        </w:tc>
        <w:tc>
          <w:tcPr>
            <w:tcW w:w="0" w:type="auto"/>
            <w:shd w:val="clear" w:color="auto" w:fill="auto"/>
            <w:tcMar>
              <w:top w:w="0" w:type="dxa"/>
              <w:left w:w="45" w:type="dxa"/>
              <w:bottom w:w="0" w:type="dxa"/>
              <w:right w:w="45" w:type="dxa"/>
            </w:tcMar>
            <w:vAlign w:val="bottom"/>
            <w:hideMark/>
          </w:tcPr>
          <w:p w14:paraId="5157AEE0" w14:textId="77777777" w:rsidR="002F2BB2" w:rsidRPr="00532C61" w:rsidRDefault="002F2BB2" w:rsidP="0072694B">
            <w:pPr>
              <w:jc w:val="right"/>
              <w:rPr>
                <w:sz w:val="22"/>
                <w:szCs w:val="22"/>
              </w:rPr>
            </w:pPr>
            <w:r w:rsidRPr="00532C61">
              <w:rPr>
                <w:sz w:val="22"/>
                <w:szCs w:val="22"/>
              </w:rPr>
              <w:t>0.19</w:t>
            </w:r>
          </w:p>
        </w:tc>
        <w:tc>
          <w:tcPr>
            <w:tcW w:w="0" w:type="auto"/>
            <w:shd w:val="clear" w:color="auto" w:fill="auto"/>
            <w:tcMar>
              <w:top w:w="0" w:type="dxa"/>
              <w:left w:w="45" w:type="dxa"/>
              <w:bottom w:w="0" w:type="dxa"/>
              <w:right w:w="45" w:type="dxa"/>
            </w:tcMar>
            <w:vAlign w:val="bottom"/>
            <w:hideMark/>
          </w:tcPr>
          <w:p w14:paraId="2BDCA8A2" w14:textId="77777777" w:rsidR="002F2BB2" w:rsidRPr="00532C61" w:rsidRDefault="002F2BB2" w:rsidP="0072694B">
            <w:pPr>
              <w:jc w:val="right"/>
              <w:rPr>
                <w:sz w:val="22"/>
                <w:szCs w:val="22"/>
              </w:rPr>
            </w:pPr>
            <w:r w:rsidRPr="00532C61">
              <w:rPr>
                <w:sz w:val="22"/>
                <w:szCs w:val="22"/>
              </w:rPr>
              <w:t>1.09</w:t>
            </w:r>
          </w:p>
        </w:tc>
        <w:tc>
          <w:tcPr>
            <w:tcW w:w="0" w:type="auto"/>
            <w:shd w:val="clear" w:color="auto" w:fill="auto"/>
            <w:tcMar>
              <w:top w:w="0" w:type="dxa"/>
              <w:left w:w="45" w:type="dxa"/>
              <w:bottom w:w="0" w:type="dxa"/>
              <w:right w:w="45" w:type="dxa"/>
            </w:tcMar>
            <w:vAlign w:val="bottom"/>
            <w:hideMark/>
          </w:tcPr>
          <w:p w14:paraId="4B3E1FD9" w14:textId="77777777" w:rsidR="002F2BB2" w:rsidRPr="00532C61" w:rsidRDefault="002F2BB2" w:rsidP="0072694B">
            <w:pPr>
              <w:jc w:val="right"/>
              <w:rPr>
                <w:sz w:val="22"/>
                <w:szCs w:val="22"/>
              </w:rPr>
            </w:pPr>
            <w:r w:rsidRPr="00532C61">
              <w:rPr>
                <w:bCs/>
                <w:sz w:val="22"/>
                <w:szCs w:val="22"/>
              </w:rPr>
              <w:t>0.079</w:t>
            </w:r>
          </w:p>
        </w:tc>
      </w:tr>
      <w:tr w:rsidR="002F2BB2" w:rsidRPr="00532C61" w14:paraId="4CDE6E00" w14:textId="77777777" w:rsidTr="0072694B">
        <w:trPr>
          <w:trHeight w:val="315"/>
        </w:trPr>
        <w:tc>
          <w:tcPr>
            <w:tcW w:w="0" w:type="auto"/>
            <w:shd w:val="clear" w:color="auto" w:fill="auto"/>
            <w:tcMar>
              <w:top w:w="0" w:type="dxa"/>
              <w:left w:w="45" w:type="dxa"/>
              <w:bottom w:w="0" w:type="dxa"/>
              <w:right w:w="45" w:type="dxa"/>
            </w:tcMar>
            <w:vAlign w:val="center"/>
          </w:tcPr>
          <w:p w14:paraId="4A475DBF" w14:textId="77777777" w:rsidR="002F2BB2" w:rsidRPr="00532C61" w:rsidRDefault="002F2BB2" w:rsidP="0072694B">
            <w:pPr>
              <w:rPr>
                <w:b/>
                <w:bCs/>
                <w:sz w:val="22"/>
                <w:szCs w:val="22"/>
              </w:rPr>
            </w:pPr>
            <w:r>
              <w:rPr>
                <w:b/>
                <w:bCs/>
                <w:i/>
                <w:sz w:val="22"/>
                <w:szCs w:val="22"/>
                <w:u w:val="single"/>
              </w:rPr>
              <w:t>Continuous Variables</w:t>
            </w:r>
          </w:p>
        </w:tc>
        <w:tc>
          <w:tcPr>
            <w:tcW w:w="0" w:type="auto"/>
            <w:shd w:val="clear" w:color="auto" w:fill="auto"/>
            <w:tcMar>
              <w:top w:w="0" w:type="dxa"/>
              <w:left w:w="45" w:type="dxa"/>
              <w:bottom w:w="0" w:type="dxa"/>
              <w:right w:w="45" w:type="dxa"/>
            </w:tcMar>
            <w:vAlign w:val="bottom"/>
          </w:tcPr>
          <w:p w14:paraId="2EE45722"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08EF78AA"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65F4C5E8" w14:textId="77777777" w:rsidR="002F2BB2" w:rsidRPr="00532C61" w:rsidRDefault="002F2BB2" w:rsidP="0072694B">
            <w:pPr>
              <w:jc w:val="right"/>
              <w:rPr>
                <w:sz w:val="22"/>
                <w:szCs w:val="22"/>
              </w:rPr>
            </w:pPr>
          </w:p>
        </w:tc>
        <w:tc>
          <w:tcPr>
            <w:tcW w:w="0" w:type="auto"/>
            <w:shd w:val="clear" w:color="auto" w:fill="auto"/>
            <w:tcMar>
              <w:top w:w="0" w:type="dxa"/>
              <w:left w:w="45" w:type="dxa"/>
              <w:bottom w:w="0" w:type="dxa"/>
              <w:right w:w="45" w:type="dxa"/>
            </w:tcMar>
            <w:vAlign w:val="bottom"/>
          </w:tcPr>
          <w:p w14:paraId="7A593F4D" w14:textId="77777777" w:rsidR="002F2BB2" w:rsidRPr="00532C61" w:rsidRDefault="002F2BB2" w:rsidP="0072694B">
            <w:pPr>
              <w:jc w:val="right"/>
              <w:rPr>
                <w:bCs/>
                <w:sz w:val="22"/>
                <w:szCs w:val="22"/>
              </w:rPr>
            </w:pPr>
          </w:p>
        </w:tc>
      </w:tr>
      <w:tr w:rsidR="002F2BB2" w:rsidRPr="00532C61" w14:paraId="4398730B" w14:textId="77777777" w:rsidTr="0072694B">
        <w:trPr>
          <w:trHeight w:val="315"/>
        </w:trPr>
        <w:tc>
          <w:tcPr>
            <w:tcW w:w="0" w:type="auto"/>
            <w:shd w:val="clear" w:color="auto" w:fill="auto"/>
            <w:tcMar>
              <w:top w:w="0" w:type="dxa"/>
              <w:left w:w="45" w:type="dxa"/>
              <w:bottom w:w="0" w:type="dxa"/>
              <w:right w:w="45" w:type="dxa"/>
            </w:tcMar>
            <w:vAlign w:val="center"/>
          </w:tcPr>
          <w:p w14:paraId="0C2EC7C0" w14:textId="77777777" w:rsidR="002F2BB2" w:rsidRPr="00532C61" w:rsidRDefault="002F2BB2" w:rsidP="0072694B">
            <w:pPr>
              <w:rPr>
                <w:b/>
                <w:bCs/>
                <w:sz w:val="22"/>
                <w:szCs w:val="22"/>
              </w:rPr>
            </w:pPr>
            <w:r w:rsidRPr="009148C7">
              <w:rPr>
                <w:b/>
                <w:bCs/>
                <w:iCs/>
                <w:sz w:val="22"/>
                <w:szCs w:val="22"/>
              </w:rPr>
              <w:t>Number of MSM Known</w:t>
            </w:r>
          </w:p>
        </w:tc>
        <w:tc>
          <w:tcPr>
            <w:tcW w:w="0" w:type="auto"/>
            <w:shd w:val="clear" w:color="auto" w:fill="auto"/>
            <w:tcMar>
              <w:top w:w="0" w:type="dxa"/>
              <w:left w:w="45" w:type="dxa"/>
              <w:bottom w:w="0" w:type="dxa"/>
              <w:right w:w="45" w:type="dxa"/>
            </w:tcMar>
            <w:vAlign w:val="bottom"/>
          </w:tcPr>
          <w:p w14:paraId="79B1CABE" w14:textId="77777777" w:rsidR="002F2BB2" w:rsidRPr="00532C61" w:rsidRDefault="002F2BB2" w:rsidP="0072694B">
            <w:pPr>
              <w:jc w:val="right"/>
              <w:rPr>
                <w:sz w:val="22"/>
                <w:szCs w:val="22"/>
              </w:rPr>
            </w:pPr>
            <w:r>
              <w:rPr>
                <w:sz w:val="22"/>
                <w:szCs w:val="22"/>
              </w:rPr>
              <w:t>1.00</w:t>
            </w:r>
          </w:p>
        </w:tc>
        <w:tc>
          <w:tcPr>
            <w:tcW w:w="0" w:type="auto"/>
            <w:shd w:val="clear" w:color="auto" w:fill="auto"/>
            <w:tcMar>
              <w:top w:w="0" w:type="dxa"/>
              <w:left w:w="45" w:type="dxa"/>
              <w:bottom w:w="0" w:type="dxa"/>
              <w:right w:w="45" w:type="dxa"/>
            </w:tcMar>
            <w:vAlign w:val="bottom"/>
          </w:tcPr>
          <w:p w14:paraId="34BBCB7E" w14:textId="77777777" w:rsidR="002F2BB2" w:rsidRPr="00532C61" w:rsidRDefault="002F2BB2" w:rsidP="0072694B">
            <w:pPr>
              <w:jc w:val="right"/>
              <w:rPr>
                <w:sz w:val="22"/>
                <w:szCs w:val="22"/>
              </w:rPr>
            </w:pPr>
            <w:r>
              <w:rPr>
                <w:sz w:val="22"/>
                <w:szCs w:val="22"/>
              </w:rPr>
              <w:t>0.99</w:t>
            </w:r>
          </w:p>
        </w:tc>
        <w:tc>
          <w:tcPr>
            <w:tcW w:w="0" w:type="auto"/>
            <w:shd w:val="clear" w:color="auto" w:fill="auto"/>
            <w:tcMar>
              <w:top w:w="0" w:type="dxa"/>
              <w:left w:w="45" w:type="dxa"/>
              <w:bottom w:w="0" w:type="dxa"/>
              <w:right w:w="45" w:type="dxa"/>
            </w:tcMar>
            <w:vAlign w:val="bottom"/>
          </w:tcPr>
          <w:p w14:paraId="237A6CFA" w14:textId="77777777" w:rsidR="002F2BB2" w:rsidRPr="00532C61" w:rsidRDefault="002F2BB2" w:rsidP="0072694B">
            <w:pPr>
              <w:jc w:val="right"/>
              <w:rPr>
                <w:sz w:val="22"/>
                <w:szCs w:val="22"/>
              </w:rPr>
            </w:pPr>
            <w:r>
              <w:rPr>
                <w:sz w:val="22"/>
                <w:szCs w:val="22"/>
              </w:rPr>
              <w:t>1.00</w:t>
            </w:r>
          </w:p>
        </w:tc>
        <w:tc>
          <w:tcPr>
            <w:tcW w:w="0" w:type="auto"/>
            <w:shd w:val="clear" w:color="auto" w:fill="auto"/>
            <w:tcMar>
              <w:top w:w="0" w:type="dxa"/>
              <w:left w:w="45" w:type="dxa"/>
              <w:bottom w:w="0" w:type="dxa"/>
              <w:right w:w="45" w:type="dxa"/>
            </w:tcMar>
            <w:vAlign w:val="bottom"/>
          </w:tcPr>
          <w:p w14:paraId="2AB3823F" w14:textId="77777777" w:rsidR="002F2BB2" w:rsidRPr="00532C61" w:rsidRDefault="002F2BB2" w:rsidP="0072694B">
            <w:pPr>
              <w:jc w:val="right"/>
              <w:rPr>
                <w:bCs/>
                <w:sz w:val="22"/>
                <w:szCs w:val="22"/>
              </w:rPr>
            </w:pPr>
            <w:r>
              <w:rPr>
                <w:bCs/>
                <w:sz w:val="22"/>
                <w:szCs w:val="22"/>
              </w:rPr>
              <w:t>0.601</w:t>
            </w:r>
          </w:p>
        </w:tc>
      </w:tr>
      <w:tr w:rsidR="002F2BB2" w:rsidRPr="00532C61" w14:paraId="6A827254" w14:textId="77777777" w:rsidTr="0072694B">
        <w:trPr>
          <w:trHeight w:val="315"/>
        </w:trPr>
        <w:tc>
          <w:tcPr>
            <w:tcW w:w="0" w:type="auto"/>
            <w:shd w:val="clear" w:color="auto" w:fill="auto"/>
            <w:tcMar>
              <w:top w:w="0" w:type="dxa"/>
              <w:left w:w="45" w:type="dxa"/>
              <w:bottom w:w="0" w:type="dxa"/>
              <w:right w:w="45" w:type="dxa"/>
            </w:tcMar>
            <w:vAlign w:val="center"/>
          </w:tcPr>
          <w:p w14:paraId="4A8243C3" w14:textId="77777777" w:rsidR="002F2BB2" w:rsidRPr="00532C61" w:rsidRDefault="002F2BB2" w:rsidP="0072694B">
            <w:pPr>
              <w:rPr>
                <w:b/>
                <w:bCs/>
                <w:sz w:val="22"/>
                <w:szCs w:val="22"/>
              </w:rPr>
            </w:pPr>
            <w:r w:rsidRPr="00537681">
              <w:rPr>
                <w:rFonts w:ascii="Times" w:hAnsi="Times"/>
                <w:b/>
                <w:bCs/>
                <w:sz w:val="22"/>
                <w:szCs w:val="22"/>
              </w:rPr>
              <w:t xml:space="preserve">HIV Treatment Optimism Scale </w:t>
            </w:r>
          </w:p>
        </w:tc>
        <w:tc>
          <w:tcPr>
            <w:tcW w:w="0" w:type="auto"/>
            <w:shd w:val="clear" w:color="auto" w:fill="auto"/>
            <w:tcMar>
              <w:top w:w="0" w:type="dxa"/>
              <w:left w:w="45" w:type="dxa"/>
              <w:bottom w:w="0" w:type="dxa"/>
              <w:right w:w="45" w:type="dxa"/>
            </w:tcMar>
            <w:vAlign w:val="bottom"/>
          </w:tcPr>
          <w:p w14:paraId="026E76B8" w14:textId="77777777" w:rsidR="002F2BB2" w:rsidRPr="00532C61" w:rsidRDefault="002F2BB2" w:rsidP="0072694B">
            <w:pPr>
              <w:jc w:val="right"/>
              <w:rPr>
                <w:sz w:val="22"/>
                <w:szCs w:val="22"/>
              </w:rPr>
            </w:pPr>
            <w:r w:rsidRPr="00537681">
              <w:rPr>
                <w:rFonts w:ascii="Times" w:hAnsi="Times"/>
                <w:b/>
                <w:sz w:val="22"/>
                <w:szCs w:val="22"/>
              </w:rPr>
              <w:t>0.94</w:t>
            </w:r>
          </w:p>
        </w:tc>
        <w:tc>
          <w:tcPr>
            <w:tcW w:w="0" w:type="auto"/>
            <w:shd w:val="clear" w:color="auto" w:fill="auto"/>
            <w:tcMar>
              <w:top w:w="0" w:type="dxa"/>
              <w:left w:w="45" w:type="dxa"/>
              <w:bottom w:w="0" w:type="dxa"/>
              <w:right w:w="45" w:type="dxa"/>
            </w:tcMar>
            <w:vAlign w:val="bottom"/>
          </w:tcPr>
          <w:p w14:paraId="62CD3361" w14:textId="77777777" w:rsidR="002F2BB2" w:rsidRPr="00532C61" w:rsidRDefault="002F2BB2" w:rsidP="0072694B">
            <w:pPr>
              <w:jc w:val="right"/>
              <w:rPr>
                <w:sz w:val="22"/>
                <w:szCs w:val="22"/>
              </w:rPr>
            </w:pPr>
            <w:r w:rsidRPr="00537681">
              <w:rPr>
                <w:rFonts w:ascii="Times" w:hAnsi="Times"/>
                <w:b/>
                <w:sz w:val="22"/>
                <w:szCs w:val="22"/>
              </w:rPr>
              <w:t>0.90</w:t>
            </w:r>
          </w:p>
        </w:tc>
        <w:tc>
          <w:tcPr>
            <w:tcW w:w="0" w:type="auto"/>
            <w:shd w:val="clear" w:color="auto" w:fill="auto"/>
            <w:tcMar>
              <w:top w:w="0" w:type="dxa"/>
              <w:left w:w="45" w:type="dxa"/>
              <w:bottom w:w="0" w:type="dxa"/>
              <w:right w:w="45" w:type="dxa"/>
            </w:tcMar>
            <w:vAlign w:val="bottom"/>
          </w:tcPr>
          <w:p w14:paraId="7538F577" w14:textId="77777777" w:rsidR="002F2BB2" w:rsidRPr="00532C61" w:rsidRDefault="002F2BB2" w:rsidP="0072694B">
            <w:pPr>
              <w:jc w:val="right"/>
              <w:rPr>
                <w:sz w:val="22"/>
                <w:szCs w:val="22"/>
              </w:rPr>
            </w:pPr>
            <w:r w:rsidRPr="00537681">
              <w:rPr>
                <w:rFonts w:ascii="Times" w:hAnsi="Times"/>
                <w:b/>
                <w:sz w:val="22"/>
                <w:szCs w:val="22"/>
              </w:rPr>
              <w:t>0.99</w:t>
            </w:r>
          </w:p>
        </w:tc>
        <w:tc>
          <w:tcPr>
            <w:tcW w:w="0" w:type="auto"/>
            <w:shd w:val="clear" w:color="auto" w:fill="auto"/>
            <w:tcMar>
              <w:top w:w="0" w:type="dxa"/>
              <w:left w:w="45" w:type="dxa"/>
              <w:bottom w:w="0" w:type="dxa"/>
              <w:right w:w="45" w:type="dxa"/>
            </w:tcMar>
            <w:vAlign w:val="bottom"/>
          </w:tcPr>
          <w:p w14:paraId="252DD649" w14:textId="77777777" w:rsidR="002F2BB2" w:rsidRPr="00532C61" w:rsidRDefault="002F2BB2" w:rsidP="0072694B">
            <w:pPr>
              <w:jc w:val="right"/>
              <w:rPr>
                <w:bCs/>
                <w:sz w:val="22"/>
                <w:szCs w:val="22"/>
              </w:rPr>
            </w:pPr>
            <w:r w:rsidRPr="00537681">
              <w:rPr>
                <w:rFonts w:ascii="Times" w:hAnsi="Times"/>
                <w:b/>
                <w:bCs/>
                <w:sz w:val="22"/>
                <w:szCs w:val="22"/>
              </w:rPr>
              <w:t>0.022</w:t>
            </w:r>
          </w:p>
        </w:tc>
      </w:tr>
      <w:tr w:rsidR="002F2BB2" w:rsidRPr="00532C61" w14:paraId="6F546BD1" w14:textId="77777777" w:rsidTr="0072694B">
        <w:trPr>
          <w:trHeight w:val="315"/>
        </w:trPr>
        <w:tc>
          <w:tcPr>
            <w:tcW w:w="0" w:type="auto"/>
            <w:shd w:val="clear" w:color="auto" w:fill="auto"/>
            <w:tcMar>
              <w:top w:w="0" w:type="dxa"/>
              <w:left w:w="45" w:type="dxa"/>
              <w:bottom w:w="0" w:type="dxa"/>
              <w:right w:w="45" w:type="dxa"/>
            </w:tcMar>
            <w:vAlign w:val="center"/>
          </w:tcPr>
          <w:p w14:paraId="2968E91E" w14:textId="77777777" w:rsidR="002F2BB2" w:rsidRPr="00532C61" w:rsidRDefault="002F2BB2" w:rsidP="0072694B">
            <w:pPr>
              <w:rPr>
                <w:b/>
                <w:bCs/>
                <w:sz w:val="22"/>
                <w:szCs w:val="22"/>
              </w:rPr>
            </w:pPr>
            <w:r w:rsidRPr="00537681">
              <w:rPr>
                <w:rFonts w:ascii="Times" w:hAnsi="Times"/>
                <w:b/>
                <w:bCs/>
                <w:sz w:val="22"/>
                <w:szCs w:val="22"/>
              </w:rPr>
              <w:t>HADS Anxiety Sub-Scale (continuous)</w:t>
            </w:r>
          </w:p>
        </w:tc>
        <w:tc>
          <w:tcPr>
            <w:tcW w:w="0" w:type="auto"/>
            <w:shd w:val="clear" w:color="auto" w:fill="auto"/>
            <w:tcMar>
              <w:top w:w="0" w:type="dxa"/>
              <w:left w:w="45" w:type="dxa"/>
              <w:bottom w:w="0" w:type="dxa"/>
              <w:right w:w="45" w:type="dxa"/>
            </w:tcMar>
          </w:tcPr>
          <w:p w14:paraId="38C3ED41" w14:textId="77777777" w:rsidR="002F2BB2" w:rsidRPr="00532C61" w:rsidRDefault="002F2BB2" w:rsidP="0072694B">
            <w:pPr>
              <w:jc w:val="right"/>
              <w:rPr>
                <w:sz w:val="22"/>
                <w:szCs w:val="22"/>
              </w:rPr>
            </w:pPr>
            <w:r w:rsidRPr="00537681">
              <w:rPr>
                <w:rFonts w:ascii="Times" w:hAnsi="Times"/>
              </w:rPr>
              <w:t>0.96</w:t>
            </w:r>
          </w:p>
        </w:tc>
        <w:tc>
          <w:tcPr>
            <w:tcW w:w="0" w:type="auto"/>
            <w:shd w:val="clear" w:color="auto" w:fill="auto"/>
            <w:tcMar>
              <w:top w:w="0" w:type="dxa"/>
              <w:left w:w="45" w:type="dxa"/>
              <w:bottom w:w="0" w:type="dxa"/>
              <w:right w:w="45" w:type="dxa"/>
            </w:tcMar>
          </w:tcPr>
          <w:p w14:paraId="4F71A9C8" w14:textId="77777777" w:rsidR="002F2BB2" w:rsidRPr="00532C61" w:rsidRDefault="002F2BB2" w:rsidP="0072694B">
            <w:pPr>
              <w:jc w:val="right"/>
              <w:rPr>
                <w:sz w:val="22"/>
                <w:szCs w:val="22"/>
              </w:rPr>
            </w:pPr>
            <w:r w:rsidRPr="00537681">
              <w:rPr>
                <w:rFonts w:ascii="Times" w:hAnsi="Times"/>
              </w:rPr>
              <w:t>0.89</w:t>
            </w:r>
          </w:p>
        </w:tc>
        <w:tc>
          <w:tcPr>
            <w:tcW w:w="0" w:type="auto"/>
            <w:shd w:val="clear" w:color="auto" w:fill="auto"/>
            <w:tcMar>
              <w:top w:w="0" w:type="dxa"/>
              <w:left w:w="45" w:type="dxa"/>
              <w:bottom w:w="0" w:type="dxa"/>
              <w:right w:w="45" w:type="dxa"/>
            </w:tcMar>
          </w:tcPr>
          <w:p w14:paraId="568B4F52" w14:textId="77777777" w:rsidR="002F2BB2" w:rsidRPr="00532C61" w:rsidRDefault="002F2BB2" w:rsidP="0072694B">
            <w:pPr>
              <w:jc w:val="right"/>
              <w:rPr>
                <w:sz w:val="22"/>
                <w:szCs w:val="22"/>
              </w:rPr>
            </w:pPr>
            <w:r w:rsidRPr="00537681">
              <w:rPr>
                <w:rFonts w:ascii="Times" w:hAnsi="Times"/>
              </w:rPr>
              <w:t>1.03</w:t>
            </w:r>
          </w:p>
        </w:tc>
        <w:tc>
          <w:tcPr>
            <w:tcW w:w="0" w:type="auto"/>
            <w:shd w:val="clear" w:color="auto" w:fill="auto"/>
            <w:tcMar>
              <w:top w:w="0" w:type="dxa"/>
              <w:left w:w="45" w:type="dxa"/>
              <w:bottom w:w="0" w:type="dxa"/>
              <w:right w:w="45" w:type="dxa"/>
            </w:tcMar>
          </w:tcPr>
          <w:p w14:paraId="396EEBAF" w14:textId="77777777" w:rsidR="002F2BB2" w:rsidRPr="00532C61" w:rsidRDefault="002F2BB2" w:rsidP="0072694B">
            <w:pPr>
              <w:jc w:val="right"/>
              <w:rPr>
                <w:bCs/>
                <w:sz w:val="22"/>
                <w:szCs w:val="22"/>
              </w:rPr>
            </w:pPr>
            <w:r w:rsidRPr="00537681">
              <w:rPr>
                <w:rFonts w:ascii="Times" w:hAnsi="Times"/>
              </w:rPr>
              <w:t>0.218</w:t>
            </w:r>
          </w:p>
        </w:tc>
      </w:tr>
      <w:tr w:rsidR="002F2BB2" w:rsidRPr="00532C61" w14:paraId="4F39F5BE" w14:textId="77777777" w:rsidTr="0072694B">
        <w:trPr>
          <w:trHeight w:val="315"/>
        </w:trPr>
        <w:tc>
          <w:tcPr>
            <w:tcW w:w="0" w:type="auto"/>
            <w:tcBorders>
              <w:bottom w:val="single" w:sz="4" w:space="0" w:color="auto"/>
            </w:tcBorders>
            <w:shd w:val="clear" w:color="auto" w:fill="auto"/>
            <w:tcMar>
              <w:top w:w="0" w:type="dxa"/>
              <w:left w:w="45" w:type="dxa"/>
              <w:bottom w:w="0" w:type="dxa"/>
              <w:right w:w="45" w:type="dxa"/>
            </w:tcMar>
            <w:vAlign w:val="center"/>
          </w:tcPr>
          <w:p w14:paraId="14B92990" w14:textId="77777777" w:rsidR="002F2BB2" w:rsidRPr="00537681" w:rsidRDefault="002F2BB2" w:rsidP="0072694B">
            <w:pPr>
              <w:rPr>
                <w:rFonts w:ascii="Times" w:hAnsi="Times"/>
                <w:b/>
                <w:bCs/>
                <w:sz w:val="22"/>
                <w:szCs w:val="22"/>
              </w:rPr>
            </w:pPr>
            <w:r w:rsidRPr="00537681">
              <w:rPr>
                <w:rFonts w:ascii="Times" w:hAnsi="Times"/>
                <w:b/>
                <w:bCs/>
                <w:sz w:val="22"/>
                <w:szCs w:val="22"/>
              </w:rPr>
              <w:t>HADS Depression Sub-Scale (continuous)</w:t>
            </w:r>
          </w:p>
        </w:tc>
        <w:tc>
          <w:tcPr>
            <w:tcW w:w="0" w:type="auto"/>
            <w:tcBorders>
              <w:bottom w:val="single" w:sz="4" w:space="0" w:color="auto"/>
            </w:tcBorders>
            <w:shd w:val="clear" w:color="auto" w:fill="auto"/>
            <w:tcMar>
              <w:top w:w="0" w:type="dxa"/>
              <w:left w:w="45" w:type="dxa"/>
              <w:bottom w:w="0" w:type="dxa"/>
              <w:right w:w="45" w:type="dxa"/>
            </w:tcMar>
            <w:vAlign w:val="bottom"/>
          </w:tcPr>
          <w:p w14:paraId="1E7C3DE0" w14:textId="77777777" w:rsidR="002F2BB2" w:rsidRPr="00537681" w:rsidRDefault="002F2BB2" w:rsidP="0072694B">
            <w:pPr>
              <w:jc w:val="right"/>
              <w:rPr>
                <w:rFonts w:ascii="Times" w:hAnsi="Times"/>
              </w:rPr>
            </w:pPr>
            <w:r w:rsidRPr="00537681">
              <w:rPr>
                <w:rFonts w:ascii="Times" w:hAnsi="Times" w:cs="Segoe UI"/>
                <w:color w:val="000000"/>
                <w:sz w:val="22"/>
                <w:szCs w:val="22"/>
              </w:rPr>
              <w:t>0.99</w:t>
            </w:r>
          </w:p>
        </w:tc>
        <w:tc>
          <w:tcPr>
            <w:tcW w:w="0" w:type="auto"/>
            <w:tcBorders>
              <w:bottom w:val="single" w:sz="4" w:space="0" w:color="auto"/>
            </w:tcBorders>
            <w:shd w:val="clear" w:color="auto" w:fill="auto"/>
            <w:tcMar>
              <w:top w:w="0" w:type="dxa"/>
              <w:left w:w="45" w:type="dxa"/>
              <w:bottom w:w="0" w:type="dxa"/>
              <w:right w:w="45" w:type="dxa"/>
            </w:tcMar>
            <w:vAlign w:val="bottom"/>
          </w:tcPr>
          <w:p w14:paraId="1F5E7592" w14:textId="77777777" w:rsidR="002F2BB2" w:rsidRPr="00537681" w:rsidRDefault="002F2BB2" w:rsidP="0072694B">
            <w:pPr>
              <w:jc w:val="right"/>
              <w:rPr>
                <w:rFonts w:ascii="Times" w:hAnsi="Times"/>
              </w:rPr>
            </w:pPr>
            <w:r w:rsidRPr="00537681">
              <w:rPr>
                <w:rFonts w:ascii="Times" w:hAnsi="Times" w:cs="Segoe UI"/>
                <w:color w:val="000000"/>
                <w:sz w:val="22"/>
                <w:szCs w:val="22"/>
              </w:rPr>
              <w:t>0.92</w:t>
            </w:r>
          </w:p>
        </w:tc>
        <w:tc>
          <w:tcPr>
            <w:tcW w:w="0" w:type="auto"/>
            <w:tcBorders>
              <w:bottom w:val="single" w:sz="4" w:space="0" w:color="auto"/>
            </w:tcBorders>
            <w:shd w:val="clear" w:color="auto" w:fill="auto"/>
            <w:tcMar>
              <w:top w:w="0" w:type="dxa"/>
              <w:left w:w="45" w:type="dxa"/>
              <w:bottom w:w="0" w:type="dxa"/>
              <w:right w:w="45" w:type="dxa"/>
            </w:tcMar>
            <w:vAlign w:val="bottom"/>
          </w:tcPr>
          <w:p w14:paraId="05D1288D" w14:textId="77777777" w:rsidR="002F2BB2" w:rsidRPr="00537681" w:rsidRDefault="002F2BB2" w:rsidP="0072694B">
            <w:pPr>
              <w:jc w:val="right"/>
              <w:rPr>
                <w:rFonts w:ascii="Times" w:hAnsi="Times"/>
              </w:rPr>
            </w:pPr>
            <w:r w:rsidRPr="00537681">
              <w:rPr>
                <w:rFonts w:ascii="Times" w:hAnsi="Times" w:cs="Segoe UI"/>
                <w:color w:val="000000"/>
                <w:sz w:val="22"/>
                <w:szCs w:val="22"/>
              </w:rPr>
              <w:t>1.06</w:t>
            </w:r>
          </w:p>
        </w:tc>
        <w:tc>
          <w:tcPr>
            <w:tcW w:w="0" w:type="auto"/>
            <w:tcBorders>
              <w:bottom w:val="single" w:sz="4" w:space="0" w:color="auto"/>
            </w:tcBorders>
            <w:shd w:val="clear" w:color="auto" w:fill="auto"/>
            <w:tcMar>
              <w:top w:w="0" w:type="dxa"/>
              <w:left w:w="45" w:type="dxa"/>
              <w:bottom w:w="0" w:type="dxa"/>
              <w:right w:w="45" w:type="dxa"/>
            </w:tcMar>
            <w:vAlign w:val="bottom"/>
          </w:tcPr>
          <w:p w14:paraId="440D59C7" w14:textId="77777777" w:rsidR="002F2BB2" w:rsidRPr="00537681" w:rsidRDefault="002F2BB2" w:rsidP="0072694B">
            <w:pPr>
              <w:jc w:val="right"/>
              <w:rPr>
                <w:rFonts w:ascii="Times" w:hAnsi="Times"/>
              </w:rPr>
            </w:pPr>
            <w:r w:rsidRPr="00537681">
              <w:rPr>
                <w:rFonts w:ascii="Times" w:hAnsi="Times" w:cs="Segoe UI"/>
                <w:color w:val="000000"/>
                <w:sz w:val="22"/>
                <w:szCs w:val="22"/>
              </w:rPr>
              <w:t>0.750</w:t>
            </w:r>
          </w:p>
        </w:tc>
      </w:tr>
    </w:tbl>
    <w:p w14:paraId="7D955AAD" w14:textId="77777777" w:rsidR="002F2BB2" w:rsidRPr="00532C61" w:rsidRDefault="002F2BB2" w:rsidP="002F2BB2">
      <w:pPr>
        <w:rPr>
          <w:sz w:val="22"/>
          <w:szCs w:val="22"/>
        </w:rPr>
      </w:pPr>
    </w:p>
    <w:p w14:paraId="65C4AB30" w14:textId="77777777" w:rsidR="002F2BB2" w:rsidRPr="00B34C2C" w:rsidRDefault="002F2BB2" w:rsidP="002F2BB2">
      <w:pPr>
        <w:rPr>
          <w:i/>
          <w:iCs/>
          <w:color w:val="000000" w:themeColor="text1"/>
          <w:sz w:val="22"/>
          <w:szCs w:val="22"/>
        </w:rPr>
      </w:pPr>
      <w:r w:rsidRPr="00B34C2C">
        <w:rPr>
          <w:i/>
          <w:iCs/>
          <w:sz w:val="22"/>
          <w:szCs w:val="22"/>
        </w:rPr>
        <w:t>RR = relative risk; 95% CI = 95% confidence interval; MA = methamphetamine; Ref = referent category; HADS = Hospital Anxiety &amp; Depression Scale; gbMSM = gay and bisexual men who have sex with men; P6M = past 6 months; poppers = amyl nitrites; GHB = gamma-hydroxybut</w:t>
      </w:r>
      <w:r w:rsidRPr="00B34C2C">
        <w:rPr>
          <w:i/>
          <w:iCs/>
          <w:color w:val="000000" w:themeColor="text1"/>
          <w:sz w:val="22"/>
          <w:szCs w:val="22"/>
        </w:rPr>
        <w:t xml:space="preserve">yrate; Data with </w:t>
      </w:r>
      <w:r w:rsidRPr="00B34C2C">
        <w:rPr>
          <w:b/>
          <w:i/>
          <w:iCs/>
          <w:color w:val="000000" w:themeColor="text1"/>
          <w:sz w:val="22"/>
          <w:szCs w:val="22"/>
        </w:rPr>
        <w:t xml:space="preserve">bold emphasis </w:t>
      </w:r>
      <w:r w:rsidRPr="00B34C2C">
        <w:rPr>
          <w:i/>
          <w:iCs/>
          <w:color w:val="000000" w:themeColor="text1"/>
          <w:sz w:val="22"/>
          <w:szCs w:val="22"/>
        </w:rPr>
        <w:t>indicates statistical significance at P&lt;0.05.</w:t>
      </w:r>
    </w:p>
    <w:p w14:paraId="44E83285" w14:textId="77777777" w:rsidR="002F2BB2" w:rsidRDefault="002F2BB2" w:rsidP="002F2BB2">
      <w:pPr>
        <w:rPr>
          <w:sz w:val="22"/>
          <w:szCs w:val="22"/>
        </w:rPr>
      </w:pPr>
    </w:p>
    <w:p w14:paraId="1AE6E93E" w14:textId="77777777" w:rsidR="002F2BB2" w:rsidRDefault="002F2BB2" w:rsidP="002F2BB2">
      <w:pPr>
        <w:rPr>
          <w:sz w:val="22"/>
          <w:szCs w:val="22"/>
        </w:rPr>
      </w:pPr>
    </w:p>
    <w:p w14:paraId="278EA998" w14:textId="77777777" w:rsidR="002F2BB2" w:rsidRDefault="002F2BB2" w:rsidP="002F2BB2">
      <w:pPr>
        <w:rPr>
          <w:sz w:val="22"/>
          <w:szCs w:val="22"/>
        </w:rPr>
      </w:pPr>
    </w:p>
    <w:p w14:paraId="270CFD4B" w14:textId="77777777" w:rsidR="002F2BB2" w:rsidRDefault="002F2BB2" w:rsidP="002F2BB2">
      <w:pPr>
        <w:rPr>
          <w:sz w:val="22"/>
          <w:szCs w:val="22"/>
        </w:rPr>
      </w:pPr>
    </w:p>
    <w:p w14:paraId="385DEE41" w14:textId="77777777" w:rsidR="002F2BB2" w:rsidRDefault="002F2BB2" w:rsidP="002F2BB2">
      <w:pPr>
        <w:rPr>
          <w:sz w:val="22"/>
          <w:szCs w:val="22"/>
        </w:rPr>
      </w:pPr>
    </w:p>
    <w:p w14:paraId="0689FC73" w14:textId="77777777" w:rsidR="002F2BB2" w:rsidRDefault="002F2BB2" w:rsidP="002F2BB2">
      <w:pPr>
        <w:rPr>
          <w:sz w:val="22"/>
          <w:szCs w:val="22"/>
        </w:rPr>
      </w:pPr>
    </w:p>
    <w:p w14:paraId="76A66A2B" w14:textId="77777777" w:rsidR="002F2BB2" w:rsidRDefault="002F2BB2" w:rsidP="002F2BB2">
      <w:pPr>
        <w:rPr>
          <w:sz w:val="22"/>
          <w:szCs w:val="22"/>
        </w:rPr>
      </w:pPr>
    </w:p>
    <w:p w14:paraId="6943DBC5" w14:textId="77777777" w:rsidR="002F2BB2" w:rsidRDefault="002F2BB2" w:rsidP="002F2BB2">
      <w:pPr>
        <w:rPr>
          <w:sz w:val="22"/>
          <w:szCs w:val="22"/>
        </w:rPr>
      </w:pPr>
    </w:p>
    <w:p w14:paraId="6B5300FC" w14:textId="77777777" w:rsidR="002F2BB2" w:rsidRDefault="002F2BB2" w:rsidP="002F2BB2">
      <w:pPr>
        <w:rPr>
          <w:sz w:val="22"/>
          <w:szCs w:val="22"/>
        </w:rPr>
      </w:pPr>
    </w:p>
    <w:p w14:paraId="6A59BD61" w14:textId="77777777" w:rsidR="002F2BB2" w:rsidRDefault="002F2BB2" w:rsidP="002F2BB2">
      <w:pPr>
        <w:rPr>
          <w:sz w:val="22"/>
          <w:szCs w:val="22"/>
        </w:rPr>
      </w:pPr>
    </w:p>
    <w:p w14:paraId="0FC31991" w14:textId="77777777" w:rsidR="002F2BB2" w:rsidRDefault="002F2BB2" w:rsidP="002F2BB2">
      <w:pPr>
        <w:rPr>
          <w:sz w:val="22"/>
          <w:szCs w:val="22"/>
        </w:rPr>
      </w:pPr>
    </w:p>
    <w:p w14:paraId="4AB895A9" w14:textId="77777777" w:rsidR="002F2BB2" w:rsidRDefault="002F2BB2" w:rsidP="002F2BB2">
      <w:pPr>
        <w:rPr>
          <w:sz w:val="22"/>
          <w:szCs w:val="22"/>
        </w:rPr>
      </w:pPr>
    </w:p>
    <w:p w14:paraId="265240E6" w14:textId="77777777" w:rsidR="002F2BB2" w:rsidRDefault="002F2BB2" w:rsidP="002F2BB2">
      <w:pPr>
        <w:rPr>
          <w:sz w:val="22"/>
          <w:szCs w:val="22"/>
        </w:rPr>
      </w:pPr>
    </w:p>
    <w:p w14:paraId="3C907C7D" w14:textId="77777777" w:rsidR="002F2BB2" w:rsidRDefault="002F2BB2" w:rsidP="002F2BB2">
      <w:pPr>
        <w:rPr>
          <w:sz w:val="22"/>
          <w:szCs w:val="22"/>
        </w:rPr>
      </w:pPr>
    </w:p>
    <w:p w14:paraId="0E04A573" w14:textId="77777777" w:rsidR="002F2BB2" w:rsidRDefault="002F2BB2" w:rsidP="002F2BB2">
      <w:pPr>
        <w:rPr>
          <w:sz w:val="22"/>
          <w:szCs w:val="22"/>
        </w:rPr>
      </w:pPr>
    </w:p>
    <w:p w14:paraId="634BDEAE" w14:textId="77777777" w:rsidR="002F2BB2" w:rsidRDefault="002F2BB2" w:rsidP="002F2BB2">
      <w:pPr>
        <w:rPr>
          <w:sz w:val="22"/>
          <w:szCs w:val="22"/>
        </w:rPr>
      </w:pPr>
    </w:p>
    <w:p w14:paraId="70AA9200" w14:textId="77777777" w:rsidR="002F2BB2" w:rsidRDefault="002F2BB2" w:rsidP="002F2BB2">
      <w:pPr>
        <w:rPr>
          <w:sz w:val="22"/>
          <w:szCs w:val="22"/>
        </w:rPr>
      </w:pPr>
    </w:p>
    <w:p w14:paraId="5AAFED34" w14:textId="77777777" w:rsidR="002F2BB2" w:rsidRDefault="002F2BB2" w:rsidP="002F2BB2">
      <w:pPr>
        <w:rPr>
          <w:sz w:val="22"/>
          <w:szCs w:val="22"/>
        </w:rPr>
        <w:sectPr w:rsidR="002F2BB2" w:rsidSect="000F59B2">
          <w:pgSz w:w="12240" w:h="15840"/>
          <w:pgMar w:top="1440" w:right="1440" w:bottom="1440" w:left="1440" w:header="708" w:footer="708" w:gutter="0"/>
          <w:cols w:space="708"/>
          <w:docGrid w:linePitch="360"/>
        </w:sectPr>
      </w:pPr>
    </w:p>
    <w:p w14:paraId="2A2BD09D" w14:textId="77777777" w:rsidR="002F2BB2" w:rsidRDefault="002F2BB2" w:rsidP="002F2BB2">
      <w:pPr>
        <w:rPr>
          <w:b/>
          <w:sz w:val="22"/>
          <w:szCs w:val="22"/>
        </w:rPr>
      </w:pPr>
      <w:r>
        <w:rPr>
          <w:b/>
          <w:sz w:val="22"/>
          <w:szCs w:val="22"/>
        </w:rPr>
        <w:lastRenderedPageBreak/>
        <w:t>Table 4: Multivariable analysis of factors associated with methamphetamine use reduction among gbMSM who reported frequent use between 2012-2015 in Vancouver, Canada (n=46)</w:t>
      </w:r>
    </w:p>
    <w:p w14:paraId="6DEEE003" w14:textId="77777777" w:rsidR="002F2BB2" w:rsidRDefault="002F2BB2" w:rsidP="002F2BB2">
      <w:pPr>
        <w:rPr>
          <w:b/>
          <w:sz w:val="22"/>
          <w:szCs w:val="22"/>
        </w:rPr>
      </w:pPr>
    </w:p>
    <w:tbl>
      <w:tblPr>
        <w:tblW w:w="0" w:type="auto"/>
        <w:tblCellMar>
          <w:left w:w="0" w:type="dxa"/>
          <w:right w:w="0" w:type="dxa"/>
        </w:tblCellMar>
        <w:tblLook w:val="04A0" w:firstRow="1" w:lastRow="0" w:firstColumn="1" w:lastColumn="0" w:noHBand="0" w:noVBand="1"/>
      </w:tblPr>
      <w:tblGrid>
        <w:gridCol w:w="5871"/>
        <w:gridCol w:w="518"/>
        <w:gridCol w:w="1192"/>
        <w:gridCol w:w="1103"/>
        <w:gridCol w:w="585"/>
      </w:tblGrid>
      <w:tr w:rsidR="002F2BB2" w:rsidRPr="00532C61" w14:paraId="4A975239" w14:textId="77777777" w:rsidTr="0072694B">
        <w:trPr>
          <w:trHeight w:val="315"/>
        </w:trPr>
        <w:tc>
          <w:tcPr>
            <w:tcW w:w="0" w:type="auto"/>
            <w:tcBorders>
              <w:top w:val="single" w:sz="4" w:space="0" w:color="auto"/>
              <w:bottom w:val="single" w:sz="4" w:space="0" w:color="auto"/>
            </w:tcBorders>
            <w:tcMar>
              <w:top w:w="0" w:type="dxa"/>
              <w:left w:w="45" w:type="dxa"/>
              <w:bottom w:w="0" w:type="dxa"/>
              <w:right w:w="45" w:type="dxa"/>
            </w:tcMar>
            <w:vAlign w:val="center"/>
            <w:hideMark/>
          </w:tcPr>
          <w:p w14:paraId="0014D026" w14:textId="77777777" w:rsidR="002F2BB2" w:rsidRPr="00532C61" w:rsidRDefault="002F2BB2" w:rsidP="0072694B">
            <w:pPr>
              <w:jc w:val="center"/>
              <w:rPr>
                <w:b/>
                <w:bCs/>
                <w:color w:val="000000"/>
                <w:sz w:val="22"/>
                <w:szCs w:val="22"/>
              </w:rPr>
            </w:pPr>
          </w:p>
        </w:tc>
        <w:tc>
          <w:tcPr>
            <w:tcW w:w="3398" w:type="dxa"/>
            <w:gridSpan w:val="4"/>
            <w:tcBorders>
              <w:top w:val="single" w:sz="4" w:space="0" w:color="auto"/>
              <w:bottom w:val="single" w:sz="4" w:space="0" w:color="auto"/>
            </w:tcBorders>
            <w:tcMar>
              <w:top w:w="0" w:type="dxa"/>
              <w:left w:w="45" w:type="dxa"/>
              <w:bottom w:w="0" w:type="dxa"/>
              <w:right w:w="45" w:type="dxa"/>
            </w:tcMar>
            <w:vAlign w:val="center"/>
            <w:hideMark/>
          </w:tcPr>
          <w:p w14:paraId="3981FB6D" w14:textId="77777777" w:rsidR="002F2BB2" w:rsidRPr="00532C61" w:rsidRDefault="002F2BB2" w:rsidP="0072694B">
            <w:pPr>
              <w:jc w:val="center"/>
              <w:rPr>
                <w:b/>
                <w:bCs/>
                <w:color w:val="000000"/>
                <w:sz w:val="22"/>
                <w:szCs w:val="22"/>
              </w:rPr>
            </w:pPr>
            <w:r w:rsidRPr="00532C61">
              <w:rPr>
                <w:b/>
                <w:bCs/>
                <w:color w:val="000000"/>
                <w:sz w:val="22"/>
                <w:szCs w:val="22"/>
              </w:rPr>
              <w:t>60</w:t>
            </w:r>
            <w:r>
              <w:rPr>
                <w:b/>
                <w:bCs/>
                <w:color w:val="000000"/>
                <w:sz w:val="22"/>
                <w:szCs w:val="22"/>
              </w:rPr>
              <w:t xml:space="preserve"> </w:t>
            </w:r>
            <w:r w:rsidRPr="00532C61">
              <w:rPr>
                <w:b/>
                <w:bCs/>
                <w:color w:val="000000"/>
                <w:sz w:val="22"/>
                <w:szCs w:val="22"/>
              </w:rPr>
              <w:t>MA-reduced visits</w:t>
            </w:r>
            <w:r>
              <w:rPr>
                <w:b/>
                <w:bCs/>
                <w:color w:val="000000"/>
                <w:sz w:val="22"/>
                <w:szCs w:val="22"/>
              </w:rPr>
              <w:t xml:space="preserve"> </w:t>
            </w:r>
            <w:r w:rsidRPr="00532C61">
              <w:rPr>
                <w:b/>
                <w:bCs/>
                <w:color w:val="000000"/>
                <w:sz w:val="22"/>
                <w:szCs w:val="22"/>
              </w:rPr>
              <w:t>vs</w:t>
            </w:r>
            <w:r>
              <w:rPr>
                <w:b/>
                <w:bCs/>
                <w:color w:val="000000"/>
                <w:sz w:val="22"/>
                <w:szCs w:val="22"/>
              </w:rPr>
              <w:t xml:space="preserve"> </w:t>
            </w:r>
            <w:r w:rsidRPr="00532C61">
              <w:rPr>
                <w:b/>
                <w:bCs/>
                <w:color w:val="000000"/>
                <w:sz w:val="22"/>
                <w:szCs w:val="22"/>
              </w:rPr>
              <w:t>160</w:t>
            </w:r>
          </w:p>
        </w:tc>
      </w:tr>
      <w:tr w:rsidR="002F2BB2" w:rsidRPr="00532C61" w14:paraId="52352640" w14:textId="77777777" w:rsidTr="0072694B">
        <w:trPr>
          <w:trHeight w:val="300"/>
        </w:trPr>
        <w:tc>
          <w:tcPr>
            <w:tcW w:w="0" w:type="auto"/>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2A3A4314" w14:textId="77777777" w:rsidR="002F2BB2" w:rsidRPr="00532C61" w:rsidRDefault="002F2BB2" w:rsidP="0072694B">
            <w:pPr>
              <w:jc w:val="center"/>
              <w:rPr>
                <w:b/>
                <w:bCs/>
                <w:sz w:val="22"/>
                <w:szCs w:val="22"/>
              </w:rPr>
            </w:pPr>
          </w:p>
        </w:tc>
        <w:tc>
          <w:tcPr>
            <w:tcW w:w="0" w:type="auto"/>
            <w:tcBorders>
              <w:top w:val="single" w:sz="4" w:space="0" w:color="auto"/>
              <w:bottom w:val="single" w:sz="4" w:space="0" w:color="auto"/>
            </w:tcBorders>
            <w:shd w:val="clear" w:color="auto" w:fill="auto"/>
            <w:tcMar>
              <w:top w:w="0" w:type="dxa"/>
              <w:left w:w="45" w:type="dxa"/>
              <w:bottom w:w="0" w:type="dxa"/>
              <w:right w:w="45" w:type="dxa"/>
            </w:tcMar>
            <w:vAlign w:val="bottom"/>
            <w:hideMark/>
          </w:tcPr>
          <w:p w14:paraId="182C1F19" w14:textId="77777777" w:rsidR="002F2BB2" w:rsidRPr="00532C61" w:rsidRDefault="002F2BB2" w:rsidP="0072694B">
            <w:pPr>
              <w:jc w:val="center"/>
              <w:rPr>
                <w:b/>
                <w:bCs/>
                <w:sz w:val="22"/>
                <w:szCs w:val="22"/>
              </w:rPr>
            </w:pPr>
            <w:proofErr w:type="spellStart"/>
            <w:r w:rsidRPr="00532C61">
              <w:rPr>
                <w:b/>
                <w:bCs/>
                <w:sz w:val="22"/>
                <w:szCs w:val="22"/>
              </w:rPr>
              <w:t>aRR</w:t>
            </w:r>
            <w:proofErr w:type="spellEnd"/>
          </w:p>
        </w:tc>
        <w:tc>
          <w:tcPr>
            <w:tcW w:w="0" w:type="auto"/>
            <w:gridSpan w:val="2"/>
            <w:tcBorders>
              <w:top w:val="single" w:sz="4" w:space="0" w:color="auto"/>
              <w:bottom w:val="single" w:sz="4" w:space="0" w:color="auto"/>
            </w:tcBorders>
            <w:shd w:val="clear" w:color="auto" w:fill="auto"/>
            <w:tcMar>
              <w:top w:w="0" w:type="dxa"/>
              <w:left w:w="45" w:type="dxa"/>
              <w:bottom w:w="0" w:type="dxa"/>
              <w:right w:w="45" w:type="dxa"/>
            </w:tcMar>
            <w:vAlign w:val="bottom"/>
            <w:hideMark/>
          </w:tcPr>
          <w:p w14:paraId="6FB1CAD6" w14:textId="77777777" w:rsidR="002F2BB2" w:rsidRPr="00532C61" w:rsidRDefault="002F2BB2" w:rsidP="0072694B">
            <w:pPr>
              <w:jc w:val="center"/>
              <w:rPr>
                <w:b/>
                <w:bCs/>
                <w:sz w:val="22"/>
                <w:szCs w:val="22"/>
              </w:rPr>
            </w:pPr>
            <w:r w:rsidRPr="00532C61">
              <w:rPr>
                <w:b/>
                <w:bCs/>
                <w:sz w:val="22"/>
                <w:szCs w:val="22"/>
              </w:rPr>
              <w:t>95% CI</w:t>
            </w:r>
          </w:p>
        </w:tc>
        <w:tc>
          <w:tcPr>
            <w:tcW w:w="0" w:type="auto"/>
            <w:tcBorders>
              <w:top w:val="single" w:sz="4" w:space="0" w:color="auto"/>
              <w:bottom w:val="single" w:sz="4" w:space="0" w:color="auto"/>
            </w:tcBorders>
            <w:shd w:val="clear" w:color="auto" w:fill="auto"/>
            <w:vAlign w:val="bottom"/>
          </w:tcPr>
          <w:p w14:paraId="12BF5BE5" w14:textId="77777777" w:rsidR="002F2BB2" w:rsidRPr="00532C61" w:rsidRDefault="002F2BB2" w:rsidP="0072694B">
            <w:pPr>
              <w:jc w:val="center"/>
              <w:rPr>
                <w:b/>
                <w:bCs/>
                <w:i/>
                <w:sz w:val="22"/>
                <w:szCs w:val="22"/>
              </w:rPr>
            </w:pPr>
            <w:r w:rsidRPr="00532C61">
              <w:rPr>
                <w:b/>
                <w:bCs/>
                <w:i/>
                <w:sz w:val="22"/>
                <w:szCs w:val="22"/>
              </w:rPr>
              <w:t>p</w:t>
            </w:r>
          </w:p>
        </w:tc>
      </w:tr>
      <w:tr w:rsidR="002F2BB2" w:rsidRPr="00532C61" w14:paraId="0AEE0A41" w14:textId="77777777" w:rsidTr="0072694B">
        <w:trPr>
          <w:trHeight w:val="315"/>
        </w:trPr>
        <w:tc>
          <w:tcPr>
            <w:tcW w:w="0" w:type="auto"/>
            <w:tcBorders>
              <w:top w:val="single" w:sz="4" w:space="0" w:color="auto"/>
            </w:tcBorders>
            <w:shd w:val="clear" w:color="auto" w:fill="auto"/>
            <w:tcMar>
              <w:top w:w="0" w:type="dxa"/>
              <w:left w:w="45" w:type="dxa"/>
              <w:bottom w:w="0" w:type="dxa"/>
              <w:right w:w="45" w:type="dxa"/>
            </w:tcMar>
            <w:vAlign w:val="center"/>
          </w:tcPr>
          <w:p w14:paraId="5C0938B8" w14:textId="77777777" w:rsidR="002F2BB2" w:rsidRPr="00532C61" w:rsidRDefault="002F2BB2" w:rsidP="0072694B">
            <w:pPr>
              <w:rPr>
                <w:b/>
                <w:i/>
                <w:sz w:val="22"/>
                <w:szCs w:val="22"/>
                <w:u w:val="single"/>
              </w:rPr>
            </w:pPr>
            <w:r w:rsidRPr="00532C61">
              <w:rPr>
                <w:b/>
                <w:bCs/>
                <w:i/>
                <w:sz w:val="22"/>
                <w:szCs w:val="22"/>
                <w:u w:val="single"/>
              </w:rPr>
              <w:t>HIV Prevention Practices and Risk Behaviours</w:t>
            </w:r>
          </w:p>
        </w:tc>
        <w:tc>
          <w:tcPr>
            <w:tcW w:w="0" w:type="auto"/>
            <w:tcBorders>
              <w:top w:val="single" w:sz="4" w:space="0" w:color="auto"/>
            </w:tcBorders>
            <w:shd w:val="clear" w:color="auto" w:fill="auto"/>
            <w:tcMar>
              <w:top w:w="0" w:type="dxa"/>
              <w:left w:w="45" w:type="dxa"/>
              <w:bottom w:w="0" w:type="dxa"/>
              <w:right w:w="45" w:type="dxa"/>
            </w:tcMar>
            <w:vAlign w:val="bottom"/>
          </w:tcPr>
          <w:p w14:paraId="68D1D205" w14:textId="77777777" w:rsidR="002F2BB2" w:rsidRPr="00532C61" w:rsidRDefault="002F2BB2" w:rsidP="0072694B">
            <w:pPr>
              <w:jc w:val="right"/>
              <w:rPr>
                <w:sz w:val="22"/>
                <w:szCs w:val="22"/>
              </w:rPr>
            </w:pPr>
          </w:p>
        </w:tc>
        <w:tc>
          <w:tcPr>
            <w:tcW w:w="1192" w:type="dxa"/>
            <w:tcBorders>
              <w:top w:val="single" w:sz="4" w:space="0" w:color="auto"/>
            </w:tcBorders>
            <w:shd w:val="clear" w:color="auto" w:fill="auto"/>
            <w:tcMar>
              <w:top w:w="0" w:type="dxa"/>
              <w:left w:w="45" w:type="dxa"/>
              <w:bottom w:w="0" w:type="dxa"/>
              <w:right w:w="45" w:type="dxa"/>
            </w:tcMar>
            <w:vAlign w:val="bottom"/>
          </w:tcPr>
          <w:p w14:paraId="5472E83A" w14:textId="77777777" w:rsidR="002F2BB2" w:rsidRPr="00532C61" w:rsidRDefault="002F2BB2" w:rsidP="0072694B">
            <w:pPr>
              <w:jc w:val="center"/>
              <w:rPr>
                <w:sz w:val="22"/>
                <w:szCs w:val="22"/>
              </w:rPr>
            </w:pPr>
          </w:p>
        </w:tc>
        <w:tc>
          <w:tcPr>
            <w:tcW w:w="1103" w:type="dxa"/>
            <w:tcBorders>
              <w:top w:val="single" w:sz="4" w:space="0" w:color="auto"/>
            </w:tcBorders>
            <w:shd w:val="clear" w:color="auto" w:fill="auto"/>
            <w:tcMar>
              <w:top w:w="0" w:type="dxa"/>
              <w:left w:w="45" w:type="dxa"/>
              <w:bottom w:w="0" w:type="dxa"/>
              <w:right w:w="45" w:type="dxa"/>
            </w:tcMar>
            <w:vAlign w:val="bottom"/>
          </w:tcPr>
          <w:p w14:paraId="5743CDD0" w14:textId="77777777" w:rsidR="002F2BB2" w:rsidRPr="00532C61" w:rsidRDefault="002F2BB2" w:rsidP="0072694B">
            <w:pPr>
              <w:jc w:val="center"/>
              <w:rPr>
                <w:sz w:val="22"/>
                <w:szCs w:val="22"/>
              </w:rPr>
            </w:pPr>
          </w:p>
        </w:tc>
        <w:tc>
          <w:tcPr>
            <w:tcW w:w="0" w:type="auto"/>
            <w:tcBorders>
              <w:top w:val="single" w:sz="4" w:space="0" w:color="auto"/>
            </w:tcBorders>
            <w:shd w:val="clear" w:color="auto" w:fill="auto"/>
            <w:tcMar>
              <w:top w:w="0" w:type="dxa"/>
              <w:left w:w="45" w:type="dxa"/>
              <w:bottom w:w="0" w:type="dxa"/>
              <w:right w:w="45" w:type="dxa"/>
            </w:tcMar>
            <w:vAlign w:val="bottom"/>
          </w:tcPr>
          <w:p w14:paraId="5F3B8F1C" w14:textId="77777777" w:rsidR="002F2BB2" w:rsidRPr="00532C61" w:rsidRDefault="002F2BB2" w:rsidP="0072694B">
            <w:pPr>
              <w:jc w:val="right"/>
              <w:rPr>
                <w:sz w:val="22"/>
                <w:szCs w:val="22"/>
              </w:rPr>
            </w:pPr>
          </w:p>
        </w:tc>
      </w:tr>
      <w:tr w:rsidR="002F2BB2" w:rsidRPr="00532C61" w14:paraId="1AFAF6B6" w14:textId="77777777" w:rsidTr="0072694B">
        <w:trPr>
          <w:trHeight w:val="315"/>
        </w:trPr>
        <w:tc>
          <w:tcPr>
            <w:tcW w:w="0" w:type="auto"/>
            <w:shd w:val="clear" w:color="auto" w:fill="auto"/>
            <w:tcMar>
              <w:top w:w="0" w:type="dxa"/>
              <w:left w:w="45" w:type="dxa"/>
              <w:bottom w:w="0" w:type="dxa"/>
              <w:right w:w="45" w:type="dxa"/>
            </w:tcMar>
            <w:vAlign w:val="center"/>
            <w:hideMark/>
          </w:tcPr>
          <w:p w14:paraId="690C145C" w14:textId="77777777" w:rsidR="002F2BB2" w:rsidRPr="00532C61" w:rsidRDefault="002F2BB2" w:rsidP="0072694B">
            <w:pPr>
              <w:rPr>
                <w:b/>
                <w:sz w:val="22"/>
                <w:szCs w:val="22"/>
              </w:rPr>
            </w:pPr>
            <w:r w:rsidRPr="00532C61">
              <w:rPr>
                <w:b/>
                <w:sz w:val="22"/>
                <w:szCs w:val="22"/>
              </w:rPr>
              <w:t>Social Time with other gbMSM</w:t>
            </w:r>
          </w:p>
        </w:tc>
        <w:tc>
          <w:tcPr>
            <w:tcW w:w="0" w:type="auto"/>
            <w:shd w:val="clear" w:color="auto" w:fill="auto"/>
            <w:tcMar>
              <w:top w:w="0" w:type="dxa"/>
              <w:left w:w="45" w:type="dxa"/>
              <w:bottom w:w="0" w:type="dxa"/>
              <w:right w:w="45" w:type="dxa"/>
            </w:tcMar>
            <w:vAlign w:val="bottom"/>
            <w:hideMark/>
          </w:tcPr>
          <w:p w14:paraId="0F7608D5" w14:textId="77777777" w:rsidR="002F2BB2" w:rsidRPr="00532C61" w:rsidRDefault="002F2BB2" w:rsidP="0072694B">
            <w:pPr>
              <w:jc w:val="right"/>
              <w:rPr>
                <w:sz w:val="22"/>
                <w:szCs w:val="22"/>
              </w:rPr>
            </w:pPr>
          </w:p>
        </w:tc>
        <w:tc>
          <w:tcPr>
            <w:tcW w:w="1192" w:type="dxa"/>
            <w:shd w:val="clear" w:color="auto" w:fill="auto"/>
            <w:tcMar>
              <w:top w:w="0" w:type="dxa"/>
              <w:left w:w="45" w:type="dxa"/>
              <w:bottom w:w="0" w:type="dxa"/>
              <w:right w:w="45" w:type="dxa"/>
            </w:tcMar>
            <w:vAlign w:val="bottom"/>
            <w:hideMark/>
          </w:tcPr>
          <w:p w14:paraId="3E3D8D13" w14:textId="77777777" w:rsidR="002F2BB2" w:rsidRPr="00532C61" w:rsidRDefault="002F2BB2" w:rsidP="0072694B">
            <w:pPr>
              <w:jc w:val="center"/>
              <w:rPr>
                <w:sz w:val="22"/>
                <w:szCs w:val="22"/>
              </w:rPr>
            </w:pPr>
          </w:p>
        </w:tc>
        <w:tc>
          <w:tcPr>
            <w:tcW w:w="1103" w:type="dxa"/>
            <w:shd w:val="clear" w:color="auto" w:fill="auto"/>
            <w:tcMar>
              <w:top w:w="0" w:type="dxa"/>
              <w:left w:w="45" w:type="dxa"/>
              <w:bottom w:w="0" w:type="dxa"/>
              <w:right w:w="45" w:type="dxa"/>
            </w:tcMar>
            <w:vAlign w:val="bottom"/>
            <w:hideMark/>
          </w:tcPr>
          <w:p w14:paraId="5A59E67F" w14:textId="77777777" w:rsidR="002F2BB2" w:rsidRPr="00532C61" w:rsidRDefault="002F2BB2" w:rsidP="0072694B">
            <w:pPr>
              <w:jc w:val="center"/>
              <w:rPr>
                <w:sz w:val="22"/>
                <w:szCs w:val="22"/>
              </w:rPr>
            </w:pPr>
          </w:p>
        </w:tc>
        <w:tc>
          <w:tcPr>
            <w:tcW w:w="0" w:type="auto"/>
            <w:shd w:val="clear" w:color="auto" w:fill="auto"/>
            <w:tcMar>
              <w:top w:w="0" w:type="dxa"/>
              <w:left w:w="45" w:type="dxa"/>
              <w:bottom w:w="0" w:type="dxa"/>
              <w:right w:w="45" w:type="dxa"/>
            </w:tcMar>
            <w:vAlign w:val="bottom"/>
            <w:hideMark/>
          </w:tcPr>
          <w:p w14:paraId="45EC72C0" w14:textId="77777777" w:rsidR="002F2BB2" w:rsidRPr="00532C61" w:rsidRDefault="002F2BB2" w:rsidP="0072694B">
            <w:pPr>
              <w:jc w:val="right"/>
              <w:rPr>
                <w:sz w:val="22"/>
                <w:szCs w:val="22"/>
              </w:rPr>
            </w:pPr>
          </w:p>
        </w:tc>
      </w:tr>
      <w:tr w:rsidR="002F2BB2" w:rsidRPr="00532C61" w14:paraId="6D278111" w14:textId="77777777" w:rsidTr="0072694B">
        <w:trPr>
          <w:trHeight w:val="315"/>
        </w:trPr>
        <w:tc>
          <w:tcPr>
            <w:tcW w:w="0" w:type="auto"/>
            <w:shd w:val="clear" w:color="auto" w:fill="auto"/>
            <w:tcMar>
              <w:top w:w="0" w:type="dxa"/>
              <w:left w:w="45" w:type="dxa"/>
              <w:bottom w:w="0" w:type="dxa"/>
              <w:right w:w="45" w:type="dxa"/>
            </w:tcMar>
            <w:vAlign w:val="bottom"/>
            <w:hideMark/>
          </w:tcPr>
          <w:p w14:paraId="28D7581F" w14:textId="77777777" w:rsidR="002F2BB2" w:rsidRPr="00532C61" w:rsidRDefault="002F2BB2" w:rsidP="0072694B">
            <w:pPr>
              <w:rPr>
                <w:b/>
                <w:sz w:val="22"/>
                <w:szCs w:val="22"/>
              </w:rPr>
            </w:pPr>
            <w:r w:rsidRPr="00532C61">
              <w:rPr>
                <w:sz w:val="22"/>
                <w:szCs w:val="22"/>
              </w:rPr>
              <w:t xml:space="preserve">    50% or less of total social time</w:t>
            </w:r>
          </w:p>
        </w:tc>
        <w:tc>
          <w:tcPr>
            <w:tcW w:w="0" w:type="auto"/>
            <w:shd w:val="clear" w:color="auto" w:fill="auto"/>
            <w:tcMar>
              <w:top w:w="0" w:type="dxa"/>
              <w:left w:w="45" w:type="dxa"/>
              <w:bottom w:w="0" w:type="dxa"/>
              <w:right w:w="45" w:type="dxa"/>
            </w:tcMar>
            <w:vAlign w:val="bottom"/>
            <w:hideMark/>
          </w:tcPr>
          <w:p w14:paraId="685C52FC" w14:textId="77777777" w:rsidR="002F2BB2" w:rsidRPr="00AA0A74" w:rsidRDefault="002F2BB2" w:rsidP="0072694B">
            <w:pPr>
              <w:jc w:val="right"/>
              <w:rPr>
                <w:b/>
                <w:bCs/>
                <w:sz w:val="22"/>
                <w:szCs w:val="22"/>
              </w:rPr>
            </w:pPr>
            <w:r>
              <w:rPr>
                <w:b/>
                <w:bCs/>
                <w:sz w:val="22"/>
                <w:szCs w:val="22"/>
              </w:rPr>
              <w:t>Ref</w:t>
            </w:r>
          </w:p>
        </w:tc>
        <w:tc>
          <w:tcPr>
            <w:tcW w:w="1192" w:type="dxa"/>
            <w:shd w:val="clear" w:color="auto" w:fill="auto"/>
            <w:tcMar>
              <w:top w:w="0" w:type="dxa"/>
              <w:left w:w="45" w:type="dxa"/>
              <w:bottom w:w="0" w:type="dxa"/>
              <w:right w:w="45" w:type="dxa"/>
            </w:tcMar>
            <w:vAlign w:val="bottom"/>
            <w:hideMark/>
          </w:tcPr>
          <w:p w14:paraId="38E87074" w14:textId="77777777" w:rsidR="002F2BB2" w:rsidRPr="00AA0A74" w:rsidRDefault="002F2BB2" w:rsidP="0072694B">
            <w:pPr>
              <w:jc w:val="center"/>
              <w:rPr>
                <w:b/>
                <w:bCs/>
                <w:sz w:val="22"/>
                <w:szCs w:val="22"/>
              </w:rPr>
            </w:pPr>
          </w:p>
        </w:tc>
        <w:tc>
          <w:tcPr>
            <w:tcW w:w="1103" w:type="dxa"/>
            <w:shd w:val="clear" w:color="auto" w:fill="auto"/>
            <w:tcMar>
              <w:top w:w="0" w:type="dxa"/>
              <w:left w:w="45" w:type="dxa"/>
              <w:bottom w:w="0" w:type="dxa"/>
              <w:right w:w="45" w:type="dxa"/>
            </w:tcMar>
            <w:vAlign w:val="bottom"/>
            <w:hideMark/>
          </w:tcPr>
          <w:p w14:paraId="482EE2FD" w14:textId="77777777" w:rsidR="002F2BB2" w:rsidRPr="00AA0A74" w:rsidRDefault="002F2BB2" w:rsidP="0072694B">
            <w:pPr>
              <w:jc w:val="center"/>
              <w:rPr>
                <w:b/>
                <w:bCs/>
                <w:sz w:val="22"/>
                <w:szCs w:val="22"/>
              </w:rPr>
            </w:pPr>
          </w:p>
        </w:tc>
        <w:tc>
          <w:tcPr>
            <w:tcW w:w="0" w:type="auto"/>
            <w:shd w:val="clear" w:color="auto" w:fill="auto"/>
            <w:tcMar>
              <w:top w:w="0" w:type="dxa"/>
              <w:left w:w="45" w:type="dxa"/>
              <w:bottom w:w="0" w:type="dxa"/>
              <w:right w:w="45" w:type="dxa"/>
            </w:tcMar>
            <w:vAlign w:val="bottom"/>
            <w:hideMark/>
          </w:tcPr>
          <w:p w14:paraId="49C6DD60" w14:textId="77777777" w:rsidR="002F2BB2" w:rsidRPr="00AA0A74" w:rsidRDefault="002F2BB2" w:rsidP="0072694B">
            <w:pPr>
              <w:jc w:val="right"/>
              <w:rPr>
                <w:b/>
                <w:bCs/>
                <w:sz w:val="22"/>
                <w:szCs w:val="22"/>
              </w:rPr>
            </w:pPr>
          </w:p>
        </w:tc>
      </w:tr>
      <w:tr w:rsidR="002F2BB2" w:rsidRPr="00532C61" w14:paraId="6E603D8A" w14:textId="77777777" w:rsidTr="0072694B">
        <w:trPr>
          <w:trHeight w:val="315"/>
        </w:trPr>
        <w:tc>
          <w:tcPr>
            <w:tcW w:w="0" w:type="auto"/>
            <w:shd w:val="clear" w:color="auto" w:fill="auto"/>
            <w:tcMar>
              <w:top w:w="0" w:type="dxa"/>
              <w:left w:w="45" w:type="dxa"/>
              <w:bottom w:w="0" w:type="dxa"/>
              <w:right w:w="45" w:type="dxa"/>
            </w:tcMar>
            <w:vAlign w:val="bottom"/>
            <w:hideMark/>
          </w:tcPr>
          <w:p w14:paraId="1F8F572C" w14:textId="77777777" w:rsidR="002F2BB2" w:rsidRPr="00532C61" w:rsidRDefault="002F2BB2" w:rsidP="0072694B">
            <w:pPr>
              <w:rPr>
                <w:sz w:val="22"/>
                <w:szCs w:val="22"/>
              </w:rPr>
            </w:pPr>
            <w:r w:rsidRPr="00532C61">
              <w:rPr>
                <w:sz w:val="22"/>
                <w:szCs w:val="22"/>
              </w:rPr>
              <w:t xml:space="preserve">    at least 50% </w:t>
            </w:r>
          </w:p>
        </w:tc>
        <w:tc>
          <w:tcPr>
            <w:tcW w:w="0" w:type="auto"/>
            <w:shd w:val="clear" w:color="auto" w:fill="auto"/>
            <w:tcMar>
              <w:top w:w="0" w:type="dxa"/>
              <w:left w:w="45" w:type="dxa"/>
              <w:bottom w:w="0" w:type="dxa"/>
              <w:right w:w="45" w:type="dxa"/>
            </w:tcMar>
            <w:vAlign w:val="bottom"/>
            <w:hideMark/>
          </w:tcPr>
          <w:p w14:paraId="590FFF56" w14:textId="77777777" w:rsidR="002F2BB2" w:rsidRPr="00B34C2C" w:rsidRDefault="002F2BB2" w:rsidP="0072694B">
            <w:pPr>
              <w:jc w:val="right"/>
              <w:rPr>
                <w:b/>
                <w:sz w:val="22"/>
                <w:szCs w:val="22"/>
              </w:rPr>
            </w:pPr>
            <w:r w:rsidRPr="00B34C2C">
              <w:rPr>
                <w:b/>
                <w:sz w:val="22"/>
                <w:szCs w:val="22"/>
              </w:rPr>
              <w:t>0.49</w:t>
            </w:r>
          </w:p>
        </w:tc>
        <w:tc>
          <w:tcPr>
            <w:tcW w:w="1192" w:type="dxa"/>
            <w:shd w:val="clear" w:color="auto" w:fill="auto"/>
            <w:tcMar>
              <w:top w:w="0" w:type="dxa"/>
              <w:left w:w="45" w:type="dxa"/>
              <w:bottom w:w="0" w:type="dxa"/>
              <w:right w:w="45" w:type="dxa"/>
            </w:tcMar>
            <w:vAlign w:val="bottom"/>
            <w:hideMark/>
          </w:tcPr>
          <w:p w14:paraId="55C3639A" w14:textId="77777777" w:rsidR="002F2BB2" w:rsidRPr="00532C61" w:rsidRDefault="002F2BB2" w:rsidP="0072694B">
            <w:pPr>
              <w:jc w:val="center"/>
              <w:rPr>
                <w:b/>
                <w:sz w:val="22"/>
                <w:szCs w:val="22"/>
              </w:rPr>
            </w:pPr>
            <w:r>
              <w:rPr>
                <w:b/>
                <w:sz w:val="22"/>
                <w:szCs w:val="22"/>
              </w:rPr>
              <w:t>0.28</w:t>
            </w:r>
          </w:p>
        </w:tc>
        <w:tc>
          <w:tcPr>
            <w:tcW w:w="1103" w:type="dxa"/>
            <w:shd w:val="clear" w:color="auto" w:fill="auto"/>
            <w:tcMar>
              <w:top w:w="0" w:type="dxa"/>
              <w:left w:w="45" w:type="dxa"/>
              <w:bottom w:w="0" w:type="dxa"/>
              <w:right w:w="45" w:type="dxa"/>
            </w:tcMar>
            <w:vAlign w:val="bottom"/>
            <w:hideMark/>
          </w:tcPr>
          <w:p w14:paraId="43D0F139" w14:textId="77777777" w:rsidR="002F2BB2" w:rsidRPr="00532C61" w:rsidRDefault="002F2BB2" w:rsidP="0072694B">
            <w:pPr>
              <w:jc w:val="center"/>
              <w:rPr>
                <w:b/>
                <w:sz w:val="22"/>
                <w:szCs w:val="22"/>
              </w:rPr>
            </w:pPr>
            <w:r>
              <w:rPr>
                <w:b/>
                <w:sz w:val="22"/>
                <w:szCs w:val="22"/>
              </w:rPr>
              <w:t>0.85</w:t>
            </w:r>
          </w:p>
        </w:tc>
        <w:tc>
          <w:tcPr>
            <w:tcW w:w="0" w:type="auto"/>
            <w:shd w:val="clear" w:color="auto" w:fill="auto"/>
            <w:tcMar>
              <w:top w:w="0" w:type="dxa"/>
              <w:left w:w="45" w:type="dxa"/>
              <w:bottom w:w="0" w:type="dxa"/>
              <w:right w:w="45" w:type="dxa"/>
            </w:tcMar>
            <w:vAlign w:val="bottom"/>
            <w:hideMark/>
          </w:tcPr>
          <w:p w14:paraId="41C2EF39" w14:textId="77777777" w:rsidR="002F2BB2" w:rsidRPr="00532C61" w:rsidRDefault="002F2BB2" w:rsidP="0072694B">
            <w:pPr>
              <w:jc w:val="right"/>
              <w:rPr>
                <w:b/>
                <w:bCs/>
                <w:sz w:val="22"/>
                <w:szCs w:val="22"/>
              </w:rPr>
            </w:pPr>
            <w:r>
              <w:rPr>
                <w:b/>
                <w:bCs/>
                <w:sz w:val="22"/>
                <w:szCs w:val="22"/>
              </w:rPr>
              <w:t>0.012</w:t>
            </w:r>
          </w:p>
        </w:tc>
      </w:tr>
      <w:tr w:rsidR="002F2BB2" w:rsidRPr="00532C61" w14:paraId="13204038" w14:textId="77777777" w:rsidTr="0072694B">
        <w:trPr>
          <w:trHeight w:val="315"/>
        </w:trPr>
        <w:tc>
          <w:tcPr>
            <w:tcW w:w="0" w:type="auto"/>
            <w:shd w:val="clear" w:color="auto" w:fill="auto"/>
            <w:tcMar>
              <w:top w:w="0" w:type="dxa"/>
              <w:left w:w="45" w:type="dxa"/>
              <w:bottom w:w="0" w:type="dxa"/>
              <w:right w:w="45" w:type="dxa"/>
            </w:tcMar>
            <w:vAlign w:val="bottom"/>
            <w:hideMark/>
          </w:tcPr>
          <w:p w14:paraId="7D25BD2F" w14:textId="77777777" w:rsidR="002F2BB2" w:rsidRPr="00532C61" w:rsidRDefault="002F2BB2" w:rsidP="0072694B">
            <w:pPr>
              <w:rPr>
                <w:b/>
                <w:bCs/>
                <w:sz w:val="22"/>
                <w:szCs w:val="22"/>
              </w:rPr>
            </w:pPr>
            <w:r w:rsidRPr="00532C61">
              <w:rPr>
                <w:b/>
                <w:bCs/>
                <w:sz w:val="22"/>
                <w:szCs w:val="22"/>
              </w:rPr>
              <w:t xml:space="preserve">Received/Given Drugs for Sex in P6M (Ref: </w:t>
            </w:r>
            <w:r>
              <w:rPr>
                <w:b/>
                <w:bCs/>
                <w:sz w:val="22"/>
                <w:szCs w:val="22"/>
              </w:rPr>
              <w:t>Yes</w:t>
            </w:r>
            <w:r w:rsidRPr="00532C61">
              <w:rPr>
                <w:b/>
                <w:bCs/>
                <w:sz w:val="22"/>
                <w:szCs w:val="22"/>
              </w:rPr>
              <w:t>)</w:t>
            </w:r>
          </w:p>
        </w:tc>
        <w:tc>
          <w:tcPr>
            <w:tcW w:w="0" w:type="auto"/>
            <w:shd w:val="clear" w:color="auto" w:fill="auto"/>
            <w:tcMar>
              <w:top w:w="0" w:type="dxa"/>
              <w:left w:w="45" w:type="dxa"/>
              <w:bottom w:w="0" w:type="dxa"/>
              <w:right w:w="45" w:type="dxa"/>
            </w:tcMar>
            <w:vAlign w:val="bottom"/>
            <w:hideMark/>
          </w:tcPr>
          <w:p w14:paraId="2BD79D33" w14:textId="77777777" w:rsidR="002F2BB2" w:rsidRPr="00775B08" w:rsidRDefault="002F2BB2" w:rsidP="0072694B">
            <w:pPr>
              <w:jc w:val="right"/>
              <w:rPr>
                <w:b/>
                <w:sz w:val="22"/>
                <w:szCs w:val="22"/>
              </w:rPr>
            </w:pPr>
            <w:r>
              <w:rPr>
                <w:b/>
                <w:sz w:val="22"/>
                <w:szCs w:val="22"/>
              </w:rPr>
              <w:t>0.34</w:t>
            </w:r>
          </w:p>
        </w:tc>
        <w:tc>
          <w:tcPr>
            <w:tcW w:w="1192" w:type="dxa"/>
            <w:shd w:val="clear" w:color="auto" w:fill="auto"/>
            <w:tcMar>
              <w:top w:w="0" w:type="dxa"/>
              <w:left w:w="45" w:type="dxa"/>
              <w:bottom w:w="0" w:type="dxa"/>
              <w:right w:w="45" w:type="dxa"/>
            </w:tcMar>
            <w:vAlign w:val="bottom"/>
            <w:hideMark/>
          </w:tcPr>
          <w:p w14:paraId="09B68160" w14:textId="77777777" w:rsidR="002F2BB2" w:rsidRPr="00775B08" w:rsidRDefault="002F2BB2" w:rsidP="0072694B">
            <w:pPr>
              <w:jc w:val="center"/>
              <w:rPr>
                <w:b/>
                <w:sz w:val="22"/>
                <w:szCs w:val="22"/>
              </w:rPr>
            </w:pPr>
            <w:r>
              <w:rPr>
                <w:b/>
                <w:sz w:val="22"/>
                <w:szCs w:val="22"/>
              </w:rPr>
              <w:t>0.13</w:t>
            </w:r>
          </w:p>
        </w:tc>
        <w:tc>
          <w:tcPr>
            <w:tcW w:w="1103" w:type="dxa"/>
            <w:shd w:val="clear" w:color="auto" w:fill="auto"/>
            <w:tcMar>
              <w:top w:w="0" w:type="dxa"/>
              <w:left w:w="45" w:type="dxa"/>
              <w:bottom w:w="0" w:type="dxa"/>
              <w:right w:w="45" w:type="dxa"/>
            </w:tcMar>
            <w:vAlign w:val="bottom"/>
            <w:hideMark/>
          </w:tcPr>
          <w:p w14:paraId="398DFD2B" w14:textId="77777777" w:rsidR="002F2BB2" w:rsidRPr="00775B08" w:rsidRDefault="002F2BB2" w:rsidP="0072694B">
            <w:pPr>
              <w:jc w:val="center"/>
              <w:rPr>
                <w:b/>
                <w:sz w:val="22"/>
                <w:szCs w:val="22"/>
              </w:rPr>
            </w:pPr>
            <w:r>
              <w:rPr>
                <w:b/>
                <w:sz w:val="22"/>
                <w:szCs w:val="22"/>
              </w:rPr>
              <w:t>0.87</w:t>
            </w:r>
          </w:p>
        </w:tc>
        <w:tc>
          <w:tcPr>
            <w:tcW w:w="0" w:type="auto"/>
            <w:shd w:val="clear" w:color="auto" w:fill="auto"/>
            <w:tcMar>
              <w:top w:w="0" w:type="dxa"/>
              <w:left w:w="45" w:type="dxa"/>
              <w:bottom w:w="0" w:type="dxa"/>
              <w:right w:w="45" w:type="dxa"/>
            </w:tcMar>
            <w:vAlign w:val="bottom"/>
            <w:hideMark/>
          </w:tcPr>
          <w:p w14:paraId="1736246E" w14:textId="77777777" w:rsidR="002F2BB2" w:rsidRPr="00775B08" w:rsidRDefault="002F2BB2" w:rsidP="0072694B">
            <w:pPr>
              <w:jc w:val="right"/>
              <w:rPr>
                <w:b/>
                <w:sz w:val="22"/>
                <w:szCs w:val="22"/>
              </w:rPr>
            </w:pPr>
            <w:r w:rsidRPr="00775B08">
              <w:rPr>
                <w:b/>
                <w:sz w:val="22"/>
                <w:szCs w:val="22"/>
              </w:rPr>
              <w:t>0.026</w:t>
            </w:r>
          </w:p>
        </w:tc>
      </w:tr>
      <w:tr w:rsidR="002F2BB2" w:rsidRPr="00532C61" w14:paraId="5D78578A" w14:textId="77777777" w:rsidTr="0072694B">
        <w:trPr>
          <w:trHeight w:val="315"/>
        </w:trPr>
        <w:tc>
          <w:tcPr>
            <w:tcW w:w="0" w:type="auto"/>
            <w:shd w:val="clear" w:color="auto" w:fill="auto"/>
            <w:tcMar>
              <w:top w:w="0" w:type="dxa"/>
              <w:left w:w="45" w:type="dxa"/>
              <w:bottom w:w="0" w:type="dxa"/>
              <w:right w:w="45" w:type="dxa"/>
            </w:tcMar>
            <w:vAlign w:val="bottom"/>
          </w:tcPr>
          <w:p w14:paraId="574C56EB" w14:textId="77777777" w:rsidR="002F2BB2" w:rsidRPr="00532C61" w:rsidRDefault="002F2BB2" w:rsidP="0072694B">
            <w:pPr>
              <w:rPr>
                <w:b/>
                <w:bCs/>
                <w:i/>
                <w:sz w:val="22"/>
                <w:szCs w:val="22"/>
                <w:u w:val="single"/>
              </w:rPr>
            </w:pPr>
            <w:r w:rsidRPr="00532C61">
              <w:rPr>
                <w:b/>
                <w:bCs/>
                <w:i/>
                <w:sz w:val="22"/>
                <w:szCs w:val="22"/>
                <w:u w:val="single"/>
              </w:rPr>
              <w:t>Substance Use Behaviours</w:t>
            </w:r>
          </w:p>
        </w:tc>
        <w:tc>
          <w:tcPr>
            <w:tcW w:w="0" w:type="auto"/>
            <w:shd w:val="clear" w:color="auto" w:fill="auto"/>
            <w:tcMar>
              <w:top w:w="0" w:type="dxa"/>
              <w:left w:w="45" w:type="dxa"/>
              <w:bottom w:w="0" w:type="dxa"/>
              <w:right w:w="45" w:type="dxa"/>
            </w:tcMar>
            <w:vAlign w:val="bottom"/>
          </w:tcPr>
          <w:p w14:paraId="26AF6684" w14:textId="77777777" w:rsidR="002F2BB2" w:rsidRPr="00532C61" w:rsidRDefault="002F2BB2" w:rsidP="0072694B">
            <w:pPr>
              <w:jc w:val="right"/>
              <w:rPr>
                <w:sz w:val="22"/>
                <w:szCs w:val="22"/>
              </w:rPr>
            </w:pPr>
          </w:p>
        </w:tc>
        <w:tc>
          <w:tcPr>
            <w:tcW w:w="1192" w:type="dxa"/>
            <w:shd w:val="clear" w:color="auto" w:fill="auto"/>
            <w:tcMar>
              <w:top w:w="0" w:type="dxa"/>
              <w:left w:w="45" w:type="dxa"/>
              <w:bottom w:w="0" w:type="dxa"/>
              <w:right w:w="45" w:type="dxa"/>
            </w:tcMar>
            <w:vAlign w:val="bottom"/>
          </w:tcPr>
          <w:p w14:paraId="31FC9412" w14:textId="77777777" w:rsidR="002F2BB2" w:rsidRPr="00532C61" w:rsidRDefault="002F2BB2" w:rsidP="0072694B">
            <w:pPr>
              <w:jc w:val="center"/>
              <w:rPr>
                <w:sz w:val="22"/>
                <w:szCs w:val="22"/>
              </w:rPr>
            </w:pPr>
          </w:p>
        </w:tc>
        <w:tc>
          <w:tcPr>
            <w:tcW w:w="1103" w:type="dxa"/>
            <w:shd w:val="clear" w:color="auto" w:fill="auto"/>
            <w:tcMar>
              <w:top w:w="0" w:type="dxa"/>
              <w:left w:w="45" w:type="dxa"/>
              <w:bottom w:w="0" w:type="dxa"/>
              <w:right w:w="45" w:type="dxa"/>
            </w:tcMar>
            <w:vAlign w:val="bottom"/>
          </w:tcPr>
          <w:p w14:paraId="41C94045" w14:textId="77777777" w:rsidR="002F2BB2" w:rsidRPr="00532C61" w:rsidRDefault="002F2BB2" w:rsidP="0072694B">
            <w:pPr>
              <w:jc w:val="center"/>
              <w:rPr>
                <w:sz w:val="22"/>
                <w:szCs w:val="22"/>
              </w:rPr>
            </w:pPr>
          </w:p>
        </w:tc>
        <w:tc>
          <w:tcPr>
            <w:tcW w:w="0" w:type="auto"/>
            <w:shd w:val="clear" w:color="auto" w:fill="auto"/>
            <w:tcMar>
              <w:top w:w="0" w:type="dxa"/>
              <w:left w:w="45" w:type="dxa"/>
              <w:bottom w:w="0" w:type="dxa"/>
              <w:right w:w="45" w:type="dxa"/>
            </w:tcMar>
            <w:vAlign w:val="bottom"/>
          </w:tcPr>
          <w:p w14:paraId="60B366B7" w14:textId="77777777" w:rsidR="002F2BB2" w:rsidRPr="00532C61" w:rsidRDefault="002F2BB2" w:rsidP="0072694B">
            <w:pPr>
              <w:jc w:val="right"/>
              <w:rPr>
                <w:sz w:val="22"/>
                <w:szCs w:val="22"/>
              </w:rPr>
            </w:pPr>
          </w:p>
        </w:tc>
      </w:tr>
      <w:tr w:rsidR="002F2BB2" w:rsidRPr="00532C61" w14:paraId="642C2AE5" w14:textId="77777777" w:rsidTr="0072694B">
        <w:trPr>
          <w:trHeight w:val="315"/>
        </w:trPr>
        <w:tc>
          <w:tcPr>
            <w:tcW w:w="0" w:type="auto"/>
            <w:shd w:val="clear" w:color="auto" w:fill="auto"/>
            <w:tcMar>
              <w:top w:w="0" w:type="dxa"/>
              <w:left w:w="45" w:type="dxa"/>
              <w:bottom w:w="0" w:type="dxa"/>
              <w:right w:w="45" w:type="dxa"/>
            </w:tcMar>
            <w:vAlign w:val="bottom"/>
            <w:hideMark/>
          </w:tcPr>
          <w:p w14:paraId="6CC339E6" w14:textId="77777777" w:rsidR="002F2BB2" w:rsidRPr="00532C61" w:rsidRDefault="002F2BB2" w:rsidP="0072694B">
            <w:pPr>
              <w:rPr>
                <w:b/>
                <w:bCs/>
                <w:sz w:val="22"/>
                <w:szCs w:val="22"/>
              </w:rPr>
            </w:pPr>
            <w:r w:rsidRPr="00532C61">
              <w:rPr>
                <w:b/>
                <w:bCs/>
                <w:sz w:val="22"/>
                <w:szCs w:val="22"/>
              </w:rPr>
              <w:t xml:space="preserve">Any Injection Drug Use in P6M, excluding steroids (Ref: </w:t>
            </w:r>
            <w:r>
              <w:rPr>
                <w:b/>
                <w:bCs/>
                <w:sz w:val="22"/>
                <w:szCs w:val="22"/>
              </w:rPr>
              <w:t>Yes</w:t>
            </w:r>
            <w:r w:rsidRPr="00532C61">
              <w:rPr>
                <w:b/>
                <w:bCs/>
                <w:sz w:val="22"/>
                <w:szCs w:val="22"/>
              </w:rPr>
              <w:t>)</w:t>
            </w:r>
          </w:p>
        </w:tc>
        <w:tc>
          <w:tcPr>
            <w:tcW w:w="0" w:type="auto"/>
            <w:shd w:val="clear" w:color="auto" w:fill="auto"/>
            <w:tcMar>
              <w:top w:w="0" w:type="dxa"/>
              <w:left w:w="45" w:type="dxa"/>
              <w:bottom w:w="0" w:type="dxa"/>
              <w:right w:w="45" w:type="dxa"/>
            </w:tcMar>
            <w:vAlign w:val="bottom"/>
            <w:hideMark/>
          </w:tcPr>
          <w:p w14:paraId="1891148F" w14:textId="77777777" w:rsidR="002F2BB2" w:rsidRPr="00AA0A74" w:rsidRDefault="002F2BB2" w:rsidP="0072694B">
            <w:pPr>
              <w:jc w:val="right"/>
              <w:rPr>
                <w:b/>
                <w:bCs/>
                <w:sz w:val="22"/>
                <w:szCs w:val="22"/>
              </w:rPr>
            </w:pPr>
            <w:r>
              <w:rPr>
                <w:b/>
                <w:bCs/>
                <w:sz w:val="22"/>
                <w:szCs w:val="22"/>
              </w:rPr>
              <w:t>0.35</w:t>
            </w:r>
          </w:p>
        </w:tc>
        <w:tc>
          <w:tcPr>
            <w:tcW w:w="1192" w:type="dxa"/>
            <w:shd w:val="clear" w:color="auto" w:fill="auto"/>
            <w:tcMar>
              <w:top w:w="0" w:type="dxa"/>
              <w:left w:w="45" w:type="dxa"/>
              <w:bottom w:w="0" w:type="dxa"/>
              <w:right w:w="45" w:type="dxa"/>
            </w:tcMar>
            <w:vAlign w:val="bottom"/>
            <w:hideMark/>
          </w:tcPr>
          <w:p w14:paraId="10CE69ED" w14:textId="77777777" w:rsidR="002F2BB2" w:rsidRPr="00532C61" w:rsidRDefault="002F2BB2" w:rsidP="0072694B">
            <w:pPr>
              <w:jc w:val="center"/>
              <w:rPr>
                <w:sz w:val="22"/>
                <w:szCs w:val="22"/>
              </w:rPr>
            </w:pPr>
            <w:r>
              <w:rPr>
                <w:b/>
                <w:sz w:val="22"/>
                <w:szCs w:val="22"/>
              </w:rPr>
              <w:t>0.18</w:t>
            </w:r>
          </w:p>
        </w:tc>
        <w:tc>
          <w:tcPr>
            <w:tcW w:w="1103" w:type="dxa"/>
            <w:shd w:val="clear" w:color="auto" w:fill="auto"/>
            <w:tcMar>
              <w:top w:w="0" w:type="dxa"/>
              <w:left w:w="45" w:type="dxa"/>
              <w:bottom w:w="0" w:type="dxa"/>
              <w:right w:w="45" w:type="dxa"/>
            </w:tcMar>
            <w:vAlign w:val="bottom"/>
            <w:hideMark/>
          </w:tcPr>
          <w:p w14:paraId="59C25082" w14:textId="77777777" w:rsidR="002F2BB2" w:rsidRPr="00532C61" w:rsidRDefault="002F2BB2" w:rsidP="0072694B">
            <w:pPr>
              <w:jc w:val="center"/>
              <w:rPr>
                <w:sz w:val="22"/>
                <w:szCs w:val="22"/>
              </w:rPr>
            </w:pPr>
            <w:r>
              <w:rPr>
                <w:b/>
                <w:sz w:val="22"/>
                <w:szCs w:val="22"/>
              </w:rPr>
              <w:t>0.68</w:t>
            </w:r>
          </w:p>
        </w:tc>
        <w:tc>
          <w:tcPr>
            <w:tcW w:w="0" w:type="auto"/>
            <w:shd w:val="clear" w:color="auto" w:fill="auto"/>
            <w:tcMar>
              <w:top w:w="0" w:type="dxa"/>
              <w:left w:w="45" w:type="dxa"/>
              <w:bottom w:w="0" w:type="dxa"/>
              <w:right w:w="45" w:type="dxa"/>
            </w:tcMar>
            <w:vAlign w:val="bottom"/>
            <w:hideMark/>
          </w:tcPr>
          <w:p w14:paraId="0E9779E6" w14:textId="77777777" w:rsidR="002F2BB2" w:rsidRPr="00532C61" w:rsidRDefault="002F2BB2" w:rsidP="0072694B">
            <w:pPr>
              <w:jc w:val="right"/>
              <w:rPr>
                <w:sz w:val="22"/>
                <w:szCs w:val="22"/>
              </w:rPr>
            </w:pPr>
            <w:r w:rsidRPr="00532C61">
              <w:rPr>
                <w:b/>
                <w:bCs/>
                <w:sz w:val="22"/>
                <w:szCs w:val="22"/>
              </w:rPr>
              <w:t>0.002</w:t>
            </w:r>
          </w:p>
        </w:tc>
      </w:tr>
      <w:tr w:rsidR="002F2BB2" w:rsidRPr="00532C61" w14:paraId="09117F6D" w14:textId="77777777" w:rsidTr="0072694B">
        <w:trPr>
          <w:trHeight w:val="315"/>
        </w:trPr>
        <w:tc>
          <w:tcPr>
            <w:tcW w:w="0" w:type="auto"/>
            <w:tcBorders>
              <w:bottom w:val="single" w:sz="4" w:space="0" w:color="auto"/>
            </w:tcBorders>
            <w:shd w:val="clear" w:color="auto" w:fill="auto"/>
            <w:tcMar>
              <w:top w:w="0" w:type="dxa"/>
              <w:left w:w="45" w:type="dxa"/>
              <w:bottom w:w="0" w:type="dxa"/>
              <w:right w:w="45" w:type="dxa"/>
            </w:tcMar>
            <w:vAlign w:val="bottom"/>
            <w:hideMark/>
          </w:tcPr>
          <w:p w14:paraId="0D7671D4" w14:textId="77777777" w:rsidR="002F2BB2" w:rsidRPr="00532C61" w:rsidRDefault="002F2BB2" w:rsidP="0072694B">
            <w:pPr>
              <w:rPr>
                <w:b/>
                <w:bCs/>
                <w:sz w:val="22"/>
                <w:szCs w:val="22"/>
              </w:rPr>
            </w:pPr>
            <w:r w:rsidRPr="00532C61">
              <w:rPr>
                <w:b/>
                <w:bCs/>
                <w:sz w:val="22"/>
                <w:szCs w:val="22"/>
              </w:rPr>
              <w:t xml:space="preserve">Used GHB in P6M (Ref: </w:t>
            </w:r>
            <w:r>
              <w:rPr>
                <w:b/>
                <w:bCs/>
                <w:sz w:val="22"/>
                <w:szCs w:val="22"/>
              </w:rPr>
              <w:t>Yes</w:t>
            </w:r>
            <w:r w:rsidRPr="00532C61">
              <w:rPr>
                <w:b/>
                <w:bCs/>
                <w:sz w:val="22"/>
                <w:szCs w:val="22"/>
              </w:rPr>
              <w:t>)</w:t>
            </w:r>
          </w:p>
        </w:tc>
        <w:tc>
          <w:tcPr>
            <w:tcW w:w="0" w:type="auto"/>
            <w:tcBorders>
              <w:bottom w:val="single" w:sz="4" w:space="0" w:color="auto"/>
            </w:tcBorders>
            <w:shd w:val="clear" w:color="auto" w:fill="auto"/>
            <w:tcMar>
              <w:top w:w="0" w:type="dxa"/>
              <w:left w:w="45" w:type="dxa"/>
              <w:bottom w:w="0" w:type="dxa"/>
              <w:right w:w="45" w:type="dxa"/>
            </w:tcMar>
            <w:vAlign w:val="bottom"/>
            <w:hideMark/>
          </w:tcPr>
          <w:p w14:paraId="13F9954E" w14:textId="77777777" w:rsidR="002F2BB2" w:rsidRPr="00AA0A74" w:rsidRDefault="002F2BB2" w:rsidP="0072694B">
            <w:pPr>
              <w:jc w:val="right"/>
              <w:rPr>
                <w:b/>
                <w:bCs/>
                <w:sz w:val="22"/>
                <w:szCs w:val="22"/>
              </w:rPr>
            </w:pPr>
            <w:r>
              <w:rPr>
                <w:b/>
                <w:bCs/>
                <w:sz w:val="22"/>
                <w:szCs w:val="22"/>
              </w:rPr>
              <w:t>0.41</w:t>
            </w:r>
          </w:p>
        </w:tc>
        <w:tc>
          <w:tcPr>
            <w:tcW w:w="1192" w:type="dxa"/>
            <w:tcBorders>
              <w:bottom w:val="single" w:sz="4" w:space="0" w:color="auto"/>
            </w:tcBorders>
            <w:shd w:val="clear" w:color="auto" w:fill="auto"/>
            <w:tcMar>
              <w:top w:w="0" w:type="dxa"/>
              <w:left w:w="45" w:type="dxa"/>
              <w:bottom w:w="0" w:type="dxa"/>
              <w:right w:w="45" w:type="dxa"/>
            </w:tcMar>
            <w:vAlign w:val="bottom"/>
            <w:hideMark/>
          </w:tcPr>
          <w:p w14:paraId="68E18928" w14:textId="77777777" w:rsidR="002F2BB2" w:rsidRPr="00532C61" w:rsidRDefault="002F2BB2" w:rsidP="0072694B">
            <w:pPr>
              <w:jc w:val="center"/>
              <w:rPr>
                <w:sz w:val="22"/>
                <w:szCs w:val="22"/>
              </w:rPr>
            </w:pPr>
            <w:r>
              <w:rPr>
                <w:b/>
                <w:sz w:val="22"/>
                <w:szCs w:val="22"/>
              </w:rPr>
              <w:t>0.21</w:t>
            </w:r>
          </w:p>
        </w:tc>
        <w:tc>
          <w:tcPr>
            <w:tcW w:w="1103" w:type="dxa"/>
            <w:tcBorders>
              <w:bottom w:val="single" w:sz="4" w:space="0" w:color="auto"/>
            </w:tcBorders>
            <w:shd w:val="clear" w:color="auto" w:fill="auto"/>
            <w:tcMar>
              <w:top w:w="0" w:type="dxa"/>
              <w:left w:w="45" w:type="dxa"/>
              <w:bottom w:w="0" w:type="dxa"/>
              <w:right w:w="45" w:type="dxa"/>
            </w:tcMar>
            <w:vAlign w:val="bottom"/>
            <w:hideMark/>
          </w:tcPr>
          <w:p w14:paraId="2F57A9BC" w14:textId="77777777" w:rsidR="002F2BB2" w:rsidRPr="00532C61" w:rsidRDefault="002F2BB2" w:rsidP="0072694B">
            <w:pPr>
              <w:jc w:val="center"/>
              <w:rPr>
                <w:sz w:val="22"/>
                <w:szCs w:val="22"/>
              </w:rPr>
            </w:pPr>
            <w:r>
              <w:rPr>
                <w:b/>
                <w:sz w:val="22"/>
                <w:szCs w:val="22"/>
              </w:rPr>
              <w:t>0.78</w:t>
            </w:r>
          </w:p>
        </w:tc>
        <w:tc>
          <w:tcPr>
            <w:tcW w:w="0" w:type="auto"/>
            <w:tcBorders>
              <w:bottom w:val="single" w:sz="4" w:space="0" w:color="auto"/>
            </w:tcBorders>
            <w:shd w:val="clear" w:color="auto" w:fill="auto"/>
            <w:tcMar>
              <w:top w:w="0" w:type="dxa"/>
              <w:left w:w="45" w:type="dxa"/>
              <w:bottom w:w="0" w:type="dxa"/>
              <w:right w:w="45" w:type="dxa"/>
            </w:tcMar>
            <w:vAlign w:val="bottom"/>
            <w:hideMark/>
          </w:tcPr>
          <w:p w14:paraId="511761D8" w14:textId="77777777" w:rsidR="002F2BB2" w:rsidRPr="00532C61" w:rsidRDefault="002F2BB2" w:rsidP="0072694B">
            <w:pPr>
              <w:jc w:val="right"/>
              <w:rPr>
                <w:sz w:val="22"/>
                <w:szCs w:val="22"/>
              </w:rPr>
            </w:pPr>
            <w:r w:rsidRPr="00532C61">
              <w:rPr>
                <w:b/>
                <w:bCs/>
                <w:sz w:val="22"/>
                <w:szCs w:val="22"/>
              </w:rPr>
              <w:t>0.007</w:t>
            </w:r>
          </w:p>
        </w:tc>
      </w:tr>
    </w:tbl>
    <w:p w14:paraId="7F5237E9" w14:textId="77777777" w:rsidR="002F2BB2" w:rsidRPr="00532C61" w:rsidRDefault="002F2BB2" w:rsidP="002F2BB2">
      <w:pPr>
        <w:rPr>
          <w:sz w:val="22"/>
          <w:szCs w:val="22"/>
        </w:rPr>
      </w:pPr>
    </w:p>
    <w:p w14:paraId="1037D225" w14:textId="77777777" w:rsidR="002F2BB2" w:rsidRPr="00B34C2C" w:rsidRDefault="002F2BB2" w:rsidP="002F2BB2">
      <w:pPr>
        <w:rPr>
          <w:b/>
          <w:bCs/>
          <w:i/>
          <w:iCs/>
          <w:color w:val="000000" w:themeColor="text1"/>
          <w:sz w:val="22"/>
          <w:szCs w:val="22"/>
        </w:rPr>
      </w:pPr>
      <w:proofErr w:type="spellStart"/>
      <w:r w:rsidRPr="00B34C2C">
        <w:rPr>
          <w:i/>
          <w:iCs/>
          <w:sz w:val="22"/>
          <w:szCs w:val="22"/>
        </w:rPr>
        <w:t>aRR</w:t>
      </w:r>
      <w:proofErr w:type="spellEnd"/>
      <w:r w:rsidRPr="00B34C2C">
        <w:rPr>
          <w:i/>
          <w:iCs/>
          <w:sz w:val="22"/>
          <w:szCs w:val="22"/>
        </w:rPr>
        <w:t xml:space="preserve"> = adjusted relative risk</w:t>
      </w:r>
      <w:r>
        <w:rPr>
          <w:i/>
          <w:iCs/>
          <w:sz w:val="22"/>
          <w:szCs w:val="22"/>
        </w:rPr>
        <w:t>;</w:t>
      </w:r>
      <w:r w:rsidRPr="00B34C2C">
        <w:rPr>
          <w:i/>
          <w:iCs/>
          <w:sz w:val="22"/>
          <w:szCs w:val="22"/>
        </w:rPr>
        <w:t xml:space="preserve"> 95% CI = 95% confidence interval</w:t>
      </w:r>
      <w:r>
        <w:rPr>
          <w:i/>
          <w:iCs/>
          <w:sz w:val="22"/>
          <w:szCs w:val="22"/>
        </w:rPr>
        <w:t>;</w:t>
      </w:r>
      <w:r w:rsidRPr="00B34C2C">
        <w:rPr>
          <w:i/>
          <w:iCs/>
          <w:sz w:val="22"/>
          <w:szCs w:val="22"/>
        </w:rPr>
        <w:t xml:space="preserve"> MA = methamphetamine</w:t>
      </w:r>
      <w:r>
        <w:rPr>
          <w:i/>
          <w:iCs/>
          <w:sz w:val="22"/>
          <w:szCs w:val="22"/>
        </w:rPr>
        <w:t>;</w:t>
      </w:r>
      <w:r w:rsidRPr="00B34C2C">
        <w:rPr>
          <w:i/>
          <w:iCs/>
          <w:sz w:val="22"/>
          <w:szCs w:val="22"/>
        </w:rPr>
        <w:t xml:space="preserve"> Ref = referent </w:t>
      </w:r>
      <w:r>
        <w:rPr>
          <w:i/>
          <w:iCs/>
          <w:sz w:val="22"/>
          <w:szCs w:val="22"/>
        </w:rPr>
        <w:t xml:space="preserve">category; </w:t>
      </w:r>
      <w:r w:rsidRPr="00B34C2C">
        <w:rPr>
          <w:i/>
          <w:iCs/>
          <w:sz w:val="22"/>
          <w:szCs w:val="22"/>
        </w:rPr>
        <w:t>gbMSM = gay and bisexual men who have sex with men</w:t>
      </w:r>
      <w:r>
        <w:rPr>
          <w:i/>
          <w:iCs/>
          <w:sz w:val="22"/>
          <w:szCs w:val="22"/>
        </w:rPr>
        <w:t>;</w:t>
      </w:r>
      <w:r w:rsidRPr="00B34C2C">
        <w:rPr>
          <w:i/>
          <w:iCs/>
          <w:sz w:val="22"/>
          <w:szCs w:val="22"/>
        </w:rPr>
        <w:t xml:space="preserve"> P6M = past 6 months</w:t>
      </w:r>
      <w:r>
        <w:rPr>
          <w:i/>
          <w:iCs/>
          <w:sz w:val="22"/>
          <w:szCs w:val="22"/>
        </w:rPr>
        <w:t>;</w:t>
      </w:r>
      <w:r w:rsidRPr="00B34C2C">
        <w:rPr>
          <w:i/>
          <w:iCs/>
          <w:sz w:val="22"/>
          <w:szCs w:val="22"/>
        </w:rPr>
        <w:t xml:space="preserve"> GHB = gamma-</w:t>
      </w:r>
      <w:r w:rsidRPr="00B34C2C">
        <w:rPr>
          <w:i/>
          <w:iCs/>
          <w:color w:val="000000" w:themeColor="text1"/>
          <w:sz w:val="22"/>
          <w:szCs w:val="22"/>
        </w:rPr>
        <w:t xml:space="preserve">hydroxybutyrate; Data with </w:t>
      </w:r>
      <w:r w:rsidRPr="00B34C2C">
        <w:rPr>
          <w:b/>
          <w:i/>
          <w:iCs/>
          <w:color w:val="000000" w:themeColor="text1"/>
          <w:sz w:val="22"/>
          <w:szCs w:val="22"/>
        </w:rPr>
        <w:t xml:space="preserve">bold emphasis </w:t>
      </w:r>
      <w:r w:rsidRPr="00B34C2C">
        <w:rPr>
          <w:i/>
          <w:iCs/>
          <w:color w:val="000000" w:themeColor="text1"/>
          <w:sz w:val="22"/>
          <w:szCs w:val="22"/>
        </w:rPr>
        <w:t>indicates statistical significance at P&lt;0.05.</w:t>
      </w:r>
    </w:p>
    <w:p w14:paraId="48858984" w14:textId="77777777" w:rsidR="002F2BB2" w:rsidRPr="008C3AD3" w:rsidRDefault="002F2BB2" w:rsidP="002F2BB2">
      <w:pPr>
        <w:rPr>
          <w:b/>
          <w:sz w:val="22"/>
          <w:szCs w:val="22"/>
        </w:rPr>
      </w:pPr>
    </w:p>
    <w:p w14:paraId="45F97002" w14:textId="77777777" w:rsidR="002F2BB2" w:rsidRPr="00532C61" w:rsidRDefault="002F2BB2" w:rsidP="002F2BB2">
      <w:pPr>
        <w:rPr>
          <w:sz w:val="22"/>
          <w:szCs w:val="22"/>
        </w:rPr>
      </w:pPr>
    </w:p>
    <w:p w14:paraId="0D4ADB84" w14:textId="77777777" w:rsidR="002F2BB2" w:rsidRPr="00532C61" w:rsidRDefault="002F2BB2" w:rsidP="002F2BB2">
      <w:pPr>
        <w:rPr>
          <w:sz w:val="22"/>
          <w:szCs w:val="22"/>
        </w:rPr>
      </w:pPr>
    </w:p>
    <w:p w14:paraId="19B869C6" w14:textId="56999AAB" w:rsidR="00DD072D" w:rsidRDefault="00DD072D">
      <w:pPr>
        <w:rPr>
          <w:noProof/>
        </w:rPr>
      </w:pPr>
      <w:r>
        <w:rPr>
          <w:noProof/>
        </w:rPr>
        <w:br w:type="page"/>
      </w:r>
    </w:p>
    <w:p w14:paraId="2A9D29B0" w14:textId="77777777" w:rsidR="00DD072D" w:rsidRPr="00DD072D" w:rsidRDefault="00DD072D" w:rsidP="00DD072D">
      <w:pPr>
        <w:rPr>
          <w:noProof/>
        </w:rPr>
        <w:sectPr w:rsidR="00DD072D" w:rsidRPr="00DD072D" w:rsidSect="000F59B2">
          <w:pgSz w:w="12240" w:h="15840"/>
          <w:pgMar w:top="1440" w:right="1440" w:bottom="1440" w:left="1440" w:header="708" w:footer="708" w:gutter="0"/>
          <w:cols w:space="708"/>
          <w:docGrid w:linePitch="360"/>
        </w:sectPr>
      </w:pPr>
    </w:p>
    <w:p w14:paraId="1E907C44" w14:textId="33C7FC14" w:rsidR="00DD072D" w:rsidRPr="00DD072D" w:rsidRDefault="00DD072D" w:rsidP="002F2BB2">
      <w:pPr>
        <w:pageBreakBefore/>
        <w:rPr>
          <w:b/>
          <w:sz w:val="22"/>
          <w:szCs w:val="22"/>
        </w:rPr>
      </w:pPr>
    </w:p>
    <w:p w14:paraId="27FC0BE7" w14:textId="77777777" w:rsidR="00DD072D" w:rsidRPr="008C3AD3" w:rsidRDefault="00DD072D" w:rsidP="00DD072D">
      <w:pPr>
        <w:rPr>
          <w:b/>
          <w:sz w:val="22"/>
          <w:szCs w:val="22"/>
        </w:rPr>
      </w:pPr>
    </w:p>
    <w:p w14:paraId="0B617689" w14:textId="77777777" w:rsidR="00DD072D" w:rsidRPr="00532C61" w:rsidRDefault="00DD072D" w:rsidP="00DD072D">
      <w:pPr>
        <w:rPr>
          <w:sz w:val="22"/>
          <w:szCs w:val="22"/>
        </w:rPr>
      </w:pPr>
    </w:p>
    <w:p w14:paraId="4990B263" w14:textId="77777777" w:rsidR="00DD072D" w:rsidRDefault="00DD072D" w:rsidP="004849CC">
      <w:pPr>
        <w:widowControl w:val="0"/>
        <w:autoSpaceDE w:val="0"/>
        <w:autoSpaceDN w:val="0"/>
        <w:adjustRightInd w:val="0"/>
        <w:ind w:left="480" w:hanging="480"/>
        <w:rPr>
          <w:noProof/>
        </w:rPr>
      </w:pPr>
    </w:p>
    <w:p w14:paraId="1BB708AF" w14:textId="77777777" w:rsidR="00DD072D" w:rsidRPr="004849CC" w:rsidRDefault="00DD072D" w:rsidP="004849CC">
      <w:pPr>
        <w:widowControl w:val="0"/>
        <w:autoSpaceDE w:val="0"/>
        <w:autoSpaceDN w:val="0"/>
        <w:adjustRightInd w:val="0"/>
        <w:ind w:left="480" w:hanging="480"/>
        <w:rPr>
          <w:noProof/>
        </w:rPr>
      </w:pPr>
    </w:p>
    <w:p w14:paraId="6A16A4DE" w14:textId="5340C47D" w:rsidR="00DD072D" w:rsidRPr="00DA31D1" w:rsidRDefault="00053061">
      <w:pPr>
        <w:pStyle w:val="EndNoteBibliography"/>
        <w:rPr>
          <w:szCs w:val="24"/>
        </w:rPr>
      </w:pPr>
      <w:r w:rsidRPr="00C265C3">
        <w:rPr>
          <w:szCs w:val="24"/>
        </w:rPr>
        <w:fldChar w:fldCharType="end"/>
      </w:r>
    </w:p>
    <w:sectPr w:rsidR="00DD072D" w:rsidRPr="00DA31D1" w:rsidSect="000F59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C7F68" w14:textId="77777777" w:rsidR="006C2738" w:rsidRDefault="006C2738" w:rsidP="00F26EF3">
      <w:r>
        <w:separator/>
      </w:r>
    </w:p>
  </w:endnote>
  <w:endnote w:type="continuationSeparator" w:id="0">
    <w:p w14:paraId="381D564A" w14:textId="77777777" w:rsidR="006C2738" w:rsidRDefault="006C2738" w:rsidP="00F2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8F6D" w14:textId="77777777" w:rsidR="009D1C8D" w:rsidRDefault="009D1C8D" w:rsidP="009F6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1438E" w14:textId="77777777" w:rsidR="009D1C8D" w:rsidRDefault="009D1C8D" w:rsidP="00F26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24"/>
        <w:szCs w:val="24"/>
      </w:rPr>
      <w:id w:val="-724598092"/>
      <w:docPartObj>
        <w:docPartGallery w:val="Page Numbers (Bottom of Page)"/>
        <w:docPartUnique/>
      </w:docPartObj>
    </w:sdtPr>
    <w:sdtEndPr>
      <w:rPr>
        <w:rStyle w:val="PageNumber"/>
      </w:rPr>
    </w:sdtEndPr>
    <w:sdtContent>
      <w:p w14:paraId="3B26C619" w14:textId="0C79091F" w:rsidR="009D1C8D" w:rsidRPr="009F6A9F" w:rsidRDefault="009D1C8D" w:rsidP="009D1C8D">
        <w:pPr>
          <w:pStyle w:val="Footer"/>
          <w:framePr w:wrap="none" w:vAnchor="text" w:hAnchor="margin" w:xAlign="right" w:y="1"/>
          <w:rPr>
            <w:rStyle w:val="PageNumber"/>
            <w:rFonts w:ascii="Times" w:hAnsi="Times"/>
            <w:sz w:val="24"/>
            <w:szCs w:val="24"/>
          </w:rPr>
        </w:pPr>
        <w:r w:rsidRPr="009F6A9F">
          <w:rPr>
            <w:rStyle w:val="PageNumber"/>
            <w:rFonts w:ascii="Times" w:hAnsi="Times"/>
            <w:sz w:val="24"/>
            <w:szCs w:val="24"/>
          </w:rPr>
          <w:fldChar w:fldCharType="begin"/>
        </w:r>
        <w:r w:rsidRPr="009F6A9F">
          <w:rPr>
            <w:rStyle w:val="PageNumber"/>
            <w:rFonts w:ascii="Times" w:hAnsi="Times"/>
            <w:sz w:val="24"/>
            <w:szCs w:val="24"/>
          </w:rPr>
          <w:instrText xml:space="preserve"> PAGE </w:instrText>
        </w:r>
        <w:r w:rsidRPr="009F6A9F">
          <w:rPr>
            <w:rStyle w:val="PageNumber"/>
            <w:rFonts w:ascii="Times" w:hAnsi="Times"/>
            <w:sz w:val="24"/>
            <w:szCs w:val="24"/>
          </w:rPr>
          <w:fldChar w:fldCharType="separate"/>
        </w:r>
        <w:r w:rsidR="00685B58">
          <w:rPr>
            <w:rStyle w:val="PageNumber"/>
            <w:rFonts w:ascii="Times" w:hAnsi="Times"/>
            <w:noProof/>
            <w:sz w:val="24"/>
            <w:szCs w:val="24"/>
          </w:rPr>
          <w:t>21</w:t>
        </w:r>
        <w:r w:rsidRPr="009F6A9F">
          <w:rPr>
            <w:rStyle w:val="PageNumber"/>
            <w:rFonts w:ascii="Times" w:hAnsi="Times"/>
            <w:sz w:val="24"/>
            <w:szCs w:val="24"/>
          </w:rPr>
          <w:fldChar w:fldCharType="end"/>
        </w:r>
      </w:p>
    </w:sdtContent>
  </w:sdt>
  <w:p w14:paraId="3AAEB2E1" w14:textId="5689E687" w:rsidR="009D1C8D" w:rsidRDefault="009D1C8D" w:rsidP="009F6A9F">
    <w:pPr>
      <w:pStyle w:val="Footer"/>
      <w:ind w:right="360"/>
    </w:pPr>
  </w:p>
  <w:p w14:paraId="187CE16A" w14:textId="77777777" w:rsidR="009D1C8D" w:rsidRPr="00F26EF3" w:rsidRDefault="009D1C8D" w:rsidP="00F26EF3">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7294" w14:textId="77777777" w:rsidR="006C2738" w:rsidRDefault="006C2738" w:rsidP="00F26EF3">
      <w:r>
        <w:separator/>
      </w:r>
    </w:p>
  </w:footnote>
  <w:footnote w:type="continuationSeparator" w:id="0">
    <w:p w14:paraId="29B15F64" w14:textId="77777777" w:rsidR="006C2738" w:rsidRDefault="006C2738" w:rsidP="00F2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16EB" w14:textId="77777777" w:rsidR="009D1C8D" w:rsidRDefault="009D1C8D" w:rsidP="00444F4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34610" w14:textId="77777777" w:rsidR="009D1C8D" w:rsidRDefault="009D1C8D" w:rsidP="001263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965C" w14:textId="0893E1E2" w:rsidR="009D1C8D" w:rsidRDefault="009D1C8D">
    <w:pPr>
      <w:pStyle w:val="Header"/>
    </w:pPr>
  </w:p>
  <w:p w14:paraId="47F01560" w14:textId="663D92A4" w:rsidR="009D1C8D" w:rsidRPr="00444F4B" w:rsidRDefault="009D1C8D" w:rsidP="001263B6">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5F17"/>
    <w:multiLevelType w:val="hybridMultilevel"/>
    <w:tmpl w:val="9D5C7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1F216D"/>
    <w:multiLevelType w:val="hybridMultilevel"/>
    <w:tmpl w:val="76D08FA8"/>
    <w:lvl w:ilvl="0" w:tplc="B1429DBA">
      <w:start w:val="1"/>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51607"/>
    <w:multiLevelType w:val="hybridMultilevel"/>
    <w:tmpl w:val="B66AB330"/>
    <w:lvl w:ilvl="0" w:tplc="C22495F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8F16A9"/>
    <w:multiLevelType w:val="hybridMultilevel"/>
    <w:tmpl w:val="87D69D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697E1A"/>
    <w:multiLevelType w:val="hybridMultilevel"/>
    <w:tmpl w:val="013EFE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AA5552"/>
    <w:multiLevelType w:val="multilevel"/>
    <w:tmpl w:val="EBF0E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50DAB"/>
    <w:multiLevelType w:val="hybridMultilevel"/>
    <w:tmpl w:val="4F0268C0"/>
    <w:lvl w:ilvl="0" w:tplc="8D9E6738">
      <w:start w:val="2"/>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C720FF"/>
    <w:multiLevelType w:val="hybridMultilevel"/>
    <w:tmpl w:val="8014ED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950485"/>
    <w:multiLevelType w:val="hybridMultilevel"/>
    <w:tmpl w:val="FCBEA3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303575"/>
    <w:multiLevelType w:val="hybridMultilevel"/>
    <w:tmpl w:val="59C2E60A"/>
    <w:lvl w:ilvl="0" w:tplc="7670182A">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856C8B"/>
    <w:multiLevelType w:val="multilevel"/>
    <w:tmpl w:val="C924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90FC3"/>
    <w:multiLevelType w:val="hybridMultilevel"/>
    <w:tmpl w:val="8B8054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8D60A5"/>
    <w:multiLevelType w:val="multilevel"/>
    <w:tmpl w:val="F29CFE60"/>
    <w:lvl w:ilvl="0">
      <w:start w:val="1"/>
      <w:numFmt w:val="decimal"/>
      <w:lvlText w:val="%1."/>
      <w:lvlJc w:val="left"/>
      <w:pPr>
        <w:ind w:left="720" w:hanging="360"/>
      </w:pPr>
      <w:rPr>
        <w:rFonts w:hint="default"/>
      </w:rPr>
    </w:lvl>
    <w:lvl w:ilvl="1">
      <w:start w:val="3"/>
      <w:numFmt w:val="decimal"/>
      <w:isLgl/>
      <w:lvlText w:val="%1.%2"/>
      <w:lvlJc w:val="left"/>
      <w:pPr>
        <w:ind w:left="1032" w:hanging="492"/>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620" w:hanging="720"/>
      </w:pPr>
      <w:rPr>
        <w:rFonts w:hint="default"/>
        <w:u w:val="single"/>
      </w:rPr>
    </w:lvl>
    <w:lvl w:ilvl="4">
      <w:start w:val="1"/>
      <w:numFmt w:val="decimal"/>
      <w:isLgl/>
      <w:lvlText w:val="%1.%2.%3.%4.%5"/>
      <w:lvlJc w:val="left"/>
      <w:pPr>
        <w:ind w:left="2160" w:hanging="1080"/>
      </w:pPr>
      <w:rPr>
        <w:rFonts w:hint="default"/>
        <w:u w:val="single"/>
      </w:rPr>
    </w:lvl>
    <w:lvl w:ilvl="5">
      <w:start w:val="1"/>
      <w:numFmt w:val="decimal"/>
      <w:isLgl/>
      <w:lvlText w:val="%1.%2.%3.%4.%5.%6"/>
      <w:lvlJc w:val="left"/>
      <w:pPr>
        <w:ind w:left="2340" w:hanging="1080"/>
      </w:pPr>
      <w:rPr>
        <w:rFonts w:hint="default"/>
        <w:u w:val="single"/>
      </w:rPr>
    </w:lvl>
    <w:lvl w:ilvl="6">
      <w:start w:val="1"/>
      <w:numFmt w:val="decimal"/>
      <w:isLgl/>
      <w:lvlText w:val="%1.%2.%3.%4.%5.%6.%7"/>
      <w:lvlJc w:val="left"/>
      <w:pPr>
        <w:ind w:left="2880" w:hanging="1440"/>
      </w:pPr>
      <w:rPr>
        <w:rFonts w:hint="default"/>
        <w:u w:val="single"/>
      </w:rPr>
    </w:lvl>
    <w:lvl w:ilvl="7">
      <w:start w:val="1"/>
      <w:numFmt w:val="decimal"/>
      <w:isLgl/>
      <w:lvlText w:val="%1.%2.%3.%4.%5.%6.%7.%8"/>
      <w:lvlJc w:val="left"/>
      <w:pPr>
        <w:ind w:left="3060" w:hanging="1440"/>
      </w:pPr>
      <w:rPr>
        <w:rFonts w:hint="default"/>
        <w:u w:val="single"/>
      </w:rPr>
    </w:lvl>
    <w:lvl w:ilvl="8">
      <w:start w:val="1"/>
      <w:numFmt w:val="decimal"/>
      <w:isLgl/>
      <w:lvlText w:val="%1.%2.%3.%4.%5.%6.%7.%8.%9"/>
      <w:lvlJc w:val="left"/>
      <w:pPr>
        <w:ind w:left="3240" w:hanging="1440"/>
      </w:pPr>
      <w:rPr>
        <w:rFonts w:hint="default"/>
        <w:u w:val="single"/>
      </w:rPr>
    </w:lvl>
  </w:abstractNum>
  <w:abstractNum w:abstractNumId="13" w15:restartNumberingAfterBreak="0">
    <w:nsid w:val="30DD562A"/>
    <w:multiLevelType w:val="hybridMultilevel"/>
    <w:tmpl w:val="8A5EA6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AD0D2B"/>
    <w:multiLevelType w:val="hybridMultilevel"/>
    <w:tmpl w:val="78F84794"/>
    <w:lvl w:ilvl="0" w:tplc="BF5EEE74">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1E3F0E"/>
    <w:multiLevelType w:val="hybridMultilevel"/>
    <w:tmpl w:val="7990F4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B12FC7"/>
    <w:multiLevelType w:val="hybridMultilevel"/>
    <w:tmpl w:val="C4E060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D951060"/>
    <w:multiLevelType w:val="hybridMultilevel"/>
    <w:tmpl w:val="C6AC37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DF3415"/>
    <w:multiLevelType w:val="multilevel"/>
    <w:tmpl w:val="E77035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0"/>
      </w:rPr>
    </w:lvl>
    <w:lvl w:ilvl="2">
      <w:start w:val="2"/>
      <w:numFmt w:val="decimal"/>
      <w:isLgl/>
      <w:lvlText w:val="%1.%2.%3"/>
      <w:lvlJc w:val="left"/>
      <w:pPr>
        <w:ind w:left="1080" w:hanging="720"/>
      </w:pPr>
      <w:rPr>
        <w:rFonts w:hint="default"/>
        <w:color w:val="000000"/>
      </w:rPr>
    </w:lvl>
    <w:lvl w:ilvl="3">
      <w:start w:val="4"/>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5D8054AA"/>
    <w:multiLevelType w:val="hybridMultilevel"/>
    <w:tmpl w:val="2E4E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9196B"/>
    <w:multiLevelType w:val="multilevel"/>
    <w:tmpl w:val="F29CFE60"/>
    <w:lvl w:ilvl="0">
      <w:start w:val="1"/>
      <w:numFmt w:val="decimal"/>
      <w:lvlText w:val="%1."/>
      <w:lvlJc w:val="left"/>
      <w:pPr>
        <w:ind w:left="720" w:hanging="360"/>
      </w:pPr>
      <w:rPr>
        <w:rFonts w:hint="default"/>
      </w:rPr>
    </w:lvl>
    <w:lvl w:ilvl="1">
      <w:start w:val="3"/>
      <w:numFmt w:val="decimal"/>
      <w:isLgl/>
      <w:lvlText w:val="%1.%2"/>
      <w:lvlJc w:val="left"/>
      <w:pPr>
        <w:ind w:left="1032" w:hanging="492"/>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620" w:hanging="720"/>
      </w:pPr>
      <w:rPr>
        <w:rFonts w:hint="default"/>
        <w:u w:val="single"/>
      </w:rPr>
    </w:lvl>
    <w:lvl w:ilvl="4">
      <w:start w:val="1"/>
      <w:numFmt w:val="decimal"/>
      <w:isLgl/>
      <w:lvlText w:val="%1.%2.%3.%4.%5"/>
      <w:lvlJc w:val="left"/>
      <w:pPr>
        <w:ind w:left="2160" w:hanging="1080"/>
      </w:pPr>
      <w:rPr>
        <w:rFonts w:hint="default"/>
        <w:u w:val="single"/>
      </w:rPr>
    </w:lvl>
    <w:lvl w:ilvl="5">
      <w:start w:val="1"/>
      <w:numFmt w:val="decimal"/>
      <w:isLgl/>
      <w:lvlText w:val="%1.%2.%3.%4.%5.%6"/>
      <w:lvlJc w:val="left"/>
      <w:pPr>
        <w:ind w:left="2340" w:hanging="1080"/>
      </w:pPr>
      <w:rPr>
        <w:rFonts w:hint="default"/>
        <w:u w:val="single"/>
      </w:rPr>
    </w:lvl>
    <w:lvl w:ilvl="6">
      <w:start w:val="1"/>
      <w:numFmt w:val="decimal"/>
      <w:isLgl/>
      <w:lvlText w:val="%1.%2.%3.%4.%5.%6.%7"/>
      <w:lvlJc w:val="left"/>
      <w:pPr>
        <w:ind w:left="2880" w:hanging="1440"/>
      </w:pPr>
      <w:rPr>
        <w:rFonts w:hint="default"/>
        <w:u w:val="single"/>
      </w:rPr>
    </w:lvl>
    <w:lvl w:ilvl="7">
      <w:start w:val="1"/>
      <w:numFmt w:val="decimal"/>
      <w:isLgl/>
      <w:lvlText w:val="%1.%2.%3.%4.%5.%6.%7.%8"/>
      <w:lvlJc w:val="left"/>
      <w:pPr>
        <w:ind w:left="3060" w:hanging="1440"/>
      </w:pPr>
      <w:rPr>
        <w:rFonts w:hint="default"/>
        <w:u w:val="single"/>
      </w:rPr>
    </w:lvl>
    <w:lvl w:ilvl="8">
      <w:start w:val="1"/>
      <w:numFmt w:val="decimal"/>
      <w:isLgl/>
      <w:lvlText w:val="%1.%2.%3.%4.%5.%6.%7.%8.%9"/>
      <w:lvlJc w:val="left"/>
      <w:pPr>
        <w:ind w:left="3240" w:hanging="1440"/>
      </w:pPr>
      <w:rPr>
        <w:rFonts w:hint="default"/>
        <w:u w:val="single"/>
      </w:rPr>
    </w:lvl>
  </w:abstractNum>
  <w:abstractNum w:abstractNumId="21" w15:restartNumberingAfterBreak="0">
    <w:nsid w:val="5DA01954"/>
    <w:multiLevelType w:val="hybridMultilevel"/>
    <w:tmpl w:val="B2B66152"/>
    <w:lvl w:ilvl="0" w:tplc="8D9E6738">
      <w:start w:val="2"/>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A55DFE"/>
    <w:multiLevelType w:val="multilevel"/>
    <w:tmpl w:val="34F6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96783C"/>
    <w:multiLevelType w:val="multilevel"/>
    <w:tmpl w:val="C8726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694C72"/>
    <w:multiLevelType w:val="multilevel"/>
    <w:tmpl w:val="F94A5396"/>
    <w:lvl w:ilvl="0">
      <w:start w:val="2"/>
      <w:numFmt w:val="decimal"/>
      <w:lvlText w:val="%1"/>
      <w:lvlJc w:val="left"/>
      <w:pPr>
        <w:ind w:left="444" w:hanging="444"/>
      </w:pPr>
      <w:rPr>
        <w:rFonts w:hint="default"/>
        <w:u w:val="single"/>
      </w:rPr>
    </w:lvl>
    <w:lvl w:ilvl="1">
      <w:start w:val="3"/>
      <w:numFmt w:val="decimal"/>
      <w:lvlText w:val="%1.%2"/>
      <w:lvlJc w:val="left"/>
      <w:pPr>
        <w:ind w:left="444" w:hanging="44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5" w15:restartNumberingAfterBreak="0">
    <w:nsid w:val="67A62ABA"/>
    <w:multiLevelType w:val="multilevel"/>
    <w:tmpl w:val="AF04A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D5527E"/>
    <w:multiLevelType w:val="multilevel"/>
    <w:tmpl w:val="F2624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FF5B0A"/>
    <w:multiLevelType w:val="hybridMultilevel"/>
    <w:tmpl w:val="BA74A6A2"/>
    <w:lvl w:ilvl="0" w:tplc="5442E1C4">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0F54D1"/>
    <w:multiLevelType w:val="hybridMultilevel"/>
    <w:tmpl w:val="D01443C0"/>
    <w:lvl w:ilvl="0" w:tplc="ACE2CCB4">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BA644B"/>
    <w:multiLevelType w:val="multilevel"/>
    <w:tmpl w:val="C27A6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5602B5"/>
    <w:multiLevelType w:val="multilevel"/>
    <w:tmpl w:val="F52C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E2497"/>
    <w:multiLevelType w:val="hybridMultilevel"/>
    <w:tmpl w:val="B6C2D01A"/>
    <w:lvl w:ilvl="0" w:tplc="F22290C8">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84834E9"/>
    <w:multiLevelType w:val="hybridMultilevel"/>
    <w:tmpl w:val="C928C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A689D"/>
    <w:multiLevelType w:val="hybridMultilevel"/>
    <w:tmpl w:val="039E38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5D22FC"/>
    <w:multiLevelType w:val="hybridMultilevel"/>
    <w:tmpl w:val="0E1A71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CC15DE1"/>
    <w:multiLevelType w:val="multilevel"/>
    <w:tmpl w:val="B1769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0"/>
  </w:num>
  <w:num w:numId="3">
    <w:abstractNumId w:val="29"/>
    <w:lvlOverride w:ilvl="0">
      <w:lvl w:ilvl="0">
        <w:numFmt w:val="decimal"/>
        <w:lvlText w:val="%1."/>
        <w:lvlJc w:val="left"/>
      </w:lvl>
    </w:lvlOverride>
  </w:num>
  <w:num w:numId="4">
    <w:abstractNumId w:val="29"/>
    <w:lvlOverride w:ilvl="0">
      <w:lvl w:ilvl="0">
        <w:numFmt w:val="decimal"/>
        <w:lvlText w:val="%1."/>
        <w:lvlJc w:val="left"/>
      </w:lvl>
    </w:lvlOverride>
  </w:num>
  <w:num w:numId="5">
    <w:abstractNumId w:val="29"/>
    <w:lvlOverride w:ilvl="0">
      <w:lvl w:ilvl="0">
        <w:numFmt w:val="decimal"/>
        <w:lvlText w:val="%1."/>
        <w:lvlJc w:val="left"/>
      </w:lvl>
    </w:lvlOverride>
  </w:num>
  <w:num w:numId="6">
    <w:abstractNumId w:val="26"/>
    <w:lvlOverride w:ilvl="0">
      <w:lvl w:ilvl="0">
        <w:numFmt w:val="decimal"/>
        <w:lvlText w:val="%1."/>
        <w:lvlJc w:val="left"/>
      </w:lvl>
    </w:lvlOverride>
  </w:num>
  <w:num w:numId="7">
    <w:abstractNumId w:val="26"/>
    <w:lvlOverride w:ilvl="0">
      <w:lvl w:ilvl="0">
        <w:numFmt w:val="decimal"/>
        <w:lvlText w:val="%1."/>
        <w:lvlJc w:val="left"/>
      </w:lvl>
    </w:lvlOverride>
  </w:num>
  <w:num w:numId="8">
    <w:abstractNumId w:val="26"/>
    <w:lvlOverride w:ilvl="0">
      <w:lvl w:ilvl="0">
        <w:numFmt w:val="decimal"/>
        <w:lvlText w:val="%1."/>
        <w:lvlJc w:val="left"/>
      </w:lvl>
    </w:lvlOverride>
  </w:num>
  <w:num w:numId="9">
    <w:abstractNumId w:val="13"/>
  </w:num>
  <w:num w:numId="10">
    <w:abstractNumId w:val="7"/>
  </w:num>
  <w:num w:numId="11">
    <w:abstractNumId w:val="33"/>
  </w:num>
  <w:num w:numId="12">
    <w:abstractNumId w:val="31"/>
  </w:num>
  <w:num w:numId="13">
    <w:abstractNumId w:val="16"/>
  </w:num>
  <w:num w:numId="14">
    <w:abstractNumId w:val="18"/>
  </w:num>
  <w:num w:numId="15">
    <w:abstractNumId w:val="28"/>
  </w:num>
  <w:num w:numId="16">
    <w:abstractNumId w:val="6"/>
  </w:num>
  <w:num w:numId="17">
    <w:abstractNumId w:val="21"/>
  </w:num>
  <w:num w:numId="18">
    <w:abstractNumId w:val="22"/>
  </w:num>
  <w:num w:numId="19">
    <w:abstractNumId w:val="35"/>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25"/>
    <w:lvlOverride w:ilvl="0">
      <w:lvl w:ilvl="0">
        <w:numFmt w:val="decimal"/>
        <w:lvlText w:val="%1."/>
        <w:lvlJc w:val="left"/>
      </w:lvl>
    </w:lvlOverride>
  </w:num>
  <w:num w:numId="22">
    <w:abstractNumId w:val="14"/>
  </w:num>
  <w:num w:numId="23">
    <w:abstractNumId w:val="9"/>
  </w:num>
  <w:num w:numId="24">
    <w:abstractNumId w:val="27"/>
  </w:num>
  <w:num w:numId="25">
    <w:abstractNumId w:val="2"/>
  </w:num>
  <w:num w:numId="26">
    <w:abstractNumId w:val="23"/>
    <w:lvlOverride w:ilvl="1">
      <w:lvl w:ilvl="1">
        <w:numFmt w:val="lowerLetter"/>
        <w:lvlText w:val="%2."/>
        <w:lvlJc w:val="left"/>
      </w:lvl>
    </w:lvlOverride>
  </w:num>
  <w:num w:numId="27">
    <w:abstractNumId w:val="19"/>
  </w:num>
  <w:num w:numId="28">
    <w:abstractNumId w:val="0"/>
  </w:num>
  <w:num w:numId="29">
    <w:abstractNumId w:val="8"/>
  </w:num>
  <w:num w:numId="30">
    <w:abstractNumId w:val="20"/>
  </w:num>
  <w:num w:numId="31">
    <w:abstractNumId w:val="34"/>
  </w:num>
  <w:num w:numId="32">
    <w:abstractNumId w:val="11"/>
  </w:num>
  <w:num w:numId="33">
    <w:abstractNumId w:val="17"/>
  </w:num>
  <w:num w:numId="34">
    <w:abstractNumId w:val="4"/>
  </w:num>
  <w:num w:numId="35">
    <w:abstractNumId w:val="12"/>
  </w:num>
  <w:num w:numId="36">
    <w:abstractNumId w:val="24"/>
  </w:num>
  <w:num w:numId="37">
    <w:abstractNumId w:val="32"/>
  </w:num>
  <w:num w:numId="38">
    <w:abstractNumId w:val="3"/>
  </w:num>
  <w:num w:numId="39">
    <w:abstractNumId w:val="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vsrxed3vpsade9epepwpzh9fvsszev5std&quot;&gt;MA Reduction&lt;record-ids&gt;&lt;item&gt;85&lt;/item&gt;&lt;item&gt;113&lt;/item&gt;&lt;item&gt;114&lt;/item&gt;&lt;item&gt;115&lt;/item&gt;&lt;item&gt;116&lt;/item&gt;&lt;item&gt;117&lt;/item&gt;&lt;item&gt;118&lt;/item&gt;&lt;/record-ids&gt;&lt;/item&gt;&lt;/Libraries&gt;"/>
  </w:docVars>
  <w:rsids>
    <w:rsidRoot w:val="00F26EF3"/>
    <w:rsid w:val="0001733D"/>
    <w:rsid w:val="00020166"/>
    <w:rsid w:val="000213A9"/>
    <w:rsid w:val="0003210F"/>
    <w:rsid w:val="0003406C"/>
    <w:rsid w:val="000410D8"/>
    <w:rsid w:val="0004279B"/>
    <w:rsid w:val="0004380D"/>
    <w:rsid w:val="000474F8"/>
    <w:rsid w:val="00053061"/>
    <w:rsid w:val="000537EA"/>
    <w:rsid w:val="00057A49"/>
    <w:rsid w:val="00070DC8"/>
    <w:rsid w:val="000754A1"/>
    <w:rsid w:val="00075A43"/>
    <w:rsid w:val="00083E6D"/>
    <w:rsid w:val="00085CF1"/>
    <w:rsid w:val="000934EF"/>
    <w:rsid w:val="000A3873"/>
    <w:rsid w:val="000A4BAB"/>
    <w:rsid w:val="000C4E67"/>
    <w:rsid w:val="000C601F"/>
    <w:rsid w:val="000D1639"/>
    <w:rsid w:val="000D74E7"/>
    <w:rsid w:val="000D7BC8"/>
    <w:rsid w:val="000D7D7F"/>
    <w:rsid w:val="000E139F"/>
    <w:rsid w:val="000F59B2"/>
    <w:rsid w:val="00103FF0"/>
    <w:rsid w:val="00111969"/>
    <w:rsid w:val="001233F3"/>
    <w:rsid w:val="0012609A"/>
    <w:rsid w:val="001263B6"/>
    <w:rsid w:val="0014363B"/>
    <w:rsid w:val="00150D33"/>
    <w:rsid w:val="0016449C"/>
    <w:rsid w:val="00181CBF"/>
    <w:rsid w:val="001A6D86"/>
    <w:rsid w:val="001B3919"/>
    <w:rsid w:val="001C40FD"/>
    <w:rsid w:val="001C584A"/>
    <w:rsid w:val="001D2E09"/>
    <w:rsid w:val="001E12DF"/>
    <w:rsid w:val="001F1F8C"/>
    <w:rsid w:val="00214A24"/>
    <w:rsid w:val="00234935"/>
    <w:rsid w:val="00235943"/>
    <w:rsid w:val="00236B6F"/>
    <w:rsid w:val="0025299E"/>
    <w:rsid w:val="00253BFA"/>
    <w:rsid w:val="00255033"/>
    <w:rsid w:val="0025593C"/>
    <w:rsid w:val="00261E32"/>
    <w:rsid w:val="002660F1"/>
    <w:rsid w:val="002773ED"/>
    <w:rsid w:val="00281BC8"/>
    <w:rsid w:val="00285201"/>
    <w:rsid w:val="00287098"/>
    <w:rsid w:val="00290729"/>
    <w:rsid w:val="00293B26"/>
    <w:rsid w:val="00294141"/>
    <w:rsid w:val="002972B0"/>
    <w:rsid w:val="002B0317"/>
    <w:rsid w:val="002B2078"/>
    <w:rsid w:val="002B739A"/>
    <w:rsid w:val="002D1259"/>
    <w:rsid w:val="002F2BB2"/>
    <w:rsid w:val="0031041C"/>
    <w:rsid w:val="0032477B"/>
    <w:rsid w:val="00347465"/>
    <w:rsid w:val="00353CDD"/>
    <w:rsid w:val="00366701"/>
    <w:rsid w:val="00372459"/>
    <w:rsid w:val="00381C36"/>
    <w:rsid w:val="003B7E9B"/>
    <w:rsid w:val="003C0E80"/>
    <w:rsid w:val="003D7CE0"/>
    <w:rsid w:val="003E0AFF"/>
    <w:rsid w:val="00401D52"/>
    <w:rsid w:val="00402208"/>
    <w:rsid w:val="004052E9"/>
    <w:rsid w:val="00416166"/>
    <w:rsid w:val="004163F6"/>
    <w:rsid w:val="0043489A"/>
    <w:rsid w:val="00441AAE"/>
    <w:rsid w:val="00444F4B"/>
    <w:rsid w:val="00450C8E"/>
    <w:rsid w:val="0045215D"/>
    <w:rsid w:val="0046253A"/>
    <w:rsid w:val="00463D9C"/>
    <w:rsid w:val="004820D3"/>
    <w:rsid w:val="004848CE"/>
    <w:rsid w:val="004849CC"/>
    <w:rsid w:val="00486A53"/>
    <w:rsid w:val="00492CE0"/>
    <w:rsid w:val="00493F76"/>
    <w:rsid w:val="004A1161"/>
    <w:rsid w:val="004A517D"/>
    <w:rsid w:val="004D15D6"/>
    <w:rsid w:val="004D45F7"/>
    <w:rsid w:val="004E124E"/>
    <w:rsid w:val="004E2EF1"/>
    <w:rsid w:val="004F6293"/>
    <w:rsid w:val="0051078E"/>
    <w:rsid w:val="00545A50"/>
    <w:rsid w:val="00550E98"/>
    <w:rsid w:val="00557A5E"/>
    <w:rsid w:val="0056416C"/>
    <w:rsid w:val="005719B5"/>
    <w:rsid w:val="0057504B"/>
    <w:rsid w:val="005A00BA"/>
    <w:rsid w:val="005A2367"/>
    <w:rsid w:val="005A64E2"/>
    <w:rsid w:val="005A74E7"/>
    <w:rsid w:val="005B3A37"/>
    <w:rsid w:val="005C1DC6"/>
    <w:rsid w:val="005D0DD4"/>
    <w:rsid w:val="005D247F"/>
    <w:rsid w:val="005E2363"/>
    <w:rsid w:val="005E7EAD"/>
    <w:rsid w:val="005F51B8"/>
    <w:rsid w:val="0061397D"/>
    <w:rsid w:val="006162CD"/>
    <w:rsid w:val="0062225A"/>
    <w:rsid w:val="00623DF9"/>
    <w:rsid w:val="00627F77"/>
    <w:rsid w:val="00632ADC"/>
    <w:rsid w:val="006472DE"/>
    <w:rsid w:val="00652675"/>
    <w:rsid w:val="00664994"/>
    <w:rsid w:val="00666F70"/>
    <w:rsid w:val="00670513"/>
    <w:rsid w:val="0067172E"/>
    <w:rsid w:val="006833B5"/>
    <w:rsid w:val="006857EA"/>
    <w:rsid w:val="00685B58"/>
    <w:rsid w:val="006A1DB8"/>
    <w:rsid w:val="006A627E"/>
    <w:rsid w:val="006B183C"/>
    <w:rsid w:val="006B1A0C"/>
    <w:rsid w:val="006C2738"/>
    <w:rsid w:val="006C38F8"/>
    <w:rsid w:val="006C6308"/>
    <w:rsid w:val="006C7F6A"/>
    <w:rsid w:val="006F1C43"/>
    <w:rsid w:val="007032BF"/>
    <w:rsid w:val="00705300"/>
    <w:rsid w:val="00725194"/>
    <w:rsid w:val="00737DD8"/>
    <w:rsid w:val="007500E8"/>
    <w:rsid w:val="00761B57"/>
    <w:rsid w:val="00761D45"/>
    <w:rsid w:val="007675C0"/>
    <w:rsid w:val="00770F20"/>
    <w:rsid w:val="00771D90"/>
    <w:rsid w:val="00793C9E"/>
    <w:rsid w:val="00793DA6"/>
    <w:rsid w:val="007A3138"/>
    <w:rsid w:val="007B1548"/>
    <w:rsid w:val="007B6FFE"/>
    <w:rsid w:val="007C20D2"/>
    <w:rsid w:val="007D30F7"/>
    <w:rsid w:val="007D4B69"/>
    <w:rsid w:val="007E22F5"/>
    <w:rsid w:val="007E5F80"/>
    <w:rsid w:val="00803E2C"/>
    <w:rsid w:val="008158EB"/>
    <w:rsid w:val="00833E2C"/>
    <w:rsid w:val="0084623A"/>
    <w:rsid w:val="00850FF0"/>
    <w:rsid w:val="00866970"/>
    <w:rsid w:val="00880877"/>
    <w:rsid w:val="00881F1E"/>
    <w:rsid w:val="00884228"/>
    <w:rsid w:val="00892A73"/>
    <w:rsid w:val="00897FB1"/>
    <w:rsid w:val="008B6771"/>
    <w:rsid w:val="008C2842"/>
    <w:rsid w:val="008C2E10"/>
    <w:rsid w:val="008C64F5"/>
    <w:rsid w:val="008D3A10"/>
    <w:rsid w:val="008D6784"/>
    <w:rsid w:val="00906B8B"/>
    <w:rsid w:val="00910182"/>
    <w:rsid w:val="00917215"/>
    <w:rsid w:val="0092036F"/>
    <w:rsid w:val="00925E6B"/>
    <w:rsid w:val="00926C66"/>
    <w:rsid w:val="009460EB"/>
    <w:rsid w:val="00947737"/>
    <w:rsid w:val="0095689B"/>
    <w:rsid w:val="00965DC4"/>
    <w:rsid w:val="00991223"/>
    <w:rsid w:val="009C371D"/>
    <w:rsid w:val="009C6865"/>
    <w:rsid w:val="009D1C8D"/>
    <w:rsid w:val="009F23AB"/>
    <w:rsid w:val="009F6A9F"/>
    <w:rsid w:val="00A01A32"/>
    <w:rsid w:val="00A135B1"/>
    <w:rsid w:val="00A15310"/>
    <w:rsid w:val="00A1619C"/>
    <w:rsid w:val="00A21FD0"/>
    <w:rsid w:val="00A32275"/>
    <w:rsid w:val="00A42149"/>
    <w:rsid w:val="00A53407"/>
    <w:rsid w:val="00A661B4"/>
    <w:rsid w:val="00A66D92"/>
    <w:rsid w:val="00A71100"/>
    <w:rsid w:val="00A71263"/>
    <w:rsid w:val="00A740B0"/>
    <w:rsid w:val="00A76E86"/>
    <w:rsid w:val="00A82B91"/>
    <w:rsid w:val="00A90757"/>
    <w:rsid w:val="00AA0104"/>
    <w:rsid w:val="00AA0649"/>
    <w:rsid w:val="00AA6753"/>
    <w:rsid w:val="00AA6771"/>
    <w:rsid w:val="00AB49E3"/>
    <w:rsid w:val="00AC198F"/>
    <w:rsid w:val="00AD6D5D"/>
    <w:rsid w:val="00AF0E6E"/>
    <w:rsid w:val="00AF1E6F"/>
    <w:rsid w:val="00AF497A"/>
    <w:rsid w:val="00AF53A1"/>
    <w:rsid w:val="00AF55FE"/>
    <w:rsid w:val="00B154FC"/>
    <w:rsid w:val="00B162CE"/>
    <w:rsid w:val="00B20490"/>
    <w:rsid w:val="00B90C3B"/>
    <w:rsid w:val="00BA3CAC"/>
    <w:rsid w:val="00BA533F"/>
    <w:rsid w:val="00BC5287"/>
    <w:rsid w:val="00BD0ECF"/>
    <w:rsid w:val="00BE5B06"/>
    <w:rsid w:val="00C01D22"/>
    <w:rsid w:val="00C126E1"/>
    <w:rsid w:val="00C1343F"/>
    <w:rsid w:val="00C140C5"/>
    <w:rsid w:val="00C15ED0"/>
    <w:rsid w:val="00C23BEC"/>
    <w:rsid w:val="00C265C3"/>
    <w:rsid w:val="00C31623"/>
    <w:rsid w:val="00C36219"/>
    <w:rsid w:val="00C36ECA"/>
    <w:rsid w:val="00C52F39"/>
    <w:rsid w:val="00C62DE9"/>
    <w:rsid w:val="00C8085E"/>
    <w:rsid w:val="00C86A32"/>
    <w:rsid w:val="00C97D03"/>
    <w:rsid w:val="00CA1A7B"/>
    <w:rsid w:val="00CD60D9"/>
    <w:rsid w:val="00CE4938"/>
    <w:rsid w:val="00CF4A1E"/>
    <w:rsid w:val="00D00277"/>
    <w:rsid w:val="00D02EDD"/>
    <w:rsid w:val="00D0307C"/>
    <w:rsid w:val="00D130C2"/>
    <w:rsid w:val="00D33677"/>
    <w:rsid w:val="00D52D4E"/>
    <w:rsid w:val="00D63975"/>
    <w:rsid w:val="00D6747B"/>
    <w:rsid w:val="00D84DDE"/>
    <w:rsid w:val="00D85B50"/>
    <w:rsid w:val="00D91A0F"/>
    <w:rsid w:val="00D94B6F"/>
    <w:rsid w:val="00D97515"/>
    <w:rsid w:val="00DA31D1"/>
    <w:rsid w:val="00DA578E"/>
    <w:rsid w:val="00DA641E"/>
    <w:rsid w:val="00DB5B9B"/>
    <w:rsid w:val="00DC1A3E"/>
    <w:rsid w:val="00DD072D"/>
    <w:rsid w:val="00DD395E"/>
    <w:rsid w:val="00DD4561"/>
    <w:rsid w:val="00E22684"/>
    <w:rsid w:val="00E26089"/>
    <w:rsid w:val="00E30A3E"/>
    <w:rsid w:val="00E47FBB"/>
    <w:rsid w:val="00E55CAE"/>
    <w:rsid w:val="00E6337C"/>
    <w:rsid w:val="00E74882"/>
    <w:rsid w:val="00E863E7"/>
    <w:rsid w:val="00E94226"/>
    <w:rsid w:val="00EA5B6E"/>
    <w:rsid w:val="00EB18A0"/>
    <w:rsid w:val="00EB5E44"/>
    <w:rsid w:val="00EB759F"/>
    <w:rsid w:val="00ED3FC9"/>
    <w:rsid w:val="00EE10BF"/>
    <w:rsid w:val="00F1077B"/>
    <w:rsid w:val="00F115A8"/>
    <w:rsid w:val="00F11B06"/>
    <w:rsid w:val="00F1476D"/>
    <w:rsid w:val="00F26EF3"/>
    <w:rsid w:val="00F6405C"/>
    <w:rsid w:val="00F713E9"/>
    <w:rsid w:val="00F75A1D"/>
    <w:rsid w:val="00F8051E"/>
    <w:rsid w:val="00F82405"/>
    <w:rsid w:val="00FA08B0"/>
    <w:rsid w:val="00FA0C80"/>
    <w:rsid w:val="00FA1A8B"/>
    <w:rsid w:val="00FA6A1F"/>
    <w:rsid w:val="00FB4318"/>
    <w:rsid w:val="00FC0355"/>
    <w:rsid w:val="00FC1E0C"/>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920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FF0"/>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EF3"/>
    <w:pPr>
      <w:spacing w:before="100" w:beforeAutospacing="1" w:after="100" w:afterAutospacing="1"/>
    </w:pPr>
    <w:rPr>
      <w:lang w:eastAsia="en-CA"/>
    </w:rPr>
  </w:style>
  <w:style w:type="paragraph" w:styleId="BalloonText">
    <w:name w:val="Balloon Text"/>
    <w:basedOn w:val="Normal"/>
    <w:link w:val="BalloonTextChar"/>
    <w:uiPriority w:val="99"/>
    <w:semiHidden/>
    <w:unhideWhenUsed/>
    <w:rsid w:val="00F26EF3"/>
    <w:rPr>
      <w:rFonts w:eastAsiaTheme="minorHAnsi"/>
      <w:sz w:val="18"/>
      <w:szCs w:val="18"/>
    </w:rPr>
  </w:style>
  <w:style w:type="character" w:customStyle="1" w:styleId="BalloonTextChar">
    <w:name w:val="Balloon Text Char"/>
    <w:basedOn w:val="DefaultParagraphFont"/>
    <w:link w:val="BalloonText"/>
    <w:uiPriority w:val="99"/>
    <w:semiHidden/>
    <w:rsid w:val="00F26EF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F26EF3"/>
    <w:rPr>
      <w:sz w:val="16"/>
      <w:szCs w:val="16"/>
    </w:rPr>
  </w:style>
  <w:style w:type="paragraph" w:styleId="CommentText">
    <w:name w:val="annotation text"/>
    <w:basedOn w:val="Normal"/>
    <w:link w:val="CommentTextChar"/>
    <w:uiPriority w:val="99"/>
    <w:unhideWhenUsed/>
    <w:rsid w:val="00F26EF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26EF3"/>
    <w:rPr>
      <w:sz w:val="20"/>
      <w:szCs w:val="20"/>
      <w:lang w:val="en-CA"/>
    </w:rPr>
  </w:style>
  <w:style w:type="paragraph" w:styleId="CommentSubject">
    <w:name w:val="annotation subject"/>
    <w:basedOn w:val="CommentText"/>
    <w:next w:val="CommentText"/>
    <w:link w:val="CommentSubjectChar"/>
    <w:uiPriority w:val="99"/>
    <w:semiHidden/>
    <w:unhideWhenUsed/>
    <w:rsid w:val="00F26EF3"/>
    <w:rPr>
      <w:b/>
      <w:bCs/>
    </w:rPr>
  </w:style>
  <w:style w:type="character" w:customStyle="1" w:styleId="CommentSubjectChar">
    <w:name w:val="Comment Subject Char"/>
    <w:basedOn w:val="CommentTextChar"/>
    <w:link w:val="CommentSubject"/>
    <w:uiPriority w:val="99"/>
    <w:semiHidden/>
    <w:rsid w:val="00F26EF3"/>
    <w:rPr>
      <w:b/>
      <w:bCs/>
      <w:sz w:val="20"/>
      <w:szCs w:val="20"/>
      <w:lang w:val="en-CA"/>
    </w:rPr>
  </w:style>
  <w:style w:type="paragraph" w:styleId="Revision">
    <w:name w:val="Revision"/>
    <w:hidden/>
    <w:uiPriority w:val="99"/>
    <w:semiHidden/>
    <w:rsid w:val="00F26EF3"/>
    <w:rPr>
      <w:sz w:val="22"/>
      <w:szCs w:val="22"/>
      <w:lang w:val="en-CA"/>
    </w:rPr>
  </w:style>
  <w:style w:type="paragraph" w:styleId="ListParagraph">
    <w:name w:val="List Paragraph"/>
    <w:basedOn w:val="Normal"/>
    <w:uiPriority w:val="34"/>
    <w:qFormat/>
    <w:rsid w:val="00F26EF3"/>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26EF3"/>
    <w:rPr>
      <w:sz w:val="22"/>
      <w:szCs w:val="22"/>
      <w:lang w:val="en-CA"/>
    </w:rPr>
  </w:style>
  <w:style w:type="character" w:customStyle="1" w:styleId="apple-converted-space">
    <w:name w:val="apple-converted-space"/>
    <w:basedOn w:val="DefaultParagraphFont"/>
    <w:rsid w:val="00F26EF3"/>
  </w:style>
  <w:style w:type="character" w:styleId="Hyperlink">
    <w:name w:val="Hyperlink"/>
    <w:basedOn w:val="DefaultParagraphFont"/>
    <w:uiPriority w:val="99"/>
    <w:unhideWhenUsed/>
    <w:rsid w:val="00F26EF3"/>
    <w:rPr>
      <w:color w:val="0000FF"/>
      <w:u w:val="single"/>
    </w:rPr>
  </w:style>
  <w:style w:type="character" w:styleId="Emphasis">
    <w:name w:val="Emphasis"/>
    <w:basedOn w:val="DefaultParagraphFont"/>
    <w:uiPriority w:val="20"/>
    <w:qFormat/>
    <w:rsid w:val="00F26EF3"/>
    <w:rPr>
      <w:i/>
      <w:iCs/>
    </w:rPr>
  </w:style>
  <w:style w:type="character" w:customStyle="1" w:styleId="UnresolvedMention1">
    <w:name w:val="Unresolved Mention1"/>
    <w:basedOn w:val="DefaultParagraphFont"/>
    <w:uiPriority w:val="99"/>
    <w:semiHidden/>
    <w:unhideWhenUsed/>
    <w:rsid w:val="00F26EF3"/>
    <w:rPr>
      <w:color w:val="605E5C"/>
      <w:shd w:val="clear" w:color="auto" w:fill="E1DFDD"/>
    </w:rPr>
  </w:style>
  <w:style w:type="paragraph" w:customStyle="1" w:styleId="EndNoteBibliographyTitle">
    <w:name w:val="EndNote Bibliography Title"/>
    <w:basedOn w:val="Normal"/>
    <w:rsid w:val="00F26EF3"/>
    <w:pPr>
      <w:spacing w:line="259" w:lineRule="auto"/>
      <w:jc w:val="center"/>
    </w:pPr>
    <w:rPr>
      <w:rFonts w:eastAsiaTheme="minorHAnsi"/>
      <w:szCs w:val="22"/>
      <w:lang w:val="en-US"/>
    </w:rPr>
  </w:style>
  <w:style w:type="paragraph" w:customStyle="1" w:styleId="EndNoteBibliography">
    <w:name w:val="EndNote Bibliography"/>
    <w:basedOn w:val="Normal"/>
    <w:rsid w:val="00F26EF3"/>
    <w:pPr>
      <w:spacing w:after="160"/>
    </w:pPr>
    <w:rPr>
      <w:rFonts w:eastAsiaTheme="minorHAnsi"/>
      <w:szCs w:val="22"/>
      <w:lang w:val="en-US"/>
    </w:rPr>
  </w:style>
  <w:style w:type="paragraph" w:styleId="Header">
    <w:name w:val="header"/>
    <w:basedOn w:val="Normal"/>
    <w:link w:val="HeaderChar"/>
    <w:uiPriority w:val="99"/>
    <w:unhideWhenUsed/>
    <w:rsid w:val="00F26E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6EF3"/>
    <w:rPr>
      <w:sz w:val="22"/>
      <w:szCs w:val="22"/>
      <w:lang w:val="en-CA"/>
    </w:rPr>
  </w:style>
  <w:style w:type="paragraph" w:styleId="Footer">
    <w:name w:val="footer"/>
    <w:basedOn w:val="Normal"/>
    <w:link w:val="FooterChar"/>
    <w:uiPriority w:val="99"/>
    <w:unhideWhenUsed/>
    <w:rsid w:val="00F26E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6EF3"/>
    <w:rPr>
      <w:sz w:val="22"/>
      <w:szCs w:val="22"/>
      <w:lang w:val="en-CA"/>
    </w:rPr>
  </w:style>
  <w:style w:type="character" w:styleId="PageNumber">
    <w:name w:val="page number"/>
    <w:basedOn w:val="DefaultParagraphFont"/>
    <w:uiPriority w:val="99"/>
    <w:semiHidden/>
    <w:unhideWhenUsed/>
    <w:rsid w:val="00F2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127">
      <w:bodyDiv w:val="1"/>
      <w:marLeft w:val="0"/>
      <w:marRight w:val="0"/>
      <w:marTop w:val="0"/>
      <w:marBottom w:val="0"/>
      <w:divBdr>
        <w:top w:val="none" w:sz="0" w:space="0" w:color="auto"/>
        <w:left w:val="none" w:sz="0" w:space="0" w:color="auto"/>
        <w:bottom w:val="none" w:sz="0" w:space="0" w:color="auto"/>
        <w:right w:val="none" w:sz="0" w:space="0" w:color="auto"/>
      </w:divBdr>
    </w:div>
    <w:div w:id="1067344432">
      <w:bodyDiv w:val="1"/>
      <w:marLeft w:val="0"/>
      <w:marRight w:val="0"/>
      <w:marTop w:val="0"/>
      <w:marBottom w:val="0"/>
      <w:divBdr>
        <w:top w:val="none" w:sz="0" w:space="0" w:color="auto"/>
        <w:left w:val="none" w:sz="0" w:space="0" w:color="auto"/>
        <w:bottom w:val="none" w:sz="0" w:space="0" w:color="auto"/>
        <w:right w:val="none" w:sz="0" w:space="0" w:color="auto"/>
      </w:divBdr>
    </w:div>
    <w:div w:id="1488010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F185-263C-9540-A065-860184FB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32502</Words>
  <Characters>185268</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 Sang</dc:creator>
  <cp:keywords/>
  <dc:description/>
  <cp:lastModifiedBy>Microsoft Office User</cp:lastModifiedBy>
  <cp:revision>2</cp:revision>
  <dcterms:created xsi:type="dcterms:W3CDTF">2020-05-13T09:42:00Z</dcterms:created>
  <dcterms:modified xsi:type="dcterms:W3CDTF">2020-05-13T09:42:00Z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http://www.zotero.org/styles/drug-and-alcohol-dependence</vt:lpwstr>
  </property>
  <property fmtid="{D5CDD505-2E9C-101B-9397-08002B2CF9AE}" pid="13" name="Mendeley Recent Style Name 5_1">
    <vt:lpwstr>Drug and Alcohol Dependence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http://www.zotero.org/styles/immunity</vt:lpwstr>
  </property>
  <property fmtid="{D5CDD505-2E9C-101B-9397-08002B2CF9AE}" pid="17" name="Mendeley Recent Style Name 7_1">
    <vt:lpwstr>Immunity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1bf2db96-4b41-39d2-bcc7-c4ace1bcace2</vt:lpwstr>
  </property>
</Properties>
</file>