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481F" w14:textId="77777777" w:rsidR="009F6693" w:rsidRPr="00121CD0" w:rsidRDefault="009F6693" w:rsidP="009F6693">
      <w:pPr>
        <w:spacing w:line="360" w:lineRule="auto"/>
        <w:jc w:val="center"/>
        <w:rPr>
          <w:b/>
        </w:rPr>
      </w:pPr>
      <w:bookmarkStart w:id="0" w:name="_GoBack"/>
      <w:bookmarkEnd w:id="0"/>
      <w:r w:rsidRPr="00121CD0">
        <w:rPr>
          <w:b/>
        </w:rPr>
        <w:t>Anthropometric nutritional status, and social and dietary characteristics of African and Indian adolescents taking part in the TALENT (Transforming Adolescent Lives through Nutrition) qualitative study</w:t>
      </w:r>
    </w:p>
    <w:p w14:paraId="706AA3F3" w14:textId="77777777" w:rsidR="009F6693" w:rsidRPr="00121CD0" w:rsidRDefault="009F6693" w:rsidP="009F6693">
      <w:pPr>
        <w:spacing w:line="360" w:lineRule="auto"/>
      </w:pPr>
      <w:r w:rsidRPr="00121CD0">
        <w:t>Caroline HD Fall</w:t>
      </w:r>
      <w:r w:rsidRPr="00121CD0">
        <w:rPr>
          <w:vertAlign w:val="superscript"/>
        </w:rPr>
        <w:t>1</w:t>
      </w:r>
      <w:r w:rsidRPr="00121CD0">
        <w:t>, Mubarek Abera</w:t>
      </w:r>
      <w:r w:rsidRPr="00121CD0">
        <w:rPr>
          <w:vertAlign w:val="superscript"/>
        </w:rPr>
        <w:t>2</w:t>
      </w:r>
      <w:r w:rsidRPr="00121CD0">
        <w:t>, Harsha Chopra</w:t>
      </w:r>
      <w:r w:rsidRPr="00121CD0">
        <w:rPr>
          <w:vertAlign w:val="superscript"/>
        </w:rPr>
        <w:t>3</w:t>
      </w:r>
      <w:r w:rsidRPr="00121CD0">
        <w:t>, Polly Hardy-Johnson</w:t>
      </w:r>
      <w:r w:rsidRPr="00121CD0">
        <w:rPr>
          <w:vertAlign w:val="superscript"/>
        </w:rPr>
        <w:t>1</w:t>
      </w:r>
      <w:r w:rsidRPr="00121CD0">
        <w:t>, Ramatoulie E Janha</w:t>
      </w:r>
      <w:r w:rsidRPr="00121CD0">
        <w:rPr>
          <w:vertAlign w:val="superscript"/>
        </w:rPr>
        <w:t>4</w:t>
      </w:r>
      <w:r w:rsidRPr="00121CD0">
        <w:t>,  Julie Jesson</w:t>
      </w:r>
      <w:r w:rsidRPr="00121CD0">
        <w:rPr>
          <w:vertAlign w:val="superscript"/>
        </w:rPr>
        <w:t>5</w:t>
      </w:r>
      <w:r w:rsidRPr="00121CD0">
        <w:t xml:space="preserve">, </w:t>
      </w:r>
      <w:proofErr w:type="spellStart"/>
      <w:r w:rsidRPr="00121CD0">
        <w:t>Charudutta</w:t>
      </w:r>
      <w:proofErr w:type="spellEnd"/>
      <w:r w:rsidRPr="00121CD0">
        <w:t xml:space="preserve"> Joglekar</w:t>
      </w:r>
      <w:r w:rsidRPr="00121CD0">
        <w:rPr>
          <w:vertAlign w:val="superscript"/>
        </w:rPr>
        <w:t>6</w:t>
      </w:r>
      <w:r w:rsidRPr="00121CD0">
        <w:t xml:space="preserve">, </w:t>
      </w:r>
      <w:proofErr w:type="spellStart"/>
      <w:r w:rsidRPr="00121CD0">
        <w:t>Shama</w:t>
      </w:r>
      <w:proofErr w:type="spellEnd"/>
      <w:r w:rsidRPr="00121CD0">
        <w:t xml:space="preserve"> Joseph</w:t>
      </w:r>
      <w:r w:rsidRPr="00121CD0">
        <w:rPr>
          <w:vertAlign w:val="superscript"/>
        </w:rPr>
        <w:t>7</w:t>
      </w:r>
      <w:r w:rsidRPr="00121CD0">
        <w:t>, Sarah H Kehoe</w:t>
      </w:r>
      <w:r w:rsidRPr="00121CD0">
        <w:rPr>
          <w:vertAlign w:val="superscript"/>
        </w:rPr>
        <w:t>1</w:t>
      </w:r>
      <w:r w:rsidRPr="00121CD0">
        <w:t>, Gudani Mukoma</w:t>
      </w:r>
      <w:r w:rsidRPr="00121CD0">
        <w:rPr>
          <w:vertAlign w:val="superscript"/>
        </w:rPr>
        <w:t>8</w:t>
      </w:r>
      <w:r w:rsidRPr="00121CD0">
        <w:t>, Kejal Joshi-Reddy</w:t>
      </w:r>
      <w:r w:rsidRPr="00121CD0">
        <w:rPr>
          <w:vertAlign w:val="superscript"/>
        </w:rPr>
        <w:t>9</w:t>
      </w:r>
      <w:r w:rsidRPr="00121CD0">
        <w:t>, Kalyanaraman Kumaran</w:t>
      </w:r>
      <w:r w:rsidRPr="00121CD0">
        <w:rPr>
          <w:vertAlign w:val="superscript"/>
        </w:rPr>
        <w:t>1,7</w:t>
      </w:r>
      <w:r w:rsidRPr="00121CD0">
        <w:t>, Mary E Barker</w:t>
      </w:r>
      <w:r w:rsidRPr="00121CD0">
        <w:rPr>
          <w:vertAlign w:val="superscript"/>
        </w:rPr>
        <w:t>1</w:t>
      </w:r>
      <w:r w:rsidRPr="00121CD0">
        <w:t xml:space="preserve"> and the TALENT consortium</w:t>
      </w:r>
    </w:p>
    <w:p w14:paraId="4620A78C" w14:textId="77777777" w:rsidR="009F6693" w:rsidRPr="00121CD0" w:rsidRDefault="009F6693" w:rsidP="009F6693">
      <w:pPr>
        <w:spacing w:line="360" w:lineRule="auto"/>
      </w:pPr>
      <w:r w:rsidRPr="00121CD0">
        <w:rPr>
          <w:b/>
        </w:rPr>
        <w:t xml:space="preserve">Author affiliations: </w:t>
      </w:r>
      <w:r w:rsidRPr="00121CD0">
        <w:rPr>
          <w:vertAlign w:val="superscript"/>
        </w:rPr>
        <w:t>1</w:t>
      </w:r>
      <w:r w:rsidRPr="00121CD0">
        <w:t xml:space="preserve">MRC Lifecourse Epidemiology Unit, University of Southampton, UK; </w:t>
      </w:r>
      <w:r w:rsidRPr="00121CD0">
        <w:rPr>
          <w:vertAlign w:val="superscript"/>
        </w:rPr>
        <w:t>2</w:t>
      </w:r>
      <w:r w:rsidRPr="00121CD0">
        <w:t xml:space="preserve">Faculty of Medical Sciences, Jimma University, Jimma, Ethiopia; </w:t>
      </w:r>
      <w:r w:rsidRPr="00121CD0">
        <w:rPr>
          <w:vertAlign w:val="superscript"/>
        </w:rPr>
        <w:t>3</w:t>
      </w:r>
      <w:r w:rsidRPr="00121CD0">
        <w:t xml:space="preserve">Centre for the Study of Social Change, Mumbai, India; </w:t>
      </w:r>
      <w:r w:rsidRPr="00121CD0">
        <w:rPr>
          <w:vertAlign w:val="superscript"/>
        </w:rPr>
        <w:t>4</w:t>
      </w:r>
      <w:r w:rsidRPr="00121CD0">
        <w:t xml:space="preserve">Medical Research Council (MRC) Unit The Gambia at the London School of Hygiene and Tropical Medicine, Banjul, The Gambia; </w:t>
      </w:r>
      <w:r w:rsidRPr="00121CD0">
        <w:rPr>
          <w:vertAlign w:val="superscript"/>
        </w:rPr>
        <w:t>5</w:t>
      </w:r>
      <w:r w:rsidRPr="00121CD0">
        <w:t xml:space="preserve">Inserm U1027, </w:t>
      </w:r>
      <w:proofErr w:type="spellStart"/>
      <w:r w:rsidRPr="00121CD0">
        <w:t>Université</w:t>
      </w:r>
      <w:proofErr w:type="spellEnd"/>
      <w:r w:rsidRPr="00121CD0">
        <w:t xml:space="preserve"> Paul Sabatier Toulouse 3, Toulouse, France; </w:t>
      </w:r>
      <w:r w:rsidRPr="00121CD0">
        <w:rPr>
          <w:vertAlign w:val="superscript"/>
        </w:rPr>
        <w:t>6</w:t>
      </w:r>
      <w:r w:rsidRPr="00121CD0">
        <w:t xml:space="preserve">Regional Center for Adolescent Health and Nutrition, BKL Walawalkar Rural Medical College, Chiplun, India; </w:t>
      </w:r>
      <w:r w:rsidRPr="00121CD0">
        <w:rPr>
          <w:vertAlign w:val="superscript"/>
        </w:rPr>
        <w:t>7</w:t>
      </w:r>
      <w:r w:rsidRPr="00121CD0">
        <w:t xml:space="preserve">Epidemiology Research Unit, CSI Holdsworth Memorial Hospital, Mysore, India; </w:t>
      </w:r>
      <w:r w:rsidRPr="00121CD0">
        <w:rPr>
          <w:vertAlign w:val="superscript"/>
        </w:rPr>
        <w:t>8</w:t>
      </w:r>
      <w:r w:rsidRPr="00121CD0">
        <w:t xml:space="preserve">SAMRC/Wits Developmental Pathways for Health Research Unit, Department of Paediatrics, Faculty of Health Sciences, University of the Witwatersrand, Johannesburg, South Africa; </w:t>
      </w:r>
      <w:r w:rsidRPr="00121CD0">
        <w:rPr>
          <w:vertAlign w:val="superscript"/>
        </w:rPr>
        <w:t>9</w:t>
      </w:r>
      <w:r w:rsidRPr="00121CD0">
        <w:t>Diabetes Unit, King Edward Memorial Hospital and Research Centre, Pune, India.</w:t>
      </w:r>
    </w:p>
    <w:p w14:paraId="6DC892E1" w14:textId="77777777" w:rsidR="009F6693" w:rsidRPr="00121CD0" w:rsidRDefault="009F6693" w:rsidP="009F6693">
      <w:pPr>
        <w:spacing w:line="360" w:lineRule="auto"/>
      </w:pPr>
      <w:r w:rsidRPr="00121CD0">
        <w:rPr>
          <w:b/>
        </w:rPr>
        <w:t>Corresponding author:</w:t>
      </w:r>
      <w:r w:rsidRPr="00121CD0">
        <w:t xml:space="preserve"> Caroline HD Fall, MRC Lifecourse Epidemiology Unit, University of Southampton, Southampton General Hospital, </w:t>
      </w:r>
      <w:proofErr w:type="spellStart"/>
      <w:r w:rsidRPr="00121CD0">
        <w:t>Tremona</w:t>
      </w:r>
      <w:proofErr w:type="spellEnd"/>
      <w:r w:rsidRPr="00121CD0">
        <w:t xml:space="preserve"> Road, Southampton SO16 6YD, UK; </w:t>
      </w:r>
      <w:hyperlink r:id="rId8" w:history="1">
        <w:r w:rsidRPr="00121CD0">
          <w:rPr>
            <w:rStyle w:val="Hyperlink"/>
            <w:color w:val="auto"/>
          </w:rPr>
          <w:t>chdf@mrc.soton.ac.uk</w:t>
        </w:r>
      </w:hyperlink>
    </w:p>
    <w:p w14:paraId="42B7A698" w14:textId="77777777" w:rsidR="009F6693" w:rsidRPr="00121CD0" w:rsidRDefault="009F6693" w:rsidP="009F6693">
      <w:pPr>
        <w:spacing w:line="360" w:lineRule="auto"/>
      </w:pPr>
      <w:r w:rsidRPr="00121CD0">
        <w:rPr>
          <w:b/>
        </w:rPr>
        <w:t>Short title:</w:t>
      </w:r>
      <w:r w:rsidRPr="00121CD0">
        <w:t xml:space="preserve"> TALENT quantitative survey</w:t>
      </w:r>
    </w:p>
    <w:p w14:paraId="1A7EDB6E" w14:textId="77777777" w:rsidR="009F6693" w:rsidRPr="00121CD0" w:rsidRDefault="009F6693" w:rsidP="009F6693">
      <w:pPr>
        <w:spacing w:line="360" w:lineRule="auto"/>
      </w:pPr>
      <w:r w:rsidRPr="00121CD0">
        <w:rPr>
          <w:b/>
        </w:rPr>
        <w:t>Conflict of interest statement:</w:t>
      </w:r>
      <w:r w:rsidRPr="00121CD0">
        <w:t xml:space="preserve"> The authors have no conflicts of interest to declare</w:t>
      </w:r>
    </w:p>
    <w:p w14:paraId="0FB4C602" w14:textId="77777777" w:rsidR="009F6693" w:rsidRPr="00121CD0" w:rsidRDefault="009F6693" w:rsidP="009F6693">
      <w:pPr>
        <w:spacing w:line="360" w:lineRule="auto"/>
      </w:pPr>
      <w:r w:rsidRPr="00121CD0">
        <w:rPr>
          <w:b/>
        </w:rPr>
        <w:t>Acknowledgements</w:t>
      </w:r>
      <w:r w:rsidRPr="00121CD0">
        <w:t xml:space="preserve">: We thank the adolescents, caregivers and research staff who contributed to this research. Other contributors to the study from the TALENT consortium include: </w:t>
      </w:r>
      <w:r w:rsidRPr="00121CD0">
        <w:rPr>
          <w:b/>
        </w:rPr>
        <w:t>Laurence Adonis-</w:t>
      </w:r>
      <w:proofErr w:type="spellStart"/>
      <w:r w:rsidRPr="00121CD0">
        <w:rPr>
          <w:b/>
        </w:rPr>
        <w:t>Koffy</w:t>
      </w:r>
      <w:proofErr w:type="spellEnd"/>
      <w:r w:rsidRPr="00121CD0">
        <w:t xml:space="preserve">, </w:t>
      </w:r>
      <w:proofErr w:type="spellStart"/>
      <w:r w:rsidRPr="00121CD0">
        <w:t>Yopougon</w:t>
      </w:r>
      <w:proofErr w:type="spellEnd"/>
      <w:r w:rsidRPr="00121CD0">
        <w:t xml:space="preserve"> University Hospital Faculty of Medical Sciences - UFHB de </w:t>
      </w:r>
      <w:proofErr w:type="spellStart"/>
      <w:r w:rsidRPr="00121CD0">
        <w:t>Cocody</w:t>
      </w:r>
      <w:proofErr w:type="spellEnd"/>
      <w:r w:rsidRPr="00121CD0">
        <w:t xml:space="preserve"> Abidjan Ivory Coast; </w:t>
      </w:r>
      <w:proofErr w:type="spellStart"/>
      <w:r w:rsidRPr="00121CD0">
        <w:rPr>
          <w:b/>
        </w:rPr>
        <w:t>Ulka</w:t>
      </w:r>
      <w:proofErr w:type="spellEnd"/>
      <w:r w:rsidRPr="00121CD0">
        <w:rPr>
          <w:b/>
        </w:rPr>
        <w:t xml:space="preserve"> </w:t>
      </w:r>
      <w:proofErr w:type="spellStart"/>
      <w:r w:rsidRPr="00121CD0">
        <w:rPr>
          <w:b/>
        </w:rPr>
        <w:t>Banavali</w:t>
      </w:r>
      <w:proofErr w:type="spellEnd"/>
      <w:r w:rsidRPr="00121CD0">
        <w:t xml:space="preserve">, Regional </w:t>
      </w:r>
      <w:proofErr w:type="spellStart"/>
      <w:r w:rsidRPr="00121CD0">
        <w:t>Center</w:t>
      </w:r>
      <w:proofErr w:type="spellEnd"/>
      <w:r w:rsidRPr="00121CD0">
        <w:t xml:space="preserve"> for Adolescent Health and Nutrition, BKL Walawalkar Rural Medical College, Chiplun, India; </w:t>
      </w:r>
      <w:r w:rsidRPr="00121CD0">
        <w:rPr>
          <w:b/>
        </w:rPr>
        <w:t xml:space="preserve">Edna </w:t>
      </w:r>
      <w:proofErr w:type="spellStart"/>
      <w:r w:rsidRPr="00121CD0">
        <w:rPr>
          <w:b/>
        </w:rPr>
        <w:t>Bosire</w:t>
      </w:r>
      <w:proofErr w:type="spellEnd"/>
      <w:r w:rsidRPr="00121CD0">
        <w:t xml:space="preserve">, University of the Witwatersrand, Johannesburg, South Africa; </w:t>
      </w:r>
      <w:r w:rsidRPr="00121CD0">
        <w:rPr>
          <w:b/>
        </w:rPr>
        <w:t>Meera Gandhi</w:t>
      </w:r>
      <w:r w:rsidRPr="00121CD0">
        <w:t xml:space="preserve">, Centre for the Study of Social Change, Mumbai, India; </w:t>
      </w:r>
      <w:r w:rsidRPr="00121CD0">
        <w:rPr>
          <w:b/>
        </w:rPr>
        <w:t>Abraham Haileamlak</w:t>
      </w:r>
      <w:r w:rsidRPr="00121CD0">
        <w:t xml:space="preserve">, College of Public Health and Medical Sciences, Jimma University, Jimma, Ethiopia; </w:t>
      </w:r>
      <w:r w:rsidRPr="00121CD0">
        <w:rPr>
          <w:b/>
        </w:rPr>
        <w:t>Landing Jarjou</w:t>
      </w:r>
      <w:r w:rsidRPr="00121CD0">
        <w:t xml:space="preserve">, MRC Unit The Gambia; </w:t>
      </w:r>
      <w:r w:rsidRPr="00121CD0">
        <w:rPr>
          <w:b/>
        </w:rPr>
        <w:t>Elizabeth Kimani-Murage</w:t>
      </w:r>
      <w:r w:rsidRPr="00121CD0">
        <w:t xml:space="preserve">, African Population and Health Research Center (APHRC), Nairobi, Kenya; </w:t>
      </w:r>
      <w:proofErr w:type="spellStart"/>
      <w:r w:rsidRPr="00121CD0">
        <w:rPr>
          <w:b/>
        </w:rPr>
        <w:t>Egnon</w:t>
      </w:r>
      <w:proofErr w:type="spellEnd"/>
      <w:r w:rsidRPr="00121CD0">
        <w:rPr>
          <w:b/>
        </w:rPr>
        <w:t xml:space="preserve"> </w:t>
      </w:r>
      <w:proofErr w:type="spellStart"/>
      <w:r w:rsidRPr="00121CD0">
        <w:rPr>
          <w:b/>
        </w:rPr>
        <w:t>Kouakou</w:t>
      </w:r>
      <w:proofErr w:type="spellEnd"/>
      <w:r w:rsidRPr="00121CD0">
        <w:t xml:space="preserve">, PAC-CI, Abidjan, Ivory Coast; </w:t>
      </w:r>
      <w:r w:rsidRPr="00121CD0">
        <w:rPr>
          <w:b/>
        </w:rPr>
        <w:t>GV Krishnaveni</w:t>
      </w:r>
      <w:r w:rsidRPr="00121CD0">
        <w:t xml:space="preserve">, Epidemiology Research Unit, CSI Holdsworth Memorial Hospital, Mysore, India; </w:t>
      </w:r>
      <w:proofErr w:type="spellStart"/>
      <w:r w:rsidRPr="00121CD0">
        <w:rPr>
          <w:b/>
        </w:rPr>
        <w:t>Valeriane</w:t>
      </w:r>
      <w:proofErr w:type="spellEnd"/>
      <w:r w:rsidRPr="00121CD0">
        <w:rPr>
          <w:b/>
        </w:rPr>
        <w:t xml:space="preserve"> Leroy</w:t>
      </w:r>
      <w:r w:rsidRPr="00121CD0">
        <w:t xml:space="preserve">, </w:t>
      </w:r>
      <w:proofErr w:type="spellStart"/>
      <w:r w:rsidRPr="00121CD0">
        <w:t>Inserm</w:t>
      </w:r>
      <w:proofErr w:type="spellEnd"/>
      <w:r w:rsidRPr="00121CD0">
        <w:t xml:space="preserve"> U1027, University of Toulouse, Paul Sabatier, France; </w:t>
      </w:r>
      <w:r w:rsidRPr="00121CD0">
        <w:rPr>
          <w:b/>
        </w:rPr>
        <w:t>Sophie Moore</w:t>
      </w:r>
      <w:r w:rsidRPr="00121CD0">
        <w:t xml:space="preserve">, Kings College London, London, UK; </w:t>
      </w:r>
      <w:r w:rsidRPr="00121CD0">
        <w:rPr>
          <w:b/>
        </w:rPr>
        <w:t>Shane Norris</w:t>
      </w:r>
      <w:r w:rsidRPr="00121CD0">
        <w:t xml:space="preserve">, Developmental Pathways Research Unit, University of </w:t>
      </w:r>
      <w:r w:rsidRPr="00121CD0">
        <w:lastRenderedPageBreak/>
        <w:t xml:space="preserve">the Witwatersrand, Johannesburg, South Africa; </w:t>
      </w:r>
      <w:r w:rsidRPr="00121CD0">
        <w:rPr>
          <w:b/>
        </w:rPr>
        <w:t>Suvarna Patil</w:t>
      </w:r>
      <w:r w:rsidRPr="00121CD0">
        <w:t xml:space="preserve">, Regional Center for Adolescent Health and Nutrition, BKL Walawalkar Rural Medical College, Chiplun, India; </w:t>
      </w:r>
      <w:proofErr w:type="spellStart"/>
      <w:r w:rsidRPr="00121CD0">
        <w:rPr>
          <w:b/>
        </w:rPr>
        <w:t>Sirazul</w:t>
      </w:r>
      <w:proofErr w:type="spellEnd"/>
      <w:r w:rsidRPr="00121CD0">
        <w:rPr>
          <w:b/>
        </w:rPr>
        <w:t xml:space="preserve"> Ameen Sahariah</w:t>
      </w:r>
      <w:r w:rsidRPr="00121CD0">
        <w:t xml:space="preserve">, Centre for the Study of Social Change, Mumbai, India; </w:t>
      </w:r>
      <w:r w:rsidRPr="00121CD0">
        <w:rPr>
          <w:b/>
        </w:rPr>
        <w:t>Kate Ward</w:t>
      </w:r>
      <w:r w:rsidRPr="00121CD0">
        <w:t xml:space="preserve">, MRC Lifecourse Epidemiology Unit, University of Southampton, UK; </w:t>
      </w:r>
      <w:r w:rsidRPr="00121CD0">
        <w:rPr>
          <w:b/>
        </w:rPr>
        <w:t>Susie Weller</w:t>
      </w:r>
      <w:r w:rsidRPr="00121CD0">
        <w:t xml:space="preserve">, MRC Lifecourse Epidemiology Unit, University of Southampton, UK; </w:t>
      </w:r>
      <w:r w:rsidRPr="00121CD0">
        <w:rPr>
          <w:b/>
        </w:rPr>
        <w:t>Stephanie Wrottesley</w:t>
      </w:r>
      <w:r w:rsidRPr="00121CD0">
        <w:t xml:space="preserve">, University of the Witwatersrand, Johannesburg, South Africa; </w:t>
      </w:r>
      <w:r w:rsidRPr="00121CD0">
        <w:rPr>
          <w:b/>
        </w:rPr>
        <w:t>Chittaranjan Yajnik</w:t>
      </w:r>
      <w:r w:rsidRPr="00121CD0">
        <w:t xml:space="preserve">, Diabetes Research Unit, KEM Hospital, Pune, India; </w:t>
      </w:r>
      <w:r w:rsidRPr="00121CD0">
        <w:rPr>
          <w:b/>
        </w:rPr>
        <w:t>Pallavi Yajnik</w:t>
      </w:r>
      <w:r w:rsidRPr="00121CD0">
        <w:t xml:space="preserve">, Diabetes Research Unit, KEM Hospital, Pune, India. </w:t>
      </w:r>
    </w:p>
    <w:p w14:paraId="251CF34D" w14:textId="77777777" w:rsidR="009F6693" w:rsidRPr="00121CD0" w:rsidRDefault="009F6693" w:rsidP="009F6693">
      <w:pPr>
        <w:spacing w:line="360" w:lineRule="auto"/>
      </w:pPr>
      <w:r w:rsidRPr="00121CD0">
        <w:rPr>
          <w:b/>
        </w:rPr>
        <w:t>Financial support:</w:t>
      </w:r>
      <w:r w:rsidRPr="00121CD0">
        <w:t xml:space="preserve"> This study was funded by a Global Challenges Research Fund/Medical Research Council pump priming grant (grant number: MC_PC_MR/R018545/1). The funding agency was not involved in the study design, data analysis, or writing of this article.</w:t>
      </w:r>
    </w:p>
    <w:p w14:paraId="62AE89C4" w14:textId="77777777" w:rsidR="009F6693" w:rsidRPr="00121CD0" w:rsidRDefault="009F6693" w:rsidP="009F6693">
      <w:pPr>
        <w:spacing w:line="360" w:lineRule="auto"/>
      </w:pPr>
      <w:r w:rsidRPr="00121CD0">
        <w:rPr>
          <w:b/>
        </w:rPr>
        <w:t>Ethics statement:</w:t>
      </w:r>
      <w:r w:rsidRPr="00121CD0">
        <w:t xml:space="preserve"> This study was conducted according to the guidelines laid down in the Declaration of Helsinki and all procedures involving human subjects were approved by the following ethics committees: the Gambia Government/MRC Joint Ethics Committee, The Gambia; the research Ethics Committee (Medical) of the University of the Witwatersrand, Johannesburg, South Africa; the Ethics Committee of the Institute of Health, Jimma University, Ethiopia;  the National Research Ethics Review Board of Côte d’Ivoire; the Institutional Ethics Committee of the CSI Holdsworth Memorial Hospital, Mysore, India; the Intersystem Biomedical Ethics Committee, Mumbai, India; the Institutional Ethics Committee of the BKL Walawalkar Rural Medical College, Dervan, India;  the Institutional Ethics Committee of the King Edward Memorial Hospital, Pune, India  and the Research Ethics Committee of the University of Southampton, UK. Written informed consent was obtained from all caregivers for their own and their child’s participation; written or verbal assent was obtained from younger adolescent participants.</w:t>
      </w:r>
    </w:p>
    <w:p w14:paraId="60FB6B0A" w14:textId="3913450F" w:rsidR="00A67E29" w:rsidRPr="00790654" w:rsidRDefault="009F6693" w:rsidP="00A67E29">
      <w:pPr>
        <w:spacing w:line="360" w:lineRule="auto"/>
      </w:pPr>
      <w:r w:rsidRPr="00121CD0">
        <w:rPr>
          <w:b/>
        </w:rPr>
        <w:t>Authorship:</w:t>
      </w:r>
      <w:r w:rsidRPr="00121CD0">
        <w:t xml:space="preserve"> CHDF and MEB led the study, which was co-designed with contributions from all members of the TALENT consortium. The quantitative data were analysed by MA, HC, REJ, JJ, CJ, SJ, SHK, GM and KJR. CHDF drafted the manuscript which has been reviewed by all co-authors. PH-J co-ordinated all the manuscripts and contributed to their intellectual content.</w:t>
      </w:r>
      <w:r w:rsidR="00A67E29" w:rsidRPr="00790654">
        <w:rPr>
          <w:b/>
        </w:rPr>
        <w:br w:type="page"/>
      </w:r>
    </w:p>
    <w:p w14:paraId="126748BA" w14:textId="48077409" w:rsidR="004E683B" w:rsidRPr="00790654" w:rsidRDefault="004E683B" w:rsidP="00091301">
      <w:pPr>
        <w:spacing w:line="360" w:lineRule="auto"/>
        <w:rPr>
          <w:b/>
        </w:rPr>
      </w:pPr>
      <w:r w:rsidRPr="00790654">
        <w:rPr>
          <w:b/>
        </w:rPr>
        <w:lastRenderedPageBreak/>
        <w:t>ABSTRACT</w:t>
      </w:r>
    </w:p>
    <w:p w14:paraId="1F5DBD5F" w14:textId="18811374" w:rsidR="006C7F9C" w:rsidRPr="00790654" w:rsidRDefault="004E683B" w:rsidP="00091301">
      <w:pPr>
        <w:spacing w:line="360" w:lineRule="auto"/>
      </w:pPr>
      <w:r w:rsidRPr="00790654">
        <w:rPr>
          <w:i/>
        </w:rPr>
        <w:t>Objective</w:t>
      </w:r>
      <w:r w:rsidR="002D2791" w:rsidRPr="00790654">
        <w:rPr>
          <w:i/>
        </w:rPr>
        <w:t xml:space="preserve">: </w:t>
      </w:r>
      <w:r w:rsidR="00650F57" w:rsidRPr="00790654">
        <w:t xml:space="preserve">To </w:t>
      </w:r>
      <w:r w:rsidR="00D87D34" w:rsidRPr="00790654">
        <w:t>describe the</w:t>
      </w:r>
      <w:r w:rsidR="00650F57" w:rsidRPr="00790654">
        <w:t xml:space="preserve"> </w:t>
      </w:r>
      <w:r w:rsidR="006C7F9C" w:rsidRPr="00790654">
        <w:t>anthropometr</w:t>
      </w:r>
      <w:r w:rsidR="00D87D34" w:rsidRPr="00790654">
        <w:t>y</w:t>
      </w:r>
      <w:r w:rsidR="006C7F9C" w:rsidRPr="00790654">
        <w:t>, socio-economic</w:t>
      </w:r>
      <w:r w:rsidR="00006FEA" w:rsidRPr="00790654">
        <w:t xml:space="preserve"> circumstances</w:t>
      </w:r>
      <w:r w:rsidR="006C7F9C" w:rsidRPr="00790654">
        <w:t>, diet</w:t>
      </w:r>
      <w:r w:rsidR="00006FEA" w:rsidRPr="00790654">
        <w:t xml:space="preserve"> </w:t>
      </w:r>
      <w:r w:rsidR="00630A37" w:rsidRPr="00790654">
        <w:t xml:space="preserve">and </w:t>
      </w:r>
      <w:r w:rsidR="00302072" w:rsidRPr="00790654">
        <w:t>screen time usage</w:t>
      </w:r>
      <w:r w:rsidR="00006FEA" w:rsidRPr="00790654">
        <w:t xml:space="preserve"> </w:t>
      </w:r>
      <w:r w:rsidR="00D87D34" w:rsidRPr="00790654">
        <w:t xml:space="preserve">of adolescents </w:t>
      </w:r>
      <w:r w:rsidR="00E5227B" w:rsidRPr="00790654">
        <w:t xml:space="preserve">in </w:t>
      </w:r>
      <w:r w:rsidR="007410AD" w:rsidRPr="00790654">
        <w:t>India and Africa</w:t>
      </w:r>
      <w:r w:rsidR="00650F57" w:rsidRPr="00790654">
        <w:t xml:space="preserve">, as </w:t>
      </w:r>
      <w:r w:rsidR="00006FEA" w:rsidRPr="00790654">
        <w:t xml:space="preserve">context </w:t>
      </w:r>
      <w:r w:rsidR="00650F57" w:rsidRPr="00790654">
        <w:t xml:space="preserve">to </w:t>
      </w:r>
      <w:r w:rsidR="00DB01A7" w:rsidRPr="00790654">
        <w:t xml:space="preserve">a </w:t>
      </w:r>
      <w:r w:rsidR="00006FEA" w:rsidRPr="00790654">
        <w:t xml:space="preserve">qualitative </w:t>
      </w:r>
      <w:r w:rsidR="00DB01A7" w:rsidRPr="00790654">
        <w:t>study</w:t>
      </w:r>
      <w:r w:rsidR="00002629" w:rsidRPr="00790654">
        <w:t xml:space="preserve"> of barriers to healthy eating and activity</w:t>
      </w:r>
      <w:r w:rsidR="00006FEA" w:rsidRPr="00790654">
        <w:t>.</w:t>
      </w:r>
      <w:r w:rsidR="006C7F9C" w:rsidRPr="00790654">
        <w:t xml:space="preserve"> </w:t>
      </w:r>
    </w:p>
    <w:p w14:paraId="6A36A905" w14:textId="519CF97B" w:rsidR="00006FEA" w:rsidRPr="00790654" w:rsidRDefault="004E683B" w:rsidP="00091301">
      <w:pPr>
        <w:spacing w:line="360" w:lineRule="auto"/>
      </w:pPr>
      <w:r w:rsidRPr="00790654">
        <w:rPr>
          <w:i/>
        </w:rPr>
        <w:t>Design</w:t>
      </w:r>
      <w:r w:rsidR="002D2791" w:rsidRPr="00790654">
        <w:t xml:space="preserve">: </w:t>
      </w:r>
      <w:r w:rsidR="007410AD" w:rsidRPr="00790654">
        <w:t>C</w:t>
      </w:r>
      <w:r w:rsidR="00746094" w:rsidRPr="00790654">
        <w:t>ross-sectional survey</w:t>
      </w:r>
      <w:r w:rsidR="007410AD" w:rsidRPr="00790654">
        <w:t>, including measured h</w:t>
      </w:r>
      <w:r w:rsidR="00006FEA" w:rsidRPr="00790654">
        <w:t xml:space="preserve">eight and weight </w:t>
      </w:r>
      <w:r w:rsidR="007410AD" w:rsidRPr="00790654">
        <w:t xml:space="preserve">and derived rates of </w:t>
      </w:r>
      <w:r w:rsidR="00006FEA" w:rsidRPr="00790654">
        <w:t>stunting, low body mass index</w:t>
      </w:r>
      <w:r w:rsidR="007F24BB" w:rsidRPr="00790654">
        <w:t xml:space="preserve"> (BMI)</w:t>
      </w:r>
      <w:r w:rsidR="00006FEA" w:rsidRPr="00790654">
        <w:t xml:space="preserve">, overweight and obesity. </w:t>
      </w:r>
      <w:r w:rsidR="00650F57" w:rsidRPr="00790654">
        <w:t>P</w:t>
      </w:r>
      <w:r w:rsidR="00006FEA" w:rsidRPr="00790654">
        <w:t>arent</w:t>
      </w:r>
      <w:r w:rsidR="00D72F99" w:rsidRPr="00790654">
        <w:t>al</w:t>
      </w:r>
      <w:r w:rsidR="00006FEA" w:rsidRPr="00790654">
        <w:t xml:space="preserve"> </w:t>
      </w:r>
      <w:r w:rsidR="00630A37" w:rsidRPr="00790654">
        <w:t>schooling</w:t>
      </w:r>
      <w:r w:rsidR="007F24BB" w:rsidRPr="00790654">
        <w:t xml:space="preserve"> and</w:t>
      </w:r>
      <w:r w:rsidR="00006FEA" w:rsidRPr="00790654">
        <w:t xml:space="preserve"> employment status</w:t>
      </w:r>
      <w:r w:rsidR="007F24BB" w:rsidRPr="00790654">
        <w:t>,</w:t>
      </w:r>
      <w:r w:rsidR="00F47854" w:rsidRPr="00790654">
        <w:t xml:space="preserve"> </w:t>
      </w:r>
      <w:r w:rsidR="00006FEA" w:rsidRPr="00790654">
        <w:t xml:space="preserve">household assets </w:t>
      </w:r>
      <w:r w:rsidR="00D41688" w:rsidRPr="00790654">
        <w:t xml:space="preserve">and </w:t>
      </w:r>
      <w:r w:rsidR="003312E9" w:rsidRPr="00790654">
        <w:t>amenities</w:t>
      </w:r>
      <w:r w:rsidR="007F24BB" w:rsidRPr="00790654">
        <w:t>,</w:t>
      </w:r>
      <w:r w:rsidR="00F47854" w:rsidRPr="00790654">
        <w:t xml:space="preserve"> </w:t>
      </w:r>
      <w:r w:rsidR="00006FEA" w:rsidRPr="00790654">
        <w:t>and adolescents’ diet</w:t>
      </w:r>
      <w:r w:rsidR="00302072" w:rsidRPr="00790654">
        <w:t>ary</w:t>
      </w:r>
      <w:r w:rsidR="00006FEA" w:rsidRPr="00790654">
        <w:t xml:space="preserve"> diversity, intake of snack foods, </w:t>
      </w:r>
      <w:r w:rsidR="003312E9" w:rsidRPr="00790654">
        <w:t xml:space="preserve">mobile/smart phone </w:t>
      </w:r>
      <w:r w:rsidR="00006FEA" w:rsidRPr="00790654">
        <w:t xml:space="preserve">ownership and </w:t>
      </w:r>
      <w:r w:rsidR="00630A37" w:rsidRPr="00790654">
        <w:t>TV/computer</w:t>
      </w:r>
      <w:r w:rsidR="00006FEA" w:rsidRPr="00790654">
        <w:t xml:space="preserve"> time</w:t>
      </w:r>
      <w:r w:rsidR="007F24BB" w:rsidRPr="00790654">
        <w:t xml:space="preserve"> were </w:t>
      </w:r>
      <w:r w:rsidR="00650F57" w:rsidRPr="00790654">
        <w:t>obtained</w:t>
      </w:r>
      <w:r w:rsidR="007F24BB" w:rsidRPr="00790654">
        <w:t xml:space="preserve"> by questionnaire</w:t>
      </w:r>
      <w:r w:rsidR="00006FEA" w:rsidRPr="00790654">
        <w:t xml:space="preserve">. </w:t>
      </w:r>
    </w:p>
    <w:p w14:paraId="4DFF17E8" w14:textId="77777777" w:rsidR="00006FEA" w:rsidRPr="00790654" w:rsidRDefault="004E683B" w:rsidP="00091301">
      <w:pPr>
        <w:spacing w:line="360" w:lineRule="auto"/>
      </w:pPr>
      <w:r w:rsidRPr="00790654">
        <w:rPr>
          <w:i/>
        </w:rPr>
        <w:t>Setting</w:t>
      </w:r>
      <w:r w:rsidR="00006FEA" w:rsidRPr="00790654">
        <w:rPr>
          <w:i/>
        </w:rPr>
        <w:t>s</w:t>
      </w:r>
      <w:r w:rsidR="002D2791" w:rsidRPr="00790654">
        <w:rPr>
          <w:i/>
        </w:rPr>
        <w:t xml:space="preserve">: </w:t>
      </w:r>
      <w:r w:rsidR="007F24BB" w:rsidRPr="00790654">
        <w:t xml:space="preserve">Four settings </w:t>
      </w:r>
      <w:r w:rsidR="00993BEA" w:rsidRPr="00790654">
        <w:t xml:space="preserve">each </w:t>
      </w:r>
      <w:r w:rsidR="007F24BB" w:rsidRPr="00790654">
        <w:t>in</w:t>
      </w:r>
      <w:r w:rsidR="00D85971" w:rsidRPr="00790654">
        <w:t xml:space="preserve"> Africa (rural </w:t>
      </w:r>
      <w:r w:rsidR="00253353" w:rsidRPr="00790654">
        <w:t>villages</w:t>
      </w:r>
      <w:r w:rsidR="00D85971" w:rsidRPr="00790654">
        <w:t>, West Kiang, The Gambia; low-income urban communit</w:t>
      </w:r>
      <w:r w:rsidR="00253353" w:rsidRPr="00790654">
        <w:t>ies</w:t>
      </w:r>
      <w:r w:rsidR="00D85971" w:rsidRPr="00790654">
        <w:t>, Abidjan, Cote D’Ivoire; low/middle-class urban communit</w:t>
      </w:r>
      <w:r w:rsidR="00253353" w:rsidRPr="00790654">
        <w:t>ies</w:t>
      </w:r>
      <w:r w:rsidR="00D85971" w:rsidRPr="00790654">
        <w:t xml:space="preserve">, Jimma, Ethiopia; low-income township, Johannesburg, South Africa) and India (rural </w:t>
      </w:r>
      <w:r w:rsidR="00253353" w:rsidRPr="00790654">
        <w:t>villages</w:t>
      </w:r>
      <w:r w:rsidR="00D85971" w:rsidRPr="00790654">
        <w:t xml:space="preserve">, Dervan; </w:t>
      </w:r>
      <w:r w:rsidR="002D2791" w:rsidRPr="00790654">
        <w:t>semi-</w:t>
      </w:r>
      <w:r w:rsidR="00D85971" w:rsidRPr="00790654">
        <w:t xml:space="preserve">rural </w:t>
      </w:r>
      <w:r w:rsidR="00253353" w:rsidRPr="00790654">
        <w:t>villages</w:t>
      </w:r>
      <w:r w:rsidR="00D85971" w:rsidRPr="00790654">
        <w:t xml:space="preserve">, Pune; </w:t>
      </w:r>
      <w:r w:rsidR="00AE7C58" w:rsidRPr="00790654">
        <w:t>city</w:t>
      </w:r>
      <w:r w:rsidR="00D85971" w:rsidRPr="00790654">
        <w:t xml:space="preserve"> slums</w:t>
      </w:r>
      <w:r w:rsidR="002D2791" w:rsidRPr="00790654">
        <w:t>,</w:t>
      </w:r>
      <w:r w:rsidR="00D85971" w:rsidRPr="00790654">
        <w:t xml:space="preserve"> Mumbai; </w:t>
      </w:r>
      <w:r w:rsidR="003312E9" w:rsidRPr="00790654">
        <w:t>low</w:t>
      </w:r>
      <w:r w:rsidR="003E096A" w:rsidRPr="00790654">
        <w:t>-middle</w:t>
      </w:r>
      <w:r w:rsidR="003312E9" w:rsidRPr="00790654">
        <w:t>/</w:t>
      </w:r>
      <w:r w:rsidR="00D85971" w:rsidRPr="00790654">
        <w:t xml:space="preserve">middle-class </w:t>
      </w:r>
      <w:r w:rsidR="00253353" w:rsidRPr="00790654">
        <w:t xml:space="preserve">urban </w:t>
      </w:r>
      <w:r w:rsidR="00D85971" w:rsidRPr="00790654">
        <w:t>communities</w:t>
      </w:r>
      <w:r w:rsidR="002D2791" w:rsidRPr="00790654">
        <w:t>,</w:t>
      </w:r>
      <w:r w:rsidR="00D85971" w:rsidRPr="00790654">
        <w:t xml:space="preserve"> Mysore).</w:t>
      </w:r>
    </w:p>
    <w:p w14:paraId="4E44F91F" w14:textId="32256209" w:rsidR="00D85971" w:rsidRPr="00790654" w:rsidRDefault="00A67E29" w:rsidP="00091301">
      <w:pPr>
        <w:spacing w:line="360" w:lineRule="auto"/>
      </w:pPr>
      <w:r w:rsidRPr="00790654">
        <w:rPr>
          <w:i/>
        </w:rPr>
        <w:t>Participants</w:t>
      </w:r>
      <w:r w:rsidR="002D2791" w:rsidRPr="00790654">
        <w:rPr>
          <w:i/>
        </w:rPr>
        <w:t xml:space="preserve">: </w:t>
      </w:r>
      <w:r w:rsidR="001A4EFF" w:rsidRPr="00790654">
        <w:t>C</w:t>
      </w:r>
      <w:r w:rsidR="002D2791" w:rsidRPr="00790654">
        <w:t>o</w:t>
      </w:r>
      <w:r w:rsidR="00D85971" w:rsidRPr="00790654">
        <w:t xml:space="preserve">nvenience samples </w:t>
      </w:r>
      <w:r w:rsidR="00630A37" w:rsidRPr="00790654">
        <w:t>(N=41</w:t>
      </w:r>
      <w:r w:rsidR="00682FF6" w:rsidRPr="00790654">
        <w:t>-</w:t>
      </w:r>
      <w:r w:rsidR="00630A37" w:rsidRPr="00790654">
        <w:t>112</w:t>
      </w:r>
      <w:r w:rsidR="007410AD" w:rsidRPr="00790654">
        <w:t xml:space="preserve"> per site</w:t>
      </w:r>
      <w:r w:rsidR="00630A37" w:rsidRPr="00790654">
        <w:t>)</w:t>
      </w:r>
      <w:r w:rsidR="00AE7C58" w:rsidRPr="00790654">
        <w:t xml:space="preserve"> </w:t>
      </w:r>
      <w:r w:rsidR="00993BEA" w:rsidRPr="00790654">
        <w:t xml:space="preserve">of </w:t>
      </w:r>
      <w:r w:rsidR="00AE7C58" w:rsidRPr="00790654">
        <w:t>boys and girls</w:t>
      </w:r>
      <w:r w:rsidR="00993BEA" w:rsidRPr="00790654">
        <w:t xml:space="preserve"> </w:t>
      </w:r>
      <w:r w:rsidR="00DB01A7" w:rsidRPr="00790654">
        <w:t xml:space="preserve">aged </w:t>
      </w:r>
      <w:r w:rsidR="00AE7C58" w:rsidRPr="00790654">
        <w:t>10-12y and 15-17y</w:t>
      </w:r>
      <w:r w:rsidR="00C41C40" w:rsidRPr="00790654">
        <w:t xml:space="preserve"> recruited for a qualitative study</w:t>
      </w:r>
      <w:r w:rsidR="00D85971" w:rsidRPr="00790654">
        <w:t>.</w:t>
      </w:r>
    </w:p>
    <w:p w14:paraId="4715EBEF" w14:textId="64212CC3" w:rsidR="004E683B" w:rsidRPr="00790654" w:rsidRDefault="004E683B" w:rsidP="00091301">
      <w:pPr>
        <w:spacing w:line="360" w:lineRule="auto"/>
      </w:pPr>
      <w:r w:rsidRPr="00790654">
        <w:rPr>
          <w:i/>
        </w:rPr>
        <w:t>Results</w:t>
      </w:r>
      <w:r w:rsidR="002D2791" w:rsidRPr="00790654">
        <w:rPr>
          <w:i/>
        </w:rPr>
        <w:t xml:space="preserve">: </w:t>
      </w:r>
      <w:r w:rsidR="000C1F22" w:rsidRPr="00790654">
        <w:t>Both undernutrition (stunting and</w:t>
      </w:r>
      <w:r w:rsidR="00630A37" w:rsidRPr="00790654">
        <w:t>/or</w:t>
      </w:r>
      <w:r w:rsidR="000C1F22" w:rsidRPr="00790654">
        <w:t xml:space="preserve"> low BMI) and overweight/obesity were present in all</w:t>
      </w:r>
      <w:r w:rsidR="00D87D34" w:rsidRPr="00790654">
        <w:t xml:space="preserve"> settings</w:t>
      </w:r>
      <w:r w:rsidR="008E2336" w:rsidRPr="00790654">
        <w:t xml:space="preserve">. </w:t>
      </w:r>
      <w:r w:rsidR="00AE7C58" w:rsidRPr="00790654">
        <w:t xml:space="preserve">Rural settings had the most </w:t>
      </w:r>
      <w:r w:rsidR="008E2336" w:rsidRPr="00790654">
        <w:t>undernutrition, l</w:t>
      </w:r>
      <w:r w:rsidR="00AE7C58" w:rsidRPr="00790654">
        <w:t>east</w:t>
      </w:r>
      <w:r w:rsidR="008E2336" w:rsidRPr="00790654">
        <w:t xml:space="preserve"> overweight/obesity </w:t>
      </w:r>
      <w:r w:rsidR="00650F57" w:rsidRPr="00790654">
        <w:t>and greatest diet diversity</w:t>
      </w:r>
      <w:r w:rsidR="00C231E4" w:rsidRPr="00790654">
        <w:t xml:space="preserve">. </w:t>
      </w:r>
      <w:r w:rsidR="00AE7C58" w:rsidRPr="00790654">
        <w:t xml:space="preserve">Urban </w:t>
      </w:r>
      <w:r w:rsidR="005B7E10" w:rsidRPr="00790654">
        <w:t>Johannesburg</w:t>
      </w:r>
      <w:r w:rsidR="008E2336" w:rsidRPr="00790654">
        <w:t xml:space="preserve"> </w:t>
      </w:r>
      <w:r w:rsidR="00AE7C58" w:rsidRPr="00790654">
        <w:t>(27%) and Abidjan (16%), and semi-rural Pune (16%), had the most overweight/obesity</w:t>
      </w:r>
      <w:r w:rsidR="00F47854" w:rsidRPr="00790654">
        <w:t xml:space="preserve">. In all settings, adolescents reported </w:t>
      </w:r>
      <w:r w:rsidR="00865DBD" w:rsidRPr="00790654">
        <w:t xml:space="preserve">low </w:t>
      </w:r>
      <w:r w:rsidR="00D41688" w:rsidRPr="00790654">
        <w:t>intake</w:t>
      </w:r>
      <w:r w:rsidR="00650F57" w:rsidRPr="00790654">
        <w:t>s</w:t>
      </w:r>
      <w:r w:rsidR="00D41688" w:rsidRPr="00790654">
        <w:t xml:space="preserve"> of micronutrient-rich fruit</w:t>
      </w:r>
      <w:r w:rsidR="00F47854" w:rsidRPr="00790654">
        <w:t>s</w:t>
      </w:r>
      <w:r w:rsidR="00D41688" w:rsidRPr="00790654">
        <w:t xml:space="preserve"> and vegetables, </w:t>
      </w:r>
      <w:r w:rsidR="00C34912" w:rsidRPr="00790654">
        <w:t>and</w:t>
      </w:r>
      <w:r w:rsidR="00D41688" w:rsidRPr="00790654">
        <w:t xml:space="preserve"> substantial</w:t>
      </w:r>
      <w:r w:rsidR="00F47854" w:rsidRPr="00790654">
        <w:t xml:space="preserve"> intakes of </w:t>
      </w:r>
      <w:r w:rsidR="00865DBD" w:rsidRPr="00790654">
        <w:t xml:space="preserve">salted </w:t>
      </w:r>
      <w:r w:rsidR="00F47854" w:rsidRPr="00790654">
        <w:t>snacks, cakes</w:t>
      </w:r>
      <w:r w:rsidR="00D41688" w:rsidRPr="00790654">
        <w:t>/</w:t>
      </w:r>
      <w:r w:rsidR="00F47854" w:rsidRPr="00790654">
        <w:t>biscuits, sweets and fizzy drinks.</w:t>
      </w:r>
      <w:r w:rsidR="00D41688" w:rsidRPr="00790654">
        <w:t xml:space="preserve"> Smart</w:t>
      </w:r>
      <w:r w:rsidR="00721C6B" w:rsidRPr="00790654">
        <w:t xml:space="preserve"> </w:t>
      </w:r>
      <w:r w:rsidR="00D41688" w:rsidRPr="00790654">
        <w:t xml:space="preserve">phone ownership </w:t>
      </w:r>
      <w:r w:rsidR="00721C6B" w:rsidRPr="00790654">
        <w:t xml:space="preserve">ranged from 5% </w:t>
      </w:r>
      <w:r w:rsidR="00C34912" w:rsidRPr="00790654">
        <w:t>(</w:t>
      </w:r>
      <w:r w:rsidR="00721C6B" w:rsidRPr="00790654">
        <w:t>West Kiang</w:t>
      </w:r>
      <w:r w:rsidR="00C34912" w:rsidRPr="00790654">
        <w:t>)</w:t>
      </w:r>
      <w:r w:rsidR="00721C6B" w:rsidRPr="00790654">
        <w:t xml:space="preserve"> to 69% </w:t>
      </w:r>
      <w:r w:rsidR="00C34912" w:rsidRPr="00790654">
        <w:t>(</w:t>
      </w:r>
      <w:r w:rsidR="00721C6B" w:rsidRPr="00790654">
        <w:t>Johannesburg</w:t>
      </w:r>
      <w:r w:rsidR="00C34912" w:rsidRPr="00790654">
        <w:t>)</w:t>
      </w:r>
      <w:r w:rsidR="00721C6B" w:rsidRPr="00790654">
        <w:t>, higher among</w:t>
      </w:r>
      <w:r w:rsidR="00D41688" w:rsidRPr="00790654">
        <w:t xml:space="preserve"> older adolescents</w:t>
      </w:r>
      <w:r w:rsidR="00721C6B" w:rsidRPr="00790654">
        <w:t>.</w:t>
      </w:r>
      <w:r w:rsidR="0075047E" w:rsidRPr="00790654">
        <w:t xml:space="preserve"> </w:t>
      </w:r>
    </w:p>
    <w:p w14:paraId="2F090937" w14:textId="63970381" w:rsidR="004E683B" w:rsidRPr="00790654" w:rsidRDefault="004E683B" w:rsidP="00091301">
      <w:pPr>
        <w:spacing w:line="360" w:lineRule="auto"/>
      </w:pPr>
      <w:r w:rsidRPr="00790654">
        <w:rPr>
          <w:i/>
        </w:rPr>
        <w:t>Conclusions</w:t>
      </w:r>
      <w:r w:rsidR="0075047E" w:rsidRPr="00790654">
        <w:rPr>
          <w:i/>
        </w:rPr>
        <w:t xml:space="preserve">: </w:t>
      </w:r>
      <w:r w:rsidR="009D25C8" w:rsidRPr="00790654">
        <w:t>T</w:t>
      </w:r>
      <w:r w:rsidR="00DC78FF" w:rsidRPr="00790654">
        <w:t>he ‘</w:t>
      </w:r>
      <w:r w:rsidR="0075047E" w:rsidRPr="00790654">
        <w:t>double burden of malnutrition</w:t>
      </w:r>
      <w:r w:rsidR="00DC78FF" w:rsidRPr="00790654">
        <w:t xml:space="preserve">’ </w:t>
      </w:r>
      <w:r w:rsidR="009D25C8" w:rsidRPr="00790654">
        <w:t xml:space="preserve">is present in all TALENT settings. Greater </w:t>
      </w:r>
      <w:r w:rsidR="00C34912" w:rsidRPr="00790654">
        <w:t xml:space="preserve">urban </w:t>
      </w:r>
      <w:r w:rsidR="009D25C8" w:rsidRPr="00790654">
        <w:t xml:space="preserve">transition is associated with </w:t>
      </w:r>
      <w:r w:rsidR="007F24BB" w:rsidRPr="00790654">
        <w:t xml:space="preserve">less </w:t>
      </w:r>
      <w:r w:rsidR="00C34912" w:rsidRPr="00790654">
        <w:t>undernutrition</w:t>
      </w:r>
      <w:r w:rsidR="007F24BB" w:rsidRPr="00790654">
        <w:t>, more overweight</w:t>
      </w:r>
      <w:r w:rsidR="00C34912" w:rsidRPr="00790654">
        <w:t>/</w:t>
      </w:r>
      <w:r w:rsidR="007F24BB" w:rsidRPr="00790654">
        <w:t xml:space="preserve">obesity, </w:t>
      </w:r>
      <w:r w:rsidR="009F2B9D" w:rsidRPr="00790654">
        <w:t>l</w:t>
      </w:r>
      <w:r w:rsidR="00C34912" w:rsidRPr="00790654">
        <w:t>ess</w:t>
      </w:r>
      <w:r w:rsidR="009F2B9D" w:rsidRPr="00790654">
        <w:t xml:space="preserve"> </w:t>
      </w:r>
      <w:r w:rsidR="00DC78FF" w:rsidRPr="00790654">
        <w:t xml:space="preserve">diet diversity and </w:t>
      </w:r>
      <w:r w:rsidR="007F24BB" w:rsidRPr="00790654">
        <w:t xml:space="preserve">higher </w:t>
      </w:r>
      <w:r w:rsidR="00DC78FF" w:rsidRPr="00790654">
        <w:t>intake</w:t>
      </w:r>
      <w:r w:rsidR="007F24BB" w:rsidRPr="00790654">
        <w:t>s</w:t>
      </w:r>
      <w:r w:rsidR="00DC78FF" w:rsidRPr="00790654">
        <w:t xml:space="preserve"> of unhealthy</w:t>
      </w:r>
      <w:r w:rsidR="00A41F90" w:rsidRPr="00790654">
        <w:t>/</w:t>
      </w:r>
      <w:r w:rsidR="00DC78FF" w:rsidRPr="00790654">
        <w:t>snack foods</w:t>
      </w:r>
      <w:r w:rsidR="0075047E" w:rsidRPr="00790654">
        <w:t>.</w:t>
      </w:r>
      <w:r w:rsidR="007F24BB" w:rsidRPr="00790654">
        <w:t xml:space="preserve"> </w:t>
      </w:r>
    </w:p>
    <w:p w14:paraId="08B35136" w14:textId="4875A83C" w:rsidR="006470C7" w:rsidRPr="009F6693" w:rsidRDefault="006470C7" w:rsidP="00091301">
      <w:pPr>
        <w:spacing w:line="360" w:lineRule="auto"/>
      </w:pPr>
      <w:r w:rsidRPr="00790654">
        <w:rPr>
          <w:b/>
        </w:rPr>
        <w:t xml:space="preserve">Keywords: </w:t>
      </w:r>
      <w:r w:rsidRPr="00790654">
        <w:t xml:space="preserve">Adolescents, </w:t>
      </w:r>
      <w:r w:rsidR="007410AD" w:rsidRPr="00790654">
        <w:t xml:space="preserve">low- and middle-income countries, </w:t>
      </w:r>
      <w:r w:rsidRPr="00790654">
        <w:t>nutritional status, diet, household assets, mobile phones</w:t>
      </w:r>
      <w:r w:rsidR="00B43CA5" w:rsidRPr="00790654">
        <w:t xml:space="preserve">. </w:t>
      </w:r>
      <w:r w:rsidRPr="00790654">
        <w:rPr>
          <w:b/>
        </w:rPr>
        <w:br w:type="page"/>
      </w:r>
    </w:p>
    <w:p w14:paraId="623F2A01" w14:textId="77777777" w:rsidR="00883E3E" w:rsidRPr="00790654" w:rsidRDefault="00883E3E" w:rsidP="00091301">
      <w:pPr>
        <w:spacing w:line="360" w:lineRule="auto"/>
        <w:rPr>
          <w:b/>
        </w:rPr>
      </w:pPr>
      <w:r w:rsidRPr="00790654">
        <w:rPr>
          <w:b/>
        </w:rPr>
        <w:lastRenderedPageBreak/>
        <w:t>INTRODUCTION</w:t>
      </w:r>
    </w:p>
    <w:p w14:paraId="0798F344" w14:textId="0ACBB5D7" w:rsidR="00537BE0" w:rsidRPr="00790654" w:rsidRDefault="005C1AF2" w:rsidP="00091301">
      <w:pPr>
        <w:widowControl w:val="0"/>
        <w:spacing w:line="360" w:lineRule="auto"/>
      </w:pPr>
      <w:r w:rsidRPr="00790654">
        <w:t xml:space="preserve">The </w:t>
      </w:r>
      <w:r w:rsidR="00912C61" w:rsidRPr="00790654">
        <w:t xml:space="preserve">long-term </w:t>
      </w:r>
      <w:r w:rsidR="00611149" w:rsidRPr="00790654">
        <w:t>objectives</w:t>
      </w:r>
      <w:r w:rsidRPr="00790654">
        <w:t xml:space="preserve"> of the TALENT </w:t>
      </w:r>
      <w:r w:rsidR="00F71104" w:rsidRPr="00790654">
        <w:t xml:space="preserve">(Transforming Adolescent Lives Through Nutrition) </w:t>
      </w:r>
      <w:r w:rsidR="006470C7" w:rsidRPr="00790654">
        <w:t xml:space="preserve">consortium </w:t>
      </w:r>
      <w:r w:rsidR="00611149" w:rsidRPr="00790654">
        <w:t>are</w:t>
      </w:r>
      <w:r w:rsidRPr="00790654">
        <w:t xml:space="preserve"> to</w:t>
      </w:r>
      <w:r w:rsidR="00912C61" w:rsidRPr="00790654">
        <w:t>:</w:t>
      </w:r>
      <w:r w:rsidRPr="00790654">
        <w:t xml:space="preserve"> </w:t>
      </w:r>
      <w:r w:rsidR="00E71EE4" w:rsidRPr="00790654">
        <w:t xml:space="preserve">1) </w:t>
      </w:r>
      <w:r w:rsidR="00611149" w:rsidRPr="00790654">
        <w:t xml:space="preserve">understand </w:t>
      </w:r>
      <w:r w:rsidRPr="00790654">
        <w:t xml:space="preserve">what adolescents in low- and middle-income countries </w:t>
      </w:r>
      <w:r w:rsidR="00912C61" w:rsidRPr="00790654">
        <w:t xml:space="preserve">(LMICs) </w:t>
      </w:r>
      <w:r w:rsidRPr="00790654">
        <w:t>are eating</w:t>
      </w:r>
      <w:r w:rsidR="00611149" w:rsidRPr="00790654">
        <w:t>,</w:t>
      </w:r>
      <w:r w:rsidRPr="00790654">
        <w:t xml:space="preserve"> what physical activity they are doing</w:t>
      </w:r>
      <w:r w:rsidR="00611149" w:rsidRPr="00790654">
        <w:t xml:space="preserve"> and what drives their diet and activity choices</w:t>
      </w:r>
      <w:r w:rsidRPr="00790654">
        <w:t xml:space="preserve">; </w:t>
      </w:r>
      <w:r w:rsidR="00E71EE4" w:rsidRPr="00790654">
        <w:t xml:space="preserve">2) </w:t>
      </w:r>
      <w:r w:rsidR="00611149" w:rsidRPr="00790654">
        <w:t xml:space="preserve">ascertain </w:t>
      </w:r>
      <w:r w:rsidRPr="00790654">
        <w:t xml:space="preserve">the relationship of </w:t>
      </w:r>
      <w:r w:rsidR="00E71EE4" w:rsidRPr="00790654">
        <w:t xml:space="preserve">diet and activity to </w:t>
      </w:r>
      <w:r w:rsidR="00912C61" w:rsidRPr="00790654">
        <w:t xml:space="preserve">their </w:t>
      </w:r>
      <w:r w:rsidR="00E71EE4" w:rsidRPr="00790654">
        <w:t xml:space="preserve">nutritional status, </w:t>
      </w:r>
      <w:r w:rsidRPr="00790654">
        <w:t xml:space="preserve">growth, development and health; and </w:t>
      </w:r>
      <w:r w:rsidR="00E71EE4" w:rsidRPr="00790654">
        <w:t xml:space="preserve">3) use this information to </w:t>
      </w:r>
      <w:r w:rsidRPr="00790654">
        <w:t xml:space="preserve">develop interventions </w:t>
      </w:r>
      <w:r w:rsidR="00E71EE4" w:rsidRPr="00790654">
        <w:t xml:space="preserve">to optimise adolescent diets and physical activity. The </w:t>
      </w:r>
      <w:r w:rsidR="00E51C1F" w:rsidRPr="00790654">
        <w:t xml:space="preserve">current study was the </w:t>
      </w:r>
      <w:r w:rsidR="00E71EE4" w:rsidRPr="00790654">
        <w:t xml:space="preserve">first stage in this </w:t>
      </w:r>
      <w:r w:rsidR="00912C61" w:rsidRPr="00790654">
        <w:t>process</w:t>
      </w:r>
      <w:r w:rsidR="00E51C1F" w:rsidRPr="00790654">
        <w:t>:</w:t>
      </w:r>
      <w:r w:rsidR="00E71EE4" w:rsidRPr="00790654">
        <w:t xml:space="preserve"> through the qualitative research described in </w:t>
      </w:r>
      <w:r w:rsidR="00E53BC7" w:rsidRPr="00790654">
        <w:t>the</w:t>
      </w:r>
      <w:r w:rsidR="00DD6F01" w:rsidRPr="00790654">
        <w:t xml:space="preserve"> papers in </w:t>
      </w:r>
      <w:r w:rsidR="00E71EE4" w:rsidRPr="00790654">
        <w:t xml:space="preserve">this issue, </w:t>
      </w:r>
      <w:r w:rsidR="00DD6F01" w:rsidRPr="00790654">
        <w:t xml:space="preserve">we aimed </w:t>
      </w:r>
      <w:r w:rsidR="00E71EE4" w:rsidRPr="00790654">
        <w:t xml:space="preserve">to </w:t>
      </w:r>
      <w:r w:rsidR="00850CB6" w:rsidRPr="00790654">
        <w:t>understand</w:t>
      </w:r>
      <w:r w:rsidR="00E71EE4" w:rsidRPr="00790654">
        <w:t xml:space="preserve"> adolescent diet and activity behaviour</w:t>
      </w:r>
      <w:r w:rsidR="000855E4" w:rsidRPr="00790654">
        <w:t>,</w:t>
      </w:r>
      <w:r w:rsidR="00E71EE4" w:rsidRPr="00790654">
        <w:t xml:space="preserve"> and </w:t>
      </w:r>
      <w:r w:rsidR="000855E4" w:rsidRPr="00790654">
        <w:t xml:space="preserve">the </w:t>
      </w:r>
      <w:r w:rsidR="00611149" w:rsidRPr="00790654">
        <w:t xml:space="preserve">key </w:t>
      </w:r>
      <w:r w:rsidR="000855E4" w:rsidRPr="00790654">
        <w:t>people and factors that influence that behaviour</w:t>
      </w:r>
      <w:r w:rsidR="00E71EE4" w:rsidRPr="00790654">
        <w:t>.</w:t>
      </w:r>
      <w:r w:rsidR="003775EC" w:rsidRPr="00790654">
        <w:t xml:space="preserve"> </w:t>
      </w:r>
    </w:p>
    <w:p w14:paraId="2C3B5AB5" w14:textId="345DD626" w:rsidR="005C1AF2" w:rsidRPr="00790654" w:rsidRDefault="00850CB6" w:rsidP="00091301">
      <w:pPr>
        <w:widowControl w:val="0"/>
        <w:spacing w:line="360" w:lineRule="auto"/>
      </w:pPr>
      <w:r w:rsidRPr="00790654">
        <w:t xml:space="preserve">We </w:t>
      </w:r>
      <w:r w:rsidR="00537BE0" w:rsidRPr="00790654">
        <w:t xml:space="preserve">carried out the study </w:t>
      </w:r>
      <w:r w:rsidRPr="00790654">
        <w:t xml:space="preserve">in eight </w:t>
      </w:r>
      <w:r w:rsidR="007A71B5" w:rsidRPr="00790654">
        <w:t xml:space="preserve">low- and middle-income country (LMIC) </w:t>
      </w:r>
      <w:r w:rsidRPr="00790654">
        <w:t xml:space="preserve">settings representing </w:t>
      </w:r>
      <w:r w:rsidR="007A71B5" w:rsidRPr="00790654">
        <w:t>varying</w:t>
      </w:r>
      <w:r w:rsidRPr="00790654">
        <w:t xml:space="preserve"> stages of ‘urban transition’, the </w:t>
      </w:r>
      <w:r w:rsidR="00537BE0" w:rsidRPr="00790654">
        <w:t xml:space="preserve">trend </w:t>
      </w:r>
      <w:r w:rsidRPr="00790654">
        <w:t xml:space="preserve">away from </w:t>
      </w:r>
      <w:r w:rsidR="00932383" w:rsidRPr="00790654">
        <w:t>‘</w:t>
      </w:r>
      <w:r w:rsidRPr="00790654">
        <w:t>li</w:t>
      </w:r>
      <w:r w:rsidR="00932383" w:rsidRPr="00790654">
        <w:t xml:space="preserve">ving off the land’ </w:t>
      </w:r>
      <w:r w:rsidR="00692932" w:rsidRPr="00790654">
        <w:t xml:space="preserve">towards </w:t>
      </w:r>
      <w:r w:rsidR="00932383" w:rsidRPr="00790654">
        <w:t xml:space="preserve">wage-earning </w:t>
      </w:r>
      <w:r w:rsidR="00537BE0" w:rsidRPr="00790654">
        <w:t>in</w:t>
      </w:r>
      <w:r w:rsidR="00932383" w:rsidRPr="00790654">
        <w:t xml:space="preserve"> industr</w:t>
      </w:r>
      <w:r w:rsidR="0049453E" w:rsidRPr="00790654">
        <w:t xml:space="preserve">ies </w:t>
      </w:r>
      <w:r w:rsidR="00932383" w:rsidRPr="00790654">
        <w:t xml:space="preserve">or </w:t>
      </w:r>
      <w:r w:rsidR="00537BE0" w:rsidRPr="00790654">
        <w:t>through</w:t>
      </w:r>
      <w:r w:rsidR="00932383" w:rsidRPr="00790654">
        <w:t xml:space="preserve"> provision of services</w:t>
      </w:r>
      <w:r w:rsidR="00692932" w:rsidRPr="00790654">
        <w:t xml:space="preserve">, from growing food to buying it, and from living in small remote </w:t>
      </w:r>
      <w:r w:rsidR="00253477" w:rsidRPr="00790654">
        <w:t>hamlets</w:t>
      </w:r>
      <w:r w:rsidR="00692932" w:rsidRPr="00790654">
        <w:t xml:space="preserve"> to </w:t>
      </w:r>
      <w:r w:rsidR="00253477" w:rsidRPr="00790654">
        <w:t xml:space="preserve">larger more crowded villages, </w:t>
      </w:r>
      <w:r w:rsidR="00692932" w:rsidRPr="00790654">
        <w:t>towns and cities</w:t>
      </w:r>
      <w:r w:rsidRPr="00790654">
        <w:t xml:space="preserve">. </w:t>
      </w:r>
      <w:r w:rsidR="00537BE0" w:rsidRPr="00790654">
        <w:t>Urbanisation</w:t>
      </w:r>
      <w:r w:rsidR="00932383" w:rsidRPr="00790654">
        <w:t xml:space="preserve"> is associated with </w:t>
      </w:r>
      <w:r w:rsidR="00537BE0" w:rsidRPr="00790654">
        <w:t>many nutritional</w:t>
      </w:r>
      <w:r w:rsidR="00C041BC" w:rsidRPr="00790654">
        <w:t xml:space="preserve">/dietary </w:t>
      </w:r>
      <w:r w:rsidR="00537BE0" w:rsidRPr="00790654">
        <w:t>changes</w:t>
      </w:r>
      <w:r w:rsidR="00C041BC" w:rsidRPr="00790654">
        <w:t xml:space="preserve">, including greater year-round food availability but </w:t>
      </w:r>
      <w:r w:rsidR="0049453E" w:rsidRPr="00790654">
        <w:t xml:space="preserve">less home-cooked and </w:t>
      </w:r>
      <w:r w:rsidR="00C041BC" w:rsidRPr="00790654">
        <w:t xml:space="preserve">more processed food, </w:t>
      </w:r>
      <w:r w:rsidR="00253477" w:rsidRPr="00790654">
        <w:t xml:space="preserve">and </w:t>
      </w:r>
      <w:r w:rsidR="00C041BC" w:rsidRPr="00790654">
        <w:t>generally lower levels of physical activity</w:t>
      </w:r>
      <w:r w:rsidR="00253477" w:rsidRPr="00790654">
        <w:t xml:space="preserve"> due to activity-sparing technologies</w:t>
      </w:r>
      <w:r w:rsidR="00E5227B" w:rsidRPr="00790654">
        <w:rPr>
          <w:vertAlign w:val="superscript"/>
        </w:rPr>
        <w:t>1</w:t>
      </w:r>
      <w:r w:rsidR="00C041BC" w:rsidRPr="00790654">
        <w:t>.</w:t>
      </w:r>
      <w:r w:rsidRPr="00790654">
        <w:t xml:space="preserve"> </w:t>
      </w:r>
      <w:r w:rsidR="007A71B5" w:rsidRPr="00790654">
        <w:t xml:space="preserve">These changes have led to the emergence of ‘a double burden of malnutrition’ in LMICs, </w:t>
      </w:r>
      <w:r w:rsidR="006041B7" w:rsidRPr="00790654">
        <w:t>with persisten</w:t>
      </w:r>
      <w:r w:rsidR="00E47C8E" w:rsidRPr="00790654">
        <w:t>t</w:t>
      </w:r>
      <w:r w:rsidR="006041B7" w:rsidRPr="00790654">
        <w:t xml:space="preserve"> </w:t>
      </w:r>
      <w:r w:rsidR="00692932" w:rsidRPr="00790654">
        <w:t xml:space="preserve">poverty, </w:t>
      </w:r>
      <w:r w:rsidR="006041B7" w:rsidRPr="00790654">
        <w:t xml:space="preserve">food insecurity and dietary deficiencies alongside emerging </w:t>
      </w:r>
      <w:r w:rsidR="00253477" w:rsidRPr="00790654">
        <w:t>overweight</w:t>
      </w:r>
      <w:r w:rsidR="006041B7" w:rsidRPr="00790654">
        <w:t>, occurring within the same community</w:t>
      </w:r>
      <w:r w:rsidR="00692932" w:rsidRPr="00790654">
        <w:t xml:space="preserve">, household or </w:t>
      </w:r>
      <w:r w:rsidR="006041B7" w:rsidRPr="00790654">
        <w:t>individual</w:t>
      </w:r>
      <w:r w:rsidR="00E5227B" w:rsidRPr="00790654">
        <w:rPr>
          <w:vertAlign w:val="superscript"/>
        </w:rPr>
        <w:t>1,2</w:t>
      </w:r>
      <w:r w:rsidR="006041B7" w:rsidRPr="00790654">
        <w:t xml:space="preserve">. </w:t>
      </w:r>
      <w:r w:rsidR="003775EC" w:rsidRPr="00790654">
        <w:t xml:space="preserve">There are knowledge gaps about </w:t>
      </w:r>
      <w:r w:rsidR="00C041BC" w:rsidRPr="00790654">
        <w:t xml:space="preserve">how these transitions impact upon </w:t>
      </w:r>
      <w:r w:rsidR="001764B5" w:rsidRPr="00790654">
        <w:t xml:space="preserve">diet and physical activity </w:t>
      </w:r>
      <w:r w:rsidR="00C041BC" w:rsidRPr="00790654">
        <w:t>of</w:t>
      </w:r>
      <w:r w:rsidR="00102F16" w:rsidRPr="00790654">
        <w:t xml:space="preserve"> adolescents in LMICs</w:t>
      </w:r>
      <w:r w:rsidR="007F7770" w:rsidRPr="00790654">
        <w:t>,</w:t>
      </w:r>
      <w:r w:rsidR="006041B7" w:rsidRPr="00790654">
        <w:t xml:space="preserve"> </w:t>
      </w:r>
      <w:r w:rsidR="00102F16" w:rsidRPr="00790654">
        <w:t xml:space="preserve">which have in turn limited the development of nutrition policies targeted to this </w:t>
      </w:r>
      <w:r w:rsidR="001764B5" w:rsidRPr="00790654">
        <w:t xml:space="preserve">critical </w:t>
      </w:r>
      <w:r w:rsidR="00102F16" w:rsidRPr="00790654">
        <w:t>age group</w:t>
      </w:r>
      <w:r w:rsidR="00E5227B" w:rsidRPr="00790654">
        <w:rPr>
          <w:vertAlign w:val="superscript"/>
        </w:rPr>
        <w:t>3,4</w:t>
      </w:r>
      <w:r w:rsidR="00102F16" w:rsidRPr="00790654">
        <w:t>.</w:t>
      </w:r>
    </w:p>
    <w:p w14:paraId="7C138C45" w14:textId="5747FB50" w:rsidR="00E71EE4" w:rsidRPr="00790654" w:rsidRDefault="00E71EE4" w:rsidP="00091301">
      <w:pPr>
        <w:widowControl w:val="0"/>
        <w:spacing w:line="360" w:lineRule="auto"/>
      </w:pPr>
      <w:r w:rsidRPr="00790654">
        <w:t xml:space="preserve">Along with the qualitative data, </w:t>
      </w:r>
      <w:r w:rsidR="005A21B9" w:rsidRPr="00790654">
        <w:t>we</w:t>
      </w:r>
      <w:r w:rsidRPr="00790654">
        <w:t xml:space="preserve"> collect</w:t>
      </w:r>
      <w:r w:rsidR="005A21B9" w:rsidRPr="00790654">
        <w:t>ed</w:t>
      </w:r>
      <w:r w:rsidRPr="00790654">
        <w:t xml:space="preserve"> </w:t>
      </w:r>
      <w:r w:rsidR="006664A9" w:rsidRPr="00790654">
        <w:t xml:space="preserve">harmonised </w:t>
      </w:r>
      <w:r w:rsidRPr="00790654">
        <w:t xml:space="preserve">quantitative data that would enable us to describe some of the anthropometric, dietary and socio-economic characteristics of the </w:t>
      </w:r>
      <w:r w:rsidR="00611149" w:rsidRPr="00790654">
        <w:t>adolescents</w:t>
      </w:r>
      <w:r w:rsidRPr="00790654">
        <w:t xml:space="preserve">. This was not intended to be representative of adolescents in general </w:t>
      </w:r>
      <w:r w:rsidR="00611149" w:rsidRPr="00790654">
        <w:t xml:space="preserve">in </w:t>
      </w:r>
      <w:r w:rsidRPr="00790654">
        <w:t xml:space="preserve">each country, but rather to illustrate the context of the </w:t>
      </w:r>
      <w:r w:rsidR="00F71104" w:rsidRPr="00790654">
        <w:t>adolescents</w:t>
      </w:r>
      <w:r w:rsidRPr="00790654">
        <w:t xml:space="preserve"> whose qualitative data we collected, </w:t>
      </w:r>
      <w:r w:rsidR="006664A9" w:rsidRPr="00790654">
        <w:t>describe nutritional vulnerabilities to inform the development of interventions</w:t>
      </w:r>
      <w:r w:rsidR="00535FB1" w:rsidRPr="00790654">
        <w:t xml:space="preserve"> and, by bringing together information from all the settings, illustrate the contrasts between them</w:t>
      </w:r>
      <w:r w:rsidRPr="00790654">
        <w:t xml:space="preserve">. </w:t>
      </w:r>
      <w:r w:rsidR="00FD3892" w:rsidRPr="00790654">
        <w:t xml:space="preserve"> </w:t>
      </w:r>
    </w:p>
    <w:p w14:paraId="14F92DF4" w14:textId="48E9350E" w:rsidR="000855E4" w:rsidRPr="00790654" w:rsidRDefault="000855E4" w:rsidP="00091301">
      <w:pPr>
        <w:spacing w:line="360" w:lineRule="auto"/>
      </w:pPr>
      <w:r w:rsidRPr="00790654">
        <w:t>As described in the qualitative papers, each of the eight TALENT centres had a target to recruit ~80 adolescents, half in the 10-12 year age group</w:t>
      </w:r>
      <w:r w:rsidR="00597D9B" w:rsidRPr="00790654">
        <w:t xml:space="preserve"> (‘young adolescents’)</w:t>
      </w:r>
      <w:r w:rsidRPr="00790654">
        <w:t>, and half aged 15-17 years</w:t>
      </w:r>
      <w:r w:rsidR="00597D9B" w:rsidRPr="00790654">
        <w:t xml:space="preserve"> (‘older adolescents’)</w:t>
      </w:r>
      <w:r w:rsidRPr="00790654">
        <w:t>, and with equal numbers of boys and girls</w:t>
      </w:r>
      <w:r w:rsidR="000C50EF" w:rsidRPr="00790654">
        <w:t>, from whom a sub-set was chosen to participate in focus group discussions</w:t>
      </w:r>
      <w:r w:rsidRPr="00790654">
        <w:t xml:space="preserve">. </w:t>
      </w:r>
      <w:r w:rsidR="003E6B11" w:rsidRPr="00790654">
        <w:t>The young adolescent group represents a pre-</w:t>
      </w:r>
      <w:r w:rsidR="000C2F82" w:rsidRPr="00790654">
        <w:t>or early-</w:t>
      </w:r>
      <w:r w:rsidR="003E6B11" w:rsidRPr="00790654">
        <w:t xml:space="preserve">pubertal stage of development, when adolescents are still largely under parental control for most </w:t>
      </w:r>
      <w:r w:rsidR="003E6B11" w:rsidRPr="00790654">
        <w:lastRenderedPageBreak/>
        <w:t xml:space="preserve">aspects of their lives, while the older group represents late or completed pubertal development and greater independence from parents in relation to diet and activity. </w:t>
      </w:r>
      <w:r w:rsidR="000C50EF" w:rsidRPr="00790654">
        <w:t>Q</w:t>
      </w:r>
      <w:r w:rsidRPr="00790654">
        <w:t>uantitative data w</w:t>
      </w:r>
      <w:r w:rsidR="000C50EF" w:rsidRPr="00790654">
        <w:t>ere</w:t>
      </w:r>
      <w:r w:rsidRPr="00790654">
        <w:t xml:space="preserve"> co</w:t>
      </w:r>
      <w:r w:rsidR="000C50EF" w:rsidRPr="00790654">
        <w:t>llected from this larger group, mainly to illustrate the context of their lives.</w:t>
      </w:r>
      <w:r w:rsidRPr="00790654">
        <w:t xml:space="preserve"> </w:t>
      </w:r>
      <w:r w:rsidR="00170C56" w:rsidRPr="00790654">
        <w:t>T</w:t>
      </w:r>
      <w:r w:rsidR="000C50EF" w:rsidRPr="00790654">
        <w:t xml:space="preserve">he main objective </w:t>
      </w:r>
      <w:r w:rsidR="00170C56" w:rsidRPr="00790654">
        <w:t xml:space="preserve">of the study </w:t>
      </w:r>
      <w:r w:rsidR="000C50EF" w:rsidRPr="00790654">
        <w:t xml:space="preserve">was to collect qualitative data, and </w:t>
      </w:r>
      <w:r w:rsidR="00D64DF7" w:rsidRPr="00790654">
        <w:t>because</w:t>
      </w:r>
      <w:r w:rsidR="000C50EF" w:rsidRPr="00790654">
        <w:t xml:space="preserve"> </w:t>
      </w:r>
      <w:r w:rsidRPr="00790654">
        <w:t xml:space="preserve">we were asking the adolescents to spend a considerable amount of time with us for the focus group discussions, the quantitative data collection was kept to a minimum. We therefore limited </w:t>
      </w:r>
      <w:r w:rsidR="000C50EF" w:rsidRPr="00790654">
        <w:t>this</w:t>
      </w:r>
      <w:r w:rsidRPr="00790654">
        <w:t xml:space="preserve"> to </w:t>
      </w:r>
      <w:r w:rsidR="000C50EF" w:rsidRPr="00790654">
        <w:t>measurement</w:t>
      </w:r>
      <w:r w:rsidR="008B09EA" w:rsidRPr="00790654">
        <w:t>s</w:t>
      </w:r>
      <w:r w:rsidR="000C50EF" w:rsidRPr="00790654">
        <w:t xml:space="preserve"> of </w:t>
      </w:r>
      <w:r w:rsidRPr="00790654">
        <w:t>weight and height, and a questionnaire that would take no more than 15-20 minutes to administer.</w:t>
      </w:r>
      <w:r w:rsidR="00FD3892" w:rsidRPr="00790654">
        <w:t xml:space="preserve"> </w:t>
      </w:r>
    </w:p>
    <w:p w14:paraId="366498EC" w14:textId="77777777" w:rsidR="00BE0CE6" w:rsidRPr="00790654" w:rsidRDefault="00615D63" w:rsidP="00091301">
      <w:pPr>
        <w:spacing w:line="360" w:lineRule="auto"/>
        <w:rPr>
          <w:b/>
        </w:rPr>
      </w:pPr>
      <w:r w:rsidRPr="00790654">
        <w:rPr>
          <w:b/>
        </w:rPr>
        <w:t>M</w:t>
      </w:r>
      <w:r w:rsidR="0035153F" w:rsidRPr="00790654">
        <w:rPr>
          <w:b/>
        </w:rPr>
        <w:t>ETHODS</w:t>
      </w:r>
    </w:p>
    <w:p w14:paraId="4C4B60D0" w14:textId="77777777" w:rsidR="00597D9B" w:rsidRPr="00790654" w:rsidRDefault="00597D9B" w:rsidP="00091301">
      <w:pPr>
        <w:spacing w:line="360" w:lineRule="auto"/>
        <w:rPr>
          <w:b/>
        </w:rPr>
      </w:pPr>
      <w:r w:rsidRPr="00790654">
        <w:rPr>
          <w:b/>
        </w:rPr>
        <w:t>Study settings and participants</w:t>
      </w:r>
    </w:p>
    <w:p w14:paraId="02CDE58E" w14:textId="4F4F5E32" w:rsidR="00597D9B" w:rsidRPr="00790654" w:rsidRDefault="00597D9B" w:rsidP="00091301">
      <w:pPr>
        <w:spacing w:line="360" w:lineRule="auto"/>
      </w:pPr>
      <w:r w:rsidRPr="00790654">
        <w:t xml:space="preserve">The communities </w:t>
      </w:r>
      <w:r w:rsidR="00C46138" w:rsidRPr="00790654">
        <w:t xml:space="preserve">studied </w:t>
      </w:r>
      <w:r w:rsidRPr="00790654">
        <w:t xml:space="preserve">included remote rural villages, urban slums or deprived townships, and urban low-middle-class </w:t>
      </w:r>
      <w:r w:rsidR="00E47C8E" w:rsidRPr="00790654">
        <w:t>and</w:t>
      </w:r>
      <w:r w:rsidR="00125CB5" w:rsidRPr="00790654">
        <w:t xml:space="preserve"> middle-class </w:t>
      </w:r>
      <w:r w:rsidRPr="00790654">
        <w:t>residential areas</w:t>
      </w:r>
      <w:r w:rsidR="00C46138" w:rsidRPr="00790654">
        <w:t xml:space="preserve"> (Table 1)</w:t>
      </w:r>
      <w:r w:rsidRPr="00790654">
        <w:t>. Most study samples were ‘convenience’ samples, accessed through schools or community health workers; in The Gambia, purposive sampling from a Demographic Surveillance System (DSS) database was used</w:t>
      </w:r>
      <w:r w:rsidR="00530C5F" w:rsidRPr="00790654">
        <w:rPr>
          <w:vertAlign w:val="superscript"/>
        </w:rPr>
        <w:t>5</w:t>
      </w:r>
      <w:r w:rsidRPr="00790654">
        <w:t xml:space="preserve">. Samples ranged from N=41 in Jimma, Ethiopia to N=112 in Dervan India. </w:t>
      </w:r>
      <w:r w:rsidR="00566258" w:rsidRPr="00790654">
        <w:t xml:space="preserve">Data were collected face-to-face by trained and experienced research staff (nutritionists, nurses or social workers) using local language(s) in each setting or French (Abidjan) or English (Mysore) if preferred by participants. All teams </w:t>
      </w:r>
      <w:r w:rsidR="00BF7690" w:rsidRPr="00790654">
        <w:t xml:space="preserve">were experienced in </w:t>
      </w:r>
      <w:r w:rsidR="00566258" w:rsidRPr="00790654">
        <w:t xml:space="preserve">anthropometry </w:t>
      </w:r>
      <w:r w:rsidR="00BF7690" w:rsidRPr="00790654">
        <w:t xml:space="preserve">from </w:t>
      </w:r>
      <w:r w:rsidR="00566258" w:rsidRPr="00790654">
        <w:t>earlier research; they received additional training for the questionnaire in this study.</w:t>
      </w:r>
      <w:r w:rsidR="00BF7690" w:rsidRPr="00790654">
        <w:t xml:space="preserve"> The questionnaire was administered to the adolescent alone (Abidjan, Jimma, Johannesburg, Dervan, Pune, Mysore) or to the adolescent together with their caregiver (West Kiang and Mumbai) </w:t>
      </w:r>
      <w:r w:rsidR="00E47C8E" w:rsidRPr="00790654">
        <w:t xml:space="preserve">by a researcher, </w:t>
      </w:r>
      <w:r w:rsidR="00BF7690" w:rsidRPr="00790654">
        <w:t>except among older adolescents in Jimma, who self-completed it.</w:t>
      </w:r>
    </w:p>
    <w:p w14:paraId="2FEC31D5" w14:textId="77777777" w:rsidR="00A12E8C" w:rsidRPr="00790654" w:rsidRDefault="00A12E8C" w:rsidP="00091301">
      <w:pPr>
        <w:spacing w:line="360" w:lineRule="auto"/>
        <w:rPr>
          <w:b/>
        </w:rPr>
      </w:pPr>
      <w:r w:rsidRPr="00790654">
        <w:rPr>
          <w:b/>
        </w:rPr>
        <w:t>Questionnaire</w:t>
      </w:r>
    </w:p>
    <w:p w14:paraId="13408988" w14:textId="77777777" w:rsidR="00A12E8C" w:rsidRPr="00790654" w:rsidRDefault="00A12E8C" w:rsidP="00091301">
      <w:pPr>
        <w:spacing w:line="360" w:lineRule="auto"/>
      </w:pPr>
      <w:r w:rsidRPr="00790654">
        <w:t>A working group within TALENT, with representation from all eight centres, de</w:t>
      </w:r>
      <w:r w:rsidR="008B09EA" w:rsidRPr="00790654">
        <w:t xml:space="preserve">signed </w:t>
      </w:r>
      <w:r w:rsidRPr="00790654">
        <w:t>the questionnaire</w:t>
      </w:r>
      <w:r w:rsidR="00FD3892" w:rsidRPr="00790654">
        <w:t xml:space="preserve"> (Supplementary material, Appendix 1)</w:t>
      </w:r>
      <w:r w:rsidRPr="00790654">
        <w:t>. It included questions about family/household possessions, household amenities (drinking water source and toilet facilities), maternal and head-of-household education level and occupational status, the adolescent’s mobile phone ownership and screen time, and frequenc</w:t>
      </w:r>
      <w:r w:rsidR="00866E91" w:rsidRPr="00790654">
        <w:t>ies</w:t>
      </w:r>
      <w:r w:rsidRPr="00790654">
        <w:t xml:space="preserve"> of intake of food</w:t>
      </w:r>
      <w:r w:rsidR="00866E91" w:rsidRPr="00790654">
        <w:t xml:space="preserve"> groups</w:t>
      </w:r>
      <w:r w:rsidRPr="00790654">
        <w:t>.</w:t>
      </w:r>
    </w:p>
    <w:p w14:paraId="2DE8E606" w14:textId="0FB644AB" w:rsidR="00A12E8C" w:rsidRPr="00790654" w:rsidRDefault="00A12E8C" w:rsidP="00091301">
      <w:pPr>
        <w:spacing w:line="360" w:lineRule="auto"/>
      </w:pPr>
      <w:r w:rsidRPr="00790654">
        <w:rPr>
          <w:i/>
        </w:rPr>
        <w:t>Family socio-economic status, caregiver education and employment:</w:t>
      </w:r>
      <w:r w:rsidRPr="00790654">
        <w:t xml:space="preserve"> We chose household possessions/assets as </w:t>
      </w:r>
      <w:r w:rsidR="00A62988" w:rsidRPr="00790654">
        <w:t xml:space="preserve">a measure of </w:t>
      </w:r>
      <w:r w:rsidRPr="00790654">
        <w:t>socio-economic status. The list of possessions was based upon th</w:t>
      </w:r>
      <w:r w:rsidR="008B09EA" w:rsidRPr="00790654">
        <w:t>ose</w:t>
      </w:r>
      <w:r w:rsidRPr="00790654">
        <w:t xml:space="preserve"> in the Standard of Living Index questionnaire, </w:t>
      </w:r>
      <w:r w:rsidR="008B09EA" w:rsidRPr="00790654">
        <w:t>used</w:t>
      </w:r>
      <w:r w:rsidRPr="00790654">
        <w:t xml:space="preserve"> in </w:t>
      </w:r>
      <w:r w:rsidR="00CC688A" w:rsidRPr="00790654">
        <w:t xml:space="preserve">the National Family Health Survey (NFHS-4) in </w:t>
      </w:r>
      <w:r w:rsidRPr="00790654">
        <w:t>India</w:t>
      </w:r>
      <w:r w:rsidR="00530C5F" w:rsidRPr="00790654">
        <w:rPr>
          <w:vertAlign w:val="superscript"/>
        </w:rPr>
        <w:t>6</w:t>
      </w:r>
      <w:r w:rsidRPr="00790654">
        <w:t xml:space="preserve">. We </w:t>
      </w:r>
      <w:r w:rsidR="00357CBC" w:rsidRPr="00790654">
        <w:t xml:space="preserve">removed </w:t>
      </w:r>
      <w:r w:rsidR="00CC688A" w:rsidRPr="00790654">
        <w:t>electricity, pressure cooker and sewing machine</w:t>
      </w:r>
      <w:r w:rsidR="00357CBC" w:rsidRPr="00790654">
        <w:t xml:space="preserve"> and added water heater; the</w:t>
      </w:r>
      <w:r w:rsidRPr="00790654">
        <w:t xml:space="preserve"> final list of 21 possessions was as follows: </w:t>
      </w:r>
      <w:r w:rsidR="00C32DCE" w:rsidRPr="00790654">
        <w:t>m</w:t>
      </w:r>
      <w:r w:rsidRPr="00790654">
        <w:t xml:space="preserve">attress, </w:t>
      </w:r>
      <w:r w:rsidR="00C32DCE" w:rsidRPr="00790654">
        <w:t>c</w:t>
      </w:r>
      <w:r w:rsidRPr="00790654">
        <w:t xml:space="preserve">hair, </w:t>
      </w:r>
      <w:r w:rsidR="00C32DCE" w:rsidRPr="00790654">
        <w:t>b</w:t>
      </w:r>
      <w:r w:rsidRPr="00790654">
        <w:t xml:space="preserve">ed, </w:t>
      </w:r>
      <w:r w:rsidR="00C32DCE" w:rsidRPr="00790654">
        <w:t>t</w:t>
      </w:r>
      <w:r w:rsidRPr="00790654">
        <w:t xml:space="preserve">able, </w:t>
      </w:r>
      <w:r w:rsidR="00C32DCE" w:rsidRPr="00790654">
        <w:t>c</w:t>
      </w:r>
      <w:r w:rsidRPr="00790654">
        <w:t xml:space="preserve">lock/watch, </w:t>
      </w:r>
      <w:r w:rsidR="00C32DCE" w:rsidRPr="00790654">
        <w:lastRenderedPageBreak/>
        <w:t>e</w:t>
      </w:r>
      <w:r w:rsidRPr="00790654">
        <w:t xml:space="preserve">lectric fan, </w:t>
      </w:r>
      <w:r w:rsidR="00C32DCE" w:rsidRPr="00790654">
        <w:t>b</w:t>
      </w:r>
      <w:r w:rsidRPr="00790654">
        <w:t xml:space="preserve">icycle, </w:t>
      </w:r>
      <w:r w:rsidR="00C32DCE" w:rsidRPr="00790654">
        <w:t>r</w:t>
      </w:r>
      <w:r w:rsidRPr="00790654">
        <w:t xml:space="preserve">adio/transistor/music player, </w:t>
      </w:r>
      <w:r w:rsidR="00C32DCE" w:rsidRPr="00790654">
        <w:t>t</w:t>
      </w:r>
      <w:r w:rsidRPr="00790654">
        <w:t>elevision</w:t>
      </w:r>
      <w:r w:rsidR="00C32DCE" w:rsidRPr="00790654">
        <w:t xml:space="preserve"> (TV)</w:t>
      </w:r>
      <w:r w:rsidRPr="00790654">
        <w:t xml:space="preserve">, </w:t>
      </w:r>
      <w:r w:rsidR="00C32DCE" w:rsidRPr="00790654">
        <w:t>m</w:t>
      </w:r>
      <w:r w:rsidRPr="00790654">
        <w:t xml:space="preserve">otorised 2-wheeler (moped/scooter/motorcycle), </w:t>
      </w:r>
      <w:r w:rsidR="00C32DCE" w:rsidRPr="00790654">
        <w:t>c</w:t>
      </w:r>
      <w:r w:rsidRPr="00790654">
        <w:t xml:space="preserve">ar, </w:t>
      </w:r>
      <w:r w:rsidR="00C32DCE" w:rsidRPr="00790654">
        <w:t>w</w:t>
      </w:r>
      <w:r w:rsidRPr="00790654">
        <w:t xml:space="preserve">ater pump, </w:t>
      </w:r>
      <w:r w:rsidR="00C32DCE" w:rsidRPr="00790654">
        <w:t>a</w:t>
      </w:r>
      <w:r w:rsidRPr="00790654">
        <w:t xml:space="preserve">nimal-drawn cart, </w:t>
      </w:r>
      <w:r w:rsidR="00C32DCE" w:rsidRPr="00790654">
        <w:t>t</w:t>
      </w:r>
      <w:r w:rsidRPr="00790654">
        <w:t xml:space="preserve">hresher, </w:t>
      </w:r>
      <w:r w:rsidR="00C32DCE" w:rsidRPr="00790654">
        <w:t>t</w:t>
      </w:r>
      <w:r w:rsidRPr="00790654">
        <w:t xml:space="preserve">ractor, </w:t>
      </w:r>
      <w:r w:rsidR="00C32DCE" w:rsidRPr="00790654">
        <w:t>r</w:t>
      </w:r>
      <w:r w:rsidRPr="00790654">
        <w:t xml:space="preserve">efrigerator, </w:t>
      </w:r>
      <w:r w:rsidR="00C32DCE" w:rsidRPr="00790654">
        <w:t>a</w:t>
      </w:r>
      <w:r w:rsidRPr="00790654">
        <w:t xml:space="preserve">ir conditioner, </w:t>
      </w:r>
      <w:r w:rsidR="00C32DCE" w:rsidRPr="00790654">
        <w:t>w</w:t>
      </w:r>
      <w:r w:rsidRPr="00790654">
        <w:t xml:space="preserve">ashing machine, </w:t>
      </w:r>
      <w:r w:rsidR="00C32DCE" w:rsidRPr="00790654">
        <w:t>c</w:t>
      </w:r>
      <w:r w:rsidRPr="00790654">
        <w:t xml:space="preserve">omputer/laptop, </w:t>
      </w:r>
      <w:r w:rsidR="00C32DCE" w:rsidRPr="00790654">
        <w:t>b</w:t>
      </w:r>
      <w:r w:rsidRPr="00790654">
        <w:t>roadba</w:t>
      </w:r>
      <w:r w:rsidR="00DB01A7" w:rsidRPr="00790654">
        <w:t>nd internet connection, w</w:t>
      </w:r>
      <w:r w:rsidRPr="00790654">
        <w:t>ater heater.</w:t>
      </w:r>
      <w:r w:rsidR="0035153F" w:rsidRPr="00790654">
        <w:t xml:space="preserve"> Additional </w:t>
      </w:r>
      <w:r w:rsidR="009D2E7B" w:rsidRPr="00790654">
        <w:t>socio-economic questions included caregiver education</w:t>
      </w:r>
      <w:r w:rsidR="005B710B" w:rsidRPr="00790654">
        <w:t xml:space="preserve"> level</w:t>
      </w:r>
      <w:r w:rsidR="009D2E7B" w:rsidRPr="00790654">
        <w:t xml:space="preserve"> (mother’s and head of household’s years of </w:t>
      </w:r>
      <w:r w:rsidR="008B09EA" w:rsidRPr="00790654">
        <w:t>schooling</w:t>
      </w:r>
      <w:r w:rsidR="009D2E7B" w:rsidRPr="00790654">
        <w:t xml:space="preserve">) and employment status (in paid employment, self-employed or not employed), </w:t>
      </w:r>
      <w:r w:rsidR="005B710B" w:rsidRPr="00790654">
        <w:t xml:space="preserve">and the household’s </w:t>
      </w:r>
      <w:r w:rsidR="0035153F" w:rsidRPr="00790654">
        <w:t>drinking water</w:t>
      </w:r>
      <w:r w:rsidR="009D2E7B" w:rsidRPr="00790654">
        <w:t xml:space="preserve"> </w:t>
      </w:r>
      <w:r w:rsidR="005B710B" w:rsidRPr="00790654">
        <w:t xml:space="preserve">source </w:t>
      </w:r>
      <w:r w:rsidR="0035153F" w:rsidRPr="00790654">
        <w:t>(categories</w:t>
      </w:r>
      <w:r w:rsidR="009D2E7B" w:rsidRPr="00790654">
        <w:t xml:space="preserve"> from ‘piped direct to the house’ to ‘river’</w:t>
      </w:r>
      <w:r w:rsidR="0035153F" w:rsidRPr="00790654">
        <w:t xml:space="preserve">) and toilet facilities </w:t>
      </w:r>
      <w:r w:rsidR="009D2E7B" w:rsidRPr="00790654">
        <w:t>from ‘private flush toilet’ to ‘open fields’</w:t>
      </w:r>
      <w:r w:rsidR="0035153F" w:rsidRPr="00790654">
        <w:t>).</w:t>
      </w:r>
    </w:p>
    <w:p w14:paraId="5ACD2FD2" w14:textId="5B110395" w:rsidR="0035153F" w:rsidRPr="00790654" w:rsidRDefault="0035153F" w:rsidP="00091301">
      <w:pPr>
        <w:widowControl w:val="0"/>
        <w:spacing w:line="360" w:lineRule="auto"/>
      </w:pPr>
      <w:r w:rsidRPr="00790654">
        <w:rPr>
          <w:i/>
        </w:rPr>
        <w:t>Adolescent diet:</w:t>
      </w:r>
      <w:r w:rsidRPr="00790654">
        <w:t xml:space="preserve"> Diet questions were based on the Minimum Dietary Diversity Score for Women produced by </w:t>
      </w:r>
      <w:r w:rsidR="005A21B9" w:rsidRPr="00790654">
        <w:t xml:space="preserve">the </w:t>
      </w:r>
      <w:r w:rsidRPr="00790654">
        <w:t>F</w:t>
      </w:r>
      <w:r w:rsidR="005A21B9" w:rsidRPr="00790654">
        <w:t xml:space="preserve">ood and Agriculture Organization </w:t>
      </w:r>
      <w:r w:rsidRPr="00790654">
        <w:t xml:space="preserve">and </w:t>
      </w:r>
      <w:r w:rsidR="005A21B9" w:rsidRPr="00790654">
        <w:t>USAID’s Food and Nutrition Technical Assistance III Project (FANTA)</w:t>
      </w:r>
      <w:r w:rsidRPr="00790654">
        <w:t xml:space="preserve">, which is designed primarily to derive a diet diversity score as an indicator of dietary </w:t>
      </w:r>
      <w:r w:rsidR="008B09EA" w:rsidRPr="00790654">
        <w:t xml:space="preserve">macro- and </w:t>
      </w:r>
      <w:r w:rsidRPr="00790654">
        <w:t>micronutrient adequacy</w:t>
      </w:r>
      <w:r w:rsidR="00530C5F" w:rsidRPr="00790654">
        <w:rPr>
          <w:vertAlign w:val="superscript"/>
        </w:rPr>
        <w:t>7</w:t>
      </w:r>
      <w:r w:rsidRPr="00790654">
        <w:t xml:space="preserve">.  </w:t>
      </w:r>
      <w:r w:rsidR="009B7D76" w:rsidRPr="00790654">
        <w:t xml:space="preserve">It has questions about </w:t>
      </w:r>
      <w:r w:rsidRPr="00790654">
        <w:t>1</w:t>
      </w:r>
      <w:r w:rsidR="00357CBC" w:rsidRPr="00790654">
        <w:t>4</w:t>
      </w:r>
      <w:r w:rsidRPr="00790654">
        <w:t xml:space="preserve"> mutually exclusive food groups:</w:t>
      </w:r>
      <w:r w:rsidR="00357CBC" w:rsidRPr="00790654">
        <w:t xml:space="preserve"> 1)</w:t>
      </w:r>
      <w:r w:rsidRPr="00790654">
        <w:t xml:space="preserve"> grains; 2</w:t>
      </w:r>
      <w:r w:rsidR="00357CBC" w:rsidRPr="00790654">
        <w:t>)</w:t>
      </w:r>
      <w:r w:rsidRPr="00790654">
        <w:t xml:space="preserve"> vegetables or roots that are orange-coloured inside; 3</w:t>
      </w:r>
      <w:r w:rsidR="00357CBC" w:rsidRPr="00790654">
        <w:t>)</w:t>
      </w:r>
      <w:r w:rsidRPr="00790654">
        <w:t xml:space="preserve"> white roots and tubers or plantains; 4</w:t>
      </w:r>
      <w:r w:rsidR="00357CBC" w:rsidRPr="00790654">
        <w:t>)</w:t>
      </w:r>
      <w:r w:rsidRPr="00790654">
        <w:t xml:space="preserve"> dark green leafy vegetables; 5</w:t>
      </w:r>
      <w:r w:rsidR="00357CBC" w:rsidRPr="00790654">
        <w:t>)</w:t>
      </w:r>
      <w:r w:rsidRPr="00790654">
        <w:t xml:space="preserve"> fruits that are dark yellow or orange inside; 6</w:t>
      </w:r>
      <w:r w:rsidR="00357CBC" w:rsidRPr="00790654">
        <w:t>)</w:t>
      </w:r>
      <w:r w:rsidRPr="00790654">
        <w:t xml:space="preserve"> any other vegetables; 7</w:t>
      </w:r>
      <w:r w:rsidR="00357CBC" w:rsidRPr="00790654">
        <w:t>)</w:t>
      </w:r>
      <w:r w:rsidRPr="00790654">
        <w:t xml:space="preserve"> any other fruits; 8</w:t>
      </w:r>
      <w:r w:rsidR="00357CBC" w:rsidRPr="00790654">
        <w:t>)</w:t>
      </w:r>
      <w:r w:rsidRPr="00790654">
        <w:t xml:space="preserve"> meat made from animal organs;  9</w:t>
      </w:r>
      <w:r w:rsidR="00357CBC" w:rsidRPr="00790654">
        <w:t>)</w:t>
      </w:r>
      <w:r w:rsidRPr="00790654">
        <w:t xml:space="preserve"> meat </w:t>
      </w:r>
      <w:r w:rsidR="00991181" w:rsidRPr="00790654">
        <w:t>and</w:t>
      </w:r>
      <w:r w:rsidRPr="00790654">
        <w:t xml:space="preserve"> poultry; </w:t>
      </w:r>
      <w:r w:rsidR="00357CBC" w:rsidRPr="00790654">
        <w:t xml:space="preserve">10) </w:t>
      </w:r>
      <w:r w:rsidRPr="00790654">
        <w:t>eggs; 1</w:t>
      </w:r>
      <w:r w:rsidR="00357CBC" w:rsidRPr="00790654">
        <w:t>1)</w:t>
      </w:r>
      <w:r w:rsidRPr="00790654">
        <w:t xml:space="preserve"> fish or seafood (fresh or dried); 1</w:t>
      </w:r>
      <w:r w:rsidR="00357CBC" w:rsidRPr="00790654">
        <w:t>2)</w:t>
      </w:r>
      <w:r w:rsidRPr="00790654">
        <w:t xml:space="preserve"> beans, peas or lentils; </w:t>
      </w:r>
      <w:r w:rsidR="00357CBC" w:rsidRPr="00790654">
        <w:t xml:space="preserve">13) </w:t>
      </w:r>
      <w:r w:rsidRPr="00790654">
        <w:t>nuts or seeds; 1</w:t>
      </w:r>
      <w:r w:rsidR="00357CBC" w:rsidRPr="00790654">
        <w:t>4)</w:t>
      </w:r>
      <w:r w:rsidRPr="00790654">
        <w:t xml:space="preserve"> milk or milk products. </w:t>
      </w:r>
      <w:r w:rsidR="009B7D76" w:rsidRPr="00790654">
        <w:t xml:space="preserve">As recommended in the use of this </w:t>
      </w:r>
      <w:r w:rsidR="00357CBC" w:rsidRPr="00790654">
        <w:t>questionnaire</w:t>
      </w:r>
      <w:r w:rsidR="00530C5F" w:rsidRPr="00790654">
        <w:rPr>
          <w:vertAlign w:val="superscript"/>
        </w:rPr>
        <w:t>7</w:t>
      </w:r>
      <w:r w:rsidR="00357CBC" w:rsidRPr="00790654">
        <w:t xml:space="preserve">, </w:t>
      </w:r>
      <w:r w:rsidRPr="00790654">
        <w:t xml:space="preserve">teams were asked to select </w:t>
      </w:r>
      <w:r w:rsidR="00357CBC" w:rsidRPr="00790654">
        <w:t xml:space="preserve">foods eaten in their population as </w:t>
      </w:r>
      <w:r w:rsidRPr="00790654">
        <w:t xml:space="preserve">examples </w:t>
      </w:r>
      <w:r w:rsidR="00357CBC" w:rsidRPr="00790654">
        <w:t xml:space="preserve">for </w:t>
      </w:r>
      <w:r w:rsidRPr="00790654">
        <w:t xml:space="preserve">each </w:t>
      </w:r>
      <w:r w:rsidR="009B7D76" w:rsidRPr="00790654">
        <w:t xml:space="preserve">food </w:t>
      </w:r>
      <w:r w:rsidRPr="00790654">
        <w:t>group</w:t>
      </w:r>
      <w:r w:rsidR="00C344AC" w:rsidRPr="00790654">
        <w:t>, and to record whether adolescents had eaten foods in each group within the past 24 hours</w:t>
      </w:r>
      <w:r w:rsidRPr="00790654">
        <w:t xml:space="preserve">. </w:t>
      </w:r>
      <w:r w:rsidR="00C344AC" w:rsidRPr="00790654">
        <w:t>We additionally asked</w:t>
      </w:r>
      <w:r w:rsidR="00357CBC" w:rsidRPr="00790654">
        <w:t xml:space="preserve"> </w:t>
      </w:r>
      <w:r w:rsidRPr="00790654">
        <w:t xml:space="preserve">how often </w:t>
      </w:r>
      <w:r w:rsidR="00C344AC" w:rsidRPr="00790654">
        <w:t xml:space="preserve">they ate </w:t>
      </w:r>
      <w:r w:rsidRPr="00790654">
        <w:t xml:space="preserve">foods </w:t>
      </w:r>
      <w:r w:rsidR="00357CBC" w:rsidRPr="00790654">
        <w:t xml:space="preserve">in </w:t>
      </w:r>
      <w:r w:rsidR="00C344AC" w:rsidRPr="00790654">
        <w:t>each</w:t>
      </w:r>
      <w:r w:rsidRPr="00790654">
        <w:t xml:space="preserve"> group (‘every day’, 5-6 times per week, 2-4 times per week, once a week </w:t>
      </w:r>
      <w:r w:rsidR="00357CBC" w:rsidRPr="00790654">
        <w:t>or</w:t>
      </w:r>
      <w:r w:rsidRPr="00790654">
        <w:t xml:space="preserve"> less than once a week</w:t>
      </w:r>
      <w:r w:rsidR="00357CBC" w:rsidRPr="00790654">
        <w:t xml:space="preserve"> including never</w:t>
      </w:r>
      <w:r w:rsidRPr="00790654">
        <w:t>)</w:t>
      </w:r>
      <w:r w:rsidR="00DB01A7" w:rsidRPr="00790654">
        <w:t>?</w:t>
      </w:r>
      <w:r w:rsidRPr="00790654">
        <w:t xml:space="preserve"> </w:t>
      </w:r>
    </w:p>
    <w:p w14:paraId="0CB07B9C" w14:textId="062B70A8" w:rsidR="0035153F" w:rsidRPr="00790654" w:rsidRDefault="0035153F" w:rsidP="00091301">
      <w:pPr>
        <w:spacing w:line="360" w:lineRule="auto"/>
      </w:pPr>
      <w:r w:rsidRPr="00790654">
        <w:t xml:space="preserve">We </w:t>
      </w:r>
      <w:r w:rsidR="0025178E" w:rsidRPr="00790654">
        <w:t>also</w:t>
      </w:r>
      <w:r w:rsidRPr="00790654">
        <w:t xml:space="preserve"> asked about snack</w:t>
      </w:r>
      <w:r w:rsidR="00357CBC" w:rsidRPr="00790654">
        <w:t xml:space="preserve"> and </w:t>
      </w:r>
      <w:r w:rsidRPr="00790654">
        <w:t>’fast’ foods</w:t>
      </w:r>
      <w:r w:rsidR="00866E91" w:rsidRPr="00790654">
        <w:t>, using the same two questions</w:t>
      </w:r>
      <w:r w:rsidRPr="00790654">
        <w:t xml:space="preserve">: 1) fried snacks; </w:t>
      </w:r>
      <w:r w:rsidR="0055602C" w:rsidRPr="00790654">
        <w:t>2</w:t>
      </w:r>
      <w:r w:rsidRPr="00790654">
        <w:t xml:space="preserve">) savoury snacks in packets; </w:t>
      </w:r>
      <w:r w:rsidR="0055602C" w:rsidRPr="00790654">
        <w:t>3</w:t>
      </w:r>
      <w:r w:rsidRPr="00790654">
        <w:t>) bakery items (</w:t>
      </w:r>
      <w:r w:rsidR="009D2E7B" w:rsidRPr="00790654">
        <w:t xml:space="preserve">eg. </w:t>
      </w:r>
      <w:r w:rsidRPr="00790654">
        <w:t xml:space="preserve">cakes/biscuits/puffs); </w:t>
      </w:r>
      <w:r w:rsidR="0055602C" w:rsidRPr="00790654">
        <w:t>4</w:t>
      </w:r>
      <w:r w:rsidRPr="00790654">
        <w:t xml:space="preserve">) sweets; </w:t>
      </w:r>
      <w:r w:rsidR="0055602C" w:rsidRPr="00790654">
        <w:t>5</w:t>
      </w:r>
      <w:r w:rsidRPr="00790654">
        <w:t xml:space="preserve">) fast food/street food/restaurant food; and </w:t>
      </w:r>
      <w:r w:rsidR="0055602C" w:rsidRPr="00790654">
        <w:t>6</w:t>
      </w:r>
      <w:r w:rsidRPr="00790654">
        <w:t xml:space="preserve">) fizzy drinks (sugar-sweetened beverages). </w:t>
      </w:r>
      <w:r w:rsidR="002D47ED" w:rsidRPr="00790654">
        <w:t>‘Restaurant food’ was the term thought to be most understandable to participants to capture eating meals cooked outside the home</w:t>
      </w:r>
      <w:r w:rsidR="00C344AC" w:rsidRPr="00790654">
        <w:t xml:space="preserve"> in a café/restaurant setting</w:t>
      </w:r>
      <w:r w:rsidR="002D47ED" w:rsidRPr="00790654">
        <w:t xml:space="preserve">, </w:t>
      </w:r>
      <w:r w:rsidR="0025178E" w:rsidRPr="00790654">
        <w:t>sometimes</w:t>
      </w:r>
      <w:r w:rsidR="00C344AC" w:rsidRPr="00790654">
        <w:t xml:space="preserve"> as takeaway food to eat at home, </w:t>
      </w:r>
      <w:r w:rsidR="002D47ED" w:rsidRPr="00790654">
        <w:t xml:space="preserve">which tend to be high in fat or sugar. </w:t>
      </w:r>
      <w:r w:rsidRPr="00790654">
        <w:t xml:space="preserve">These </w:t>
      </w:r>
      <w:r w:rsidR="002D47ED" w:rsidRPr="00790654">
        <w:t xml:space="preserve">snack and fast foods </w:t>
      </w:r>
      <w:r w:rsidRPr="00790654">
        <w:t xml:space="preserve">did not contribute to the diet diversity score. </w:t>
      </w:r>
    </w:p>
    <w:p w14:paraId="6982CDDC" w14:textId="323BCF53" w:rsidR="00CF78B3" w:rsidRPr="00790654" w:rsidRDefault="009D2E7B" w:rsidP="0025178E">
      <w:pPr>
        <w:widowControl w:val="0"/>
        <w:spacing w:line="360" w:lineRule="auto"/>
      </w:pPr>
      <w:r w:rsidRPr="00790654">
        <w:rPr>
          <w:i/>
        </w:rPr>
        <w:t>Adolescent’s m</w:t>
      </w:r>
      <w:r w:rsidR="0035153F" w:rsidRPr="00790654">
        <w:rPr>
          <w:i/>
        </w:rPr>
        <w:t>obile phone</w:t>
      </w:r>
      <w:r w:rsidRPr="00790654">
        <w:rPr>
          <w:i/>
        </w:rPr>
        <w:t xml:space="preserve"> ownership</w:t>
      </w:r>
      <w:r w:rsidR="0035153F" w:rsidRPr="00790654">
        <w:rPr>
          <w:i/>
        </w:rPr>
        <w:t xml:space="preserve"> and screen time:</w:t>
      </w:r>
      <w:r w:rsidR="0035153F" w:rsidRPr="00790654">
        <w:t xml:space="preserve"> Thinking of future research to develop interventions (including the </w:t>
      </w:r>
      <w:r w:rsidRPr="00790654">
        <w:t xml:space="preserve">potential </w:t>
      </w:r>
      <w:r w:rsidR="0035153F" w:rsidRPr="00790654">
        <w:t xml:space="preserve">use of digital platforms) to improve adolescent diets and activity in these settings, we wanted to know how many adolescents had access to phones and computers. </w:t>
      </w:r>
      <w:r w:rsidR="00414F21" w:rsidRPr="00790654">
        <w:t xml:space="preserve">We asked if adolescents owned their own mobile phone, and specifically whether it was a smart phone, how much time the adolescent spent on a computer each day (for schoolwork or </w:t>
      </w:r>
      <w:r w:rsidR="00DB01A7" w:rsidRPr="00790654">
        <w:t>entertainment</w:t>
      </w:r>
      <w:r w:rsidR="00414F21" w:rsidRPr="00790654">
        <w:t>) and for how many hours they watched television.</w:t>
      </w:r>
    </w:p>
    <w:p w14:paraId="2841FA14" w14:textId="77BBADF2" w:rsidR="00A12E8C" w:rsidRPr="00790654" w:rsidRDefault="00CF78B3" w:rsidP="0025178E">
      <w:pPr>
        <w:widowControl w:val="0"/>
        <w:spacing w:line="360" w:lineRule="auto"/>
      </w:pPr>
      <w:r w:rsidRPr="00790654">
        <w:rPr>
          <w:i/>
        </w:rPr>
        <w:lastRenderedPageBreak/>
        <w:t>Anthropometry:</w:t>
      </w:r>
      <w:r w:rsidRPr="00790654">
        <w:t xml:space="preserve"> The adolescents</w:t>
      </w:r>
      <w:r w:rsidR="00991181" w:rsidRPr="00790654">
        <w:t>’</w:t>
      </w:r>
      <w:r w:rsidRPr="00790654">
        <w:t xml:space="preserve"> weight (to the nearest 100 </w:t>
      </w:r>
      <w:proofErr w:type="spellStart"/>
      <w:r w:rsidRPr="00790654">
        <w:t>g</w:t>
      </w:r>
      <w:r w:rsidR="008B09EA" w:rsidRPr="00790654">
        <w:t>rammes</w:t>
      </w:r>
      <w:proofErr w:type="spellEnd"/>
      <w:r w:rsidRPr="00790654">
        <w:t xml:space="preserve">) and height (to the nearest </w:t>
      </w:r>
      <w:proofErr w:type="spellStart"/>
      <w:r w:rsidRPr="00790654">
        <w:t>m</w:t>
      </w:r>
      <w:r w:rsidR="008B09EA" w:rsidRPr="00790654">
        <w:t>illi</w:t>
      </w:r>
      <w:r w:rsidRPr="00790654">
        <w:t>m</w:t>
      </w:r>
      <w:r w:rsidR="008B09EA" w:rsidRPr="00790654">
        <w:t>eter</w:t>
      </w:r>
      <w:proofErr w:type="spellEnd"/>
      <w:r w:rsidRPr="00790654">
        <w:t xml:space="preserve">) were measured by standard methods, using portable digital weighing scales and stadiometers. </w:t>
      </w:r>
      <w:r w:rsidR="00414F21" w:rsidRPr="00790654">
        <w:t xml:space="preserve"> </w:t>
      </w:r>
    </w:p>
    <w:p w14:paraId="06238857" w14:textId="77777777" w:rsidR="00414F21" w:rsidRPr="00790654" w:rsidRDefault="00414F21" w:rsidP="00091301">
      <w:pPr>
        <w:spacing w:line="360" w:lineRule="auto"/>
        <w:rPr>
          <w:b/>
        </w:rPr>
      </w:pPr>
      <w:r w:rsidRPr="00790654">
        <w:rPr>
          <w:b/>
        </w:rPr>
        <w:t>Data processing</w:t>
      </w:r>
    </w:p>
    <w:p w14:paraId="237C4D0C" w14:textId="3D50080A" w:rsidR="002C7F6B" w:rsidRPr="00790654" w:rsidRDefault="00253884" w:rsidP="00091301">
      <w:pPr>
        <w:spacing w:line="360" w:lineRule="auto"/>
      </w:pPr>
      <w:r w:rsidRPr="00790654">
        <w:t>A diet diversity score was calculated</w:t>
      </w:r>
      <w:r w:rsidR="00530C5F" w:rsidRPr="00790654">
        <w:rPr>
          <w:vertAlign w:val="superscript"/>
        </w:rPr>
        <w:t>7</w:t>
      </w:r>
      <w:r w:rsidRPr="00790654">
        <w:t xml:space="preserve"> by allotting 1 point if the adolescent reported eating </w:t>
      </w:r>
      <w:r w:rsidR="00D42877" w:rsidRPr="00790654">
        <w:t>foods</w:t>
      </w:r>
      <w:r w:rsidRPr="00790654">
        <w:t xml:space="preserve"> from the following groups in the preceding 24 hours, making a maximum possible score of 10: 1) either grains or white roots/tubers; 2) green leafy vegetables; 3) either orange coloured vegetables/roots or orange coloured fruits; 4) other vegetables; 5) other fruits; 6) either meat/poultry or fish/seafood</w:t>
      </w:r>
      <w:r w:rsidR="00117676" w:rsidRPr="00790654">
        <w:t xml:space="preserve"> or animal organs</w:t>
      </w:r>
      <w:r w:rsidRPr="00790654">
        <w:t>; 7) eggs; 8) milk/milk products; 9) beans/peas/lentils; 10) nuts/seeds.</w:t>
      </w:r>
      <w:r w:rsidR="0025178E" w:rsidRPr="00790654">
        <w:t xml:space="preserve"> </w:t>
      </w:r>
      <w:r w:rsidR="00414F21" w:rsidRPr="00790654">
        <w:t>Height and weight were used to calculate the prevalence of s</w:t>
      </w:r>
      <w:r w:rsidR="00615D63" w:rsidRPr="00790654">
        <w:t xml:space="preserve">tunting (&lt;-2 SD </w:t>
      </w:r>
      <w:r w:rsidR="00117676" w:rsidRPr="00790654">
        <w:t>height for age</w:t>
      </w:r>
      <w:r w:rsidR="00615D63" w:rsidRPr="00790654">
        <w:t xml:space="preserve">), </w:t>
      </w:r>
      <w:r w:rsidR="005757B8" w:rsidRPr="00790654">
        <w:t>low body mass index (BMI)/thinness</w:t>
      </w:r>
      <w:r w:rsidR="00615D63" w:rsidRPr="00790654">
        <w:t xml:space="preserve"> (&lt;-2 SD </w:t>
      </w:r>
      <w:r w:rsidR="005757B8" w:rsidRPr="00790654">
        <w:t>BMI</w:t>
      </w:r>
      <w:r w:rsidR="00615D63" w:rsidRPr="00790654">
        <w:t xml:space="preserve"> for age), overweight (&gt;1 SD and &lt;2 SD BMI for age) and obesity (&gt;2 SD BMI for age)</w:t>
      </w:r>
      <w:r w:rsidR="00414F21" w:rsidRPr="00790654">
        <w:t xml:space="preserve"> using </w:t>
      </w:r>
      <w:r w:rsidR="00615D63" w:rsidRPr="00790654">
        <w:t>the WHO 2007 growth reference</w:t>
      </w:r>
      <w:r w:rsidR="00530C5F" w:rsidRPr="00790654">
        <w:rPr>
          <w:vertAlign w:val="superscript"/>
        </w:rPr>
        <w:t>8</w:t>
      </w:r>
      <w:r w:rsidRPr="00790654">
        <w:t>.</w:t>
      </w:r>
      <w:r w:rsidR="00615D63" w:rsidRPr="00790654">
        <w:t xml:space="preserve"> </w:t>
      </w:r>
      <w:r w:rsidR="002C7F6B" w:rsidRPr="00790654">
        <w:t xml:space="preserve">Each </w:t>
      </w:r>
      <w:r w:rsidR="00414F21" w:rsidRPr="00790654">
        <w:t xml:space="preserve">site produced group level </w:t>
      </w:r>
      <w:r w:rsidR="002561A2" w:rsidRPr="00790654">
        <w:t>meta</w:t>
      </w:r>
      <w:r w:rsidR="00414F21" w:rsidRPr="00790654">
        <w:t>data</w:t>
      </w:r>
      <w:r w:rsidR="007D01DE" w:rsidRPr="00790654">
        <w:t xml:space="preserve"> using SPSS or STATA (various versions)</w:t>
      </w:r>
      <w:r w:rsidR="00DB78E7" w:rsidRPr="00790654">
        <w:t>, stratified by sex and age group,</w:t>
      </w:r>
      <w:r w:rsidR="00036BAD" w:rsidRPr="00790654">
        <w:t xml:space="preserve"> according to a common template</w:t>
      </w:r>
      <w:r w:rsidR="00414F21" w:rsidRPr="00790654">
        <w:t>.</w:t>
      </w:r>
      <w:r w:rsidR="002C7F6B" w:rsidRPr="00790654">
        <w:t xml:space="preserve"> </w:t>
      </w:r>
      <w:r w:rsidR="00170C56" w:rsidRPr="00790654">
        <w:t>The</w:t>
      </w:r>
      <w:r w:rsidR="002C7F6B" w:rsidRPr="00790654">
        <w:t xml:space="preserve"> sample size </w:t>
      </w:r>
      <w:r w:rsidR="00E26D9F" w:rsidRPr="00790654">
        <w:t xml:space="preserve">in each setting </w:t>
      </w:r>
      <w:r w:rsidR="002C7F6B" w:rsidRPr="00790654">
        <w:t>was small</w:t>
      </w:r>
      <w:r w:rsidR="00566258" w:rsidRPr="00790654">
        <w:t xml:space="preserve"> (Table 1)</w:t>
      </w:r>
      <w:r w:rsidR="002C7F6B" w:rsidRPr="00790654">
        <w:t xml:space="preserve">, </w:t>
      </w:r>
      <w:r w:rsidR="00170C56" w:rsidRPr="00790654">
        <w:t xml:space="preserve">and so </w:t>
      </w:r>
      <w:r w:rsidR="002C7F6B" w:rsidRPr="00790654">
        <w:t xml:space="preserve">we </w:t>
      </w:r>
      <w:r w:rsidR="00D64977" w:rsidRPr="00790654">
        <w:t xml:space="preserve">describe gross differences between sub-groups (eg. between sexes and age groups) but </w:t>
      </w:r>
      <w:r w:rsidR="00E26D9F" w:rsidRPr="00790654">
        <w:t xml:space="preserve">did </w:t>
      </w:r>
      <w:r w:rsidR="00DB01A7" w:rsidRPr="00790654">
        <w:t xml:space="preserve">not </w:t>
      </w:r>
      <w:r w:rsidR="00D64977" w:rsidRPr="00790654">
        <w:t>test the</w:t>
      </w:r>
      <w:r w:rsidR="009B2841" w:rsidRPr="00790654">
        <w:t xml:space="preserve">se </w:t>
      </w:r>
      <w:r w:rsidR="00D64977" w:rsidRPr="00790654">
        <w:t>statistically</w:t>
      </w:r>
      <w:r w:rsidR="006D7229" w:rsidRPr="00790654">
        <w:t>. We</w:t>
      </w:r>
      <w:r w:rsidR="00D64977" w:rsidRPr="00790654">
        <w:t xml:space="preserve"> </w:t>
      </w:r>
      <w:r w:rsidR="00E26D9F" w:rsidRPr="00790654">
        <w:t xml:space="preserve">pooled data </w:t>
      </w:r>
      <w:r w:rsidR="009B2841" w:rsidRPr="00790654">
        <w:t xml:space="preserve">for both sexes and/or age groups </w:t>
      </w:r>
      <w:r w:rsidR="00D64977" w:rsidRPr="00790654">
        <w:t xml:space="preserve">in tables and figures </w:t>
      </w:r>
      <w:r w:rsidR="009B2841" w:rsidRPr="00790654">
        <w:t>if</w:t>
      </w:r>
      <w:r w:rsidR="00D64977" w:rsidRPr="00790654">
        <w:t xml:space="preserve"> </w:t>
      </w:r>
      <w:r w:rsidR="002C7F6B" w:rsidRPr="00790654">
        <w:t>there w</w:t>
      </w:r>
      <w:r w:rsidR="00D64977" w:rsidRPr="00790654">
        <w:t>as</w:t>
      </w:r>
      <w:r w:rsidR="002C7F6B" w:rsidRPr="00790654">
        <w:t xml:space="preserve"> no </w:t>
      </w:r>
      <w:r w:rsidR="00272EC9" w:rsidRPr="00790654">
        <w:t xml:space="preserve">clear </w:t>
      </w:r>
      <w:r w:rsidR="002C7F6B" w:rsidRPr="00790654">
        <w:t xml:space="preserve">evidence of </w:t>
      </w:r>
      <w:r w:rsidR="009B2841" w:rsidRPr="00790654">
        <w:t>sub-group differences</w:t>
      </w:r>
      <w:r w:rsidR="002C7F6B" w:rsidRPr="00790654">
        <w:t>.</w:t>
      </w:r>
    </w:p>
    <w:p w14:paraId="72A48186" w14:textId="77777777" w:rsidR="00615D63" w:rsidRPr="00790654" w:rsidRDefault="0026260E" w:rsidP="00091301">
      <w:pPr>
        <w:spacing w:line="360" w:lineRule="auto"/>
        <w:rPr>
          <w:b/>
        </w:rPr>
      </w:pPr>
      <w:r w:rsidRPr="00790654">
        <w:rPr>
          <w:b/>
        </w:rPr>
        <w:t>R</w:t>
      </w:r>
      <w:r w:rsidR="00D95FEB" w:rsidRPr="00790654">
        <w:rPr>
          <w:b/>
        </w:rPr>
        <w:t>ESULTS</w:t>
      </w:r>
    </w:p>
    <w:p w14:paraId="2C09EC6A" w14:textId="77777777" w:rsidR="001542BB" w:rsidRPr="00790654" w:rsidRDefault="001542BB" w:rsidP="00091301">
      <w:pPr>
        <w:spacing w:line="360" w:lineRule="auto"/>
        <w:rPr>
          <w:b/>
        </w:rPr>
      </w:pPr>
      <w:r w:rsidRPr="00790654">
        <w:rPr>
          <w:b/>
        </w:rPr>
        <w:t>Anthropometry</w:t>
      </w:r>
    </w:p>
    <w:p w14:paraId="13BF665E" w14:textId="18061FF7" w:rsidR="00EE53E5" w:rsidRPr="00790654" w:rsidRDefault="001542BB" w:rsidP="00091301">
      <w:pPr>
        <w:spacing w:line="360" w:lineRule="auto"/>
      </w:pPr>
      <w:r w:rsidRPr="00790654">
        <w:t>Figure</w:t>
      </w:r>
      <w:r w:rsidR="00E023D3" w:rsidRPr="00790654">
        <w:t>s</w:t>
      </w:r>
      <w:r w:rsidRPr="00790654">
        <w:t xml:space="preserve"> </w:t>
      </w:r>
      <w:r w:rsidR="0026260E" w:rsidRPr="00790654">
        <w:t xml:space="preserve">1a and 1b </w:t>
      </w:r>
      <w:r w:rsidRPr="00790654">
        <w:t>show the prevalence of stunt</w:t>
      </w:r>
      <w:r w:rsidR="00615D63" w:rsidRPr="00790654">
        <w:t>ing</w:t>
      </w:r>
      <w:r w:rsidRPr="00790654">
        <w:t xml:space="preserve">, </w:t>
      </w:r>
      <w:r w:rsidR="005757B8" w:rsidRPr="00790654">
        <w:t>low BMI</w:t>
      </w:r>
      <w:r w:rsidRPr="00790654">
        <w:t>, overweight and obes</w:t>
      </w:r>
      <w:r w:rsidR="00615D63" w:rsidRPr="00790654">
        <w:t>ity in younger and older adolescents respectively</w:t>
      </w:r>
      <w:r w:rsidR="005C5733" w:rsidRPr="00790654">
        <w:t>, by site</w:t>
      </w:r>
      <w:r w:rsidR="0026260E" w:rsidRPr="00790654">
        <w:t xml:space="preserve">. </w:t>
      </w:r>
      <w:r w:rsidRPr="00790654">
        <w:t xml:space="preserve">Stunting was present in </w:t>
      </w:r>
      <w:r w:rsidR="0026260E" w:rsidRPr="00790654">
        <w:t>all</w:t>
      </w:r>
      <w:r w:rsidR="00F7134F" w:rsidRPr="00790654">
        <w:t xml:space="preserve"> </w:t>
      </w:r>
      <w:r w:rsidRPr="00790654">
        <w:t xml:space="preserve">settings, and </w:t>
      </w:r>
      <w:r w:rsidR="00D95FEB" w:rsidRPr="00790654">
        <w:t>was similar in both sexes</w:t>
      </w:r>
      <w:r w:rsidR="009B2841" w:rsidRPr="00790654">
        <w:t>. T</w:t>
      </w:r>
      <w:r w:rsidR="0026260E" w:rsidRPr="00790654">
        <w:t>he prevalence was higher among older than younger adolescents</w:t>
      </w:r>
      <w:r w:rsidR="004E229E" w:rsidRPr="00790654">
        <w:t>, and in India compared with the four African settings</w:t>
      </w:r>
      <w:r w:rsidR="0026260E" w:rsidRPr="00790654">
        <w:t xml:space="preserve">. </w:t>
      </w:r>
      <w:r w:rsidR="005B710B" w:rsidRPr="00790654">
        <w:t xml:space="preserve">The </w:t>
      </w:r>
      <w:r w:rsidR="00E023D3" w:rsidRPr="00790654">
        <w:t>prevalence</w:t>
      </w:r>
      <w:r w:rsidR="0026260E" w:rsidRPr="00790654">
        <w:t xml:space="preserve"> </w:t>
      </w:r>
      <w:r w:rsidRPr="00790654">
        <w:t xml:space="preserve">ranged </w:t>
      </w:r>
      <w:r w:rsidR="00F7134F" w:rsidRPr="00790654">
        <w:t xml:space="preserve">in young adolescents </w:t>
      </w:r>
      <w:r w:rsidRPr="00790654">
        <w:t xml:space="preserve">from </w:t>
      </w:r>
      <w:r w:rsidR="0026260E" w:rsidRPr="00790654">
        <w:t>0</w:t>
      </w:r>
      <w:r w:rsidR="00F7134F" w:rsidRPr="00790654">
        <w:t xml:space="preserve">% </w:t>
      </w:r>
      <w:r w:rsidRPr="00790654">
        <w:t xml:space="preserve">in </w:t>
      </w:r>
      <w:r w:rsidR="0026260E" w:rsidRPr="00790654">
        <w:t>Jimma</w:t>
      </w:r>
      <w:r w:rsidR="00F7134F" w:rsidRPr="00790654">
        <w:t xml:space="preserve"> to </w:t>
      </w:r>
      <w:r w:rsidRPr="00790654">
        <w:t>16% in Dervan, India</w:t>
      </w:r>
      <w:r w:rsidR="0026260E" w:rsidRPr="00790654">
        <w:t>, and in older adolescents from 8% in Jimma to 37% in Mysore, India</w:t>
      </w:r>
      <w:r w:rsidRPr="00790654">
        <w:t xml:space="preserve">. </w:t>
      </w:r>
      <w:r w:rsidR="00F7134F" w:rsidRPr="00790654">
        <w:t xml:space="preserve">In most settings, </w:t>
      </w:r>
      <w:r w:rsidR="005757B8" w:rsidRPr="00790654">
        <w:t>low BMI</w:t>
      </w:r>
      <w:r w:rsidR="00F7134F" w:rsidRPr="00790654">
        <w:t xml:space="preserve"> was more prominent than overweight and obesity, with the exception of Johannesburg</w:t>
      </w:r>
      <w:r w:rsidR="00D615B9" w:rsidRPr="00790654">
        <w:t xml:space="preserve">, where </w:t>
      </w:r>
      <w:r w:rsidR="00EE53E5" w:rsidRPr="00790654">
        <w:t>26</w:t>
      </w:r>
      <w:r w:rsidR="00D615B9" w:rsidRPr="00790654">
        <w:t xml:space="preserve">% </w:t>
      </w:r>
      <w:r w:rsidR="00E023D3" w:rsidRPr="00790654">
        <w:t xml:space="preserve">of young adolescents and 28% of older adolescents </w:t>
      </w:r>
      <w:r w:rsidR="00D615B9" w:rsidRPr="00790654">
        <w:t>were overweight or obese</w:t>
      </w:r>
      <w:r w:rsidR="00E023D3" w:rsidRPr="00790654">
        <w:t xml:space="preserve">, while 0% and 5% respectively </w:t>
      </w:r>
      <w:r w:rsidR="00543F12" w:rsidRPr="00790654">
        <w:t>had a low BMI</w:t>
      </w:r>
      <w:r w:rsidR="00D615B9" w:rsidRPr="00790654">
        <w:t xml:space="preserve">. The highest prevalence of </w:t>
      </w:r>
      <w:r w:rsidR="005757B8" w:rsidRPr="00790654">
        <w:t>low BMI</w:t>
      </w:r>
      <w:r w:rsidR="00D615B9" w:rsidRPr="00790654">
        <w:t xml:space="preserve"> </w:t>
      </w:r>
      <w:r w:rsidR="00E023D3" w:rsidRPr="00790654">
        <w:t>was</w:t>
      </w:r>
      <w:r w:rsidR="00F7134F" w:rsidRPr="00790654">
        <w:t xml:space="preserve"> </w:t>
      </w:r>
      <w:r w:rsidR="00D615B9" w:rsidRPr="00790654">
        <w:t xml:space="preserve">among young adolescents in </w:t>
      </w:r>
      <w:r w:rsidR="002C7F6B" w:rsidRPr="00790654">
        <w:t>the two rural setting</w:t>
      </w:r>
      <w:r w:rsidR="005B710B" w:rsidRPr="00790654">
        <w:t>s</w:t>
      </w:r>
      <w:r w:rsidR="002C7F6B" w:rsidRPr="00790654">
        <w:t xml:space="preserve"> (West Kiang</w:t>
      </w:r>
      <w:r w:rsidR="00E023D3" w:rsidRPr="00790654">
        <w:t>, The Gambia (</w:t>
      </w:r>
      <w:r w:rsidR="00852448" w:rsidRPr="00790654">
        <w:t xml:space="preserve">18%), </w:t>
      </w:r>
      <w:r w:rsidR="00D615B9" w:rsidRPr="00790654">
        <w:t>Dervan</w:t>
      </w:r>
      <w:r w:rsidR="00E023D3" w:rsidRPr="00790654">
        <w:t>, India</w:t>
      </w:r>
      <w:r w:rsidR="00D615B9" w:rsidRPr="00790654">
        <w:t xml:space="preserve"> </w:t>
      </w:r>
      <w:r w:rsidR="00E023D3" w:rsidRPr="00790654">
        <w:t>(26%)</w:t>
      </w:r>
      <w:r w:rsidR="002C7F6B" w:rsidRPr="00790654">
        <w:t>)</w:t>
      </w:r>
      <w:r w:rsidR="00E023D3" w:rsidRPr="00790654">
        <w:t xml:space="preserve"> </w:t>
      </w:r>
      <w:r w:rsidR="00D615B9" w:rsidRPr="00790654">
        <w:t xml:space="preserve">and </w:t>
      </w:r>
      <w:r w:rsidR="002C7F6B" w:rsidRPr="00790654">
        <w:t xml:space="preserve">in the slum population of </w:t>
      </w:r>
      <w:r w:rsidR="00D615B9" w:rsidRPr="00790654">
        <w:t>Mumbai, India (30%)</w:t>
      </w:r>
      <w:r w:rsidR="002C7F6B" w:rsidRPr="00790654">
        <w:t xml:space="preserve">; </w:t>
      </w:r>
      <w:r w:rsidR="00852448" w:rsidRPr="00790654">
        <w:t>the</w:t>
      </w:r>
      <w:r w:rsidR="002C7F6B" w:rsidRPr="00790654">
        <w:t xml:space="preserve"> same was true </w:t>
      </w:r>
      <w:r w:rsidR="00EE53E5" w:rsidRPr="00790654">
        <w:t>for</w:t>
      </w:r>
      <w:r w:rsidR="002C7F6B" w:rsidRPr="00790654">
        <w:t xml:space="preserve"> </w:t>
      </w:r>
      <w:r w:rsidR="00E023D3" w:rsidRPr="00790654">
        <w:t xml:space="preserve">older </w:t>
      </w:r>
      <w:r w:rsidR="00D615B9" w:rsidRPr="00790654">
        <w:t>adolescents.</w:t>
      </w:r>
      <w:r w:rsidR="00F545F2" w:rsidRPr="00790654">
        <w:t xml:space="preserve"> </w:t>
      </w:r>
      <w:r w:rsidR="00EE53E5" w:rsidRPr="00790654">
        <w:t>The prevalence of overweight or obesity was low (&lt;5%) in the two rural settings (West Kiang and Dervan), 5-10% in Jimma (</w:t>
      </w:r>
      <w:r w:rsidR="00516E7C" w:rsidRPr="00790654">
        <w:t>10</w:t>
      </w:r>
      <w:r w:rsidR="00EE53E5" w:rsidRPr="00790654">
        <w:t>%), Mumbai (</w:t>
      </w:r>
      <w:r w:rsidR="00516E7C" w:rsidRPr="00790654">
        <w:t>8</w:t>
      </w:r>
      <w:r w:rsidR="00EE53E5" w:rsidRPr="00790654">
        <w:t>%) and Mysore (</w:t>
      </w:r>
      <w:r w:rsidR="00516E7C" w:rsidRPr="00790654">
        <w:t>9</w:t>
      </w:r>
      <w:r w:rsidR="00EE53E5" w:rsidRPr="00790654">
        <w:t xml:space="preserve">%), and </w:t>
      </w:r>
      <w:r w:rsidR="00BE7BC9" w:rsidRPr="00790654">
        <w:t>more than 1</w:t>
      </w:r>
      <w:r w:rsidR="00EE53E5" w:rsidRPr="00790654">
        <w:t xml:space="preserve">0% in Abidjan </w:t>
      </w:r>
      <w:r w:rsidR="00EE53E5" w:rsidRPr="00790654">
        <w:lastRenderedPageBreak/>
        <w:t>(1</w:t>
      </w:r>
      <w:r w:rsidR="00516E7C" w:rsidRPr="00790654">
        <w:t>7</w:t>
      </w:r>
      <w:r w:rsidR="00EE53E5" w:rsidRPr="00790654">
        <w:t>%), Pune (16%) and Johannesburg (27%)</w:t>
      </w:r>
      <w:r w:rsidR="00C41AC0" w:rsidRPr="00790654">
        <w:t>. T</w:t>
      </w:r>
      <w:r w:rsidR="005B710B" w:rsidRPr="00790654">
        <w:t xml:space="preserve">here were </w:t>
      </w:r>
      <w:r w:rsidR="00BE7BC9" w:rsidRPr="00790654">
        <w:t>no clear difference</w:t>
      </w:r>
      <w:r w:rsidR="005B710B" w:rsidRPr="00790654">
        <w:t>s</w:t>
      </w:r>
      <w:r w:rsidR="00BE7BC9" w:rsidRPr="00790654">
        <w:t xml:space="preserve"> </w:t>
      </w:r>
      <w:r w:rsidR="00C41AC0" w:rsidRPr="00790654">
        <w:t xml:space="preserve">in the prevalence of overweight or obesity </w:t>
      </w:r>
      <w:r w:rsidR="00BE7BC9" w:rsidRPr="00790654">
        <w:t>between younger and older adolescents or between the sexes.</w:t>
      </w:r>
    </w:p>
    <w:p w14:paraId="30C6DF0B" w14:textId="77777777" w:rsidR="007D648C" w:rsidRPr="00790654" w:rsidRDefault="007D648C" w:rsidP="00091301">
      <w:pPr>
        <w:spacing w:line="360" w:lineRule="auto"/>
        <w:rPr>
          <w:b/>
        </w:rPr>
      </w:pPr>
      <w:r w:rsidRPr="00790654">
        <w:rPr>
          <w:b/>
        </w:rPr>
        <w:t>Maternal and head of household education and employment status</w:t>
      </w:r>
      <w:r w:rsidR="003525D6" w:rsidRPr="00790654">
        <w:rPr>
          <w:b/>
        </w:rPr>
        <w:t>, house ownership</w:t>
      </w:r>
      <w:r w:rsidR="00EC50A1" w:rsidRPr="00790654">
        <w:rPr>
          <w:b/>
        </w:rPr>
        <w:t>,</w:t>
      </w:r>
      <w:r w:rsidR="003525D6" w:rsidRPr="00790654">
        <w:rPr>
          <w:b/>
        </w:rPr>
        <w:t xml:space="preserve"> household possessions</w:t>
      </w:r>
      <w:r w:rsidR="00EC50A1" w:rsidRPr="00790654">
        <w:rPr>
          <w:b/>
        </w:rPr>
        <w:t>, drinking water source and toilet facilities</w:t>
      </w:r>
    </w:p>
    <w:p w14:paraId="586779FE" w14:textId="4F95DBDA" w:rsidR="00036BAD" w:rsidRPr="00790654" w:rsidRDefault="00170C56" w:rsidP="00091301">
      <w:pPr>
        <w:spacing w:line="360" w:lineRule="auto"/>
      </w:pPr>
      <w:r w:rsidRPr="00790654">
        <w:t xml:space="preserve">The data from younger and older adolescents was pooled for these analyses, because </w:t>
      </w:r>
      <w:r w:rsidR="00722213" w:rsidRPr="00790654">
        <w:t xml:space="preserve">the data related to households rather than individuals. </w:t>
      </w:r>
    </w:p>
    <w:p w14:paraId="14BFECAD" w14:textId="68AD9B3A" w:rsidR="007D648C" w:rsidRPr="00790654" w:rsidRDefault="00EC50A1" w:rsidP="00091301">
      <w:pPr>
        <w:spacing w:line="360" w:lineRule="auto"/>
      </w:pPr>
      <w:r w:rsidRPr="00790654">
        <w:rPr>
          <w:i/>
        </w:rPr>
        <w:t>Caregiver education</w:t>
      </w:r>
      <w:r w:rsidR="009B2841" w:rsidRPr="00790654">
        <w:rPr>
          <w:i/>
        </w:rPr>
        <w:t xml:space="preserve"> and employment</w:t>
      </w:r>
      <w:r w:rsidRPr="00790654">
        <w:rPr>
          <w:i/>
        </w:rPr>
        <w:t>:</w:t>
      </w:r>
      <w:r w:rsidRPr="00790654">
        <w:t xml:space="preserve"> </w:t>
      </w:r>
      <w:r w:rsidR="007D648C" w:rsidRPr="00790654">
        <w:t xml:space="preserve">The median years of </w:t>
      </w:r>
      <w:r w:rsidR="00BD62CC" w:rsidRPr="00790654">
        <w:t>schooling</w:t>
      </w:r>
      <w:r w:rsidR="007D648C" w:rsidRPr="00790654">
        <w:t xml:space="preserve"> was highest (12 years for both mothers and head</w:t>
      </w:r>
      <w:r w:rsidR="00FB4335" w:rsidRPr="00790654">
        <w:t>s</w:t>
      </w:r>
      <w:r w:rsidR="007D648C" w:rsidRPr="00790654">
        <w:t xml:space="preserve"> of household) in Johannesburg </w:t>
      </w:r>
      <w:r w:rsidR="002D444E" w:rsidRPr="00790654">
        <w:t xml:space="preserve">and lowest (0 years) in West Kiang </w:t>
      </w:r>
      <w:r w:rsidR="007D648C" w:rsidRPr="00790654">
        <w:t xml:space="preserve">(Figure 2a). It was 8-10 years in Jimma, and in all the Indian settings except Dervan, </w:t>
      </w:r>
      <w:r w:rsidR="002D444E" w:rsidRPr="00790654">
        <w:t xml:space="preserve">and </w:t>
      </w:r>
      <w:r w:rsidR="007D648C" w:rsidRPr="00790654">
        <w:t xml:space="preserve">5-7 years in Abidjan and Dervan. Employment status varied </w:t>
      </w:r>
      <w:r w:rsidR="00FB4335" w:rsidRPr="00790654">
        <w:t>between</w:t>
      </w:r>
      <w:r w:rsidR="007D648C" w:rsidRPr="00790654">
        <w:t xml:space="preserve"> settings (Figure 2b). </w:t>
      </w:r>
      <w:r w:rsidR="009B2841" w:rsidRPr="00790654">
        <w:t xml:space="preserve">In </w:t>
      </w:r>
      <w:r w:rsidR="0070094C" w:rsidRPr="00790654">
        <w:t>Africa, the percentage</w:t>
      </w:r>
      <w:r w:rsidR="009B2841" w:rsidRPr="00790654">
        <w:t>s</w:t>
      </w:r>
      <w:r w:rsidR="0070094C" w:rsidRPr="00790654">
        <w:t xml:space="preserve"> of mothers in paid employment ranged from 3% in </w:t>
      </w:r>
      <w:r w:rsidR="002D444E" w:rsidRPr="00790654">
        <w:t xml:space="preserve">rural </w:t>
      </w:r>
      <w:r w:rsidR="00722213" w:rsidRPr="00790654">
        <w:t>West Kiang</w:t>
      </w:r>
      <w:r w:rsidR="0070094C" w:rsidRPr="00790654">
        <w:t xml:space="preserve"> to 33% in </w:t>
      </w:r>
      <w:r w:rsidR="002D444E" w:rsidRPr="00790654">
        <w:t xml:space="preserve">urban </w:t>
      </w:r>
      <w:r w:rsidR="0070094C" w:rsidRPr="00790654">
        <w:t xml:space="preserve">Johannesburg, and among the Indian settings from 18% in </w:t>
      </w:r>
      <w:r w:rsidR="002D444E" w:rsidRPr="00790654">
        <w:t xml:space="preserve">rural </w:t>
      </w:r>
      <w:r w:rsidR="0070094C" w:rsidRPr="00790654">
        <w:t xml:space="preserve">Dervan to 43% in </w:t>
      </w:r>
      <w:r w:rsidR="002D444E" w:rsidRPr="00790654">
        <w:t xml:space="preserve">urban </w:t>
      </w:r>
      <w:r w:rsidR="0070094C" w:rsidRPr="00790654">
        <w:t xml:space="preserve">Mysore. </w:t>
      </w:r>
      <w:r w:rsidR="00036BAD" w:rsidRPr="00790654">
        <w:t xml:space="preserve">A high proportion of mothers </w:t>
      </w:r>
      <w:r w:rsidR="0070094C" w:rsidRPr="00790654">
        <w:t xml:space="preserve">in </w:t>
      </w:r>
      <w:r w:rsidR="00722213" w:rsidRPr="00790654">
        <w:t>West Kiang</w:t>
      </w:r>
      <w:r w:rsidR="0070094C" w:rsidRPr="00790654">
        <w:t xml:space="preserve"> (29%), Abidjan (67%), Jimma (51%) and Pune (53%) were self-employed</w:t>
      </w:r>
      <w:r w:rsidR="00722213" w:rsidRPr="00790654">
        <w:t xml:space="preserve"> and </w:t>
      </w:r>
      <w:r w:rsidR="00036BAD" w:rsidRPr="00790654">
        <w:t xml:space="preserve">a high proportion were </w:t>
      </w:r>
      <w:r w:rsidR="00722213" w:rsidRPr="00790654">
        <w:t xml:space="preserve">not </w:t>
      </w:r>
      <w:r w:rsidR="00BD62CC" w:rsidRPr="00790654">
        <w:t xml:space="preserve">in paid </w:t>
      </w:r>
      <w:r w:rsidR="00722213" w:rsidRPr="00790654">
        <w:t>employ</w:t>
      </w:r>
      <w:r w:rsidR="00BD62CC" w:rsidRPr="00790654">
        <w:t>ment</w:t>
      </w:r>
      <w:r w:rsidR="00722213" w:rsidRPr="00790654">
        <w:t xml:space="preserve"> </w:t>
      </w:r>
      <w:r w:rsidR="0070094C" w:rsidRPr="00790654">
        <w:t xml:space="preserve">in </w:t>
      </w:r>
      <w:r w:rsidR="00722213" w:rsidRPr="00790654">
        <w:t>West Kiang</w:t>
      </w:r>
      <w:r w:rsidR="0070094C" w:rsidRPr="00790654">
        <w:t xml:space="preserve"> (69%), Johannesburg (53%), Dervan (78%) and Mumbai (71%). </w:t>
      </w:r>
      <w:r w:rsidR="0049317C" w:rsidRPr="00790654">
        <w:t xml:space="preserve">Heads of household in paid employment ranged from </w:t>
      </w:r>
      <w:r w:rsidR="00D439A2" w:rsidRPr="00790654">
        <w:t>17</w:t>
      </w:r>
      <w:r w:rsidR="0049317C" w:rsidRPr="00790654">
        <w:t xml:space="preserve">% in </w:t>
      </w:r>
      <w:r w:rsidR="00722213" w:rsidRPr="00790654">
        <w:t>West Kiang</w:t>
      </w:r>
      <w:r w:rsidR="0049317C" w:rsidRPr="00790654">
        <w:t xml:space="preserve"> to 46% in Jimma, and among Indian settings from 2</w:t>
      </w:r>
      <w:r w:rsidR="00FC569A" w:rsidRPr="00790654">
        <w:t>3</w:t>
      </w:r>
      <w:r w:rsidR="0049317C" w:rsidRPr="00790654">
        <w:t xml:space="preserve">% in Pune to 74% in Dervan. Self-employed heads of household ranged from 15% in Johannesburg to ~40% in </w:t>
      </w:r>
      <w:r w:rsidR="00722213" w:rsidRPr="00790654">
        <w:t>West Kiang</w:t>
      </w:r>
      <w:r w:rsidR="0049317C" w:rsidRPr="00790654">
        <w:t>, A</w:t>
      </w:r>
      <w:r w:rsidR="00722213" w:rsidRPr="00790654">
        <w:t>b</w:t>
      </w:r>
      <w:r w:rsidR="0049317C" w:rsidRPr="00790654">
        <w:t xml:space="preserve">idjan and Jimma. </w:t>
      </w:r>
      <w:r w:rsidR="0070094C" w:rsidRPr="00790654">
        <w:t>A substantial p</w:t>
      </w:r>
      <w:r w:rsidR="00BD62CC" w:rsidRPr="00790654">
        <w:t>roportion</w:t>
      </w:r>
      <w:r w:rsidR="0070094C" w:rsidRPr="00790654">
        <w:t xml:space="preserve"> of heads of household were </w:t>
      </w:r>
      <w:r w:rsidR="00722213" w:rsidRPr="00790654">
        <w:t xml:space="preserve">not </w:t>
      </w:r>
      <w:r w:rsidR="00BD62CC" w:rsidRPr="00790654">
        <w:t xml:space="preserve">in paid </w:t>
      </w:r>
      <w:r w:rsidR="0070094C" w:rsidRPr="00790654">
        <w:t>employ</w:t>
      </w:r>
      <w:r w:rsidR="00BD62CC" w:rsidRPr="00790654">
        <w:t>ment</w:t>
      </w:r>
      <w:r w:rsidR="0070094C" w:rsidRPr="00790654">
        <w:t xml:space="preserve"> in </w:t>
      </w:r>
      <w:r w:rsidR="00722213" w:rsidRPr="00790654">
        <w:t>West Kiang</w:t>
      </w:r>
      <w:r w:rsidR="0070094C" w:rsidRPr="00790654">
        <w:t xml:space="preserve"> (43%) and Johannesburg (52%) but head of household </w:t>
      </w:r>
      <w:r w:rsidR="00036BAD" w:rsidRPr="00790654">
        <w:t>non-</w:t>
      </w:r>
      <w:r w:rsidR="0070094C" w:rsidRPr="00790654">
        <w:t>employment w</w:t>
      </w:r>
      <w:r w:rsidR="00BD62CC" w:rsidRPr="00790654">
        <w:t>as</w:t>
      </w:r>
      <w:r w:rsidR="0070094C" w:rsidRPr="00790654">
        <w:t xml:space="preserve"> minimal in the other settings.</w:t>
      </w:r>
      <w:r w:rsidR="00440EC0" w:rsidRPr="00790654">
        <w:t xml:space="preserve"> </w:t>
      </w:r>
    </w:p>
    <w:p w14:paraId="479F01DA" w14:textId="4200A0D3" w:rsidR="004B52A2" w:rsidRPr="00790654" w:rsidRDefault="00EC50A1" w:rsidP="00091301">
      <w:pPr>
        <w:spacing w:line="360" w:lineRule="auto"/>
      </w:pPr>
      <w:r w:rsidRPr="00790654">
        <w:rPr>
          <w:i/>
        </w:rPr>
        <w:t>Household assets/possessions</w:t>
      </w:r>
      <w:r w:rsidR="004B0DAC" w:rsidRPr="00790654">
        <w:rPr>
          <w:i/>
        </w:rPr>
        <w:t xml:space="preserve"> (</w:t>
      </w:r>
      <w:r w:rsidR="00AA352B" w:rsidRPr="00790654">
        <w:rPr>
          <w:i/>
        </w:rPr>
        <w:t xml:space="preserve">Supplementary </w:t>
      </w:r>
      <w:r w:rsidR="004B0DAC" w:rsidRPr="00790654">
        <w:rPr>
          <w:i/>
        </w:rPr>
        <w:t xml:space="preserve">Figure </w:t>
      </w:r>
      <w:r w:rsidR="00AA352B" w:rsidRPr="00790654">
        <w:rPr>
          <w:i/>
        </w:rPr>
        <w:t>1</w:t>
      </w:r>
      <w:r w:rsidR="004B0DAC" w:rsidRPr="00790654">
        <w:rPr>
          <w:i/>
        </w:rPr>
        <w:t>)</w:t>
      </w:r>
      <w:r w:rsidRPr="00790654">
        <w:rPr>
          <w:i/>
        </w:rPr>
        <w:t>:</w:t>
      </w:r>
      <w:r w:rsidRPr="00790654">
        <w:t xml:space="preserve"> </w:t>
      </w:r>
      <w:r w:rsidR="00104DE7" w:rsidRPr="00790654">
        <w:t>T</w:t>
      </w:r>
      <w:r w:rsidR="00FD3BAD" w:rsidRPr="00790654">
        <w:t xml:space="preserve">elevision </w:t>
      </w:r>
      <w:r w:rsidR="00104DE7" w:rsidRPr="00790654">
        <w:t xml:space="preserve">ownership was </w:t>
      </w:r>
      <w:r w:rsidR="00A852E9" w:rsidRPr="00790654">
        <w:rPr>
          <w:u w:val="single"/>
        </w:rPr>
        <w:t>&gt;</w:t>
      </w:r>
      <w:r w:rsidR="00A852E9" w:rsidRPr="00790654">
        <w:t>90</w:t>
      </w:r>
      <w:r w:rsidRPr="00790654">
        <w:t xml:space="preserve">% in Johannesburg, </w:t>
      </w:r>
      <w:r w:rsidR="00371AFD" w:rsidRPr="00790654">
        <w:t>Cot</w:t>
      </w:r>
      <w:r w:rsidRPr="00790654">
        <w:t xml:space="preserve">e D’Ivoire, Pune, Mumbai and Mysore, </w:t>
      </w:r>
      <w:r w:rsidR="00104DE7" w:rsidRPr="00790654">
        <w:t>a</w:t>
      </w:r>
      <w:r w:rsidRPr="00790654">
        <w:t>nd</w:t>
      </w:r>
      <w:r w:rsidR="00104DE7" w:rsidRPr="00790654">
        <w:t xml:space="preserve"> </w:t>
      </w:r>
      <w:r w:rsidRPr="00790654">
        <w:t>&gt;7</w:t>
      </w:r>
      <w:r w:rsidR="001611D5" w:rsidRPr="00790654">
        <w:t xml:space="preserve">0% in all </w:t>
      </w:r>
      <w:r w:rsidR="009B2841" w:rsidRPr="00790654">
        <w:t xml:space="preserve">other </w:t>
      </w:r>
      <w:r w:rsidR="001611D5" w:rsidRPr="00790654">
        <w:t xml:space="preserve">centres except </w:t>
      </w:r>
      <w:r w:rsidR="00147894" w:rsidRPr="00790654">
        <w:t xml:space="preserve">the non-electrified villages of </w:t>
      </w:r>
      <w:r w:rsidR="00512BCB" w:rsidRPr="00790654">
        <w:t>West Kiang</w:t>
      </w:r>
      <w:r w:rsidR="00147894" w:rsidRPr="00790654">
        <w:t xml:space="preserve"> (5%)</w:t>
      </w:r>
      <w:r w:rsidR="001611D5" w:rsidRPr="00790654">
        <w:t xml:space="preserve">. </w:t>
      </w:r>
      <w:r w:rsidR="006253A1" w:rsidRPr="00790654">
        <w:t xml:space="preserve">Refrigerator ownership ranged from 0% in West Kiang and 21% in Dervan </w:t>
      </w:r>
      <w:r w:rsidR="00405159" w:rsidRPr="00790654">
        <w:t>t</w:t>
      </w:r>
      <w:r w:rsidR="00D64DF7" w:rsidRPr="00790654">
        <w:t>o</w:t>
      </w:r>
      <w:r w:rsidR="006253A1" w:rsidRPr="00790654">
        <w:t xml:space="preserve"> </w:t>
      </w:r>
      <w:r w:rsidR="001B08CF" w:rsidRPr="00790654">
        <w:t xml:space="preserve">30-60% in most other settings, </w:t>
      </w:r>
      <w:r w:rsidR="000C2F82" w:rsidRPr="00790654">
        <w:t>and</w:t>
      </w:r>
      <w:r w:rsidR="001B08CF" w:rsidRPr="00790654">
        <w:t xml:space="preserve"> 100% in Johannesburg. </w:t>
      </w:r>
      <w:r w:rsidR="00783A15" w:rsidRPr="00790654">
        <w:t xml:space="preserve">Washing machine ownership was low </w:t>
      </w:r>
      <w:r w:rsidR="002A32CB" w:rsidRPr="00790654">
        <w:t>(</w:t>
      </w:r>
      <w:r w:rsidR="002A32CB" w:rsidRPr="00790654">
        <w:rPr>
          <w:u w:val="single"/>
        </w:rPr>
        <w:t>&lt;</w:t>
      </w:r>
      <w:r w:rsidR="002A32CB" w:rsidRPr="00790654">
        <w:t>1</w:t>
      </w:r>
      <w:r w:rsidRPr="00790654">
        <w:t>2</w:t>
      </w:r>
      <w:r w:rsidR="002A32CB" w:rsidRPr="00790654">
        <w:t xml:space="preserve">%) </w:t>
      </w:r>
      <w:r w:rsidR="00783A15" w:rsidRPr="00790654">
        <w:t>in the rural settings.</w:t>
      </w:r>
      <w:r w:rsidR="002A32CB" w:rsidRPr="00790654">
        <w:t xml:space="preserve"> </w:t>
      </w:r>
      <w:r w:rsidR="00345C02" w:rsidRPr="00790654">
        <w:t>Ownership of an animal</w:t>
      </w:r>
      <w:r w:rsidR="001B08CF" w:rsidRPr="00790654">
        <w:t>-drawn</w:t>
      </w:r>
      <w:r w:rsidR="00345C02" w:rsidRPr="00790654">
        <w:t xml:space="preserve"> cart was mostly limited to rural </w:t>
      </w:r>
      <w:r w:rsidR="00AC2AA3" w:rsidRPr="00790654">
        <w:t xml:space="preserve">or semi-rural </w:t>
      </w:r>
      <w:r w:rsidR="00345C02" w:rsidRPr="00790654">
        <w:t>settings (</w:t>
      </w:r>
      <w:r w:rsidR="00C95DFE" w:rsidRPr="00790654">
        <w:t>West Kiang</w:t>
      </w:r>
      <w:r w:rsidR="00345C02" w:rsidRPr="00790654">
        <w:t xml:space="preserve"> and Pune). The highest ownership of a water pump was in </w:t>
      </w:r>
      <w:r w:rsidR="00AC2AA3" w:rsidRPr="00790654">
        <w:t>semi-</w:t>
      </w:r>
      <w:r w:rsidR="00345C02" w:rsidRPr="00790654">
        <w:t xml:space="preserve">rural Pune, where the villages are electrified and irrigation water is available because of </w:t>
      </w:r>
      <w:r w:rsidR="001B08CF" w:rsidRPr="00790654">
        <w:t xml:space="preserve">a </w:t>
      </w:r>
      <w:r w:rsidR="00345C02" w:rsidRPr="00790654">
        <w:t>local dam. B</w:t>
      </w:r>
      <w:r w:rsidR="00BF1074" w:rsidRPr="00790654">
        <w:t>icycle ownership was highest in rural settings</w:t>
      </w:r>
      <w:r w:rsidR="00A852E9" w:rsidRPr="00790654">
        <w:t xml:space="preserve"> and </w:t>
      </w:r>
      <w:r w:rsidR="00345C02" w:rsidRPr="00790654">
        <w:t xml:space="preserve">low in </w:t>
      </w:r>
      <w:r w:rsidR="00512BCB" w:rsidRPr="00790654">
        <w:t xml:space="preserve">large </w:t>
      </w:r>
      <w:r w:rsidR="00345C02" w:rsidRPr="00790654">
        <w:t>cities.</w:t>
      </w:r>
      <w:r w:rsidR="00647D1B" w:rsidRPr="00790654">
        <w:t xml:space="preserve"> Ownership of a moped or motorcycle was low in </w:t>
      </w:r>
      <w:r w:rsidR="00512BCB" w:rsidRPr="00790654">
        <w:t xml:space="preserve">all </w:t>
      </w:r>
      <w:r w:rsidR="00647D1B" w:rsidRPr="00790654">
        <w:t xml:space="preserve">the African settings, but was substantial in all Indian settings except Mumbai. </w:t>
      </w:r>
      <w:r w:rsidR="00D37F75" w:rsidRPr="00790654">
        <w:t>57% of families in Johannesburg owned a car (the highest among all settings) while 2-wheeler ownership was negligible. Car ownership was 15-30% in other urban settings, though low</w:t>
      </w:r>
      <w:r w:rsidR="00405159" w:rsidRPr="00790654">
        <w:t>er</w:t>
      </w:r>
      <w:r w:rsidR="00D37F75" w:rsidRPr="00790654">
        <w:t xml:space="preserve"> (4%) in Mumbai. It was zero in </w:t>
      </w:r>
      <w:r w:rsidR="00C95DFE" w:rsidRPr="00790654">
        <w:t>West Kiang</w:t>
      </w:r>
      <w:r w:rsidR="00D37F75" w:rsidRPr="00790654">
        <w:t xml:space="preserve"> and 8% in Dervan (both rural settings) but as high as 37% in </w:t>
      </w:r>
      <w:r w:rsidR="00AC2AA3" w:rsidRPr="00790654">
        <w:t>semi-</w:t>
      </w:r>
      <w:r w:rsidR="00D37F75" w:rsidRPr="00790654">
        <w:t xml:space="preserve">rural Pune. </w:t>
      </w:r>
      <w:r w:rsidR="007F69C3" w:rsidRPr="00790654">
        <w:t xml:space="preserve">Computer ownership </w:t>
      </w:r>
      <w:r w:rsidR="00D37F75" w:rsidRPr="00790654">
        <w:t xml:space="preserve">was highest in Johannesburg </w:t>
      </w:r>
      <w:r w:rsidR="00D37F75" w:rsidRPr="00790654">
        <w:lastRenderedPageBreak/>
        <w:t>(4</w:t>
      </w:r>
      <w:r w:rsidR="007F69C3" w:rsidRPr="00790654">
        <w:t>4</w:t>
      </w:r>
      <w:r w:rsidR="00D37F75" w:rsidRPr="00790654">
        <w:t xml:space="preserve">%), </w:t>
      </w:r>
      <w:r w:rsidR="007F69C3" w:rsidRPr="00790654">
        <w:t xml:space="preserve">20-30% in Abidjan and Jimma, </w:t>
      </w:r>
      <w:r w:rsidR="00D37F75" w:rsidRPr="00790654">
        <w:t>less than 20</w:t>
      </w:r>
      <w:r w:rsidR="00293DF9" w:rsidRPr="00790654">
        <w:t>%</w:t>
      </w:r>
      <w:r w:rsidR="00D37F75" w:rsidRPr="00790654">
        <w:t xml:space="preserve"> in all other settings, and zero in </w:t>
      </w:r>
      <w:r w:rsidR="00293DF9" w:rsidRPr="00790654">
        <w:t>West Kiang</w:t>
      </w:r>
      <w:r w:rsidR="00D37F75" w:rsidRPr="00790654">
        <w:t xml:space="preserve">.  </w:t>
      </w:r>
      <w:r w:rsidR="009B61A8" w:rsidRPr="00790654">
        <w:t>The items that showed the greatest range in ownership across s</w:t>
      </w:r>
      <w:r w:rsidR="00AC2AA3" w:rsidRPr="00790654">
        <w:t>ettings</w:t>
      </w:r>
      <w:r w:rsidR="009B61A8" w:rsidRPr="00790654">
        <w:t xml:space="preserve"> were refrigerator</w:t>
      </w:r>
      <w:r w:rsidRPr="00790654">
        <w:t>s</w:t>
      </w:r>
      <w:r w:rsidR="009B61A8" w:rsidRPr="00790654">
        <w:t xml:space="preserve">, </w:t>
      </w:r>
      <w:r w:rsidR="00440EC0" w:rsidRPr="00790654">
        <w:t>washing machine</w:t>
      </w:r>
      <w:r w:rsidRPr="00790654">
        <w:t>s</w:t>
      </w:r>
      <w:r w:rsidR="00440EC0" w:rsidRPr="00790654">
        <w:t xml:space="preserve"> and mo</w:t>
      </w:r>
      <w:r w:rsidRPr="00790654">
        <w:t>torised 2-wheelers</w:t>
      </w:r>
      <w:r w:rsidR="00440EC0" w:rsidRPr="00790654">
        <w:t>.</w:t>
      </w:r>
    </w:p>
    <w:p w14:paraId="3A16F3DE" w14:textId="496CACD2" w:rsidR="008C5013" w:rsidRPr="00790654" w:rsidRDefault="008C5013" w:rsidP="00091301">
      <w:pPr>
        <w:spacing w:line="360" w:lineRule="auto"/>
      </w:pPr>
      <w:r w:rsidRPr="00790654">
        <w:rPr>
          <w:i/>
        </w:rPr>
        <w:t xml:space="preserve">Household </w:t>
      </w:r>
      <w:r w:rsidR="00035AC4" w:rsidRPr="00790654">
        <w:rPr>
          <w:i/>
        </w:rPr>
        <w:t>amenities</w:t>
      </w:r>
      <w:r w:rsidR="00111974" w:rsidRPr="00790654">
        <w:rPr>
          <w:i/>
        </w:rPr>
        <w:t xml:space="preserve"> </w:t>
      </w:r>
      <w:r w:rsidR="00AA352B" w:rsidRPr="00790654">
        <w:rPr>
          <w:i/>
        </w:rPr>
        <w:t>(Figure 3</w:t>
      </w:r>
      <w:r w:rsidR="00111974" w:rsidRPr="00790654">
        <w:rPr>
          <w:i/>
        </w:rPr>
        <w:t>)</w:t>
      </w:r>
      <w:r w:rsidR="00645333" w:rsidRPr="00790654">
        <w:t xml:space="preserve">: The main drinking water source was a private supply piped directly into the house in </w:t>
      </w:r>
      <w:r w:rsidR="00C91423" w:rsidRPr="00790654">
        <w:t>the cities (</w:t>
      </w:r>
      <w:r w:rsidR="00645333" w:rsidRPr="00790654">
        <w:t xml:space="preserve">Johannesburg </w:t>
      </w:r>
      <w:r w:rsidR="00C91423" w:rsidRPr="00790654">
        <w:t>100%</w:t>
      </w:r>
      <w:r w:rsidR="00645333" w:rsidRPr="00790654">
        <w:t xml:space="preserve">, Jimma </w:t>
      </w:r>
      <w:r w:rsidR="00C91423" w:rsidRPr="00790654">
        <w:t>95%</w:t>
      </w:r>
      <w:r w:rsidR="00645333" w:rsidRPr="00790654">
        <w:t xml:space="preserve"> and Mysore </w:t>
      </w:r>
      <w:r w:rsidR="00C91423" w:rsidRPr="00790654">
        <w:t>88%)</w:t>
      </w:r>
      <w:r w:rsidR="00645333" w:rsidRPr="00790654">
        <w:t xml:space="preserve">, </w:t>
      </w:r>
      <w:r w:rsidR="00C91423" w:rsidRPr="00790654">
        <w:t>around 40% in the other urban settings and rural</w:t>
      </w:r>
      <w:r w:rsidR="007F69C3" w:rsidRPr="00790654">
        <w:t xml:space="preserve"> Dervan with the remainder mainly using a public tap</w:t>
      </w:r>
      <w:r w:rsidR="00C91423" w:rsidRPr="00790654">
        <w:t>. I</w:t>
      </w:r>
      <w:r w:rsidR="007F69C3" w:rsidRPr="00790654">
        <w:t>n West Kiang none had water piped to the house.</w:t>
      </w:r>
      <w:r w:rsidR="00645333" w:rsidRPr="00790654">
        <w:t xml:space="preserve"> </w:t>
      </w:r>
      <w:r w:rsidRPr="00790654">
        <w:t xml:space="preserve">A private flush toilet within the household was the norm in Johannesburg, and owned by most families in Mysore (Figure </w:t>
      </w:r>
      <w:r w:rsidR="00AA352B" w:rsidRPr="00790654">
        <w:t>3</w:t>
      </w:r>
      <w:r w:rsidR="00495C6A" w:rsidRPr="00790654">
        <w:t>b</w:t>
      </w:r>
      <w:r w:rsidRPr="00790654">
        <w:t>). In Dervan</w:t>
      </w:r>
      <w:r w:rsidR="007D4578" w:rsidRPr="00790654">
        <w:t xml:space="preserve">, </w:t>
      </w:r>
      <w:r w:rsidRPr="00790654">
        <w:t>Pune</w:t>
      </w:r>
      <w:r w:rsidR="007D4578" w:rsidRPr="00790654">
        <w:t xml:space="preserve"> and Abidjan</w:t>
      </w:r>
      <w:r w:rsidRPr="00790654">
        <w:t xml:space="preserve">, almost all households had their own pit toilet, while in </w:t>
      </w:r>
      <w:r w:rsidR="00035AC4" w:rsidRPr="00790654">
        <w:t>West Kiang</w:t>
      </w:r>
      <w:r w:rsidRPr="00790654">
        <w:t xml:space="preserve"> and Mumbai, almost all families used a shared or public pit toilet. Very small numbers of families had no toilet facilities and </w:t>
      </w:r>
      <w:r w:rsidR="00405159" w:rsidRPr="00790654">
        <w:t>used</w:t>
      </w:r>
      <w:r w:rsidRPr="00790654">
        <w:t xml:space="preserve"> open spaces</w:t>
      </w:r>
      <w:r w:rsidR="00862DB0" w:rsidRPr="00790654">
        <w:t xml:space="preserve"> for defaecation</w:t>
      </w:r>
      <w:r w:rsidRPr="00790654">
        <w:t>.</w:t>
      </w:r>
      <w:r w:rsidR="00645333" w:rsidRPr="00790654">
        <w:t xml:space="preserve"> </w:t>
      </w:r>
    </w:p>
    <w:p w14:paraId="1D96662A" w14:textId="77777777" w:rsidR="008C5013" w:rsidRPr="00790654" w:rsidRDefault="00645333" w:rsidP="00091301">
      <w:pPr>
        <w:spacing w:line="360" w:lineRule="auto"/>
        <w:rPr>
          <w:b/>
        </w:rPr>
      </w:pPr>
      <w:r w:rsidRPr="00790654">
        <w:rPr>
          <w:b/>
        </w:rPr>
        <w:t>Adolescents’ d</w:t>
      </w:r>
      <w:r w:rsidR="007A0DB8" w:rsidRPr="00790654">
        <w:rPr>
          <w:b/>
        </w:rPr>
        <w:t xml:space="preserve">iet  </w:t>
      </w:r>
    </w:p>
    <w:p w14:paraId="2DDA1CEB" w14:textId="77777777" w:rsidR="006C602A" w:rsidRPr="00790654" w:rsidRDefault="006C602A" w:rsidP="00091301">
      <w:pPr>
        <w:widowControl w:val="0"/>
        <w:spacing w:line="360" w:lineRule="auto"/>
        <w:rPr>
          <w:i/>
        </w:rPr>
      </w:pPr>
      <w:r w:rsidRPr="00790654">
        <w:rPr>
          <w:i/>
        </w:rPr>
        <w:t>Dietary diversity</w:t>
      </w:r>
    </w:p>
    <w:p w14:paraId="3E4AA622" w14:textId="2BA17400" w:rsidR="00D52F95" w:rsidRPr="00790654" w:rsidRDefault="00FD2BAB" w:rsidP="00091301">
      <w:pPr>
        <w:widowControl w:val="0"/>
        <w:spacing w:line="360" w:lineRule="auto"/>
      </w:pPr>
      <w:r w:rsidRPr="00790654">
        <w:t xml:space="preserve">Taking all adolescents together in each setting, </w:t>
      </w:r>
      <w:r w:rsidR="009F3029" w:rsidRPr="00790654">
        <w:t>proportions</w:t>
      </w:r>
      <w:r w:rsidR="0000467B" w:rsidRPr="00790654">
        <w:t xml:space="preserve"> achieving a </w:t>
      </w:r>
      <w:r w:rsidR="00645333" w:rsidRPr="00790654">
        <w:t xml:space="preserve">DDS </w:t>
      </w:r>
      <w:r w:rsidR="0000467B" w:rsidRPr="00790654">
        <w:t xml:space="preserve">of five or more ranged from 41% in Mumbai and 44% in Jimma to 100% in </w:t>
      </w:r>
      <w:r w:rsidR="00504120" w:rsidRPr="00790654">
        <w:t>West Kiang</w:t>
      </w:r>
      <w:r w:rsidR="00AC2AA3" w:rsidRPr="00790654">
        <w:t xml:space="preserve"> (Figure </w:t>
      </w:r>
      <w:r w:rsidR="00AA352B" w:rsidRPr="00790654">
        <w:t>4</w:t>
      </w:r>
      <w:r w:rsidR="00AC2AA3" w:rsidRPr="00790654">
        <w:t>a</w:t>
      </w:r>
      <w:r w:rsidR="00C27508" w:rsidRPr="00790654">
        <w:t>, Supplementary Figure 2</w:t>
      </w:r>
      <w:r w:rsidR="00AC2AA3" w:rsidRPr="00790654">
        <w:t>)</w:t>
      </w:r>
      <w:r w:rsidR="002E679B" w:rsidRPr="00790654">
        <w:t>.</w:t>
      </w:r>
      <w:r w:rsidR="0000467B" w:rsidRPr="00790654">
        <w:t xml:space="preserve"> M</w:t>
      </w:r>
      <w:r w:rsidRPr="00790654">
        <w:t>edian diet diversity scores</w:t>
      </w:r>
      <w:r w:rsidR="0000467B" w:rsidRPr="00790654">
        <w:t xml:space="preserve"> showed a similar pattern, </w:t>
      </w:r>
      <w:r w:rsidRPr="00790654">
        <w:t>rang</w:t>
      </w:r>
      <w:r w:rsidR="0000467B" w:rsidRPr="00790654">
        <w:t>ing</w:t>
      </w:r>
      <w:r w:rsidRPr="00790654">
        <w:t xml:space="preserve"> from 4 in Jim</w:t>
      </w:r>
      <w:r w:rsidR="00F95A7D" w:rsidRPr="00790654">
        <w:t>m</w:t>
      </w:r>
      <w:r w:rsidRPr="00790654">
        <w:t xml:space="preserve">a to </w:t>
      </w:r>
      <w:r w:rsidR="00F95A7D" w:rsidRPr="00790654">
        <w:t xml:space="preserve">9 in </w:t>
      </w:r>
      <w:r w:rsidR="00504120" w:rsidRPr="00790654">
        <w:t>West Kiang</w:t>
      </w:r>
      <w:r w:rsidR="00F95A7D" w:rsidRPr="00790654">
        <w:t xml:space="preserve">. </w:t>
      </w:r>
      <w:r w:rsidR="009F2B9D" w:rsidRPr="00790654">
        <w:t xml:space="preserve">Diet diversity was </w:t>
      </w:r>
      <w:r w:rsidR="00645333" w:rsidRPr="00790654">
        <w:t xml:space="preserve">not </w:t>
      </w:r>
      <w:r w:rsidR="008646FE" w:rsidRPr="00790654">
        <w:t xml:space="preserve">markedly </w:t>
      </w:r>
      <w:r w:rsidR="00645333" w:rsidRPr="00790654">
        <w:t>different between younger and older adolescents</w:t>
      </w:r>
      <w:r w:rsidR="002E679B" w:rsidRPr="00790654">
        <w:t xml:space="preserve"> (Figure </w:t>
      </w:r>
      <w:r w:rsidR="00B57A46" w:rsidRPr="00790654">
        <w:t>4</w:t>
      </w:r>
      <w:r w:rsidR="002E679B" w:rsidRPr="00790654">
        <w:t>b)</w:t>
      </w:r>
      <w:r w:rsidR="009F2B9D" w:rsidRPr="00790654">
        <w:t>. It was</w:t>
      </w:r>
      <w:r w:rsidR="0000467B" w:rsidRPr="00790654">
        <w:t xml:space="preserve"> lower in girls than boys in all the Indian settings</w:t>
      </w:r>
      <w:r w:rsidR="00657740" w:rsidRPr="00790654">
        <w:t xml:space="preserve">, though the differences were </w:t>
      </w:r>
      <w:r w:rsidR="00F30391" w:rsidRPr="00790654">
        <w:t xml:space="preserve">mostly </w:t>
      </w:r>
      <w:r w:rsidR="00657740" w:rsidRPr="00790654">
        <w:t>small</w:t>
      </w:r>
      <w:r w:rsidR="009F2B9D" w:rsidRPr="00790654">
        <w:t xml:space="preserve">; this was </w:t>
      </w:r>
      <w:r w:rsidR="00064F33" w:rsidRPr="00790654">
        <w:t xml:space="preserve">due to fewer </w:t>
      </w:r>
      <w:r w:rsidR="003F5FE0" w:rsidRPr="00790654">
        <w:t xml:space="preserve">girls </w:t>
      </w:r>
      <w:r w:rsidR="009F2B9D" w:rsidRPr="00790654">
        <w:t xml:space="preserve">than boys </w:t>
      </w:r>
      <w:r w:rsidR="003F5FE0" w:rsidRPr="00790654">
        <w:t>report</w:t>
      </w:r>
      <w:r w:rsidR="00064F33" w:rsidRPr="00790654">
        <w:t>ing</w:t>
      </w:r>
      <w:r w:rsidR="003F5FE0" w:rsidRPr="00790654">
        <w:t xml:space="preserve"> </w:t>
      </w:r>
      <w:r w:rsidR="009F2B9D" w:rsidRPr="00790654">
        <w:t xml:space="preserve">consumption of </w:t>
      </w:r>
      <w:r w:rsidR="003F5FE0" w:rsidRPr="00790654">
        <w:t xml:space="preserve">yellow/orange vegetables/roots and yellow/orange fruits in the past 24 hours, while </w:t>
      </w:r>
      <w:r w:rsidR="00064F33" w:rsidRPr="00790654">
        <w:t xml:space="preserve">the opposite was true for </w:t>
      </w:r>
      <w:r w:rsidR="003F5FE0" w:rsidRPr="00790654">
        <w:t>white roots/tubers</w:t>
      </w:r>
      <w:r w:rsidR="00064F33" w:rsidRPr="00790654">
        <w:t xml:space="preserve"> </w:t>
      </w:r>
      <w:r w:rsidR="00F30391" w:rsidRPr="00790654">
        <w:t>(</w:t>
      </w:r>
      <w:r w:rsidR="00064F33" w:rsidRPr="00790654">
        <w:t>data not shown)</w:t>
      </w:r>
      <w:r w:rsidR="003F5FE0" w:rsidRPr="00790654">
        <w:t xml:space="preserve">. In Dervan, </w:t>
      </w:r>
      <w:r w:rsidR="007C0A3F" w:rsidRPr="00790654">
        <w:t xml:space="preserve">fewer </w:t>
      </w:r>
      <w:r w:rsidR="003F5FE0" w:rsidRPr="00790654">
        <w:t xml:space="preserve">girls </w:t>
      </w:r>
      <w:r w:rsidR="007C0A3F" w:rsidRPr="00790654">
        <w:t xml:space="preserve">than boys </w:t>
      </w:r>
      <w:r w:rsidR="00064F33" w:rsidRPr="00790654">
        <w:t xml:space="preserve">also </w:t>
      </w:r>
      <w:r w:rsidR="003F5FE0" w:rsidRPr="00790654">
        <w:t xml:space="preserve">reported eating fish, organ meat and nuts; in Pune and Mumbai </w:t>
      </w:r>
      <w:r w:rsidR="007C0A3F" w:rsidRPr="00790654">
        <w:t xml:space="preserve">fewer girls than </w:t>
      </w:r>
      <w:r w:rsidR="003F5FE0" w:rsidRPr="00790654">
        <w:t>boys</w:t>
      </w:r>
      <w:r w:rsidR="007C0A3F" w:rsidRPr="00790654">
        <w:t xml:space="preserve"> </w:t>
      </w:r>
      <w:r w:rsidR="003F5FE0" w:rsidRPr="00790654">
        <w:t xml:space="preserve">reported eating beans/peas/lentils and in Mysore, </w:t>
      </w:r>
      <w:r w:rsidR="007C0A3F" w:rsidRPr="00790654">
        <w:t xml:space="preserve">fewer girls than boys </w:t>
      </w:r>
      <w:r w:rsidR="003F5FE0" w:rsidRPr="00790654">
        <w:t>reported having milk or milk products</w:t>
      </w:r>
      <w:r w:rsidR="00F30391" w:rsidRPr="00790654">
        <w:t xml:space="preserve"> (data not shown)</w:t>
      </w:r>
      <w:r w:rsidR="003F5FE0" w:rsidRPr="00790654">
        <w:t>.</w:t>
      </w:r>
    </w:p>
    <w:p w14:paraId="23943E09" w14:textId="3249FB0E" w:rsidR="003F5FE0" w:rsidRPr="00790654" w:rsidRDefault="00D52F95" w:rsidP="00091301">
      <w:pPr>
        <w:widowControl w:val="0"/>
        <w:spacing w:line="360" w:lineRule="auto"/>
        <w:rPr>
          <w:i/>
        </w:rPr>
      </w:pPr>
      <w:r w:rsidRPr="00790654">
        <w:rPr>
          <w:i/>
        </w:rPr>
        <w:t>Frequency of intake of foods</w:t>
      </w:r>
      <w:r w:rsidR="003F5FE0" w:rsidRPr="00790654">
        <w:rPr>
          <w:i/>
        </w:rPr>
        <w:t xml:space="preserve"> </w:t>
      </w:r>
    </w:p>
    <w:p w14:paraId="091CB0DF" w14:textId="538DEE3F" w:rsidR="00221FE3" w:rsidRPr="00790654" w:rsidRDefault="007C0A3F" w:rsidP="00091301">
      <w:pPr>
        <w:widowControl w:val="0"/>
        <w:spacing w:line="360" w:lineRule="auto"/>
      </w:pPr>
      <w:r w:rsidRPr="00790654">
        <w:t xml:space="preserve">The </w:t>
      </w:r>
      <w:r w:rsidR="00512BCB" w:rsidRPr="00790654">
        <w:t xml:space="preserve">frequency of eating </w:t>
      </w:r>
      <w:r w:rsidR="00D52F95" w:rsidRPr="00790654">
        <w:t xml:space="preserve">eight selected </w:t>
      </w:r>
      <w:r w:rsidR="009F2B9D" w:rsidRPr="00790654">
        <w:t>food</w:t>
      </w:r>
      <w:r w:rsidR="00D52F95" w:rsidRPr="00790654">
        <w:t xml:space="preserve"> groups</w:t>
      </w:r>
      <w:r w:rsidR="00512BCB" w:rsidRPr="00790654">
        <w:t xml:space="preserve"> </w:t>
      </w:r>
      <w:r w:rsidRPr="00790654">
        <w:t>is</w:t>
      </w:r>
      <w:r w:rsidR="00512BCB" w:rsidRPr="00790654">
        <w:t xml:space="preserve"> shown in </w:t>
      </w:r>
      <w:r w:rsidR="00504120" w:rsidRPr="00790654">
        <w:t>Supplementary F</w:t>
      </w:r>
      <w:r w:rsidR="00512BCB" w:rsidRPr="00790654">
        <w:t xml:space="preserve">igure </w:t>
      </w:r>
      <w:r w:rsidR="00B57A46" w:rsidRPr="00790654">
        <w:t>3</w:t>
      </w:r>
      <w:r w:rsidRPr="00790654">
        <w:t>; data are missing for Johannesburg and for some foods in West Kiang, due to a misunderstanding about how the</w:t>
      </w:r>
      <w:r w:rsidR="00966740" w:rsidRPr="00790654">
        <w:t>se</w:t>
      </w:r>
      <w:r w:rsidRPr="00790654">
        <w:t xml:space="preserve"> questions should be asked (missing data are labelled N/A in these figures)</w:t>
      </w:r>
      <w:r w:rsidR="00512BCB" w:rsidRPr="00790654">
        <w:t xml:space="preserve">. </w:t>
      </w:r>
      <w:r w:rsidR="00D95FEB" w:rsidRPr="00790654">
        <w:t>In all settings</w:t>
      </w:r>
      <w:r w:rsidRPr="00790654">
        <w:t xml:space="preserve"> with data</w:t>
      </w:r>
      <w:r w:rsidR="00D95FEB" w:rsidRPr="00790654">
        <w:t>, most adolescents ate micronutrient-rich vegetables and fruits (green leafy vegetables, yellow/orange vegetables/fruits) 2-4 times per week or less,</w:t>
      </w:r>
      <w:r w:rsidR="00645333" w:rsidRPr="00790654">
        <w:t xml:space="preserve"> </w:t>
      </w:r>
      <w:r w:rsidR="00D95FEB" w:rsidRPr="00790654">
        <w:t xml:space="preserve">and there were substantial </w:t>
      </w:r>
      <w:r w:rsidR="00D64DF7" w:rsidRPr="00790654">
        <w:t>proportions</w:t>
      </w:r>
      <w:r w:rsidR="00D95FEB" w:rsidRPr="00790654">
        <w:t xml:space="preserve"> of adolescents who ate them less than once </w:t>
      </w:r>
      <w:r w:rsidR="00344E21" w:rsidRPr="00790654">
        <w:t>a</w:t>
      </w:r>
      <w:r w:rsidR="00D95FEB" w:rsidRPr="00790654">
        <w:t xml:space="preserve"> week, especially </w:t>
      </w:r>
      <w:r w:rsidRPr="00790654">
        <w:t>in India</w:t>
      </w:r>
      <w:r w:rsidR="00D95FEB" w:rsidRPr="00790654">
        <w:t>. Protein-</w:t>
      </w:r>
      <w:r w:rsidRPr="00790654">
        <w:t>and micronutrient-</w:t>
      </w:r>
      <w:r w:rsidR="00D95FEB" w:rsidRPr="00790654">
        <w:t xml:space="preserve">rich foods </w:t>
      </w:r>
      <w:r w:rsidR="003F5FE0" w:rsidRPr="00790654">
        <w:t xml:space="preserve">of animal origin </w:t>
      </w:r>
      <w:r w:rsidR="00D95FEB" w:rsidRPr="00790654">
        <w:t>such as eggs</w:t>
      </w:r>
      <w:r w:rsidR="003F5FE0" w:rsidRPr="00790654">
        <w:t xml:space="preserve">, </w:t>
      </w:r>
      <w:r w:rsidR="00D95FEB" w:rsidRPr="00790654">
        <w:t xml:space="preserve">meat </w:t>
      </w:r>
      <w:r w:rsidR="003F5FE0" w:rsidRPr="00790654">
        <w:t xml:space="preserve">and fish </w:t>
      </w:r>
      <w:r w:rsidR="00D95FEB" w:rsidRPr="00790654">
        <w:t xml:space="preserve">were eaten infrequently in </w:t>
      </w:r>
      <w:r w:rsidR="00113613" w:rsidRPr="00790654">
        <w:t>all settings</w:t>
      </w:r>
      <w:r w:rsidR="006C602A" w:rsidRPr="00790654">
        <w:t>; and a</w:t>
      </w:r>
      <w:r w:rsidR="00D95FEB" w:rsidRPr="00790654">
        <w:t xml:space="preserve">lthough intakes of </w:t>
      </w:r>
      <w:r w:rsidR="00113613" w:rsidRPr="00790654">
        <w:t xml:space="preserve">milk/milk products and </w:t>
      </w:r>
      <w:r w:rsidR="00D95FEB" w:rsidRPr="00790654">
        <w:t>beans/peas/lentils were higher</w:t>
      </w:r>
      <w:r w:rsidR="006C602A" w:rsidRPr="00790654">
        <w:t xml:space="preserve"> than </w:t>
      </w:r>
      <w:r w:rsidR="00D52F95" w:rsidRPr="00790654">
        <w:t>eggs, fish and meat</w:t>
      </w:r>
      <w:r w:rsidR="00D95FEB" w:rsidRPr="00790654">
        <w:t xml:space="preserve">, </w:t>
      </w:r>
      <w:r w:rsidR="00D95FEB" w:rsidRPr="00790654">
        <w:lastRenderedPageBreak/>
        <w:t>most adolescents ate the</w:t>
      </w:r>
      <w:r w:rsidR="00AC2AA3" w:rsidRPr="00790654">
        <w:t>m</w:t>
      </w:r>
      <w:r w:rsidR="00113613" w:rsidRPr="00790654">
        <w:t xml:space="preserve"> </w:t>
      </w:r>
      <w:r w:rsidR="00D95FEB" w:rsidRPr="00790654">
        <w:t xml:space="preserve">only 2-4 times per week or less. </w:t>
      </w:r>
    </w:p>
    <w:p w14:paraId="2CBA0712" w14:textId="77777777" w:rsidR="00D95FEB" w:rsidRPr="00790654" w:rsidRDefault="00221FE3" w:rsidP="00091301">
      <w:pPr>
        <w:widowControl w:val="0"/>
        <w:spacing w:line="360" w:lineRule="auto"/>
        <w:rPr>
          <w:i/>
        </w:rPr>
      </w:pPr>
      <w:r w:rsidRPr="00790654">
        <w:rPr>
          <w:i/>
        </w:rPr>
        <w:t>Snack foods</w:t>
      </w:r>
      <w:r w:rsidR="00D95FEB" w:rsidRPr="00790654">
        <w:rPr>
          <w:i/>
        </w:rPr>
        <w:t xml:space="preserve">  </w:t>
      </w:r>
    </w:p>
    <w:p w14:paraId="6BA442D7" w14:textId="2D283CB1" w:rsidR="0086300A" w:rsidRPr="00790654" w:rsidRDefault="0062318B" w:rsidP="00091301">
      <w:pPr>
        <w:widowControl w:val="0"/>
        <w:spacing w:line="360" w:lineRule="auto"/>
      </w:pPr>
      <w:r w:rsidRPr="00790654">
        <w:t xml:space="preserve">There were no </w:t>
      </w:r>
      <w:r w:rsidR="00921E3F" w:rsidRPr="00790654">
        <w:t>obvious</w:t>
      </w:r>
      <w:r w:rsidRPr="00790654">
        <w:t xml:space="preserve"> differences between boys and girls or younger and older adolescents in the consumption of </w:t>
      </w:r>
      <w:r w:rsidR="00CE4242" w:rsidRPr="00790654">
        <w:t>snack</w:t>
      </w:r>
      <w:r w:rsidRPr="00790654">
        <w:t xml:space="preserve">s. </w:t>
      </w:r>
      <w:r w:rsidR="00654BA2" w:rsidRPr="00790654">
        <w:t>P</w:t>
      </w:r>
      <w:r w:rsidR="009F3029" w:rsidRPr="00790654">
        <w:t>roportions</w:t>
      </w:r>
      <w:r w:rsidR="00654BA2" w:rsidRPr="00790654">
        <w:t xml:space="preserve"> of adolescents who reported eating savoury snacks in packets, bakery foods (eg cakes, biscuits, puffs) </w:t>
      </w:r>
      <w:r w:rsidR="00CE4242" w:rsidRPr="00790654">
        <w:t xml:space="preserve">and </w:t>
      </w:r>
      <w:r w:rsidR="00654BA2" w:rsidRPr="00790654">
        <w:t xml:space="preserve">sweets </w:t>
      </w:r>
      <w:r w:rsidR="00EA2709" w:rsidRPr="00790654">
        <w:t xml:space="preserve">in the past 24 hours </w:t>
      </w:r>
      <w:r w:rsidR="00654BA2" w:rsidRPr="00790654">
        <w:t xml:space="preserve">were consistently high (70-90%) in </w:t>
      </w:r>
      <w:r w:rsidRPr="00790654">
        <w:t xml:space="preserve">urban </w:t>
      </w:r>
      <w:r w:rsidR="00654BA2" w:rsidRPr="00790654">
        <w:t xml:space="preserve">Johannesburg and </w:t>
      </w:r>
      <w:r w:rsidRPr="00790654">
        <w:t xml:space="preserve">rural </w:t>
      </w:r>
      <w:r w:rsidR="00654BA2" w:rsidRPr="00790654">
        <w:t>Dervan</w:t>
      </w:r>
      <w:r w:rsidRPr="00790654">
        <w:t xml:space="preserve"> (Figure </w:t>
      </w:r>
      <w:r w:rsidR="00B57A46" w:rsidRPr="00790654">
        <w:t>5</w:t>
      </w:r>
      <w:r w:rsidR="000D457A" w:rsidRPr="00790654">
        <w:t>, Supplementary Figure 4</w:t>
      </w:r>
      <w:r w:rsidRPr="00790654">
        <w:t>)</w:t>
      </w:r>
      <w:r w:rsidR="00654BA2" w:rsidRPr="00790654">
        <w:t xml:space="preserve">. </w:t>
      </w:r>
      <w:r w:rsidR="00CE4242" w:rsidRPr="00790654">
        <w:t xml:space="preserve">In </w:t>
      </w:r>
      <w:r w:rsidR="00921E3F" w:rsidRPr="00790654">
        <w:t>semi-</w:t>
      </w:r>
      <w:r w:rsidR="00CE4242" w:rsidRPr="00790654">
        <w:t>rural Pune, 86% of a</w:t>
      </w:r>
      <w:r w:rsidRPr="00790654">
        <w:t xml:space="preserve">dolescents </w:t>
      </w:r>
      <w:r w:rsidR="00CE4242" w:rsidRPr="00790654">
        <w:t>reported eating savoury snacks in packets in the last 24 hours</w:t>
      </w:r>
      <w:r w:rsidR="00EA2709" w:rsidRPr="00790654">
        <w:t xml:space="preserve">, while only 7.5% reported this in </w:t>
      </w:r>
      <w:r w:rsidR="00921E3F" w:rsidRPr="00790654">
        <w:t xml:space="preserve">rural </w:t>
      </w:r>
      <w:r w:rsidR="00EA2709" w:rsidRPr="00790654">
        <w:t>West Kiang</w:t>
      </w:r>
      <w:r w:rsidR="00CE4242" w:rsidRPr="00790654">
        <w:t xml:space="preserve">. Otherwise, </w:t>
      </w:r>
      <w:r w:rsidR="00EA2709" w:rsidRPr="00790654">
        <w:t xml:space="preserve">between </w:t>
      </w:r>
      <w:r w:rsidR="00CE4242" w:rsidRPr="00790654">
        <w:t>30</w:t>
      </w:r>
      <w:r w:rsidR="00EA2709" w:rsidRPr="00790654">
        <w:t xml:space="preserve">% and </w:t>
      </w:r>
      <w:r w:rsidR="00CE4242" w:rsidRPr="00790654">
        <w:t xml:space="preserve">60% of adolescents reported eating these foods in the past 24 hours. </w:t>
      </w:r>
      <w:r w:rsidR="00921E3F" w:rsidRPr="00790654">
        <w:t xml:space="preserve">Across the African sites there was a consistent pattern suggesting that intakes of savoury snacks, bakery items and sweets </w:t>
      </w:r>
      <w:r w:rsidR="00AC2AA3" w:rsidRPr="00790654">
        <w:t xml:space="preserve">were higher in more urbanised or </w:t>
      </w:r>
      <w:r w:rsidR="00921E3F" w:rsidRPr="00790654">
        <w:t>affluen</w:t>
      </w:r>
      <w:r w:rsidR="00AC2AA3" w:rsidRPr="00790654">
        <w:t>t</w:t>
      </w:r>
      <w:r w:rsidR="00921E3F" w:rsidRPr="00790654">
        <w:t xml:space="preserve"> setting</w:t>
      </w:r>
      <w:r w:rsidR="00AC2AA3" w:rsidRPr="00790654">
        <w:t>s</w:t>
      </w:r>
      <w:r w:rsidR="00921E3F" w:rsidRPr="00790654">
        <w:t>; there was no clear pattern in India.</w:t>
      </w:r>
      <w:r w:rsidR="00C27508" w:rsidRPr="00790654">
        <w:t xml:space="preserve"> </w:t>
      </w:r>
      <w:r w:rsidR="00EA2709" w:rsidRPr="00790654">
        <w:t>Consumption of fizzy drinks varied widely across sites</w:t>
      </w:r>
      <w:r w:rsidR="0086300A" w:rsidRPr="00790654">
        <w:t xml:space="preserve"> (Figure </w:t>
      </w:r>
      <w:r w:rsidR="00B57A46" w:rsidRPr="00790654">
        <w:t>5</w:t>
      </w:r>
      <w:r w:rsidR="0086300A" w:rsidRPr="00790654">
        <w:t>)</w:t>
      </w:r>
      <w:r w:rsidR="00EA2709" w:rsidRPr="00790654">
        <w:t>. Over 80% of adolescents in West Kian</w:t>
      </w:r>
      <w:r w:rsidR="0086300A" w:rsidRPr="00790654">
        <w:t>g</w:t>
      </w:r>
      <w:r w:rsidR="00EA2709" w:rsidRPr="00790654">
        <w:t xml:space="preserve">, Johannesburg and Dervan reported drinking these in the past 24 hours. </w:t>
      </w:r>
      <w:r w:rsidR="0086300A" w:rsidRPr="00790654">
        <w:t>In contrast, fewer than 20% of adolescents in Jimma</w:t>
      </w:r>
      <w:r w:rsidRPr="00790654">
        <w:t xml:space="preserve">, </w:t>
      </w:r>
      <w:r w:rsidR="0086300A" w:rsidRPr="00790654">
        <w:t xml:space="preserve">Pune, Mumbai and Mysore did so. </w:t>
      </w:r>
      <w:r w:rsidR="00003A71" w:rsidRPr="00790654">
        <w:t xml:space="preserve">In </w:t>
      </w:r>
      <w:r w:rsidR="0086300A" w:rsidRPr="00790654">
        <w:t xml:space="preserve">West Kiang and Dervan </w:t>
      </w:r>
      <w:r w:rsidR="00003A71" w:rsidRPr="00790654">
        <w:t xml:space="preserve">adolescents were probably reporting </w:t>
      </w:r>
      <w:r w:rsidR="0086300A" w:rsidRPr="00790654">
        <w:t>locally produced drinks, made from fruit juices/cordials</w:t>
      </w:r>
      <w:r w:rsidR="00003A71" w:rsidRPr="00790654">
        <w:t>/syrups</w:t>
      </w:r>
      <w:r w:rsidR="0086300A" w:rsidRPr="00790654">
        <w:t xml:space="preserve"> with added bicarbonate to make them appear fizzy, </w:t>
      </w:r>
      <w:r w:rsidR="00C10280" w:rsidRPr="00790654">
        <w:t xml:space="preserve">which have less added sugar </w:t>
      </w:r>
      <w:r w:rsidR="0086300A" w:rsidRPr="00790654">
        <w:t>than branded sugar-sweetened beverages.</w:t>
      </w:r>
      <w:r w:rsidR="00865DBD" w:rsidRPr="00790654">
        <w:t xml:space="preserve"> </w:t>
      </w:r>
    </w:p>
    <w:p w14:paraId="17A5281F" w14:textId="77777777" w:rsidR="00927E84" w:rsidRPr="00790654" w:rsidRDefault="00927E84" w:rsidP="00091301">
      <w:pPr>
        <w:widowControl w:val="0"/>
        <w:spacing w:line="360" w:lineRule="auto"/>
        <w:rPr>
          <w:b/>
        </w:rPr>
      </w:pPr>
      <w:r w:rsidRPr="00790654">
        <w:rPr>
          <w:b/>
        </w:rPr>
        <w:t>Mobile phones, smart phones and screen time</w:t>
      </w:r>
    </w:p>
    <w:p w14:paraId="5B38FEA4" w14:textId="3761A5BE" w:rsidR="00927E84" w:rsidRPr="00790654" w:rsidRDefault="00357725" w:rsidP="00091301">
      <w:pPr>
        <w:widowControl w:val="0"/>
        <w:spacing w:line="360" w:lineRule="auto"/>
      </w:pPr>
      <w:r w:rsidRPr="00790654">
        <w:t>Ownership by adolescent</w:t>
      </w:r>
      <w:r w:rsidR="00287CC8" w:rsidRPr="00790654">
        <w:t>s</w:t>
      </w:r>
      <w:r w:rsidRPr="00790654">
        <w:t xml:space="preserve"> of a mobile phone was higher among older than younger adolescents (Figure </w:t>
      </w:r>
      <w:r w:rsidR="00B57A46" w:rsidRPr="00790654">
        <w:t>6</w:t>
      </w:r>
      <w:r w:rsidRPr="00790654">
        <w:t>). It was highest in Johannesburg and Abidjan (~60-70% among older adolescents and 30-40% among younger adolescents) and among older adolescents in Jimma (68%). It was negligible in West Kiang in both age groups, among young adolescents in Jimma</w:t>
      </w:r>
      <w:r w:rsidR="001D134C" w:rsidRPr="00790654">
        <w:t>,</w:t>
      </w:r>
      <w:r w:rsidRPr="00790654">
        <w:t xml:space="preserve"> and all the Indian centres. </w:t>
      </w:r>
      <w:r w:rsidR="00FD118B" w:rsidRPr="00790654">
        <w:t xml:space="preserve">Most adolescents who owned a mobile phone had a smart phone (except in Jimma). </w:t>
      </w:r>
      <w:r w:rsidR="00927E84" w:rsidRPr="00790654">
        <w:t xml:space="preserve">Median hours of TV watching </w:t>
      </w:r>
      <w:r w:rsidR="00A43053" w:rsidRPr="00790654">
        <w:t>for leisure/entertainment ranged from 1-4 hours in Africa and 1-2 hours in India,</w:t>
      </w:r>
      <w:r w:rsidR="008D0365" w:rsidRPr="00790654">
        <w:t xml:space="preserve"> </w:t>
      </w:r>
      <w:r w:rsidR="00A43053" w:rsidRPr="00790654">
        <w:t xml:space="preserve">with large variation everywhere, and were generally </w:t>
      </w:r>
      <w:r w:rsidR="008D0365" w:rsidRPr="00790654">
        <w:t>higher among</w:t>
      </w:r>
      <w:r w:rsidR="00927E84" w:rsidRPr="00790654">
        <w:t xml:space="preserve"> older adolescents</w:t>
      </w:r>
      <w:r w:rsidR="00364047" w:rsidRPr="00790654">
        <w:t xml:space="preserve"> (Table 2)</w:t>
      </w:r>
      <w:r w:rsidR="00927E84" w:rsidRPr="00790654">
        <w:t>. Median time spent p</w:t>
      </w:r>
      <w:r w:rsidR="002F1C4A" w:rsidRPr="00790654">
        <w:t>l</w:t>
      </w:r>
      <w:r w:rsidR="00927E84" w:rsidRPr="00790654">
        <w:t>aying computer games w</w:t>
      </w:r>
      <w:r w:rsidR="00516E7C" w:rsidRPr="00790654">
        <w:t>as</w:t>
      </w:r>
      <w:r w:rsidR="00927E84" w:rsidRPr="00790654">
        <w:t xml:space="preserve"> less than an hour in most places, but </w:t>
      </w:r>
      <w:r w:rsidR="00287CC8" w:rsidRPr="00790654">
        <w:t>w</w:t>
      </w:r>
      <w:r w:rsidR="00516E7C" w:rsidRPr="00790654">
        <w:t>as</w:t>
      </w:r>
      <w:r w:rsidR="00287CC8" w:rsidRPr="00790654">
        <w:t xml:space="preserve"> as high as </w:t>
      </w:r>
      <w:r w:rsidR="00927E84" w:rsidRPr="00790654">
        <w:t xml:space="preserve">2 hours among young adolescents in Abidjan and Johannesburg. A striking finding was that there was very little computer use for school work (median values 0-1 everywhere and in both age groups).   </w:t>
      </w:r>
    </w:p>
    <w:p w14:paraId="348DBD75" w14:textId="77777777" w:rsidR="00FE078E" w:rsidRPr="00790654" w:rsidRDefault="00852448" w:rsidP="00091301">
      <w:pPr>
        <w:spacing w:line="360" w:lineRule="auto"/>
        <w:rPr>
          <w:b/>
        </w:rPr>
      </w:pPr>
      <w:r w:rsidRPr="00790654">
        <w:rPr>
          <w:b/>
        </w:rPr>
        <w:t>D</w:t>
      </w:r>
      <w:r w:rsidR="004F1836" w:rsidRPr="00790654">
        <w:rPr>
          <w:b/>
        </w:rPr>
        <w:t>ISCUSSION</w:t>
      </w:r>
    </w:p>
    <w:p w14:paraId="3CAA1037" w14:textId="2131A83C" w:rsidR="00B51EE2" w:rsidRPr="00790654" w:rsidRDefault="00B76AD2" w:rsidP="00091301">
      <w:pPr>
        <w:spacing w:line="360" w:lineRule="auto"/>
      </w:pPr>
      <w:r w:rsidRPr="00790654">
        <w:t xml:space="preserve">We collected quantitative data in order to </w:t>
      </w:r>
      <w:r w:rsidR="00B51EE2" w:rsidRPr="00790654">
        <w:t xml:space="preserve">describe the </w:t>
      </w:r>
      <w:r w:rsidRPr="00790654">
        <w:t xml:space="preserve">context </w:t>
      </w:r>
      <w:r w:rsidR="00B51EE2" w:rsidRPr="00790654">
        <w:t xml:space="preserve">of </w:t>
      </w:r>
      <w:r w:rsidR="00883E3E" w:rsidRPr="00790654">
        <w:t>the</w:t>
      </w:r>
      <w:r w:rsidRPr="00790654">
        <w:t xml:space="preserve"> qualitative data</w:t>
      </w:r>
      <w:r w:rsidR="00883E3E" w:rsidRPr="00790654">
        <w:t xml:space="preserve"> collection</w:t>
      </w:r>
      <w:r w:rsidR="002048D7" w:rsidRPr="00790654">
        <w:t xml:space="preserve">, </w:t>
      </w:r>
      <w:r w:rsidR="008469BC" w:rsidRPr="00790654">
        <w:t xml:space="preserve">illustrate the contrast between settings, </w:t>
      </w:r>
      <w:r w:rsidRPr="00790654">
        <w:t xml:space="preserve">and inform our thinking about </w:t>
      </w:r>
      <w:r w:rsidR="00883E3E" w:rsidRPr="00790654">
        <w:t xml:space="preserve">the </w:t>
      </w:r>
      <w:r w:rsidRPr="00790654">
        <w:t xml:space="preserve">future </w:t>
      </w:r>
      <w:r w:rsidR="00883E3E" w:rsidRPr="00790654">
        <w:t xml:space="preserve">development of </w:t>
      </w:r>
      <w:r w:rsidRPr="00790654">
        <w:t>interventions</w:t>
      </w:r>
      <w:r w:rsidR="00883E3E" w:rsidRPr="00790654">
        <w:t xml:space="preserve"> to improve adolescent diet and physical activity levels</w:t>
      </w:r>
      <w:r w:rsidR="001D134C" w:rsidRPr="00790654">
        <w:t xml:space="preserve"> in these settings</w:t>
      </w:r>
      <w:r w:rsidRPr="00790654">
        <w:t xml:space="preserve">. </w:t>
      </w:r>
      <w:r w:rsidR="0015306F" w:rsidRPr="00790654">
        <w:t xml:space="preserve">Although we </w:t>
      </w:r>
      <w:r w:rsidR="0015306F" w:rsidRPr="00790654">
        <w:lastRenderedPageBreak/>
        <w:t>included a middle-class area in one Indian setting (Mysore), we targeted mainly deprived neighbourhoods.</w:t>
      </w:r>
    </w:p>
    <w:p w14:paraId="633CD83C" w14:textId="77777777" w:rsidR="00B51EE2" w:rsidRPr="00790654" w:rsidRDefault="00B51EE2" w:rsidP="00091301">
      <w:pPr>
        <w:spacing w:line="360" w:lineRule="auto"/>
        <w:rPr>
          <w:b/>
        </w:rPr>
      </w:pPr>
      <w:r w:rsidRPr="00790654">
        <w:rPr>
          <w:b/>
        </w:rPr>
        <w:t>Anthropometry</w:t>
      </w:r>
    </w:p>
    <w:p w14:paraId="30404FDD" w14:textId="4F955374" w:rsidR="0013192D" w:rsidRPr="00790654" w:rsidRDefault="00A41479" w:rsidP="00091301">
      <w:pPr>
        <w:widowControl w:val="0"/>
        <w:spacing w:line="360" w:lineRule="auto"/>
      </w:pPr>
      <w:r w:rsidRPr="00790654">
        <w:t>Undernutrition (s</w:t>
      </w:r>
      <w:r w:rsidR="00883E3E" w:rsidRPr="00790654">
        <w:t xml:space="preserve">tunting </w:t>
      </w:r>
      <w:r w:rsidR="001D134C" w:rsidRPr="00790654">
        <w:t>and</w:t>
      </w:r>
      <w:r w:rsidR="00883E3E" w:rsidRPr="00790654">
        <w:t xml:space="preserve"> low BMI</w:t>
      </w:r>
      <w:r w:rsidRPr="00790654">
        <w:t>)</w:t>
      </w:r>
      <w:r w:rsidR="00883E3E" w:rsidRPr="00790654">
        <w:t xml:space="preserve"> w</w:t>
      </w:r>
      <w:r w:rsidR="001C5338" w:rsidRPr="00790654">
        <w:t>ere</w:t>
      </w:r>
      <w:r w:rsidR="00883E3E" w:rsidRPr="00790654">
        <w:t xml:space="preserve"> more </w:t>
      </w:r>
      <w:r w:rsidR="00344E21" w:rsidRPr="00790654">
        <w:t>prominent</w:t>
      </w:r>
      <w:r w:rsidR="00883E3E" w:rsidRPr="00790654">
        <w:t xml:space="preserve"> than overweight or obesity</w:t>
      </w:r>
      <w:r w:rsidR="0052450B" w:rsidRPr="00790654">
        <w:t xml:space="preserve"> in most </w:t>
      </w:r>
      <w:r w:rsidR="002971C4" w:rsidRPr="00790654">
        <w:t xml:space="preserve">of the </w:t>
      </w:r>
      <w:r w:rsidR="0052450B" w:rsidRPr="00790654">
        <w:t>settings</w:t>
      </w:r>
      <w:r w:rsidR="002971C4" w:rsidRPr="00790654">
        <w:t xml:space="preserve"> in our study</w:t>
      </w:r>
      <w:r w:rsidR="00883E3E" w:rsidRPr="00790654">
        <w:t xml:space="preserve">. </w:t>
      </w:r>
      <w:r w:rsidR="006803FF" w:rsidRPr="00790654">
        <w:t>Undernutrition was most prevalent in the least transitioned, rural settings and in slums in Mumbai</w:t>
      </w:r>
      <w:r w:rsidR="00653354" w:rsidRPr="00790654">
        <w:t>, where o</w:t>
      </w:r>
      <w:r w:rsidR="006803FF" w:rsidRPr="00790654">
        <w:t>besity was uncommon</w:t>
      </w:r>
      <w:r w:rsidR="00653354" w:rsidRPr="00790654">
        <w:t xml:space="preserve">. </w:t>
      </w:r>
      <w:r w:rsidR="006803FF" w:rsidRPr="00790654">
        <w:t>Johannesburg had the highest prevalence</w:t>
      </w:r>
      <w:r w:rsidR="001C5338" w:rsidRPr="00790654">
        <w:t xml:space="preserve"> of overweight/obesity</w:t>
      </w:r>
      <w:r w:rsidR="006803FF" w:rsidRPr="00790654">
        <w:t xml:space="preserve"> (</w:t>
      </w:r>
      <w:r w:rsidR="001D134C" w:rsidRPr="00790654">
        <w:t>27</w:t>
      </w:r>
      <w:r w:rsidR="006803FF" w:rsidRPr="00790654">
        <w:t xml:space="preserve">% overall) and yet </w:t>
      </w:r>
      <w:r w:rsidR="001C5338" w:rsidRPr="00790654">
        <w:t xml:space="preserve">more than </w:t>
      </w:r>
      <w:r w:rsidR="006803FF" w:rsidRPr="00790654">
        <w:t xml:space="preserve">5% of adolescents were stunted. The </w:t>
      </w:r>
      <w:r w:rsidR="001D134C" w:rsidRPr="00790654">
        <w:t xml:space="preserve">semi-rural </w:t>
      </w:r>
      <w:r w:rsidR="006803FF" w:rsidRPr="00790654">
        <w:t xml:space="preserve">Pune setting has experienced substantial </w:t>
      </w:r>
      <w:r w:rsidR="00560D4C" w:rsidRPr="00790654">
        <w:t>economic improvement</w:t>
      </w:r>
      <w:r w:rsidR="006803FF" w:rsidRPr="00790654">
        <w:t xml:space="preserve"> over the past 20 years due to electrification</w:t>
      </w:r>
      <w:r w:rsidR="00560D4C" w:rsidRPr="00790654">
        <w:t xml:space="preserve">, </w:t>
      </w:r>
      <w:r w:rsidR="00062C4E" w:rsidRPr="00790654">
        <w:t>irrigation, better roads</w:t>
      </w:r>
      <w:r w:rsidR="006803FF" w:rsidRPr="00790654">
        <w:t xml:space="preserve"> </w:t>
      </w:r>
      <w:r w:rsidR="00560D4C" w:rsidRPr="00790654">
        <w:t>and small industri</w:t>
      </w:r>
      <w:r w:rsidR="002F1C4A" w:rsidRPr="00790654">
        <w:t>es</w:t>
      </w:r>
      <w:r w:rsidR="00560D4C" w:rsidRPr="00790654">
        <w:t xml:space="preserve">, </w:t>
      </w:r>
      <w:r w:rsidR="006803FF" w:rsidRPr="00790654">
        <w:t xml:space="preserve">and here there were approximately equal prevalence rates of stunting, low BMI and overweight/obesity. </w:t>
      </w:r>
      <w:r w:rsidR="004C0474" w:rsidRPr="00790654">
        <w:t xml:space="preserve">There is an upward shift in BMI in </w:t>
      </w:r>
      <w:r w:rsidR="008469BC" w:rsidRPr="00790654">
        <w:t>most</w:t>
      </w:r>
      <w:r w:rsidR="004C0474" w:rsidRPr="00790654">
        <w:t xml:space="preserve"> LMICs, and overweight</w:t>
      </w:r>
      <w:r w:rsidR="00306ECB" w:rsidRPr="00790654">
        <w:t xml:space="preserve"> and </w:t>
      </w:r>
      <w:r w:rsidR="004C0474" w:rsidRPr="00790654">
        <w:t xml:space="preserve">obesity </w:t>
      </w:r>
      <w:r w:rsidR="00306ECB" w:rsidRPr="00790654">
        <w:t>are</w:t>
      </w:r>
      <w:r w:rsidR="004C0474" w:rsidRPr="00790654">
        <w:t xml:space="preserve"> increasing while underweight and thinness are decreasing</w:t>
      </w:r>
      <w:r w:rsidR="008469BC" w:rsidRPr="00790654">
        <w:rPr>
          <w:vertAlign w:val="superscript"/>
        </w:rPr>
        <w:t>9</w:t>
      </w:r>
      <w:r w:rsidR="004C0474" w:rsidRPr="00790654">
        <w:t>. Within</w:t>
      </w:r>
      <w:r w:rsidR="004161C0" w:rsidRPr="00790654">
        <w:t xml:space="preserve"> </w:t>
      </w:r>
      <w:r w:rsidR="004C0474" w:rsidRPr="00790654">
        <w:t xml:space="preserve">populations the </w:t>
      </w:r>
      <w:r w:rsidR="004161C0" w:rsidRPr="00790654">
        <w:t xml:space="preserve">prevalence of </w:t>
      </w:r>
      <w:r w:rsidR="004C0474" w:rsidRPr="00790654">
        <w:t>thinness</w:t>
      </w:r>
      <w:r w:rsidR="00C1572B" w:rsidRPr="00790654">
        <w:t xml:space="preserve"> </w:t>
      </w:r>
      <w:r w:rsidR="001C5338" w:rsidRPr="00790654">
        <w:t>is</w:t>
      </w:r>
      <w:r w:rsidR="004161C0" w:rsidRPr="00790654">
        <w:t xml:space="preserve"> inversely correlated with the prevalence of overweight/obesity</w:t>
      </w:r>
      <w:r w:rsidR="008469BC" w:rsidRPr="00790654">
        <w:rPr>
          <w:vertAlign w:val="superscript"/>
        </w:rPr>
        <w:t>2,9</w:t>
      </w:r>
      <w:r w:rsidR="00697775" w:rsidRPr="00790654">
        <w:t>.</w:t>
      </w:r>
      <w:r w:rsidR="004C0474" w:rsidRPr="00790654">
        <w:t xml:space="preserve"> </w:t>
      </w:r>
      <w:r w:rsidR="00697775" w:rsidRPr="00790654">
        <w:t>H</w:t>
      </w:r>
      <w:r w:rsidR="004C0474" w:rsidRPr="00790654">
        <w:t xml:space="preserve">owever, inequalities in transition </w:t>
      </w:r>
      <w:r w:rsidR="00636B60" w:rsidRPr="00790654">
        <w:t>mean that both are often present, with</w:t>
      </w:r>
      <w:r w:rsidR="00EC0A36" w:rsidRPr="00790654">
        <w:t xml:space="preserve"> persistent </w:t>
      </w:r>
      <w:r w:rsidR="00636B60" w:rsidRPr="00790654">
        <w:t xml:space="preserve">stunting and/or </w:t>
      </w:r>
      <w:r w:rsidR="00EC0A36" w:rsidRPr="00790654">
        <w:t>thinness in some</w:t>
      </w:r>
      <w:r w:rsidR="00697775" w:rsidRPr="00790654">
        <w:t xml:space="preserve"> individuals</w:t>
      </w:r>
      <w:r w:rsidR="00EC0A36" w:rsidRPr="00790654">
        <w:t xml:space="preserve"> alongside </w:t>
      </w:r>
      <w:r w:rsidR="00327BB7" w:rsidRPr="00790654">
        <w:t xml:space="preserve">emergent </w:t>
      </w:r>
      <w:r w:rsidR="00EC0A36" w:rsidRPr="00790654">
        <w:t>overweight/obesity in others</w:t>
      </w:r>
      <w:r w:rsidR="00697775" w:rsidRPr="00790654">
        <w:t>, the ‘double burden of malnutrition’</w:t>
      </w:r>
      <w:r w:rsidR="00EC0A36" w:rsidRPr="00790654">
        <w:t xml:space="preserve">. </w:t>
      </w:r>
      <w:r w:rsidR="00697775" w:rsidRPr="00790654">
        <w:t>South Asia and sub-Saharan Africa</w:t>
      </w:r>
      <w:r w:rsidR="005C08B8" w:rsidRPr="00790654">
        <w:t xml:space="preserve"> stand out as having a high prevalence of both undernutrition and overweight</w:t>
      </w:r>
      <w:r w:rsidR="008469BC" w:rsidRPr="00790654">
        <w:rPr>
          <w:vertAlign w:val="superscript"/>
        </w:rPr>
        <w:t>9,10</w:t>
      </w:r>
      <w:r w:rsidR="00697775" w:rsidRPr="00790654">
        <w:t>.</w:t>
      </w:r>
      <w:r w:rsidR="00883E3E" w:rsidRPr="00790654">
        <w:t xml:space="preserve"> </w:t>
      </w:r>
      <w:r w:rsidR="00C60499" w:rsidRPr="00790654">
        <w:t>Few, if any, LMICs seem</w:t>
      </w:r>
      <w:r w:rsidR="004161C0" w:rsidRPr="00790654">
        <w:t xml:space="preserve"> to have both escaped from hunger and avoided the emergence of overweight/obesity</w:t>
      </w:r>
      <w:r w:rsidR="008469BC" w:rsidRPr="00790654">
        <w:rPr>
          <w:vertAlign w:val="superscript"/>
        </w:rPr>
        <w:t>9,10</w:t>
      </w:r>
      <w:r w:rsidR="004161C0" w:rsidRPr="00790654">
        <w:t xml:space="preserve">. This has important implications for later health, because </w:t>
      </w:r>
      <w:r w:rsidR="00F76940" w:rsidRPr="00790654">
        <w:t xml:space="preserve">accelerated weight gain during adolescence </w:t>
      </w:r>
      <w:r w:rsidR="00344E21" w:rsidRPr="00790654">
        <w:t>is associated with a higher</w:t>
      </w:r>
      <w:r w:rsidR="00F76940" w:rsidRPr="00790654">
        <w:t xml:space="preserve"> risk of type 2 diabetes, hypertension and the metabolic syndrome</w:t>
      </w:r>
      <w:r w:rsidR="008469BC" w:rsidRPr="00790654">
        <w:rPr>
          <w:vertAlign w:val="superscript"/>
        </w:rPr>
        <w:t>11,12</w:t>
      </w:r>
      <w:r w:rsidR="00F76940" w:rsidRPr="00790654">
        <w:t>.</w:t>
      </w:r>
    </w:p>
    <w:p w14:paraId="2E449180" w14:textId="70FF8B13" w:rsidR="00B51EE2" w:rsidRPr="00790654" w:rsidRDefault="004E229E" w:rsidP="00091301">
      <w:pPr>
        <w:spacing w:line="360" w:lineRule="auto"/>
      </w:pPr>
      <w:r w:rsidRPr="00790654">
        <w:t>Consistent with published data, stunting was more prevalent in India than Africa</w:t>
      </w:r>
      <w:r w:rsidR="008469BC" w:rsidRPr="00790654">
        <w:rPr>
          <w:vertAlign w:val="superscript"/>
        </w:rPr>
        <w:t>13</w:t>
      </w:r>
      <w:r w:rsidRPr="00790654">
        <w:t xml:space="preserve">. </w:t>
      </w:r>
      <w:r w:rsidR="006803FF" w:rsidRPr="00790654">
        <w:t xml:space="preserve">Within </w:t>
      </w:r>
      <w:r w:rsidR="00C60499" w:rsidRPr="00790654">
        <w:t xml:space="preserve">each of the TALENT </w:t>
      </w:r>
      <w:r w:rsidR="006803FF" w:rsidRPr="00790654">
        <w:t xml:space="preserve">settings, </w:t>
      </w:r>
      <w:r w:rsidR="00031723" w:rsidRPr="00790654">
        <w:t xml:space="preserve">the prevalence of low BMI was similar in both age groups, while </w:t>
      </w:r>
      <w:r w:rsidR="006803FF" w:rsidRPr="00790654">
        <w:t xml:space="preserve">stunting </w:t>
      </w:r>
      <w:r w:rsidR="00516E7C" w:rsidRPr="00790654">
        <w:t>was</w:t>
      </w:r>
      <w:r w:rsidR="006803FF" w:rsidRPr="00790654">
        <w:t xml:space="preserve"> more prominent in older adolescents</w:t>
      </w:r>
      <w:r w:rsidR="00031723" w:rsidRPr="00790654">
        <w:t>.</w:t>
      </w:r>
      <w:r w:rsidR="006803FF" w:rsidRPr="00790654">
        <w:t xml:space="preserve"> </w:t>
      </w:r>
      <w:r w:rsidR="00B51EE2" w:rsidRPr="00790654">
        <w:t>Th</w:t>
      </w:r>
      <w:r w:rsidR="00031723" w:rsidRPr="00790654">
        <w:t>is</w:t>
      </w:r>
      <w:r w:rsidRPr="00790654">
        <w:t xml:space="preserve"> </w:t>
      </w:r>
      <w:r w:rsidR="00B51EE2" w:rsidRPr="00790654">
        <w:t xml:space="preserve">illustrates </w:t>
      </w:r>
      <w:r w:rsidR="00031723" w:rsidRPr="00790654">
        <w:t xml:space="preserve">the </w:t>
      </w:r>
      <w:r w:rsidR="00B51EE2" w:rsidRPr="00790654">
        <w:t>difficult</w:t>
      </w:r>
      <w:r w:rsidR="00031723" w:rsidRPr="00790654">
        <w:t>y</w:t>
      </w:r>
      <w:r w:rsidR="00B51EE2" w:rsidRPr="00790654">
        <w:t xml:space="preserve"> of comparing </w:t>
      </w:r>
      <w:r w:rsidR="00031723" w:rsidRPr="00790654">
        <w:t xml:space="preserve">adolescent </w:t>
      </w:r>
      <w:r w:rsidR="00B51EE2" w:rsidRPr="00790654">
        <w:t xml:space="preserve">growth in different settings. </w:t>
      </w:r>
      <w:r w:rsidRPr="00790654">
        <w:t>S</w:t>
      </w:r>
      <w:r w:rsidR="00B51EE2" w:rsidRPr="00790654">
        <w:t xml:space="preserve">tunting in LMICs has its onset </w:t>
      </w:r>
      <w:r w:rsidR="002048D7" w:rsidRPr="00790654">
        <w:t>pre-</w:t>
      </w:r>
      <w:proofErr w:type="spellStart"/>
      <w:r w:rsidR="002048D7" w:rsidRPr="00790654">
        <w:t>natally</w:t>
      </w:r>
      <w:proofErr w:type="spellEnd"/>
      <w:r w:rsidR="002048D7" w:rsidRPr="00790654">
        <w:t xml:space="preserve"> and </w:t>
      </w:r>
      <w:r w:rsidR="00B51EE2" w:rsidRPr="00790654">
        <w:t>in infancy</w:t>
      </w:r>
      <w:r w:rsidR="00591F02" w:rsidRPr="00790654">
        <w:rPr>
          <w:vertAlign w:val="superscript"/>
        </w:rPr>
        <w:t>14</w:t>
      </w:r>
      <w:r w:rsidR="00322036" w:rsidRPr="00790654">
        <w:t xml:space="preserve"> </w:t>
      </w:r>
      <w:r w:rsidR="00B51EE2" w:rsidRPr="00790654">
        <w:t>and height Z-scores tend to be stable</w:t>
      </w:r>
      <w:r w:rsidR="00F5795C" w:rsidRPr="00790654">
        <w:t xml:space="preserve"> through childhood</w:t>
      </w:r>
      <w:r w:rsidR="00591F02" w:rsidRPr="00790654">
        <w:rPr>
          <w:vertAlign w:val="superscript"/>
        </w:rPr>
        <w:t>15</w:t>
      </w:r>
      <w:r w:rsidR="002048D7" w:rsidRPr="00790654">
        <w:t xml:space="preserve">. </w:t>
      </w:r>
      <w:r w:rsidR="00322036" w:rsidRPr="00790654">
        <w:t>T</w:t>
      </w:r>
      <w:r w:rsidR="00B51EE2" w:rsidRPr="00790654">
        <w:t>h</w:t>
      </w:r>
      <w:r w:rsidR="00031723" w:rsidRPr="00790654">
        <w:t>us</w:t>
      </w:r>
      <w:r w:rsidR="00B51EE2" w:rsidRPr="00790654">
        <w:t xml:space="preserve"> higher stunting rates at 15-17 years </w:t>
      </w:r>
      <w:r w:rsidR="00322036" w:rsidRPr="00790654">
        <w:t xml:space="preserve">do not necessarily reflect the appearance of new cases of stunting but could be an artefact resulting from </w:t>
      </w:r>
      <w:r w:rsidR="00B51EE2" w:rsidRPr="00790654">
        <w:t xml:space="preserve">a different </w:t>
      </w:r>
      <w:r w:rsidR="00B51EE2" w:rsidRPr="00790654">
        <w:rPr>
          <w:i/>
        </w:rPr>
        <w:t>tempo</w:t>
      </w:r>
      <w:r w:rsidR="00B51EE2" w:rsidRPr="00790654">
        <w:t xml:space="preserve"> of growth during adolescence compared with the WHO reference. Because of variation in the onset and duration of pubertal growth there is limited population-based data from LMICs </w:t>
      </w:r>
      <w:r w:rsidR="00DB60BF" w:rsidRPr="00790654">
        <w:t xml:space="preserve">that </w:t>
      </w:r>
      <w:r w:rsidR="00B51EE2" w:rsidRPr="00790654">
        <w:t>document</w:t>
      </w:r>
      <w:r w:rsidR="00DB60BF" w:rsidRPr="00790654">
        <w:t>s</w:t>
      </w:r>
      <w:r w:rsidR="00B51EE2" w:rsidRPr="00790654">
        <w:t xml:space="preserve"> the entire period</w:t>
      </w:r>
      <w:r w:rsidR="00DB60BF" w:rsidRPr="00790654">
        <w:t xml:space="preserve">, which can start from </w:t>
      </w:r>
      <w:r w:rsidR="009B61A8" w:rsidRPr="00790654">
        <w:t xml:space="preserve">any age from 10 to </w:t>
      </w:r>
      <w:r w:rsidR="00DB60BF" w:rsidRPr="00790654">
        <w:t>15 years and continue until the age of 20 years or more</w:t>
      </w:r>
      <w:r w:rsidR="00591F02" w:rsidRPr="00790654">
        <w:rPr>
          <w:vertAlign w:val="superscript"/>
        </w:rPr>
        <w:t>16-18</w:t>
      </w:r>
      <w:r w:rsidR="00DB60BF" w:rsidRPr="00790654">
        <w:t xml:space="preserve">. Information on how nutrition before and during puberty influence the </w:t>
      </w:r>
      <w:r w:rsidR="002048D7" w:rsidRPr="00790654">
        <w:t>pubertal growth spurt and final</w:t>
      </w:r>
      <w:r w:rsidR="00DB60BF" w:rsidRPr="00790654">
        <w:t xml:space="preserve"> height</w:t>
      </w:r>
      <w:r w:rsidR="002048D7" w:rsidRPr="00790654">
        <w:t>,</w:t>
      </w:r>
      <w:r w:rsidR="00DB60BF" w:rsidRPr="00790654">
        <w:t xml:space="preserve"> </w:t>
      </w:r>
      <w:r w:rsidR="002048D7" w:rsidRPr="00790654">
        <w:t xml:space="preserve">as well as </w:t>
      </w:r>
      <w:r w:rsidR="00DB60BF" w:rsidRPr="00790654">
        <w:t xml:space="preserve">other aspects of human capital such as cognitive function, </w:t>
      </w:r>
      <w:r w:rsidR="00B1107E" w:rsidRPr="00790654">
        <w:t>is</w:t>
      </w:r>
      <w:r w:rsidR="002048D7" w:rsidRPr="00790654">
        <w:t xml:space="preserve"> needed</w:t>
      </w:r>
      <w:r w:rsidR="00DB60BF" w:rsidRPr="00790654">
        <w:t>.</w:t>
      </w:r>
      <w:r w:rsidR="00B51EE2" w:rsidRPr="00790654">
        <w:t xml:space="preserve">  </w:t>
      </w:r>
    </w:p>
    <w:p w14:paraId="178EA887" w14:textId="77777777" w:rsidR="0052450B" w:rsidRPr="00790654" w:rsidRDefault="0052450B" w:rsidP="00091301">
      <w:pPr>
        <w:spacing w:line="360" w:lineRule="auto"/>
        <w:rPr>
          <w:b/>
        </w:rPr>
      </w:pPr>
      <w:r w:rsidRPr="00790654">
        <w:rPr>
          <w:b/>
        </w:rPr>
        <w:lastRenderedPageBreak/>
        <w:t>Household-level information</w:t>
      </w:r>
    </w:p>
    <w:p w14:paraId="1ECDCACA" w14:textId="108BC353" w:rsidR="006806BA" w:rsidRPr="00790654" w:rsidRDefault="00C3330A" w:rsidP="00091301">
      <w:pPr>
        <w:spacing w:line="360" w:lineRule="auto"/>
      </w:pPr>
      <w:r w:rsidRPr="00790654">
        <w:t xml:space="preserve">The household assets data give a snapshot of the material wealth </w:t>
      </w:r>
      <w:r w:rsidR="00C879C3" w:rsidRPr="00790654">
        <w:t>of the adolescents</w:t>
      </w:r>
      <w:r w:rsidR="003038A3" w:rsidRPr="00790654">
        <w:t>’ families</w:t>
      </w:r>
      <w:r w:rsidR="00C879C3" w:rsidRPr="00790654">
        <w:t>, and ill</w:t>
      </w:r>
      <w:r w:rsidRPr="00790654">
        <w:t xml:space="preserve">ustrate the marked contrasts in material wealth between the settings. Refrigerator ownership was one of the most varied between settings. There is little data on how refrigerator ownership </w:t>
      </w:r>
      <w:r w:rsidR="006806BA" w:rsidRPr="00790654">
        <w:t>influences</w:t>
      </w:r>
      <w:r w:rsidR="00C879C3" w:rsidRPr="00790654">
        <w:t xml:space="preserve"> </w:t>
      </w:r>
      <w:r w:rsidRPr="00790654">
        <w:t>diet. Nigeria</w:t>
      </w:r>
      <w:r w:rsidR="003038A3" w:rsidRPr="00790654">
        <w:t>n</w:t>
      </w:r>
      <w:r w:rsidRPr="00790654">
        <w:t xml:space="preserve"> children </w:t>
      </w:r>
      <w:r w:rsidR="003038A3" w:rsidRPr="00790654">
        <w:t xml:space="preserve">whose </w:t>
      </w:r>
      <w:r w:rsidRPr="00790654">
        <w:t xml:space="preserve">families owned a refrigerator had </w:t>
      </w:r>
      <w:r w:rsidR="003038A3" w:rsidRPr="00790654">
        <w:t>higher</w:t>
      </w:r>
      <w:r w:rsidR="00C879C3" w:rsidRPr="00790654">
        <w:t xml:space="preserve"> intake</w:t>
      </w:r>
      <w:r w:rsidR="003038A3" w:rsidRPr="00790654">
        <w:t>s</w:t>
      </w:r>
      <w:r w:rsidR="00C879C3" w:rsidRPr="00790654">
        <w:t xml:space="preserve"> of micronutrient-rich foods</w:t>
      </w:r>
      <w:r w:rsidR="003038A3" w:rsidRPr="00790654">
        <w:t>;</w:t>
      </w:r>
      <w:r w:rsidR="00C879C3" w:rsidRPr="00790654">
        <w:t xml:space="preserve"> the authors attributed this to greater access to perishable foods including fruit and vegetables</w:t>
      </w:r>
      <w:r w:rsidR="00591F02" w:rsidRPr="00790654">
        <w:rPr>
          <w:vertAlign w:val="superscript"/>
        </w:rPr>
        <w:t>19</w:t>
      </w:r>
      <w:r w:rsidR="00C879C3" w:rsidRPr="00790654">
        <w:t xml:space="preserve">. </w:t>
      </w:r>
      <w:r w:rsidR="006806BA" w:rsidRPr="00790654">
        <w:t xml:space="preserve">On the other hand, a study in South Africa found that refrigerator ownership was associated with greater intake </w:t>
      </w:r>
      <w:r w:rsidR="00EA4A4E" w:rsidRPr="00790654">
        <w:t xml:space="preserve">by adolescents </w:t>
      </w:r>
      <w:r w:rsidR="006806BA" w:rsidRPr="00790654">
        <w:t xml:space="preserve">of sugar-sweetened beverages and </w:t>
      </w:r>
      <w:r w:rsidR="003038A3" w:rsidRPr="00790654">
        <w:t xml:space="preserve">greater </w:t>
      </w:r>
      <w:r w:rsidR="006806BA" w:rsidRPr="00790654">
        <w:t xml:space="preserve">adiposity which, the authors suggested, reflected </w:t>
      </w:r>
      <w:r w:rsidR="003038A3" w:rsidRPr="00790654">
        <w:t>more</w:t>
      </w:r>
      <w:r w:rsidR="006806BA" w:rsidRPr="00790654">
        <w:t xml:space="preserve"> disposable wealth</w:t>
      </w:r>
      <w:r w:rsidR="00591F02" w:rsidRPr="00790654">
        <w:rPr>
          <w:vertAlign w:val="superscript"/>
        </w:rPr>
        <w:t>20</w:t>
      </w:r>
      <w:r w:rsidR="006806BA" w:rsidRPr="00790654">
        <w:t xml:space="preserve">. </w:t>
      </w:r>
    </w:p>
    <w:p w14:paraId="205E2BA1" w14:textId="3F0F5ABE" w:rsidR="00625002" w:rsidRPr="00790654" w:rsidRDefault="00A712DA" w:rsidP="008642AC">
      <w:pPr>
        <w:spacing w:line="360" w:lineRule="auto"/>
      </w:pPr>
      <w:r w:rsidRPr="00790654">
        <w:t>Parents’</w:t>
      </w:r>
      <w:r w:rsidR="0052450B" w:rsidRPr="00790654">
        <w:t xml:space="preserve"> education</w:t>
      </w:r>
      <w:r w:rsidR="00653354" w:rsidRPr="00790654">
        <w:t>al attainment</w:t>
      </w:r>
      <w:r w:rsidR="0052450B" w:rsidRPr="00790654">
        <w:t xml:space="preserve"> varied from 0 years in West Kiang to 12 years in Johannesburg</w:t>
      </w:r>
      <w:r w:rsidR="004C06EE" w:rsidRPr="00790654">
        <w:t>, reflecting large differences between LMICs in the recent past in availability of universal education. There was also large variation in the employment status of mothers and head</w:t>
      </w:r>
      <w:r w:rsidR="00062C4E" w:rsidRPr="00790654">
        <w:t>s</w:t>
      </w:r>
      <w:r w:rsidR="004C06EE" w:rsidRPr="00790654">
        <w:t xml:space="preserve"> of household. </w:t>
      </w:r>
      <w:r w:rsidR="00CD4218" w:rsidRPr="00790654">
        <w:t>Other studies</w:t>
      </w:r>
      <w:r w:rsidR="004F131C" w:rsidRPr="00790654">
        <w:t>, mostly from high-income settings,</w:t>
      </w:r>
      <w:r w:rsidR="00CD4218" w:rsidRPr="00790654">
        <w:t xml:space="preserve"> have shown </w:t>
      </w:r>
      <w:r w:rsidR="008C5D25" w:rsidRPr="00790654">
        <w:t xml:space="preserve">complex relationships </w:t>
      </w:r>
      <w:r w:rsidR="00223145" w:rsidRPr="00790654">
        <w:t>of</w:t>
      </w:r>
      <w:r w:rsidR="008C5D25" w:rsidRPr="00790654">
        <w:t xml:space="preserve"> </w:t>
      </w:r>
      <w:r w:rsidR="004C06EE" w:rsidRPr="00790654">
        <w:t>parent</w:t>
      </w:r>
      <w:r w:rsidR="008C5D25" w:rsidRPr="00790654">
        <w:t>al</w:t>
      </w:r>
      <w:r w:rsidR="004C06EE" w:rsidRPr="00790654">
        <w:t xml:space="preserve"> education</w:t>
      </w:r>
      <w:r w:rsidR="00223145" w:rsidRPr="00790654">
        <w:t xml:space="preserve"> level, occupation, income and work patterns</w:t>
      </w:r>
      <w:r w:rsidR="004C06EE" w:rsidRPr="00790654">
        <w:t xml:space="preserve"> </w:t>
      </w:r>
      <w:r w:rsidR="00223145" w:rsidRPr="00790654">
        <w:t xml:space="preserve">with </w:t>
      </w:r>
      <w:r w:rsidR="008C5D25" w:rsidRPr="00790654">
        <w:t>adolescent diet</w:t>
      </w:r>
      <w:r w:rsidR="00223145" w:rsidRPr="00790654">
        <w:t>, nutritional status</w:t>
      </w:r>
      <w:r w:rsidR="008C5D25" w:rsidRPr="00790654">
        <w:t xml:space="preserve"> and physical activity. These factors have been </w:t>
      </w:r>
      <w:r w:rsidR="00CD4218" w:rsidRPr="00790654">
        <w:t xml:space="preserve">related to </w:t>
      </w:r>
      <w:r w:rsidR="00223145" w:rsidRPr="00790654">
        <w:t xml:space="preserve">adolescents’ </w:t>
      </w:r>
      <w:r w:rsidR="004F131C" w:rsidRPr="00790654">
        <w:t xml:space="preserve">food security, </w:t>
      </w:r>
      <w:r w:rsidR="00223145" w:rsidRPr="00790654">
        <w:t xml:space="preserve">body mass index, </w:t>
      </w:r>
      <w:r w:rsidR="004F131C" w:rsidRPr="00790654">
        <w:t>diet quality</w:t>
      </w:r>
      <w:r w:rsidR="00223145" w:rsidRPr="00790654">
        <w:t xml:space="preserve"> and </w:t>
      </w:r>
      <w:r w:rsidR="004F131C" w:rsidRPr="00790654">
        <w:t>opportunities for choice in terms of diet and physical activity</w:t>
      </w:r>
      <w:r w:rsidR="008C5D25" w:rsidRPr="00790654">
        <w:t>,</w:t>
      </w:r>
      <w:r w:rsidR="004F131C" w:rsidRPr="00790654">
        <w:t xml:space="preserve"> </w:t>
      </w:r>
      <w:r w:rsidR="00223145" w:rsidRPr="00790654">
        <w:t xml:space="preserve">as well as to </w:t>
      </w:r>
      <w:r w:rsidR="004F131C" w:rsidRPr="00790654">
        <w:t xml:space="preserve">family meal patterns, </w:t>
      </w:r>
      <w:r w:rsidR="008C5D25" w:rsidRPr="00790654">
        <w:t xml:space="preserve">and </w:t>
      </w:r>
      <w:r w:rsidR="004F131C" w:rsidRPr="00790654">
        <w:t>parent</w:t>
      </w:r>
      <w:r w:rsidR="003038A3" w:rsidRPr="00790654">
        <w:t>al</w:t>
      </w:r>
      <w:r w:rsidR="004F131C" w:rsidRPr="00790654">
        <w:t xml:space="preserve"> control </w:t>
      </w:r>
      <w:r w:rsidR="001E55EB" w:rsidRPr="00790654">
        <w:t xml:space="preserve">of </w:t>
      </w:r>
      <w:r w:rsidR="004F131C" w:rsidRPr="00790654">
        <w:t>adolescents’ food intake</w:t>
      </w:r>
      <w:r w:rsidR="008C5D25" w:rsidRPr="00790654">
        <w:t>.</w:t>
      </w:r>
      <w:r w:rsidR="008642AC" w:rsidRPr="00790654">
        <w:rPr>
          <w:vertAlign w:val="superscript"/>
        </w:rPr>
        <w:t>21</w:t>
      </w:r>
      <w:r w:rsidR="008C5D25" w:rsidRPr="00790654">
        <w:rPr>
          <w:vertAlign w:val="superscript"/>
        </w:rPr>
        <w:t>-25</w:t>
      </w:r>
      <w:r w:rsidR="00F30BA6" w:rsidRPr="00790654">
        <w:t>.</w:t>
      </w:r>
      <w:r w:rsidR="008642AC" w:rsidRPr="00790654">
        <w:t xml:space="preserve"> </w:t>
      </w:r>
      <w:r w:rsidR="008C5D25" w:rsidRPr="00790654">
        <w:t>In future work in TALENT</w:t>
      </w:r>
      <w:r w:rsidR="00223145" w:rsidRPr="00790654">
        <w:t xml:space="preserve"> settings</w:t>
      </w:r>
      <w:r w:rsidR="008C5D25" w:rsidRPr="00790654">
        <w:t xml:space="preserve">, it will be important to develop </w:t>
      </w:r>
      <w:r w:rsidR="00223145" w:rsidRPr="00790654">
        <w:t>an</w:t>
      </w:r>
      <w:r w:rsidR="008C5D25" w:rsidRPr="00790654">
        <w:t xml:space="preserve"> understanding of how </w:t>
      </w:r>
      <w:r w:rsidR="003038A3" w:rsidRPr="00790654">
        <w:t xml:space="preserve">the </w:t>
      </w:r>
      <w:r w:rsidR="008C5D25" w:rsidRPr="00790654">
        <w:t>education</w:t>
      </w:r>
      <w:r w:rsidR="00223145" w:rsidRPr="00790654">
        <w:t xml:space="preserve"> and employment </w:t>
      </w:r>
      <w:r w:rsidR="003038A3" w:rsidRPr="00790654">
        <w:t xml:space="preserve">of parents </w:t>
      </w:r>
      <w:r w:rsidR="008C5D25" w:rsidRPr="00790654">
        <w:t xml:space="preserve">influence adolescent nutrition. </w:t>
      </w:r>
      <w:r w:rsidRPr="00790654">
        <w:t>F</w:t>
      </w:r>
      <w:r w:rsidR="00625002" w:rsidRPr="00790654">
        <w:t xml:space="preserve">ew adolescents </w:t>
      </w:r>
      <w:r w:rsidR="00E4485B" w:rsidRPr="00790654">
        <w:t>had no</w:t>
      </w:r>
      <w:r w:rsidR="001C75AB" w:rsidRPr="00790654">
        <w:t xml:space="preserve"> access to safe drinking water and </w:t>
      </w:r>
      <w:r w:rsidR="00653354" w:rsidRPr="00790654">
        <w:t xml:space="preserve">or </w:t>
      </w:r>
      <w:r w:rsidR="00D24738" w:rsidRPr="00790654">
        <w:t xml:space="preserve">were using </w:t>
      </w:r>
      <w:r w:rsidR="00625002" w:rsidRPr="00790654">
        <w:t>open spaces for urination and defaecation</w:t>
      </w:r>
      <w:r w:rsidR="001C75AB" w:rsidRPr="00790654">
        <w:t xml:space="preserve">. Almost </w:t>
      </w:r>
      <w:r w:rsidR="00625002" w:rsidRPr="00790654">
        <w:t>all had access to at least a shared pit or flush toilet, and substantial numbers had a toilet in their house</w:t>
      </w:r>
      <w:r w:rsidR="00C41AC0" w:rsidRPr="00790654">
        <w:t>. T</w:t>
      </w:r>
      <w:r w:rsidR="00136E66" w:rsidRPr="00790654">
        <w:t xml:space="preserve">his reflects </w:t>
      </w:r>
      <w:r w:rsidR="00E4485B" w:rsidRPr="00790654">
        <w:t xml:space="preserve">recent </w:t>
      </w:r>
      <w:r w:rsidR="00136E66" w:rsidRPr="00790654">
        <w:t>improvement</w:t>
      </w:r>
      <w:r w:rsidR="00E4485B" w:rsidRPr="00790654">
        <w:t>s</w:t>
      </w:r>
      <w:r w:rsidR="00136E66" w:rsidRPr="00790654">
        <w:t xml:space="preserve"> in </w:t>
      </w:r>
      <w:r w:rsidR="006812F2" w:rsidRPr="00790654">
        <w:t xml:space="preserve">water and </w:t>
      </w:r>
      <w:r w:rsidR="00136E66" w:rsidRPr="00790654">
        <w:t>sanitation facilities in LMICs, with India having one of the best improvement</w:t>
      </w:r>
      <w:r w:rsidR="005E2856" w:rsidRPr="00790654">
        <w:t xml:space="preserve"> records</w:t>
      </w:r>
      <w:r w:rsidR="00653354" w:rsidRPr="00790654">
        <w:rPr>
          <w:vertAlign w:val="superscript"/>
        </w:rPr>
        <w:t>2</w:t>
      </w:r>
      <w:r w:rsidR="000A6DA4" w:rsidRPr="00790654">
        <w:rPr>
          <w:vertAlign w:val="superscript"/>
        </w:rPr>
        <w:t>6</w:t>
      </w:r>
      <w:r w:rsidR="00625002" w:rsidRPr="00790654">
        <w:t xml:space="preserve">. Arguably the worst situation was in Mumbai slums, where </w:t>
      </w:r>
      <w:r w:rsidR="005E2856" w:rsidRPr="00790654">
        <w:t xml:space="preserve">most </w:t>
      </w:r>
      <w:r w:rsidR="00625002" w:rsidRPr="00790654">
        <w:t xml:space="preserve">adolescents use public pit toilets, which are often poorly maintained. </w:t>
      </w:r>
      <w:r w:rsidR="00E4485B" w:rsidRPr="00790654">
        <w:t>Apart from being an infection risk</w:t>
      </w:r>
      <w:r w:rsidR="00625002" w:rsidRPr="00790654">
        <w:t>, lack of privacy can be a special problem for girls coping with menstruation. It seems unlikely that</w:t>
      </w:r>
      <w:r w:rsidR="00444B6D" w:rsidRPr="00790654">
        <w:t>,</w:t>
      </w:r>
      <w:r w:rsidR="00625002" w:rsidRPr="00790654">
        <w:t xml:space="preserve"> with the population densities see</w:t>
      </w:r>
      <w:r w:rsidR="00245C44" w:rsidRPr="00790654">
        <w:t>n</w:t>
      </w:r>
      <w:r w:rsidR="00625002" w:rsidRPr="00790654">
        <w:t xml:space="preserve"> in the slums of ‘megacities’ like Mumbai</w:t>
      </w:r>
      <w:r w:rsidR="00444B6D" w:rsidRPr="00790654">
        <w:t>,</w:t>
      </w:r>
      <w:r w:rsidR="00625002" w:rsidRPr="00790654">
        <w:t xml:space="preserve"> </w:t>
      </w:r>
      <w:r w:rsidRPr="00790654">
        <w:t xml:space="preserve">universal </w:t>
      </w:r>
      <w:r w:rsidR="00625002" w:rsidRPr="00790654">
        <w:t>private toilet facilities</w:t>
      </w:r>
      <w:r w:rsidR="00444B6D" w:rsidRPr="00790654">
        <w:t xml:space="preserve"> </w:t>
      </w:r>
      <w:r w:rsidR="00D24738" w:rsidRPr="00790654">
        <w:t>are</w:t>
      </w:r>
      <w:r w:rsidR="00444B6D" w:rsidRPr="00790654">
        <w:t xml:space="preserve"> achievable</w:t>
      </w:r>
      <w:r w:rsidR="00625002" w:rsidRPr="00790654">
        <w:t xml:space="preserve">, and </w:t>
      </w:r>
      <w:r w:rsidR="00BD46C5" w:rsidRPr="00790654">
        <w:t xml:space="preserve">current efforts are directed at improving </w:t>
      </w:r>
      <w:r w:rsidR="00444B6D" w:rsidRPr="00790654">
        <w:t xml:space="preserve">the quality of </w:t>
      </w:r>
      <w:r w:rsidR="00BD46C5" w:rsidRPr="00790654">
        <w:t xml:space="preserve">shared facilities.  </w:t>
      </w:r>
    </w:p>
    <w:p w14:paraId="57BC7FA0" w14:textId="77777777" w:rsidR="00145B88" w:rsidRPr="00790654" w:rsidRDefault="00145B88" w:rsidP="00E4485B">
      <w:pPr>
        <w:widowControl w:val="0"/>
        <w:spacing w:line="360" w:lineRule="auto"/>
        <w:rPr>
          <w:b/>
        </w:rPr>
      </w:pPr>
      <w:r w:rsidRPr="00790654">
        <w:rPr>
          <w:b/>
        </w:rPr>
        <w:t>Diet</w:t>
      </w:r>
    </w:p>
    <w:p w14:paraId="7579098B" w14:textId="1433FD19" w:rsidR="00145B88" w:rsidRPr="00790654" w:rsidRDefault="00145B88" w:rsidP="00E4485B">
      <w:pPr>
        <w:widowControl w:val="0"/>
        <w:spacing w:line="360" w:lineRule="auto"/>
      </w:pPr>
      <w:r w:rsidRPr="00790654">
        <w:t>Diet diversity was greatest in the two most rural and least transitioned</w:t>
      </w:r>
      <w:r w:rsidR="0018393B" w:rsidRPr="00790654">
        <w:t xml:space="preserve"> s</w:t>
      </w:r>
      <w:r w:rsidRPr="00790654">
        <w:t>ettings, which also had the most undernutrition</w:t>
      </w:r>
      <w:r w:rsidR="001C75AB" w:rsidRPr="00790654">
        <w:t>.</w:t>
      </w:r>
      <w:r w:rsidRPr="00790654">
        <w:t xml:space="preserve"> </w:t>
      </w:r>
      <w:r w:rsidR="0019750E" w:rsidRPr="00790654">
        <w:t xml:space="preserve">This </w:t>
      </w:r>
      <w:r w:rsidRPr="00790654">
        <w:t xml:space="preserve">may be because of </w:t>
      </w:r>
      <w:r w:rsidR="0018393B" w:rsidRPr="00790654">
        <w:t>local agriculture</w:t>
      </w:r>
      <w:r w:rsidRPr="00790654">
        <w:t xml:space="preserve"> and opportunities for </w:t>
      </w:r>
      <w:r w:rsidR="0018393B" w:rsidRPr="00790654">
        <w:t xml:space="preserve">home gardening and/or </w:t>
      </w:r>
      <w:r w:rsidRPr="00790654">
        <w:t xml:space="preserve">foraging, but </w:t>
      </w:r>
      <w:r w:rsidR="00A3506B" w:rsidRPr="00790654">
        <w:t xml:space="preserve">food </w:t>
      </w:r>
      <w:r w:rsidRPr="00790654">
        <w:t xml:space="preserve">quantities </w:t>
      </w:r>
      <w:r w:rsidR="00A3506B" w:rsidRPr="00790654">
        <w:t xml:space="preserve">were not assessed in our study and </w:t>
      </w:r>
      <w:r w:rsidR="00D52F95" w:rsidRPr="00790654">
        <w:t xml:space="preserve">so, although diets were diverse they may not meet </w:t>
      </w:r>
      <w:r w:rsidR="00A712DA" w:rsidRPr="00790654">
        <w:t xml:space="preserve">other </w:t>
      </w:r>
      <w:r w:rsidR="00D52F95" w:rsidRPr="00790654">
        <w:t xml:space="preserve">dietary </w:t>
      </w:r>
      <w:r w:rsidR="00D24738" w:rsidRPr="00790654">
        <w:t>requirements</w:t>
      </w:r>
      <w:r w:rsidRPr="00790654">
        <w:t xml:space="preserve">. </w:t>
      </w:r>
      <w:r w:rsidR="0018393B" w:rsidRPr="00790654">
        <w:t xml:space="preserve">Diet diversity </w:t>
      </w:r>
      <w:r w:rsidR="0019750E" w:rsidRPr="00790654">
        <w:t>was</w:t>
      </w:r>
      <w:r w:rsidR="0018393B" w:rsidRPr="00790654">
        <w:t xml:space="preserve"> lower in girls than boys in </w:t>
      </w:r>
      <w:r w:rsidR="0018393B" w:rsidRPr="00790654">
        <w:lastRenderedPageBreak/>
        <w:t xml:space="preserve">India. Given </w:t>
      </w:r>
      <w:r w:rsidR="0019750E" w:rsidRPr="00790654">
        <w:t>our</w:t>
      </w:r>
      <w:r w:rsidR="0018393B" w:rsidRPr="00790654">
        <w:t xml:space="preserve"> small </w:t>
      </w:r>
      <w:r w:rsidR="0019750E" w:rsidRPr="00790654">
        <w:t>sample size</w:t>
      </w:r>
      <w:r w:rsidR="0018393B" w:rsidRPr="00790654">
        <w:t>, th</w:t>
      </w:r>
      <w:r w:rsidR="00A712DA" w:rsidRPr="00790654">
        <w:t>is</w:t>
      </w:r>
      <w:r w:rsidR="0018393B" w:rsidRPr="00790654">
        <w:t xml:space="preserve"> should be interpreted with caution, but </w:t>
      </w:r>
      <w:r w:rsidR="00A712DA" w:rsidRPr="00790654">
        <w:t xml:space="preserve">it is </w:t>
      </w:r>
      <w:r w:rsidR="0018393B" w:rsidRPr="00790654">
        <w:t xml:space="preserve">consistent with evidence that, especially in rural Indian communities, there is a tendency for boys to eat before girls, and/or </w:t>
      </w:r>
      <w:r w:rsidR="00A3506B" w:rsidRPr="00790654">
        <w:t xml:space="preserve">to </w:t>
      </w:r>
      <w:r w:rsidR="0018393B" w:rsidRPr="00790654">
        <w:t>have access to a greater range of foods</w:t>
      </w:r>
      <w:r w:rsidR="000A6DA4" w:rsidRPr="00790654">
        <w:rPr>
          <w:vertAlign w:val="superscript"/>
        </w:rPr>
        <w:t>27</w:t>
      </w:r>
      <w:r w:rsidR="0018393B" w:rsidRPr="00790654">
        <w:t>.</w:t>
      </w:r>
      <w:r w:rsidR="007D507E" w:rsidRPr="00790654">
        <w:t xml:space="preserve"> The data indicate that adolescents’ intakes of micronutrient-rich fruits and vegetables, and protein source foods, are </w:t>
      </w:r>
      <w:r w:rsidR="00272EC9" w:rsidRPr="00790654">
        <w:t>sub-optimal</w:t>
      </w:r>
      <w:r w:rsidR="007D507E" w:rsidRPr="00790654">
        <w:t xml:space="preserve"> in all </w:t>
      </w:r>
      <w:r w:rsidR="00A3506B" w:rsidRPr="00790654">
        <w:t>of our</w:t>
      </w:r>
      <w:r w:rsidR="007D507E" w:rsidRPr="00790654">
        <w:t xml:space="preserve"> </w:t>
      </w:r>
      <w:r w:rsidR="00EA287A" w:rsidRPr="00790654">
        <w:t xml:space="preserve">study </w:t>
      </w:r>
      <w:r w:rsidR="007D507E" w:rsidRPr="00790654">
        <w:t xml:space="preserve">settings. </w:t>
      </w:r>
      <w:r w:rsidR="000F4279" w:rsidRPr="00790654">
        <w:t>This is consistent with previous data, and</w:t>
      </w:r>
      <w:r w:rsidR="000D05DE" w:rsidRPr="00790654">
        <w:t xml:space="preserve">, since these are costly </w:t>
      </w:r>
      <w:r w:rsidR="00B9221B" w:rsidRPr="00790654">
        <w:t>foods,</w:t>
      </w:r>
      <w:r w:rsidR="000F4279" w:rsidRPr="00790654">
        <w:t xml:space="preserve"> </w:t>
      </w:r>
      <w:r w:rsidR="00B9221B" w:rsidRPr="00790654">
        <w:t xml:space="preserve">it </w:t>
      </w:r>
      <w:r w:rsidR="000F4279" w:rsidRPr="00790654">
        <w:t>is likely to at least partly reflect affordability of these food</w:t>
      </w:r>
      <w:r w:rsidR="00B9221B" w:rsidRPr="00790654">
        <w:t>s in all settings</w:t>
      </w:r>
      <w:r w:rsidR="000A6DA4" w:rsidRPr="00790654">
        <w:rPr>
          <w:vertAlign w:val="superscript"/>
        </w:rPr>
        <w:t>28,29</w:t>
      </w:r>
      <w:r w:rsidR="000F4279" w:rsidRPr="00790654">
        <w:t xml:space="preserve">. </w:t>
      </w:r>
      <w:r w:rsidR="00EA287A" w:rsidRPr="00790654">
        <w:t xml:space="preserve">At the same time, </w:t>
      </w:r>
      <w:r w:rsidR="007D507E" w:rsidRPr="00790654">
        <w:t xml:space="preserve">adolescents, even in rural communities, </w:t>
      </w:r>
      <w:r w:rsidR="00653354" w:rsidRPr="00790654">
        <w:t xml:space="preserve">were able to obtain, and were frequently eating, </w:t>
      </w:r>
      <w:r w:rsidR="0067446C" w:rsidRPr="00790654">
        <w:t xml:space="preserve">unhealthy </w:t>
      </w:r>
      <w:r w:rsidR="007D507E" w:rsidRPr="00790654">
        <w:t>snacks and drinks</w:t>
      </w:r>
      <w:r w:rsidR="0019750E" w:rsidRPr="00790654">
        <w:t>, often l</w:t>
      </w:r>
      <w:r w:rsidR="00272EC9" w:rsidRPr="00790654">
        <w:t>ocally made</w:t>
      </w:r>
      <w:r w:rsidR="0019750E" w:rsidRPr="00790654">
        <w:t xml:space="preserve"> and </w:t>
      </w:r>
      <w:r w:rsidR="003B7959" w:rsidRPr="00790654">
        <w:t xml:space="preserve">sold </w:t>
      </w:r>
      <w:r w:rsidR="00D2228C" w:rsidRPr="00790654">
        <w:t xml:space="preserve">extremely cheaply </w:t>
      </w:r>
      <w:r w:rsidR="0019750E" w:rsidRPr="00790654">
        <w:t xml:space="preserve">near schools </w:t>
      </w:r>
      <w:r w:rsidR="003B7959" w:rsidRPr="00790654">
        <w:t xml:space="preserve">by informal </w:t>
      </w:r>
      <w:r w:rsidR="0019750E" w:rsidRPr="00790654">
        <w:t xml:space="preserve">roadside </w:t>
      </w:r>
      <w:r w:rsidR="003B7959" w:rsidRPr="00790654">
        <w:t>vendors</w:t>
      </w:r>
      <w:r w:rsidR="00272EC9" w:rsidRPr="00790654">
        <w:t>.</w:t>
      </w:r>
      <w:r w:rsidR="002E2848" w:rsidRPr="00790654">
        <w:t xml:space="preserve"> As reported </w:t>
      </w:r>
      <w:r w:rsidR="006D72FD" w:rsidRPr="00790654">
        <w:t>from other LMICs</w:t>
      </w:r>
      <w:r w:rsidR="002E2848" w:rsidRPr="00790654">
        <w:t>, intake of these often exceeded th</w:t>
      </w:r>
      <w:r w:rsidR="006D72FD" w:rsidRPr="00790654">
        <w:t>at</w:t>
      </w:r>
      <w:r w:rsidR="002E2848" w:rsidRPr="00790654">
        <w:t xml:space="preserve"> of nutritious foods</w:t>
      </w:r>
      <w:r w:rsidR="000A6DA4" w:rsidRPr="00790654">
        <w:rPr>
          <w:vertAlign w:val="superscript"/>
        </w:rPr>
        <w:t>30</w:t>
      </w:r>
      <w:r w:rsidR="002E2848" w:rsidRPr="00790654">
        <w:t>.</w:t>
      </w:r>
      <w:r w:rsidR="00D015A3" w:rsidRPr="00790654">
        <w:t xml:space="preserve"> Finding sustainable ways of improving diet quality among adolescents </w:t>
      </w:r>
      <w:r w:rsidR="0040106D" w:rsidRPr="00790654">
        <w:t xml:space="preserve">should be </w:t>
      </w:r>
      <w:r w:rsidR="00D015A3" w:rsidRPr="00790654">
        <w:t>a research priority.</w:t>
      </w:r>
    </w:p>
    <w:p w14:paraId="3F701354" w14:textId="1768EA7F" w:rsidR="00440EC0" w:rsidRPr="00790654" w:rsidRDefault="008341DD" w:rsidP="00091301">
      <w:pPr>
        <w:spacing w:line="360" w:lineRule="auto"/>
        <w:rPr>
          <w:b/>
        </w:rPr>
      </w:pPr>
      <w:r w:rsidRPr="00790654">
        <w:rPr>
          <w:b/>
        </w:rPr>
        <w:t>Screen time and m</w:t>
      </w:r>
      <w:r w:rsidR="00440EC0" w:rsidRPr="00790654">
        <w:rPr>
          <w:b/>
        </w:rPr>
        <w:t>obile phone ownership</w:t>
      </w:r>
    </w:p>
    <w:p w14:paraId="49A264D7" w14:textId="3A09351A" w:rsidR="00D30C70" w:rsidRPr="00790654" w:rsidRDefault="00737C78" w:rsidP="00091301">
      <w:pPr>
        <w:spacing w:line="360" w:lineRule="auto"/>
      </w:pPr>
      <w:r w:rsidRPr="00790654">
        <w:t xml:space="preserve">Screen time </w:t>
      </w:r>
      <w:r w:rsidR="008341DD" w:rsidRPr="00790654">
        <w:t xml:space="preserve">varied across settings, but adolescents in urban Abidjan and Johannesburg were spending on average </w:t>
      </w:r>
      <w:r w:rsidR="00107A87" w:rsidRPr="00790654">
        <w:t xml:space="preserve">of </w:t>
      </w:r>
      <w:r w:rsidR="008341DD" w:rsidRPr="00790654">
        <w:t xml:space="preserve">2 or more hours a day watching </w:t>
      </w:r>
      <w:r w:rsidR="00392826" w:rsidRPr="00790654">
        <w:t>television</w:t>
      </w:r>
      <w:r w:rsidR="008341DD" w:rsidRPr="00790654">
        <w:t xml:space="preserve"> and 1 or more hours playing digital games. Displacement of physical activity by </w:t>
      </w:r>
      <w:r w:rsidR="0019750E" w:rsidRPr="00790654">
        <w:t>screen time</w:t>
      </w:r>
      <w:r w:rsidR="008341DD" w:rsidRPr="00790654">
        <w:t xml:space="preserve"> </w:t>
      </w:r>
      <w:r w:rsidR="006C3429" w:rsidRPr="00790654">
        <w:t xml:space="preserve">was a major concern </w:t>
      </w:r>
      <w:r w:rsidR="00392826" w:rsidRPr="00790654">
        <w:t>reported by caregivers in the qualitative work reported in other papers in this issue</w:t>
      </w:r>
      <w:r w:rsidR="008341DD" w:rsidRPr="00790654">
        <w:t xml:space="preserve">. </w:t>
      </w:r>
      <w:r w:rsidR="00392826" w:rsidRPr="00790654">
        <w:t xml:space="preserve">Television </w:t>
      </w:r>
      <w:r w:rsidR="00306ECB" w:rsidRPr="00790654">
        <w:t xml:space="preserve">ownership </w:t>
      </w:r>
      <w:r w:rsidR="00392826" w:rsidRPr="00790654">
        <w:t xml:space="preserve">was almost universal among the families studied, except in The Gambia. </w:t>
      </w:r>
      <w:r w:rsidR="00A020D3" w:rsidRPr="00790654">
        <w:t>TV t</w:t>
      </w:r>
      <w:r w:rsidR="008341DD" w:rsidRPr="00790654">
        <w:t xml:space="preserve">ime has been robustly linked to </w:t>
      </w:r>
      <w:r w:rsidR="00A020D3" w:rsidRPr="00790654">
        <w:t>BMI</w:t>
      </w:r>
      <w:r w:rsidRPr="00790654">
        <w:t xml:space="preserve"> in adolescents</w:t>
      </w:r>
      <w:r w:rsidR="008341DD" w:rsidRPr="00790654">
        <w:t xml:space="preserve">, through a combination of sedentariness, snacking, exposure to </w:t>
      </w:r>
      <w:r w:rsidR="0019750E" w:rsidRPr="00790654">
        <w:t xml:space="preserve">food </w:t>
      </w:r>
      <w:r w:rsidR="008341DD" w:rsidRPr="00790654">
        <w:t xml:space="preserve">advertisements, and </w:t>
      </w:r>
      <w:r w:rsidRPr="00790654">
        <w:t>reduc</w:t>
      </w:r>
      <w:r w:rsidR="0019750E" w:rsidRPr="00790654">
        <w:t>ed</w:t>
      </w:r>
      <w:r w:rsidRPr="00790654">
        <w:t xml:space="preserve"> sleep time</w:t>
      </w:r>
      <w:r w:rsidR="000A6DA4" w:rsidRPr="00790654">
        <w:rPr>
          <w:vertAlign w:val="superscript"/>
        </w:rPr>
        <w:t>31,32</w:t>
      </w:r>
      <w:r w:rsidR="008341DD" w:rsidRPr="00790654">
        <w:t>.</w:t>
      </w:r>
      <w:r w:rsidRPr="00790654">
        <w:t xml:space="preserve"> </w:t>
      </w:r>
      <w:r w:rsidR="00392826" w:rsidRPr="00790654">
        <w:t>Ownership of computers, home access to the internet, and t</w:t>
      </w:r>
      <w:r w:rsidRPr="00790654">
        <w:t>he use of computers for schoolwork w</w:t>
      </w:r>
      <w:r w:rsidR="00392826" w:rsidRPr="00790654">
        <w:t>ere all</w:t>
      </w:r>
      <w:r w:rsidRPr="00790654">
        <w:t xml:space="preserve"> markedly low</w:t>
      </w:r>
      <w:r w:rsidR="00306ECB" w:rsidRPr="00790654">
        <w:t>. T</w:t>
      </w:r>
      <w:r w:rsidR="00D24738" w:rsidRPr="00790654">
        <w:t xml:space="preserve">he </w:t>
      </w:r>
      <w:r w:rsidRPr="00790654">
        <w:t xml:space="preserve">investigators in all settings report that school equipment remains fairly basic (mainly blackboard and chalk) though school students use internet centres and smart phones for school projects. </w:t>
      </w:r>
      <w:r w:rsidR="005E72F9" w:rsidRPr="00790654">
        <w:t>S</w:t>
      </w:r>
      <w:r w:rsidR="003A57EF" w:rsidRPr="00790654">
        <w:t xml:space="preserve">mart phone ownership was negligible in </w:t>
      </w:r>
      <w:r w:rsidR="0019750E" w:rsidRPr="00790654">
        <w:t>m</w:t>
      </w:r>
      <w:r w:rsidR="005E72F9" w:rsidRPr="00790654">
        <w:t>ost</w:t>
      </w:r>
      <w:r w:rsidR="0019750E" w:rsidRPr="00790654">
        <w:t xml:space="preserve"> settings</w:t>
      </w:r>
      <w:r w:rsidR="003A57EF" w:rsidRPr="00790654">
        <w:t xml:space="preserve">, but </w:t>
      </w:r>
      <w:r w:rsidR="005E72F9" w:rsidRPr="00790654">
        <w:t>~</w:t>
      </w:r>
      <w:r w:rsidR="003A57EF" w:rsidRPr="00790654">
        <w:t xml:space="preserve">20-40% </w:t>
      </w:r>
      <w:r w:rsidR="005E72F9" w:rsidRPr="00790654">
        <w:t xml:space="preserve">of young adolescents and </w:t>
      </w:r>
      <w:r w:rsidR="005E72F9" w:rsidRPr="00790654">
        <w:rPr>
          <w:u w:val="single"/>
        </w:rPr>
        <w:t>&gt;</w:t>
      </w:r>
      <w:r w:rsidR="005E72F9" w:rsidRPr="00790654">
        <w:t xml:space="preserve">50% of older adolescents </w:t>
      </w:r>
      <w:r w:rsidR="003A57EF" w:rsidRPr="00790654">
        <w:t>in Abidjan and Johannesburg</w:t>
      </w:r>
      <w:r w:rsidR="005E72F9" w:rsidRPr="00790654">
        <w:t xml:space="preserve"> had smart phones</w:t>
      </w:r>
      <w:r w:rsidR="003A57EF" w:rsidRPr="00790654">
        <w:t>.</w:t>
      </w:r>
      <w:r w:rsidR="005E72F9" w:rsidRPr="00790654">
        <w:t xml:space="preserve"> </w:t>
      </w:r>
      <w:r w:rsidR="003A57EF" w:rsidRPr="00790654">
        <w:t xml:space="preserve">We did not collect data on this, but we are aware </w:t>
      </w:r>
      <w:r w:rsidRPr="00790654">
        <w:t xml:space="preserve">anecdotally </w:t>
      </w:r>
      <w:r w:rsidR="003A57EF" w:rsidRPr="00790654">
        <w:t xml:space="preserve">that smart phones owned by family members are </w:t>
      </w:r>
      <w:r w:rsidR="005E72F9" w:rsidRPr="00790654">
        <w:t xml:space="preserve">frequently shared with </w:t>
      </w:r>
      <w:r w:rsidR="003A57EF" w:rsidRPr="00790654">
        <w:t>adolescents.</w:t>
      </w:r>
      <w:r w:rsidR="00F06931" w:rsidRPr="00790654">
        <w:t xml:space="preserve"> </w:t>
      </w:r>
      <w:r w:rsidR="003A3538" w:rsidRPr="00790654">
        <w:t xml:space="preserve">There is evidence that </w:t>
      </w:r>
      <w:r w:rsidR="00947AD9" w:rsidRPr="00790654">
        <w:t xml:space="preserve">smart phone usage can be associated with </w:t>
      </w:r>
      <w:r w:rsidR="00B40628" w:rsidRPr="00790654">
        <w:t xml:space="preserve">reduced physical activity, </w:t>
      </w:r>
      <w:r w:rsidR="0015306F" w:rsidRPr="00790654">
        <w:t xml:space="preserve">a risk factor for obesity, </w:t>
      </w:r>
      <w:r w:rsidR="00B40628" w:rsidRPr="00790654">
        <w:t xml:space="preserve">and with </w:t>
      </w:r>
      <w:r w:rsidR="00F06931" w:rsidRPr="00790654">
        <w:t xml:space="preserve">mental </w:t>
      </w:r>
      <w:r w:rsidR="005E72F9" w:rsidRPr="00790654">
        <w:t xml:space="preserve">health </w:t>
      </w:r>
      <w:r w:rsidR="00F06931" w:rsidRPr="00790654">
        <w:t>problems</w:t>
      </w:r>
      <w:r w:rsidR="002971C4" w:rsidRPr="00790654">
        <w:t>, possibly because of</w:t>
      </w:r>
      <w:r w:rsidR="00F06931" w:rsidRPr="00790654">
        <w:t xml:space="preserve"> </w:t>
      </w:r>
      <w:r w:rsidR="00B40628" w:rsidRPr="00790654">
        <w:t xml:space="preserve">sleep impairment and/or </w:t>
      </w:r>
      <w:r w:rsidR="009B7F6E" w:rsidRPr="00790654">
        <w:t xml:space="preserve">exposure to </w:t>
      </w:r>
      <w:r w:rsidR="00844B20" w:rsidRPr="00790654">
        <w:t>harmful online material</w:t>
      </w:r>
      <w:r w:rsidR="00947AD9" w:rsidRPr="00790654">
        <w:t xml:space="preserve"> or bullying</w:t>
      </w:r>
      <w:r w:rsidR="00F30BA6" w:rsidRPr="00790654">
        <w:rPr>
          <w:vertAlign w:val="superscript"/>
        </w:rPr>
        <w:t>3</w:t>
      </w:r>
      <w:r w:rsidR="000A6DA4" w:rsidRPr="00790654">
        <w:rPr>
          <w:vertAlign w:val="superscript"/>
        </w:rPr>
        <w:t>3-35</w:t>
      </w:r>
      <w:r w:rsidR="00B40628" w:rsidRPr="00790654">
        <w:t>.</w:t>
      </w:r>
      <w:r w:rsidR="00F06931" w:rsidRPr="00790654">
        <w:t xml:space="preserve"> </w:t>
      </w:r>
      <w:r w:rsidR="00B40628" w:rsidRPr="00790654">
        <w:t>However, they</w:t>
      </w:r>
      <w:r w:rsidR="00F06931" w:rsidRPr="00790654">
        <w:t xml:space="preserve"> are also potential</w:t>
      </w:r>
      <w:r w:rsidR="00B66761" w:rsidRPr="00790654">
        <w:t>ly valuable</w:t>
      </w:r>
      <w:r w:rsidR="00F06931" w:rsidRPr="00790654">
        <w:t xml:space="preserve"> platforms </w:t>
      </w:r>
      <w:r w:rsidR="00B66761" w:rsidRPr="00790654">
        <w:t xml:space="preserve">from which </w:t>
      </w:r>
      <w:r w:rsidR="00F06931" w:rsidRPr="00790654">
        <w:t xml:space="preserve">to </w:t>
      </w:r>
      <w:r w:rsidR="00B66761" w:rsidRPr="00790654">
        <w:t xml:space="preserve">provide </w:t>
      </w:r>
      <w:r w:rsidR="00344E21" w:rsidRPr="00790654">
        <w:t xml:space="preserve">health </w:t>
      </w:r>
      <w:r w:rsidR="00B66761" w:rsidRPr="00790654">
        <w:t xml:space="preserve">information </w:t>
      </w:r>
      <w:r w:rsidR="004529F6" w:rsidRPr="00790654">
        <w:t xml:space="preserve">and </w:t>
      </w:r>
      <w:r w:rsidR="00F06931" w:rsidRPr="00790654">
        <w:t xml:space="preserve">engage </w:t>
      </w:r>
      <w:r w:rsidR="00A020D3" w:rsidRPr="00790654">
        <w:t xml:space="preserve">adolescents </w:t>
      </w:r>
      <w:r w:rsidR="00F06931" w:rsidRPr="00790654">
        <w:t xml:space="preserve">in </w:t>
      </w:r>
      <w:r w:rsidR="00B66761" w:rsidRPr="00790654">
        <w:t xml:space="preserve">interventions to </w:t>
      </w:r>
      <w:r w:rsidR="00F06931" w:rsidRPr="00790654">
        <w:t>improv</w:t>
      </w:r>
      <w:r w:rsidR="00B66761" w:rsidRPr="00790654">
        <w:t>e</w:t>
      </w:r>
      <w:r w:rsidR="00F06931" w:rsidRPr="00790654">
        <w:t xml:space="preserve"> health</w:t>
      </w:r>
      <w:r w:rsidR="00F30BA6" w:rsidRPr="00790654">
        <w:rPr>
          <w:vertAlign w:val="superscript"/>
        </w:rPr>
        <w:t>3</w:t>
      </w:r>
      <w:r w:rsidR="000A6DA4" w:rsidRPr="00790654">
        <w:rPr>
          <w:vertAlign w:val="superscript"/>
        </w:rPr>
        <w:t>6,37</w:t>
      </w:r>
      <w:r w:rsidR="00F06931" w:rsidRPr="00790654">
        <w:t xml:space="preserve">. </w:t>
      </w:r>
      <w:r w:rsidR="00A020D3" w:rsidRPr="00790654">
        <w:t>S</w:t>
      </w:r>
      <w:r w:rsidR="00F06931" w:rsidRPr="00790654">
        <w:t xml:space="preserve">mart phone ownership </w:t>
      </w:r>
      <w:r w:rsidR="00A020D3" w:rsidRPr="00790654">
        <w:t xml:space="preserve">among adults </w:t>
      </w:r>
      <w:r w:rsidR="004529F6" w:rsidRPr="00790654">
        <w:t xml:space="preserve">was estimated </w:t>
      </w:r>
      <w:r w:rsidR="00A020D3" w:rsidRPr="00790654">
        <w:t xml:space="preserve">in 2017 </w:t>
      </w:r>
      <w:r w:rsidR="004529F6" w:rsidRPr="00790654">
        <w:t>at 22% in India</w:t>
      </w:r>
      <w:r w:rsidR="005E72F9" w:rsidRPr="00790654">
        <w:t xml:space="preserve"> and</w:t>
      </w:r>
      <w:r w:rsidR="004529F6" w:rsidRPr="00790654">
        <w:t xml:space="preserve"> 51% in South Africa</w:t>
      </w:r>
      <w:r w:rsidR="005E72F9" w:rsidRPr="00790654">
        <w:t xml:space="preserve">; </w:t>
      </w:r>
      <w:r w:rsidR="00A020D3" w:rsidRPr="00790654">
        <w:t xml:space="preserve">and </w:t>
      </w:r>
      <w:r w:rsidR="00B66761" w:rsidRPr="00790654">
        <w:t xml:space="preserve">ownership </w:t>
      </w:r>
      <w:r w:rsidR="005E72F9" w:rsidRPr="00790654">
        <w:t xml:space="preserve">in LMICs </w:t>
      </w:r>
      <w:r w:rsidR="00B66761" w:rsidRPr="00790654">
        <w:t>increased by 10-20% between 2015 and 2017</w:t>
      </w:r>
      <w:r w:rsidR="000A6DA4" w:rsidRPr="00790654">
        <w:rPr>
          <w:vertAlign w:val="superscript"/>
        </w:rPr>
        <w:t>38</w:t>
      </w:r>
      <w:r w:rsidR="00A020D3" w:rsidRPr="00790654">
        <w:t>, but there are few data specifically from adolescents.</w:t>
      </w:r>
      <w:r w:rsidR="00B66761" w:rsidRPr="00790654">
        <w:t xml:space="preserve"> </w:t>
      </w:r>
    </w:p>
    <w:p w14:paraId="7E30C6A4" w14:textId="77777777" w:rsidR="00504120" w:rsidRPr="00790654" w:rsidRDefault="00504120" w:rsidP="00091301">
      <w:pPr>
        <w:spacing w:line="360" w:lineRule="auto"/>
        <w:rPr>
          <w:b/>
        </w:rPr>
      </w:pPr>
      <w:r w:rsidRPr="00790654">
        <w:rPr>
          <w:b/>
        </w:rPr>
        <w:t>Strengths and limitations</w:t>
      </w:r>
    </w:p>
    <w:p w14:paraId="30416CF4" w14:textId="1AA4C3C6" w:rsidR="00242C5E" w:rsidRPr="00790654" w:rsidRDefault="00504120" w:rsidP="00091301">
      <w:pPr>
        <w:widowControl w:val="0"/>
        <w:spacing w:line="360" w:lineRule="auto"/>
        <w:rPr>
          <w:b/>
        </w:rPr>
      </w:pPr>
      <w:r w:rsidRPr="00790654">
        <w:lastRenderedPageBreak/>
        <w:t xml:space="preserve">The strength of </w:t>
      </w:r>
      <w:r w:rsidR="00A020D3" w:rsidRPr="00790654">
        <w:t>our</w:t>
      </w:r>
      <w:r w:rsidRPr="00790654">
        <w:t xml:space="preserve"> data is </w:t>
      </w:r>
      <w:r w:rsidR="00D30C70" w:rsidRPr="00790654">
        <w:t xml:space="preserve">the harmonised approach </w:t>
      </w:r>
      <w:r w:rsidR="00D24738" w:rsidRPr="00790654">
        <w:t xml:space="preserve">across </w:t>
      </w:r>
      <w:r w:rsidR="00D30C70" w:rsidRPr="00790654">
        <w:t>eight settings, providing</w:t>
      </w:r>
      <w:r w:rsidRPr="00790654">
        <w:t xml:space="preserve"> valuable contextual information about the pool of adolescents from which the focus groups were derived and for whom we have qualitative data. </w:t>
      </w:r>
      <w:r w:rsidR="0067446C" w:rsidRPr="00790654">
        <w:t xml:space="preserve">Data were collected by trained staff fluent in languages used by the participants. </w:t>
      </w:r>
      <w:r w:rsidR="000A4FAA" w:rsidRPr="00790654">
        <w:t>A limitation was that</w:t>
      </w:r>
      <w:r w:rsidR="00A020D3" w:rsidRPr="00790654">
        <w:t xml:space="preserve">, </w:t>
      </w:r>
      <w:r w:rsidR="00B76AD2" w:rsidRPr="00790654">
        <w:t>except</w:t>
      </w:r>
      <w:r w:rsidR="00A020D3" w:rsidRPr="00790654">
        <w:t xml:space="preserve"> for</w:t>
      </w:r>
      <w:r w:rsidR="00B76AD2" w:rsidRPr="00790654">
        <w:t xml:space="preserve"> West Kiang, the adolescents studied were convenience samples, recruited in schools or by health workers, and not population-based. </w:t>
      </w:r>
      <w:r w:rsidR="000A4FAA" w:rsidRPr="00790654">
        <w:t>A</w:t>
      </w:r>
      <w:r w:rsidR="0015306F" w:rsidRPr="00790654">
        <w:t xml:space="preserve"> further limitation</w:t>
      </w:r>
      <w:r w:rsidR="000A4FAA" w:rsidRPr="00790654">
        <w:t xml:space="preserve"> was that, </w:t>
      </w:r>
      <w:r w:rsidR="00366F79" w:rsidRPr="00790654">
        <w:t>b</w:t>
      </w:r>
      <w:r w:rsidR="00A32BF0" w:rsidRPr="00790654">
        <w:t xml:space="preserve">y design, the sample size </w:t>
      </w:r>
      <w:r w:rsidR="00366F79" w:rsidRPr="00790654">
        <w:t>in each s</w:t>
      </w:r>
      <w:r w:rsidR="000A4FAA" w:rsidRPr="00790654">
        <w:t>etting</w:t>
      </w:r>
      <w:r w:rsidR="00E26D9F" w:rsidRPr="00790654">
        <w:t xml:space="preserve"> was small, </w:t>
      </w:r>
      <w:r w:rsidR="00444C64" w:rsidRPr="00790654">
        <w:t xml:space="preserve">limiting robust </w:t>
      </w:r>
      <w:r w:rsidR="00E26D9F" w:rsidRPr="00790654">
        <w:t>sub-group comparisons</w:t>
      </w:r>
      <w:r w:rsidR="00242C5E" w:rsidRPr="00790654">
        <w:t>.</w:t>
      </w:r>
      <w:r w:rsidR="00191C3F" w:rsidRPr="00790654">
        <w:t xml:space="preserve"> One site </w:t>
      </w:r>
      <w:r w:rsidR="005F03BE" w:rsidRPr="00790654">
        <w:t xml:space="preserve">(Jimma, Ethiopia) </w:t>
      </w:r>
      <w:r w:rsidR="00191C3F" w:rsidRPr="00790654">
        <w:t xml:space="preserve">did not </w:t>
      </w:r>
      <w:r w:rsidR="005F03BE" w:rsidRPr="00790654">
        <w:t xml:space="preserve">reach </w:t>
      </w:r>
      <w:r w:rsidR="00191C3F" w:rsidRPr="00790654">
        <w:t xml:space="preserve">the target sample for </w:t>
      </w:r>
      <w:r w:rsidR="005F03BE" w:rsidRPr="00790654">
        <w:t>recruitment</w:t>
      </w:r>
      <w:r w:rsidR="007349A2" w:rsidRPr="00790654">
        <w:t xml:space="preserve"> to the quantitative survey; th</w:t>
      </w:r>
      <w:r w:rsidR="000A6DA4" w:rsidRPr="00790654">
        <w:t>is</w:t>
      </w:r>
      <w:r w:rsidR="005F03BE" w:rsidRPr="00790654">
        <w:t xml:space="preserve"> </w:t>
      </w:r>
      <w:r w:rsidR="007349A2" w:rsidRPr="00790654">
        <w:t>c</w:t>
      </w:r>
      <w:r w:rsidR="009F3029" w:rsidRPr="00790654">
        <w:t xml:space="preserve">ould reduce </w:t>
      </w:r>
      <w:r w:rsidR="005F03BE" w:rsidRPr="00790654">
        <w:t xml:space="preserve">the </w:t>
      </w:r>
      <w:r w:rsidR="007349A2" w:rsidRPr="00790654">
        <w:t>generalisability</w:t>
      </w:r>
      <w:r w:rsidR="005F03BE" w:rsidRPr="00790654">
        <w:t xml:space="preserve"> of the</w:t>
      </w:r>
      <w:r w:rsidR="000A6DA4" w:rsidRPr="00790654">
        <w:t>ir</w:t>
      </w:r>
      <w:r w:rsidR="005F03BE" w:rsidRPr="00790654">
        <w:t xml:space="preserve"> data</w:t>
      </w:r>
      <w:r w:rsidR="007349A2" w:rsidRPr="00790654">
        <w:t>, but remain</w:t>
      </w:r>
      <w:r w:rsidR="0016723E" w:rsidRPr="00790654">
        <w:t>s</w:t>
      </w:r>
      <w:r w:rsidR="007349A2" w:rsidRPr="00790654">
        <w:t xml:space="preserve"> useful for contextualising their qualitative </w:t>
      </w:r>
      <w:r w:rsidR="0016723E" w:rsidRPr="00790654">
        <w:t>work</w:t>
      </w:r>
      <w:r w:rsidR="005F03BE" w:rsidRPr="00790654">
        <w:t xml:space="preserve">. Two centres (South Arica and The Gambia) did not </w:t>
      </w:r>
      <w:r w:rsidR="000A6DA4" w:rsidRPr="00790654">
        <w:t xml:space="preserve">have </w:t>
      </w:r>
      <w:r w:rsidR="009F3029" w:rsidRPr="00790654">
        <w:t>d</w:t>
      </w:r>
      <w:r w:rsidR="001C5338" w:rsidRPr="00790654">
        <w:t xml:space="preserve">ata on </w:t>
      </w:r>
      <w:r w:rsidR="009F3029" w:rsidRPr="00790654">
        <w:t xml:space="preserve">the </w:t>
      </w:r>
      <w:r w:rsidR="001C5338" w:rsidRPr="00790654">
        <w:t xml:space="preserve">frequency of intake of </w:t>
      </w:r>
      <w:r w:rsidR="005F03BE" w:rsidRPr="00790654">
        <w:t xml:space="preserve">all </w:t>
      </w:r>
      <w:r w:rsidR="001C5338" w:rsidRPr="00790654">
        <w:t>foods</w:t>
      </w:r>
      <w:r w:rsidR="005F03BE" w:rsidRPr="00790654">
        <w:t xml:space="preserve">, due to a misunderstanding about how to ask the questions (they asked about </w:t>
      </w:r>
      <w:r w:rsidR="000A6DA4" w:rsidRPr="00790654">
        <w:t xml:space="preserve">the </w:t>
      </w:r>
      <w:r w:rsidR="005F03BE" w:rsidRPr="00790654">
        <w:t xml:space="preserve">frequency of intake of foods only if the adolescent reported eating </w:t>
      </w:r>
      <w:r w:rsidR="000A6DA4" w:rsidRPr="00790654">
        <w:t>that</w:t>
      </w:r>
      <w:r w:rsidR="005F03BE" w:rsidRPr="00790654">
        <w:t xml:space="preserve"> food within the past 24 hours); the frequency data w</w:t>
      </w:r>
      <w:r w:rsidR="000A6DA4" w:rsidRPr="00790654">
        <w:t>as</w:t>
      </w:r>
      <w:r w:rsidR="005F03BE" w:rsidRPr="00790654">
        <w:t xml:space="preserve"> therefore incomplete for these two sites</w:t>
      </w:r>
      <w:r w:rsidR="00191C3F" w:rsidRPr="00790654">
        <w:t>.</w:t>
      </w:r>
      <w:r w:rsidR="007349A2" w:rsidRPr="00790654">
        <w:t xml:space="preserve"> The other data collected </w:t>
      </w:r>
      <w:r w:rsidR="0016723E" w:rsidRPr="00790654">
        <w:t xml:space="preserve">in these sites </w:t>
      </w:r>
      <w:r w:rsidR="007349A2" w:rsidRPr="00790654">
        <w:t>w</w:t>
      </w:r>
      <w:r w:rsidR="000A6DA4" w:rsidRPr="00790654">
        <w:t>as</w:t>
      </w:r>
      <w:r w:rsidR="007349A2" w:rsidRPr="00790654">
        <w:t>, however, useful.</w:t>
      </w:r>
      <w:r w:rsidRPr="00790654">
        <w:t xml:space="preserve"> </w:t>
      </w:r>
      <w:r w:rsidR="007349A2" w:rsidRPr="00790654">
        <w:t>Finally, w</w:t>
      </w:r>
      <w:r w:rsidR="0067446C" w:rsidRPr="00790654">
        <w:t>e could not verify the information recorded, and therefore the possibility of under- or over-reporting (eg. social desirability bias).</w:t>
      </w:r>
    </w:p>
    <w:p w14:paraId="58FD8B5B" w14:textId="77777777" w:rsidR="00B45A9A" w:rsidRPr="00790654" w:rsidRDefault="00B45A9A" w:rsidP="00091301">
      <w:pPr>
        <w:widowControl w:val="0"/>
        <w:spacing w:line="360" w:lineRule="auto"/>
        <w:rPr>
          <w:b/>
        </w:rPr>
      </w:pPr>
      <w:r w:rsidRPr="00790654">
        <w:rPr>
          <w:b/>
        </w:rPr>
        <w:t>Conclusions</w:t>
      </w:r>
    </w:p>
    <w:p w14:paraId="11D7FD2D" w14:textId="58146C48" w:rsidR="00D30C70" w:rsidRPr="00790654" w:rsidRDefault="00D30C70" w:rsidP="00091301">
      <w:pPr>
        <w:widowControl w:val="0"/>
        <w:spacing w:line="360" w:lineRule="auto"/>
      </w:pPr>
      <w:r w:rsidRPr="00790654">
        <w:t xml:space="preserve">The quantitative data captured considerable diversity in anthropometry, socio-economic parameters, diet and mobile phone usage and screen time across the TALENT settings. The implication of our results is that </w:t>
      </w:r>
      <w:r w:rsidR="004D2701" w:rsidRPr="00790654">
        <w:t>there is a</w:t>
      </w:r>
      <w:r w:rsidRPr="00790654">
        <w:t xml:space="preserve"> need to address the ‘double burden of malnutrition’ seen across the settings and that </w:t>
      </w:r>
      <w:r w:rsidR="004D2701" w:rsidRPr="00790654">
        <w:t xml:space="preserve">improving </w:t>
      </w:r>
      <w:r w:rsidRPr="00790654">
        <w:t xml:space="preserve">nutrition, particularly </w:t>
      </w:r>
      <w:r w:rsidR="00D24738" w:rsidRPr="00790654">
        <w:t xml:space="preserve">increasing </w:t>
      </w:r>
      <w:r w:rsidRPr="00790654">
        <w:t xml:space="preserve">diet diversity and reducing  intakes of unhealthy snack foods and sugar-sweetened beverages may be important approaches. </w:t>
      </w:r>
      <w:r w:rsidR="00C917BB" w:rsidRPr="00790654">
        <w:t>N</w:t>
      </w:r>
      <w:r w:rsidRPr="00790654">
        <w:t>ext steps include working with adolescents in these communities</w:t>
      </w:r>
      <w:r w:rsidR="004D2701" w:rsidRPr="00790654">
        <w:t>,</w:t>
      </w:r>
      <w:r w:rsidRPr="00790654">
        <w:t xml:space="preserve"> and other stakeholders to co-create solutions that are feasible, acceptable and scalable to improve </w:t>
      </w:r>
      <w:r w:rsidR="00C917BB" w:rsidRPr="00790654">
        <w:t xml:space="preserve">the </w:t>
      </w:r>
      <w:r w:rsidRPr="00790654">
        <w:t>nutrition of young people.</w:t>
      </w:r>
    </w:p>
    <w:p w14:paraId="07AF30B1" w14:textId="77777777" w:rsidR="008B3AF9" w:rsidRPr="00790654" w:rsidRDefault="008B3AF9" w:rsidP="00091301">
      <w:pPr>
        <w:spacing w:line="360" w:lineRule="auto"/>
        <w:rPr>
          <w:b/>
        </w:rPr>
      </w:pPr>
    </w:p>
    <w:p w14:paraId="5B7B09D8" w14:textId="77777777" w:rsidR="00672A90" w:rsidRPr="00790654" w:rsidRDefault="00672A90" w:rsidP="00091301">
      <w:pPr>
        <w:spacing w:line="360" w:lineRule="auto"/>
        <w:rPr>
          <w:b/>
        </w:rPr>
      </w:pPr>
      <w:r w:rsidRPr="00790654">
        <w:rPr>
          <w:b/>
        </w:rPr>
        <w:t>References</w:t>
      </w:r>
    </w:p>
    <w:p w14:paraId="29624865" w14:textId="16E07321" w:rsidR="007F7770" w:rsidRPr="00790654" w:rsidRDefault="007F7770" w:rsidP="00E53BC7">
      <w:pPr>
        <w:pStyle w:val="ListParagraph"/>
        <w:numPr>
          <w:ilvl w:val="0"/>
          <w:numId w:val="7"/>
        </w:numPr>
        <w:spacing w:line="360" w:lineRule="auto"/>
      </w:pPr>
      <w:r w:rsidRPr="00790654">
        <w:t xml:space="preserve">Popkin BM, </w:t>
      </w:r>
      <w:proofErr w:type="spellStart"/>
      <w:r w:rsidRPr="00790654">
        <w:t>Corvalan</w:t>
      </w:r>
      <w:proofErr w:type="spellEnd"/>
      <w:r w:rsidRPr="00790654">
        <w:t xml:space="preserve"> C, </w:t>
      </w:r>
      <w:proofErr w:type="spellStart"/>
      <w:r w:rsidRPr="00790654">
        <w:t>Grummer</w:t>
      </w:r>
      <w:proofErr w:type="spellEnd"/>
      <w:r w:rsidRPr="00790654">
        <w:t>-Strawn LM</w:t>
      </w:r>
      <w:r w:rsidR="00D015A3" w:rsidRPr="00790654">
        <w:t xml:space="preserve"> (2020)</w:t>
      </w:r>
      <w:r w:rsidRPr="00790654">
        <w:t xml:space="preserve"> Dynamics of the double burden of malnutrition and the changing nutrition reality. </w:t>
      </w:r>
      <w:r w:rsidRPr="00790654">
        <w:rPr>
          <w:i/>
        </w:rPr>
        <w:t xml:space="preserve">Lancet </w:t>
      </w:r>
      <w:r w:rsidRPr="00790654">
        <w:t>395</w:t>
      </w:r>
      <w:r w:rsidR="00D015A3" w:rsidRPr="00790654">
        <w:t>,</w:t>
      </w:r>
      <w:r w:rsidRPr="00790654">
        <w:t xml:space="preserve"> 65-74.</w:t>
      </w:r>
    </w:p>
    <w:p w14:paraId="7EEFC440" w14:textId="3A800151" w:rsidR="007F7770" w:rsidRPr="00790654" w:rsidRDefault="007F7770" w:rsidP="007F7770">
      <w:pPr>
        <w:pStyle w:val="ListParagraph"/>
        <w:spacing w:line="360" w:lineRule="auto"/>
      </w:pPr>
      <w:r w:rsidRPr="00790654">
        <w:t xml:space="preserve"> </w:t>
      </w:r>
    </w:p>
    <w:p w14:paraId="5E64258A" w14:textId="0A96E549" w:rsidR="007F7770" w:rsidRPr="00790654" w:rsidRDefault="007F7770" w:rsidP="007F7770">
      <w:pPr>
        <w:pStyle w:val="ListParagraph"/>
        <w:numPr>
          <w:ilvl w:val="0"/>
          <w:numId w:val="7"/>
        </w:numPr>
        <w:spacing w:line="360" w:lineRule="auto"/>
      </w:pPr>
      <w:proofErr w:type="spellStart"/>
      <w:r w:rsidRPr="00790654">
        <w:t>Caleyachetty</w:t>
      </w:r>
      <w:proofErr w:type="spellEnd"/>
      <w:r w:rsidRPr="00790654">
        <w:t xml:space="preserve"> R, Thomas GN, </w:t>
      </w:r>
      <w:proofErr w:type="spellStart"/>
      <w:r w:rsidRPr="00790654">
        <w:t>Kengne</w:t>
      </w:r>
      <w:proofErr w:type="spellEnd"/>
      <w:r w:rsidRPr="00790654">
        <w:t xml:space="preserve"> AP</w:t>
      </w:r>
      <w:r w:rsidR="00571F16" w:rsidRPr="00790654">
        <w:t xml:space="preserve"> </w:t>
      </w:r>
      <w:r w:rsidR="00571F16" w:rsidRPr="00790654">
        <w:rPr>
          <w:i/>
        </w:rPr>
        <w:t>et al</w:t>
      </w:r>
      <w:r w:rsidR="00571F16" w:rsidRPr="00790654">
        <w:t>.</w:t>
      </w:r>
      <w:r w:rsidR="00D015A3" w:rsidRPr="00790654">
        <w:t xml:space="preserve"> (2018)</w:t>
      </w:r>
      <w:r w:rsidRPr="00790654">
        <w:t xml:space="preserve"> The double burden of malnutrition among adolescents: analysis of data from the Global School-Based Student Health and Health </w:t>
      </w:r>
      <w:proofErr w:type="spellStart"/>
      <w:r w:rsidRPr="00790654">
        <w:t>Behavior</w:t>
      </w:r>
      <w:proofErr w:type="spellEnd"/>
      <w:r w:rsidRPr="00790654">
        <w:t xml:space="preserve"> in School-Aged Children surveys in 57 low- and middle-income countries. </w:t>
      </w:r>
      <w:r w:rsidRPr="00790654">
        <w:rPr>
          <w:i/>
        </w:rPr>
        <w:t>Am J Clin Nutr</w:t>
      </w:r>
      <w:r w:rsidRPr="00790654">
        <w:t xml:space="preserve"> 108</w:t>
      </w:r>
      <w:r w:rsidR="00D015A3" w:rsidRPr="00790654">
        <w:t>,</w:t>
      </w:r>
      <w:r w:rsidRPr="00790654">
        <w:t xml:space="preserve"> 414-424.</w:t>
      </w:r>
    </w:p>
    <w:p w14:paraId="4DBD27D0" w14:textId="77777777" w:rsidR="007F7770" w:rsidRPr="00790654" w:rsidRDefault="007F7770" w:rsidP="007F7770">
      <w:pPr>
        <w:pStyle w:val="ListParagraph"/>
      </w:pPr>
    </w:p>
    <w:p w14:paraId="6B422F34" w14:textId="4F48BD71" w:rsidR="00102F16" w:rsidRPr="00790654" w:rsidRDefault="00102F16" w:rsidP="007F7770">
      <w:pPr>
        <w:pStyle w:val="ListParagraph"/>
        <w:numPr>
          <w:ilvl w:val="0"/>
          <w:numId w:val="7"/>
        </w:numPr>
        <w:spacing w:line="360" w:lineRule="auto"/>
      </w:pPr>
      <w:proofErr w:type="spellStart"/>
      <w:r w:rsidRPr="00790654">
        <w:lastRenderedPageBreak/>
        <w:t>Akseer</w:t>
      </w:r>
      <w:proofErr w:type="spellEnd"/>
      <w:r w:rsidRPr="00790654">
        <w:t xml:space="preserve"> N, Al-</w:t>
      </w:r>
      <w:proofErr w:type="spellStart"/>
      <w:r w:rsidRPr="00790654">
        <w:t>Gashm</w:t>
      </w:r>
      <w:proofErr w:type="spellEnd"/>
      <w:r w:rsidRPr="00790654">
        <w:t xml:space="preserve"> S, Mehta S</w:t>
      </w:r>
      <w:r w:rsidR="001764B5" w:rsidRPr="00790654">
        <w:t xml:space="preserve"> </w:t>
      </w:r>
      <w:r w:rsidR="001764B5" w:rsidRPr="00790654">
        <w:rPr>
          <w:i/>
        </w:rPr>
        <w:t>et al</w:t>
      </w:r>
      <w:r w:rsidR="001764B5" w:rsidRPr="00790654">
        <w:t>. (2017)</w:t>
      </w:r>
      <w:r w:rsidRPr="00790654">
        <w:t xml:space="preserve"> Global and regional trends in the nutritional status of young people: a critical and neglected age group. </w:t>
      </w:r>
      <w:r w:rsidRPr="00790654">
        <w:rPr>
          <w:i/>
        </w:rPr>
        <w:t xml:space="preserve">Ann N Y </w:t>
      </w:r>
      <w:proofErr w:type="spellStart"/>
      <w:r w:rsidRPr="00790654">
        <w:rPr>
          <w:i/>
        </w:rPr>
        <w:t>Acad</w:t>
      </w:r>
      <w:proofErr w:type="spellEnd"/>
      <w:r w:rsidRPr="00790654">
        <w:rPr>
          <w:i/>
        </w:rPr>
        <w:t xml:space="preserve"> Sci</w:t>
      </w:r>
      <w:r w:rsidRPr="00790654">
        <w:t xml:space="preserve"> 1393</w:t>
      </w:r>
      <w:r w:rsidR="001764B5" w:rsidRPr="00790654">
        <w:t xml:space="preserve">, </w:t>
      </w:r>
      <w:r w:rsidRPr="00790654">
        <w:t xml:space="preserve">3-20. </w:t>
      </w:r>
    </w:p>
    <w:p w14:paraId="2BF78810" w14:textId="77777777" w:rsidR="001764B5" w:rsidRPr="00790654" w:rsidRDefault="001764B5" w:rsidP="001764B5">
      <w:pPr>
        <w:pStyle w:val="ListParagraph"/>
        <w:spacing w:line="360" w:lineRule="auto"/>
      </w:pPr>
    </w:p>
    <w:p w14:paraId="43C42961" w14:textId="6A9555FF" w:rsidR="001764B5" w:rsidRPr="00790654" w:rsidRDefault="001764B5" w:rsidP="001764B5">
      <w:pPr>
        <w:pStyle w:val="ListParagraph"/>
        <w:numPr>
          <w:ilvl w:val="0"/>
          <w:numId w:val="7"/>
        </w:numPr>
        <w:spacing w:line="360" w:lineRule="auto"/>
      </w:pPr>
      <w:r w:rsidRPr="00790654">
        <w:t xml:space="preserve">Bhutta ZA, Lassi ZS, Bergeron G </w:t>
      </w:r>
      <w:r w:rsidR="00571F16" w:rsidRPr="00790654">
        <w:rPr>
          <w:i/>
        </w:rPr>
        <w:t>e</w:t>
      </w:r>
      <w:r w:rsidRPr="00790654">
        <w:rPr>
          <w:i/>
        </w:rPr>
        <w:t>t al</w:t>
      </w:r>
      <w:r w:rsidRPr="00790654">
        <w:t xml:space="preserve">. (2017) Delivering an action agenda for nutrition interventions addressing adolescent girls and young women: priorities for implementation and research. </w:t>
      </w:r>
      <w:r w:rsidRPr="00790654">
        <w:rPr>
          <w:i/>
        </w:rPr>
        <w:t xml:space="preserve">Ann N Y </w:t>
      </w:r>
      <w:proofErr w:type="spellStart"/>
      <w:r w:rsidRPr="00790654">
        <w:rPr>
          <w:i/>
        </w:rPr>
        <w:t>Acad</w:t>
      </w:r>
      <w:proofErr w:type="spellEnd"/>
      <w:r w:rsidRPr="00790654">
        <w:rPr>
          <w:i/>
        </w:rPr>
        <w:t xml:space="preserve"> Sci</w:t>
      </w:r>
      <w:r w:rsidRPr="00790654">
        <w:t xml:space="preserve"> 1393, 61-71. </w:t>
      </w:r>
    </w:p>
    <w:p w14:paraId="6F5A424F" w14:textId="77777777" w:rsidR="001764B5" w:rsidRPr="00790654" w:rsidRDefault="001764B5" w:rsidP="001764B5">
      <w:pPr>
        <w:pStyle w:val="ListParagraph"/>
      </w:pPr>
    </w:p>
    <w:p w14:paraId="1A358A93" w14:textId="2ED7DF57" w:rsidR="00B43CA5" w:rsidRPr="00790654" w:rsidRDefault="00B43CA5" w:rsidP="001764B5">
      <w:pPr>
        <w:pStyle w:val="ListParagraph"/>
        <w:numPr>
          <w:ilvl w:val="0"/>
          <w:numId w:val="7"/>
        </w:numPr>
        <w:spacing w:line="360" w:lineRule="auto"/>
      </w:pPr>
      <w:r w:rsidRPr="00790654">
        <w:t xml:space="preserve">Hennig BJ, Unger SA, </w:t>
      </w:r>
      <w:proofErr w:type="spellStart"/>
      <w:r w:rsidRPr="00790654">
        <w:t>Dondeh</w:t>
      </w:r>
      <w:proofErr w:type="spellEnd"/>
      <w:r w:rsidRPr="00790654">
        <w:t xml:space="preserve"> BL</w:t>
      </w:r>
      <w:r w:rsidR="00A67E29" w:rsidRPr="00790654">
        <w:t xml:space="preserve"> </w:t>
      </w:r>
      <w:r w:rsidR="00A67E29" w:rsidRPr="00790654">
        <w:rPr>
          <w:i/>
        </w:rPr>
        <w:t>et al</w:t>
      </w:r>
      <w:r w:rsidR="00A67E29" w:rsidRPr="00790654">
        <w:t>. (2017)</w:t>
      </w:r>
      <w:r w:rsidRPr="00790654">
        <w:t xml:space="preserve"> Cohort Profile: The Kiang West Longitudinal Population Study (KWLPS)-a platform for integrated research and health care provision in rural Gambia. </w:t>
      </w:r>
      <w:r w:rsidRPr="00790654">
        <w:rPr>
          <w:i/>
        </w:rPr>
        <w:t>Int J Epidemiol</w:t>
      </w:r>
      <w:r w:rsidR="00A67E29" w:rsidRPr="00790654">
        <w:t xml:space="preserve"> </w:t>
      </w:r>
      <w:r w:rsidRPr="00790654">
        <w:t>46</w:t>
      </w:r>
      <w:r w:rsidR="00A67E29" w:rsidRPr="00790654">
        <w:t>,</w:t>
      </w:r>
      <w:r w:rsidRPr="00790654">
        <w:t xml:space="preserve"> e13</w:t>
      </w:r>
      <w:r w:rsidR="00A67E29" w:rsidRPr="00790654">
        <w:t>,</w:t>
      </w:r>
      <w:r w:rsidRPr="00790654">
        <w:t xml:space="preserve"> </w:t>
      </w:r>
      <w:proofErr w:type="spellStart"/>
      <w:r w:rsidRPr="00790654">
        <w:t>doi</w:t>
      </w:r>
      <w:proofErr w:type="spellEnd"/>
      <w:r w:rsidRPr="00790654">
        <w:t>: 10.1093/</w:t>
      </w:r>
      <w:proofErr w:type="spellStart"/>
      <w:r w:rsidRPr="00790654">
        <w:t>ije</w:t>
      </w:r>
      <w:proofErr w:type="spellEnd"/>
      <w:r w:rsidRPr="00790654">
        <w:t>/dyv206.</w:t>
      </w:r>
    </w:p>
    <w:p w14:paraId="1311DA7C" w14:textId="77777777" w:rsidR="00B43CA5" w:rsidRPr="00790654" w:rsidRDefault="00B43CA5" w:rsidP="00091301">
      <w:pPr>
        <w:pStyle w:val="ListParagraph"/>
        <w:spacing w:line="360" w:lineRule="auto"/>
      </w:pPr>
    </w:p>
    <w:p w14:paraId="2EF7798D" w14:textId="77777777" w:rsidR="006E6DA3" w:rsidRPr="00790654" w:rsidRDefault="006E6DA3" w:rsidP="00091301">
      <w:pPr>
        <w:pStyle w:val="ListParagraph"/>
        <w:numPr>
          <w:ilvl w:val="0"/>
          <w:numId w:val="7"/>
        </w:numPr>
        <w:spacing w:line="360" w:lineRule="auto"/>
      </w:pPr>
      <w:r w:rsidRPr="00790654">
        <w:t xml:space="preserve">National Family Health Survey 4, International Institute for Population Sciences, Mumbai, India, </w:t>
      </w:r>
      <w:hyperlink r:id="rId9" w:history="1">
        <w:r w:rsidRPr="00790654">
          <w:rPr>
            <w:rStyle w:val="Hyperlink"/>
            <w:color w:val="auto"/>
          </w:rPr>
          <w:t>http://rchiips.org/nfhs/factsheet_nfhs-4.shtml</w:t>
        </w:r>
      </w:hyperlink>
      <w:r w:rsidRPr="00790654">
        <w:t xml:space="preserve"> (accessed 6th August 2019).</w:t>
      </w:r>
    </w:p>
    <w:p w14:paraId="66FEDA08" w14:textId="77777777" w:rsidR="006E6DA3" w:rsidRPr="00790654" w:rsidRDefault="006E6DA3" w:rsidP="00091301">
      <w:pPr>
        <w:pStyle w:val="ListParagraph"/>
        <w:spacing w:line="360" w:lineRule="auto"/>
      </w:pPr>
    </w:p>
    <w:p w14:paraId="59FF4D81" w14:textId="76C067EF" w:rsidR="006E6DA3" w:rsidRPr="00790654" w:rsidRDefault="006A1CE3" w:rsidP="00091301">
      <w:pPr>
        <w:pStyle w:val="ListParagraph"/>
        <w:numPr>
          <w:ilvl w:val="0"/>
          <w:numId w:val="7"/>
        </w:numPr>
        <w:spacing w:line="360" w:lineRule="auto"/>
      </w:pPr>
      <w:r w:rsidRPr="00790654">
        <w:t xml:space="preserve">Food and Agriculture Organization of the United Nations (FAO), United States Agency for International Development (USAID) Food and Nutrition Technical Assistance Project III, managed by </w:t>
      </w:r>
      <w:r w:rsidR="00672A90" w:rsidRPr="00790654">
        <w:t>FHI 360</w:t>
      </w:r>
      <w:r w:rsidR="00A67E29" w:rsidRPr="00790654">
        <w:t xml:space="preserve"> (</w:t>
      </w:r>
      <w:r w:rsidR="00672A90" w:rsidRPr="00790654">
        <w:t>2016</w:t>
      </w:r>
      <w:r w:rsidR="00A67E29" w:rsidRPr="00790654">
        <w:t>)</w:t>
      </w:r>
      <w:r w:rsidR="00672A90" w:rsidRPr="00790654">
        <w:t xml:space="preserve"> Minimum Dietary Diversity for Women: A Guide for Measurement. Rome: FAO</w:t>
      </w:r>
      <w:r w:rsidR="006E6DA3" w:rsidRPr="00790654">
        <w:t xml:space="preserve">; available from </w:t>
      </w:r>
      <w:hyperlink r:id="rId10" w:history="1">
        <w:r w:rsidR="006E6DA3" w:rsidRPr="00790654">
          <w:rPr>
            <w:rStyle w:val="Hyperlink"/>
            <w:color w:val="auto"/>
          </w:rPr>
          <w:t>http://www.fao.org/3/a-i5486e.pdf</w:t>
        </w:r>
      </w:hyperlink>
      <w:r w:rsidR="006E6DA3" w:rsidRPr="00790654">
        <w:t>.</w:t>
      </w:r>
    </w:p>
    <w:p w14:paraId="324D3D95" w14:textId="77777777" w:rsidR="006E6DA3" w:rsidRPr="00790654" w:rsidRDefault="006E6DA3" w:rsidP="00091301">
      <w:pPr>
        <w:pStyle w:val="ListParagraph"/>
        <w:spacing w:line="360" w:lineRule="auto"/>
      </w:pPr>
    </w:p>
    <w:p w14:paraId="5840504C" w14:textId="7C9B06EB" w:rsidR="003A57EF" w:rsidRPr="00790654" w:rsidRDefault="006E6DA3" w:rsidP="00091301">
      <w:pPr>
        <w:pStyle w:val="ListParagraph"/>
        <w:numPr>
          <w:ilvl w:val="0"/>
          <w:numId w:val="7"/>
        </w:numPr>
        <w:spacing w:line="360" w:lineRule="auto"/>
      </w:pPr>
      <w:r w:rsidRPr="00790654">
        <w:t xml:space="preserve">WHO </w:t>
      </w:r>
      <w:r w:rsidR="00A67E29" w:rsidRPr="00790654">
        <w:t xml:space="preserve">(2007). WHO </w:t>
      </w:r>
      <w:r w:rsidRPr="00790654">
        <w:t xml:space="preserve">growth reference data for 5-19 years 2007. Available from </w:t>
      </w:r>
      <w:hyperlink r:id="rId11" w:history="1">
        <w:r w:rsidRPr="00790654">
          <w:rPr>
            <w:rStyle w:val="Hyperlink"/>
            <w:color w:val="auto"/>
          </w:rPr>
          <w:t>https://www.who.int/growthref/en/</w:t>
        </w:r>
      </w:hyperlink>
    </w:p>
    <w:p w14:paraId="36556547" w14:textId="77777777" w:rsidR="004E229E" w:rsidRPr="00790654" w:rsidRDefault="004E229E" w:rsidP="00091301">
      <w:pPr>
        <w:pStyle w:val="ListParagraph"/>
        <w:spacing w:line="360" w:lineRule="auto"/>
      </w:pPr>
    </w:p>
    <w:p w14:paraId="5FB59C99" w14:textId="77777777" w:rsidR="00EC0A36" w:rsidRPr="00790654" w:rsidRDefault="00EC0A36" w:rsidP="00EC0A36">
      <w:pPr>
        <w:pStyle w:val="ListParagraph"/>
        <w:numPr>
          <w:ilvl w:val="0"/>
          <w:numId w:val="7"/>
        </w:numPr>
        <w:spacing w:line="360" w:lineRule="auto"/>
      </w:pPr>
      <w:r w:rsidRPr="00790654">
        <w:t xml:space="preserve">NCD Risk Factor Collaboration (NCD-RisC). Worldwide trends in body mass index, underweight, overweight and obesity from 1975 to 2016: a pooled analysis of 2,416 population-based measurement studies with 128.9 million children, adolescents and adults. Lancet 2017; 390: 2627-42. </w:t>
      </w:r>
    </w:p>
    <w:p w14:paraId="45EB1A26" w14:textId="77777777" w:rsidR="00EC0A36" w:rsidRPr="00790654" w:rsidRDefault="00EC0A36" w:rsidP="00EC0A36">
      <w:pPr>
        <w:pStyle w:val="ListParagraph"/>
      </w:pPr>
    </w:p>
    <w:p w14:paraId="5CEE3753" w14:textId="0D812DB1" w:rsidR="00462800" w:rsidRPr="00790654" w:rsidRDefault="00462800" w:rsidP="00091301">
      <w:pPr>
        <w:pStyle w:val="ListParagraph"/>
        <w:numPr>
          <w:ilvl w:val="0"/>
          <w:numId w:val="7"/>
        </w:numPr>
        <w:spacing w:line="360" w:lineRule="auto"/>
      </w:pPr>
      <w:proofErr w:type="spellStart"/>
      <w:r w:rsidRPr="00790654">
        <w:t>Tzioumis</w:t>
      </w:r>
      <w:proofErr w:type="spellEnd"/>
      <w:r w:rsidRPr="00790654">
        <w:t xml:space="preserve"> E, Adair LS</w:t>
      </w:r>
      <w:r w:rsidR="0059579F" w:rsidRPr="00790654">
        <w:t xml:space="preserve"> (2014)</w:t>
      </w:r>
      <w:r w:rsidRPr="00790654">
        <w:t xml:space="preserve"> Childhood dual burden of under- and overnutrition in low- and middle-income countries: a critical review. </w:t>
      </w:r>
      <w:r w:rsidRPr="00790654">
        <w:rPr>
          <w:i/>
        </w:rPr>
        <w:t>Food Nutr Bull</w:t>
      </w:r>
      <w:r w:rsidRPr="00790654">
        <w:t xml:space="preserve"> 35</w:t>
      </w:r>
      <w:r w:rsidR="0059579F" w:rsidRPr="00790654">
        <w:t>,</w:t>
      </w:r>
      <w:r w:rsidRPr="00790654">
        <w:t xml:space="preserve"> 230-</w:t>
      </w:r>
      <w:r w:rsidR="0059579F" w:rsidRPr="00790654">
        <w:t>2</w:t>
      </w:r>
      <w:r w:rsidRPr="00790654">
        <w:t>43.</w:t>
      </w:r>
    </w:p>
    <w:p w14:paraId="39CD5613" w14:textId="77777777" w:rsidR="00462800" w:rsidRPr="00790654" w:rsidRDefault="00462800" w:rsidP="00091301">
      <w:pPr>
        <w:pStyle w:val="ListParagraph"/>
        <w:spacing w:line="360" w:lineRule="auto"/>
      </w:pPr>
    </w:p>
    <w:p w14:paraId="156BF876" w14:textId="51AF061C" w:rsidR="00F76940" w:rsidRPr="00790654" w:rsidRDefault="00F76940" w:rsidP="00091301">
      <w:pPr>
        <w:pStyle w:val="ListParagraph"/>
        <w:numPr>
          <w:ilvl w:val="0"/>
          <w:numId w:val="7"/>
        </w:numPr>
        <w:spacing w:line="360" w:lineRule="auto"/>
      </w:pPr>
      <w:r w:rsidRPr="00790654">
        <w:t>Sachdev HPS, Osmond C, Fall CHD</w:t>
      </w:r>
      <w:r w:rsidR="00D415A0" w:rsidRPr="00790654">
        <w:t xml:space="preserve"> </w:t>
      </w:r>
      <w:r w:rsidR="00D415A0" w:rsidRPr="00790654">
        <w:rPr>
          <w:i/>
        </w:rPr>
        <w:t>et al</w:t>
      </w:r>
      <w:r w:rsidRPr="00790654">
        <w:t xml:space="preserve">. </w:t>
      </w:r>
      <w:r w:rsidR="00D415A0" w:rsidRPr="00790654">
        <w:t xml:space="preserve">(2009) </w:t>
      </w:r>
      <w:r w:rsidRPr="00790654">
        <w:t xml:space="preserve">Predicting adult metabolic syndrome from childhood body mass index; follow-up of the New Delhi Birth Cohort. </w:t>
      </w:r>
      <w:r w:rsidRPr="00790654">
        <w:rPr>
          <w:i/>
        </w:rPr>
        <w:t>Arch Dis Child</w:t>
      </w:r>
      <w:r w:rsidRPr="00790654">
        <w:t xml:space="preserve"> 94</w:t>
      </w:r>
      <w:r w:rsidR="00D415A0" w:rsidRPr="00790654">
        <w:t>,</w:t>
      </w:r>
      <w:r w:rsidRPr="00790654">
        <w:t xml:space="preserve"> 768-</w:t>
      </w:r>
      <w:r w:rsidR="00D415A0" w:rsidRPr="00790654">
        <w:t>7</w:t>
      </w:r>
      <w:r w:rsidRPr="00790654">
        <w:t>74.</w:t>
      </w:r>
    </w:p>
    <w:p w14:paraId="6A278D5F" w14:textId="77777777" w:rsidR="00F76940" w:rsidRPr="00790654" w:rsidRDefault="00F76940" w:rsidP="00091301">
      <w:pPr>
        <w:pStyle w:val="ListParagraph"/>
        <w:spacing w:line="360" w:lineRule="auto"/>
      </w:pPr>
    </w:p>
    <w:p w14:paraId="0A6772CC" w14:textId="0C851CD1" w:rsidR="00F76940" w:rsidRPr="00790654" w:rsidRDefault="00F76940" w:rsidP="00091301">
      <w:pPr>
        <w:pStyle w:val="ListParagraph"/>
        <w:numPr>
          <w:ilvl w:val="0"/>
          <w:numId w:val="7"/>
        </w:numPr>
        <w:spacing w:line="360" w:lineRule="auto"/>
      </w:pPr>
      <w:r w:rsidRPr="00790654">
        <w:lastRenderedPageBreak/>
        <w:t>Adair LS, Fall CHD, Osmond C</w:t>
      </w:r>
      <w:r w:rsidR="0060055E" w:rsidRPr="00790654">
        <w:t xml:space="preserve"> </w:t>
      </w:r>
      <w:r w:rsidR="0060055E" w:rsidRPr="00790654">
        <w:rPr>
          <w:i/>
        </w:rPr>
        <w:t>et al</w:t>
      </w:r>
      <w:r w:rsidR="0060055E" w:rsidRPr="00790654">
        <w:t>.</w:t>
      </w:r>
      <w:r w:rsidRPr="00790654">
        <w:t xml:space="preserve"> and the COHORTS group</w:t>
      </w:r>
      <w:r w:rsidR="0060055E" w:rsidRPr="00790654">
        <w:t xml:space="preserve"> (2013)</w:t>
      </w:r>
      <w:r w:rsidRPr="00790654">
        <w:t xml:space="preserve"> Associations of linear growth and relative weight gain during early life with adult health and human capital in countries of low and middle income: findings from five birth cohort studies. </w:t>
      </w:r>
      <w:r w:rsidRPr="00790654">
        <w:rPr>
          <w:i/>
        </w:rPr>
        <w:t>Lancet</w:t>
      </w:r>
      <w:r w:rsidRPr="00790654">
        <w:t xml:space="preserve"> 382</w:t>
      </w:r>
      <w:r w:rsidR="0060055E" w:rsidRPr="00790654">
        <w:t>,</w:t>
      </w:r>
      <w:r w:rsidRPr="00790654">
        <w:t xml:space="preserve"> 525-</w:t>
      </w:r>
      <w:r w:rsidR="0060055E" w:rsidRPr="00790654">
        <w:t>5</w:t>
      </w:r>
      <w:r w:rsidRPr="00790654">
        <w:t>34.</w:t>
      </w:r>
    </w:p>
    <w:p w14:paraId="3DABA432" w14:textId="77777777" w:rsidR="00F76940" w:rsidRPr="00790654" w:rsidRDefault="00F76940" w:rsidP="00091301">
      <w:pPr>
        <w:pStyle w:val="ListParagraph"/>
        <w:spacing w:line="360" w:lineRule="auto"/>
      </w:pPr>
    </w:p>
    <w:p w14:paraId="7CC6F2D1" w14:textId="3E50C311" w:rsidR="004161C0" w:rsidRPr="00790654" w:rsidRDefault="004161C0" w:rsidP="00091301">
      <w:pPr>
        <w:pStyle w:val="ListParagraph"/>
        <w:numPr>
          <w:ilvl w:val="0"/>
          <w:numId w:val="7"/>
        </w:numPr>
        <w:spacing w:line="360" w:lineRule="auto"/>
      </w:pPr>
      <w:r w:rsidRPr="00790654">
        <w:t>Christian P</w:t>
      </w:r>
      <w:r w:rsidR="00261BF0" w:rsidRPr="00790654">
        <w:t>,</w:t>
      </w:r>
      <w:r w:rsidRPr="00790654">
        <w:t xml:space="preserve"> Smith ER</w:t>
      </w:r>
      <w:r w:rsidR="00261BF0" w:rsidRPr="00790654">
        <w:t xml:space="preserve"> (2018)</w:t>
      </w:r>
      <w:r w:rsidRPr="00790654">
        <w:t xml:space="preserve"> Adolescent </w:t>
      </w:r>
      <w:r w:rsidR="00261BF0" w:rsidRPr="00790654">
        <w:t>u</w:t>
      </w:r>
      <w:r w:rsidRPr="00790654">
        <w:t xml:space="preserve">ndernutrition: </w:t>
      </w:r>
      <w:r w:rsidR="00261BF0" w:rsidRPr="00790654">
        <w:t>g</w:t>
      </w:r>
      <w:r w:rsidRPr="00790654">
        <w:t xml:space="preserve">lobal </w:t>
      </w:r>
      <w:r w:rsidR="00261BF0" w:rsidRPr="00790654">
        <w:t>b</w:t>
      </w:r>
      <w:r w:rsidRPr="00790654">
        <w:t xml:space="preserve">urden, </w:t>
      </w:r>
      <w:r w:rsidR="00261BF0" w:rsidRPr="00790654">
        <w:t>p</w:t>
      </w:r>
      <w:r w:rsidRPr="00790654">
        <w:t xml:space="preserve">hysiology, and </w:t>
      </w:r>
      <w:r w:rsidR="00261BF0" w:rsidRPr="00790654">
        <w:t>n</w:t>
      </w:r>
      <w:r w:rsidRPr="00790654">
        <w:t xml:space="preserve">utritional </w:t>
      </w:r>
      <w:r w:rsidR="00261BF0" w:rsidRPr="00790654">
        <w:t>r</w:t>
      </w:r>
      <w:r w:rsidRPr="00790654">
        <w:t xml:space="preserve">isks. </w:t>
      </w:r>
      <w:r w:rsidRPr="00790654">
        <w:rPr>
          <w:i/>
        </w:rPr>
        <w:t>Ann Nutr Metab</w:t>
      </w:r>
      <w:r w:rsidRPr="00790654">
        <w:t xml:space="preserve"> 72</w:t>
      </w:r>
      <w:r w:rsidR="00261BF0" w:rsidRPr="00790654">
        <w:t>,</w:t>
      </w:r>
      <w:r w:rsidRPr="00790654">
        <w:t xml:space="preserve"> 316–</w:t>
      </w:r>
      <w:r w:rsidR="00261BF0" w:rsidRPr="00790654">
        <w:t>3</w:t>
      </w:r>
      <w:r w:rsidRPr="00790654">
        <w:t>28.</w:t>
      </w:r>
    </w:p>
    <w:p w14:paraId="775E4843" w14:textId="77777777" w:rsidR="004161C0" w:rsidRPr="00790654" w:rsidRDefault="004161C0" w:rsidP="00091301">
      <w:pPr>
        <w:pStyle w:val="ListParagraph"/>
        <w:spacing w:line="360" w:lineRule="auto"/>
      </w:pPr>
    </w:p>
    <w:p w14:paraId="77073AC8" w14:textId="2ACE0EAC" w:rsidR="00322036" w:rsidRPr="00790654" w:rsidRDefault="00322036" w:rsidP="00091301">
      <w:pPr>
        <w:pStyle w:val="ListParagraph"/>
        <w:numPr>
          <w:ilvl w:val="0"/>
          <w:numId w:val="7"/>
        </w:numPr>
        <w:spacing w:line="360" w:lineRule="auto"/>
      </w:pPr>
      <w:r w:rsidRPr="00790654">
        <w:t>Christian P, Lee SE, Donahue Angel M</w:t>
      </w:r>
      <w:r w:rsidR="00C659B9" w:rsidRPr="00790654">
        <w:t xml:space="preserve"> </w:t>
      </w:r>
      <w:r w:rsidR="00C659B9" w:rsidRPr="00790654">
        <w:rPr>
          <w:i/>
        </w:rPr>
        <w:t>et al</w:t>
      </w:r>
      <w:r w:rsidR="00C659B9" w:rsidRPr="00790654">
        <w:t xml:space="preserve">. (2013) </w:t>
      </w:r>
      <w:r w:rsidRPr="00790654">
        <w:t xml:space="preserve">Risk of childhood undernutrition related to small-for-gestational age and preterm birth in low- and middle-income countries. </w:t>
      </w:r>
      <w:r w:rsidRPr="00790654">
        <w:rPr>
          <w:i/>
        </w:rPr>
        <w:t>Int J Epidemiol</w:t>
      </w:r>
      <w:r w:rsidRPr="00790654">
        <w:t xml:space="preserve"> 42</w:t>
      </w:r>
      <w:r w:rsidR="00C659B9" w:rsidRPr="00790654">
        <w:t xml:space="preserve">, </w:t>
      </w:r>
      <w:r w:rsidRPr="00790654">
        <w:t>1340-</w:t>
      </w:r>
      <w:r w:rsidR="00C659B9" w:rsidRPr="00790654">
        <w:t>13</w:t>
      </w:r>
      <w:r w:rsidRPr="00790654">
        <w:t xml:space="preserve">55. </w:t>
      </w:r>
    </w:p>
    <w:p w14:paraId="6B670204" w14:textId="77777777" w:rsidR="004E229E" w:rsidRPr="00790654" w:rsidRDefault="004E229E" w:rsidP="00091301">
      <w:pPr>
        <w:pStyle w:val="ListParagraph"/>
        <w:spacing w:line="360" w:lineRule="auto"/>
      </w:pPr>
    </w:p>
    <w:p w14:paraId="69C53AED" w14:textId="2E4A2825" w:rsidR="004E229E" w:rsidRPr="00790654" w:rsidRDefault="004E229E" w:rsidP="00091301">
      <w:pPr>
        <w:pStyle w:val="ListParagraph"/>
        <w:numPr>
          <w:ilvl w:val="0"/>
          <w:numId w:val="7"/>
        </w:numPr>
        <w:spacing w:line="360" w:lineRule="auto"/>
      </w:pPr>
      <w:proofErr w:type="spellStart"/>
      <w:r w:rsidRPr="00790654">
        <w:t>Victora</w:t>
      </w:r>
      <w:proofErr w:type="spellEnd"/>
      <w:r w:rsidRPr="00790654">
        <w:t xml:space="preserve"> CG, de </w:t>
      </w:r>
      <w:proofErr w:type="spellStart"/>
      <w:r w:rsidRPr="00790654">
        <w:t>Onis</w:t>
      </w:r>
      <w:proofErr w:type="spellEnd"/>
      <w:r w:rsidRPr="00790654">
        <w:t xml:space="preserve"> M, </w:t>
      </w:r>
      <w:proofErr w:type="spellStart"/>
      <w:r w:rsidRPr="00790654">
        <w:t>Hallal</w:t>
      </w:r>
      <w:proofErr w:type="spellEnd"/>
      <w:r w:rsidRPr="00790654">
        <w:t xml:space="preserve"> PC</w:t>
      </w:r>
      <w:r w:rsidR="00C659B9" w:rsidRPr="00790654">
        <w:t xml:space="preserve"> </w:t>
      </w:r>
      <w:r w:rsidR="00C659B9" w:rsidRPr="00790654">
        <w:rPr>
          <w:i/>
        </w:rPr>
        <w:t>et al</w:t>
      </w:r>
      <w:r w:rsidR="00C659B9" w:rsidRPr="00790654">
        <w:t>. (2010)</w:t>
      </w:r>
      <w:r w:rsidRPr="00790654">
        <w:t xml:space="preserve"> Worldwide timing of growth faltering: revisiting implications for interventions. </w:t>
      </w:r>
      <w:r w:rsidRPr="00790654">
        <w:rPr>
          <w:i/>
        </w:rPr>
        <w:t>Pediatrics</w:t>
      </w:r>
      <w:r w:rsidRPr="00790654">
        <w:t xml:space="preserve"> 125</w:t>
      </w:r>
      <w:r w:rsidR="00C659B9" w:rsidRPr="00790654">
        <w:t xml:space="preserve">, </w:t>
      </w:r>
      <w:r w:rsidRPr="00790654">
        <w:t xml:space="preserve">e473-80. doi: 10.1542/peds.2009-1519. </w:t>
      </w:r>
    </w:p>
    <w:p w14:paraId="4E729074" w14:textId="77777777" w:rsidR="00136E66" w:rsidRPr="00790654" w:rsidRDefault="00136E66" w:rsidP="00091301">
      <w:pPr>
        <w:pStyle w:val="ListParagraph"/>
        <w:spacing w:line="360" w:lineRule="auto"/>
      </w:pPr>
    </w:p>
    <w:p w14:paraId="1C1CA3BC" w14:textId="2276BBD0" w:rsidR="003767F5" w:rsidRPr="00790654" w:rsidRDefault="003767F5" w:rsidP="00091301">
      <w:pPr>
        <w:pStyle w:val="ListParagraph"/>
        <w:numPr>
          <w:ilvl w:val="0"/>
          <w:numId w:val="7"/>
        </w:numPr>
        <w:spacing w:line="360" w:lineRule="auto"/>
      </w:pPr>
      <w:r w:rsidRPr="00790654">
        <w:t>Prentice AM, Ward KA, Goldberg GR</w:t>
      </w:r>
      <w:r w:rsidR="00C659B9" w:rsidRPr="00790654">
        <w:t xml:space="preserve"> </w:t>
      </w:r>
      <w:r w:rsidR="00C659B9" w:rsidRPr="00790654">
        <w:rPr>
          <w:i/>
        </w:rPr>
        <w:t>et al</w:t>
      </w:r>
      <w:r w:rsidR="00C659B9" w:rsidRPr="00790654">
        <w:t xml:space="preserve">. (2013) </w:t>
      </w:r>
      <w:r w:rsidRPr="00790654">
        <w:t xml:space="preserve">Critical windows for nutritional interventions against stunting. </w:t>
      </w:r>
      <w:r w:rsidRPr="00790654">
        <w:rPr>
          <w:i/>
        </w:rPr>
        <w:t>Am J Clin Nutr</w:t>
      </w:r>
      <w:r w:rsidRPr="00790654">
        <w:t xml:space="preserve"> 97</w:t>
      </w:r>
      <w:r w:rsidR="00C659B9" w:rsidRPr="00790654">
        <w:t>,</w:t>
      </w:r>
      <w:r w:rsidRPr="00790654">
        <w:t xml:space="preserve"> 911-</w:t>
      </w:r>
      <w:r w:rsidR="00C659B9" w:rsidRPr="00790654">
        <w:t>91</w:t>
      </w:r>
      <w:r w:rsidRPr="00790654">
        <w:t xml:space="preserve">8. </w:t>
      </w:r>
    </w:p>
    <w:p w14:paraId="227A9016" w14:textId="77777777" w:rsidR="000B6544" w:rsidRPr="00790654" w:rsidRDefault="000B6544" w:rsidP="000B6544">
      <w:pPr>
        <w:pStyle w:val="ListParagraph"/>
      </w:pPr>
    </w:p>
    <w:p w14:paraId="1F882DDB" w14:textId="6464BF7C" w:rsidR="000B6544" w:rsidRPr="00790654" w:rsidRDefault="000B6544" w:rsidP="000B6544">
      <w:pPr>
        <w:pStyle w:val="ListParagraph"/>
        <w:numPr>
          <w:ilvl w:val="0"/>
          <w:numId w:val="7"/>
        </w:numPr>
        <w:spacing w:line="360" w:lineRule="auto"/>
      </w:pPr>
      <w:r w:rsidRPr="00790654">
        <w:t xml:space="preserve">Prentice A, </w:t>
      </w:r>
      <w:proofErr w:type="spellStart"/>
      <w:r w:rsidRPr="00790654">
        <w:t>Dibba</w:t>
      </w:r>
      <w:proofErr w:type="spellEnd"/>
      <w:r w:rsidRPr="00790654">
        <w:t xml:space="preserve"> B, </w:t>
      </w:r>
      <w:proofErr w:type="spellStart"/>
      <w:r w:rsidRPr="00790654">
        <w:t>Sawo</w:t>
      </w:r>
      <w:proofErr w:type="spellEnd"/>
      <w:r w:rsidRPr="00790654">
        <w:t xml:space="preserve"> Y </w:t>
      </w:r>
      <w:r w:rsidR="001E55EB" w:rsidRPr="00790654">
        <w:rPr>
          <w:i/>
        </w:rPr>
        <w:t>e</w:t>
      </w:r>
      <w:r w:rsidRPr="00790654">
        <w:rPr>
          <w:i/>
        </w:rPr>
        <w:t>t al</w:t>
      </w:r>
      <w:r w:rsidRPr="00790654">
        <w:t xml:space="preserve">. (2012) The effect of prepubertal calcium carbonate supplementation on the age of peak height velocity in Gambian adolescents. </w:t>
      </w:r>
      <w:r w:rsidRPr="00790654">
        <w:rPr>
          <w:i/>
        </w:rPr>
        <w:t>Am J Clin Nutr</w:t>
      </w:r>
      <w:r w:rsidRPr="00790654">
        <w:t xml:space="preserve"> 96, 1042-50.</w:t>
      </w:r>
    </w:p>
    <w:p w14:paraId="513BA746" w14:textId="77777777" w:rsidR="000B6544" w:rsidRPr="00790654" w:rsidRDefault="000B6544" w:rsidP="000B6544">
      <w:pPr>
        <w:pStyle w:val="ListParagraph"/>
      </w:pPr>
    </w:p>
    <w:p w14:paraId="300C6708" w14:textId="6DADC067" w:rsidR="000B6544" w:rsidRPr="00790654" w:rsidRDefault="000B6544" w:rsidP="000B6544">
      <w:pPr>
        <w:pStyle w:val="ListParagraph"/>
        <w:numPr>
          <w:ilvl w:val="0"/>
          <w:numId w:val="7"/>
        </w:numPr>
        <w:spacing w:line="360" w:lineRule="auto"/>
      </w:pPr>
      <w:r w:rsidRPr="00790654">
        <w:t xml:space="preserve">Ward KA, Cole TJ, Laskey MA </w:t>
      </w:r>
      <w:r w:rsidR="00571F16" w:rsidRPr="00790654">
        <w:rPr>
          <w:i/>
        </w:rPr>
        <w:t>e</w:t>
      </w:r>
      <w:r w:rsidRPr="00790654">
        <w:rPr>
          <w:i/>
        </w:rPr>
        <w:t>t al</w:t>
      </w:r>
      <w:r w:rsidRPr="00790654">
        <w:t xml:space="preserve">. (2014) The effect of prepubertal calcium carbonate supplementation on skeletal development in Gambian boys-a 12-year follow-up study. </w:t>
      </w:r>
      <w:r w:rsidRPr="00790654">
        <w:rPr>
          <w:i/>
        </w:rPr>
        <w:t>J Clin Endocrinol Metab</w:t>
      </w:r>
      <w:r w:rsidRPr="00790654">
        <w:t xml:space="preserve"> 99, 3169-</w:t>
      </w:r>
      <w:r w:rsidR="00591F02" w:rsidRPr="00790654">
        <w:t>31</w:t>
      </w:r>
      <w:r w:rsidRPr="00790654">
        <w:t>76.</w:t>
      </w:r>
    </w:p>
    <w:p w14:paraId="6DC0E8DC" w14:textId="77777777" w:rsidR="00591F02" w:rsidRPr="00790654" w:rsidRDefault="00591F02" w:rsidP="00591F02">
      <w:pPr>
        <w:pStyle w:val="ListParagraph"/>
      </w:pPr>
    </w:p>
    <w:p w14:paraId="23B57125" w14:textId="1D114799" w:rsidR="00591F02" w:rsidRPr="00790654" w:rsidRDefault="00591F02" w:rsidP="00591F02">
      <w:pPr>
        <w:pStyle w:val="ListParagraph"/>
        <w:numPr>
          <w:ilvl w:val="0"/>
          <w:numId w:val="7"/>
        </w:numPr>
        <w:spacing w:line="360" w:lineRule="auto"/>
      </w:pPr>
      <w:proofErr w:type="spellStart"/>
      <w:r w:rsidRPr="00790654">
        <w:t>Fadare</w:t>
      </w:r>
      <w:proofErr w:type="spellEnd"/>
      <w:r w:rsidRPr="00790654">
        <w:t xml:space="preserve"> O, </w:t>
      </w:r>
      <w:proofErr w:type="spellStart"/>
      <w:r w:rsidRPr="00790654">
        <w:t>Mavrotas</w:t>
      </w:r>
      <w:proofErr w:type="spellEnd"/>
      <w:r w:rsidRPr="00790654">
        <w:t xml:space="preserve"> G, </w:t>
      </w:r>
      <w:proofErr w:type="spellStart"/>
      <w:r w:rsidRPr="00790654">
        <w:t>Akerele</w:t>
      </w:r>
      <w:proofErr w:type="spellEnd"/>
      <w:r w:rsidRPr="00790654">
        <w:t xml:space="preserve"> D </w:t>
      </w:r>
      <w:r w:rsidRPr="00790654">
        <w:rPr>
          <w:i/>
        </w:rPr>
        <w:t>et al.</w:t>
      </w:r>
      <w:r w:rsidRPr="00790654">
        <w:t xml:space="preserve"> (2019) Micronutrient-rich food consumption, intra-household food allocation and child stunting in rural Nigeria. </w:t>
      </w:r>
      <w:r w:rsidRPr="00790654">
        <w:rPr>
          <w:i/>
        </w:rPr>
        <w:t xml:space="preserve">Public Health Nutr </w:t>
      </w:r>
      <w:r w:rsidRPr="00790654">
        <w:t xml:space="preserve">22, 444-454. </w:t>
      </w:r>
    </w:p>
    <w:p w14:paraId="143E83D3" w14:textId="77777777" w:rsidR="00591F02" w:rsidRPr="00790654" w:rsidRDefault="00591F02" w:rsidP="00591F02">
      <w:pPr>
        <w:pStyle w:val="ListParagraph"/>
      </w:pPr>
    </w:p>
    <w:p w14:paraId="21E05855" w14:textId="12DD7124" w:rsidR="00591F02" w:rsidRPr="00790654" w:rsidRDefault="00591F02" w:rsidP="00591F02">
      <w:pPr>
        <w:pStyle w:val="ListParagraph"/>
        <w:numPr>
          <w:ilvl w:val="0"/>
          <w:numId w:val="7"/>
        </w:numPr>
        <w:spacing w:line="360" w:lineRule="auto"/>
      </w:pPr>
      <w:r w:rsidRPr="00790654">
        <w:t xml:space="preserve">Feeley AB, </w:t>
      </w:r>
      <w:proofErr w:type="spellStart"/>
      <w:r w:rsidRPr="00790654">
        <w:t>Musenge</w:t>
      </w:r>
      <w:proofErr w:type="spellEnd"/>
      <w:r w:rsidRPr="00790654">
        <w:t xml:space="preserve"> E </w:t>
      </w:r>
      <w:proofErr w:type="spellStart"/>
      <w:r w:rsidRPr="00790654">
        <w:t>Pettifor</w:t>
      </w:r>
      <w:proofErr w:type="spellEnd"/>
      <w:r w:rsidRPr="00790654">
        <w:t xml:space="preserve"> JM </w:t>
      </w:r>
      <w:r w:rsidRPr="00790654">
        <w:rPr>
          <w:i/>
        </w:rPr>
        <w:t>et al</w:t>
      </w:r>
      <w:r w:rsidRPr="00790654">
        <w:t xml:space="preserve">. (2013) Investigation into longitudinal dietary behaviours and household socio-economic indicators and their association with BMI Z-score and fat mass in South African adolescents: the Birth to Twenty (Bt20) cohort. Public Health Nutr 16, 693-703. </w:t>
      </w:r>
    </w:p>
    <w:p w14:paraId="4B54785A" w14:textId="77777777" w:rsidR="00F30BA6" w:rsidRPr="00790654" w:rsidRDefault="00F30BA6" w:rsidP="00F30BA6">
      <w:pPr>
        <w:pStyle w:val="ListParagraph"/>
      </w:pPr>
    </w:p>
    <w:p w14:paraId="244E0FF4" w14:textId="77777777" w:rsidR="000A6DA4" w:rsidRPr="00790654" w:rsidRDefault="00F30BA6" w:rsidP="000A6DA4">
      <w:pPr>
        <w:pStyle w:val="ListParagraph"/>
        <w:numPr>
          <w:ilvl w:val="0"/>
          <w:numId w:val="7"/>
        </w:numPr>
        <w:spacing w:line="360" w:lineRule="auto"/>
      </w:pPr>
      <w:proofErr w:type="spellStart"/>
      <w:r w:rsidRPr="00790654">
        <w:lastRenderedPageBreak/>
        <w:t>Michels</w:t>
      </w:r>
      <w:proofErr w:type="spellEnd"/>
      <w:r w:rsidRPr="00790654">
        <w:t xml:space="preserve"> N, </w:t>
      </w:r>
      <w:proofErr w:type="spellStart"/>
      <w:r w:rsidRPr="00790654">
        <w:t>Vynckier</w:t>
      </w:r>
      <w:proofErr w:type="spellEnd"/>
      <w:r w:rsidRPr="00790654">
        <w:t xml:space="preserve"> L, Moreno LA</w:t>
      </w:r>
      <w:r w:rsidR="00571F16" w:rsidRPr="00790654">
        <w:t xml:space="preserve"> </w:t>
      </w:r>
      <w:r w:rsidR="00571F16" w:rsidRPr="00790654">
        <w:rPr>
          <w:i/>
        </w:rPr>
        <w:t>et al</w:t>
      </w:r>
      <w:r w:rsidR="00571F16" w:rsidRPr="00790654">
        <w:t>. (2018)</w:t>
      </w:r>
      <w:r w:rsidRPr="00790654">
        <w:t xml:space="preserve"> Mediation of Psychosocial Determinants in the Relation Between Socio-Economic Status and Adolescents' Diet Quality. Eur J </w:t>
      </w:r>
      <w:proofErr w:type="spellStart"/>
      <w:r w:rsidRPr="00790654">
        <w:t>Nutr</w:t>
      </w:r>
      <w:proofErr w:type="spellEnd"/>
      <w:r w:rsidRPr="00790654">
        <w:t xml:space="preserve"> 57</w:t>
      </w:r>
      <w:r w:rsidR="00571F16" w:rsidRPr="00790654">
        <w:t>,</w:t>
      </w:r>
      <w:r w:rsidRPr="00790654">
        <w:t xml:space="preserve"> 951-963.</w:t>
      </w:r>
    </w:p>
    <w:p w14:paraId="33326D79" w14:textId="77777777" w:rsidR="000A6DA4" w:rsidRPr="00790654" w:rsidRDefault="000A6DA4" w:rsidP="000A6DA4">
      <w:pPr>
        <w:pStyle w:val="ListParagraph"/>
      </w:pPr>
    </w:p>
    <w:p w14:paraId="2283EE0D" w14:textId="77777777" w:rsidR="000A6DA4" w:rsidRPr="00790654" w:rsidRDefault="000A6DA4" w:rsidP="000A6DA4">
      <w:pPr>
        <w:pStyle w:val="ListParagraph"/>
        <w:numPr>
          <w:ilvl w:val="0"/>
          <w:numId w:val="7"/>
        </w:numPr>
        <w:spacing w:line="360" w:lineRule="auto"/>
      </w:pPr>
      <w:proofErr w:type="spellStart"/>
      <w:r w:rsidRPr="00790654">
        <w:t>Hinnig</w:t>
      </w:r>
      <w:proofErr w:type="spellEnd"/>
      <w:r w:rsidRPr="00790654">
        <w:t xml:space="preserve"> PF, Monteiro JS, de Assis MAA </w:t>
      </w:r>
      <w:r w:rsidRPr="00790654">
        <w:rPr>
          <w:i/>
        </w:rPr>
        <w:t>et al</w:t>
      </w:r>
      <w:r w:rsidRPr="00790654">
        <w:t>. (2018) Dietary Patterns of Children and Adolescents from High, Medium and Low Human Development Countries and Associated Socioeconomic Factors: A Systematic Review. Nutrients 10, E436. doi: 10.3390/nu10040436.</w:t>
      </w:r>
    </w:p>
    <w:p w14:paraId="0E40083F" w14:textId="77777777" w:rsidR="000A6DA4" w:rsidRPr="00790654" w:rsidRDefault="000A6DA4" w:rsidP="000A6DA4">
      <w:pPr>
        <w:pStyle w:val="ListParagraph"/>
      </w:pPr>
    </w:p>
    <w:p w14:paraId="6B1841F5" w14:textId="77777777" w:rsidR="000A6DA4" w:rsidRPr="00790654" w:rsidRDefault="000A6DA4" w:rsidP="000A6DA4">
      <w:pPr>
        <w:pStyle w:val="ListParagraph"/>
        <w:numPr>
          <w:ilvl w:val="0"/>
          <w:numId w:val="7"/>
        </w:numPr>
        <w:spacing w:line="360" w:lineRule="auto"/>
      </w:pPr>
      <w:r w:rsidRPr="00790654">
        <w:t xml:space="preserve">Bauer KW, Hearst MO, </w:t>
      </w:r>
      <w:proofErr w:type="spellStart"/>
      <w:r w:rsidRPr="00790654">
        <w:t>Escoto</w:t>
      </w:r>
      <w:proofErr w:type="spellEnd"/>
      <w:r w:rsidRPr="00790654">
        <w:t xml:space="preserve"> K </w:t>
      </w:r>
      <w:r w:rsidRPr="00790654">
        <w:rPr>
          <w:i/>
        </w:rPr>
        <w:t>et al</w:t>
      </w:r>
      <w:r w:rsidRPr="00790654">
        <w:t xml:space="preserve">. (2012) Parental employment and work-family stress: associations with family food environments. Soc Sci Med 75, 496-504. </w:t>
      </w:r>
    </w:p>
    <w:p w14:paraId="1A0E09AB" w14:textId="77777777" w:rsidR="000A6DA4" w:rsidRPr="00790654" w:rsidRDefault="000A6DA4" w:rsidP="000A6DA4">
      <w:pPr>
        <w:pStyle w:val="ListParagraph"/>
      </w:pPr>
    </w:p>
    <w:p w14:paraId="30E1303E" w14:textId="77777777" w:rsidR="000A6DA4" w:rsidRPr="00790654" w:rsidRDefault="000A6DA4" w:rsidP="000A6DA4">
      <w:pPr>
        <w:pStyle w:val="ListParagraph"/>
        <w:numPr>
          <w:ilvl w:val="0"/>
          <w:numId w:val="7"/>
        </w:numPr>
        <w:spacing w:line="360" w:lineRule="auto"/>
      </w:pPr>
      <w:proofErr w:type="spellStart"/>
      <w:r w:rsidRPr="00790654">
        <w:t>Béghin</w:t>
      </w:r>
      <w:proofErr w:type="spellEnd"/>
      <w:r w:rsidRPr="00790654">
        <w:t xml:space="preserve"> L, </w:t>
      </w:r>
      <w:proofErr w:type="spellStart"/>
      <w:r w:rsidRPr="00790654">
        <w:t>Dauchet</w:t>
      </w:r>
      <w:proofErr w:type="spellEnd"/>
      <w:r w:rsidRPr="00790654">
        <w:t xml:space="preserve"> L, De </w:t>
      </w:r>
      <w:proofErr w:type="spellStart"/>
      <w:r w:rsidRPr="00790654">
        <w:t>Vriendt</w:t>
      </w:r>
      <w:proofErr w:type="spellEnd"/>
      <w:r w:rsidRPr="00790654">
        <w:t xml:space="preserve"> T </w:t>
      </w:r>
      <w:r w:rsidRPr="00790654">
        <w:rPr>
          <w:i/>
        </w:rPr>
        <w:t>et al</w:t>
      </w:r>
      <w:r w:rsidRPr="00790654">
        <w:t>. (2014) Influence of parental socio-economic status on diet quality of European adolescents: results from the HELENA study. Br J Nutr 111, 1303-12.</w:t>
      </w:r>
    </w:p>
    <w:p w14:paraId="4E80B30E" w14:textId="77777777" w:rsidR="000A6DA4" w:rsidRPr="00790654" w:rsidRDefault="000A6DA4" w:rsidP="000A6DA4">
      <w:pPr>
        <w:pStyle w:val="ListParagraph"/>
      </w:pPr>
    </w:p>
    <w:p w14:paraId="11C224DD" w14:textId="4A04812E" w:rsidR="003767F5" w:rsidRPr="00790654" w:rsidRDefault="000A6DA4" w:rsidP="000A6DA4">
      <w:pPr>
        <w:pStyle w:val="ListParagraph"/>
        <w:numPr>
          <w:ilvl w:val="0"/>
          <w:numId w:val="7"/>
        </w:numPr>
        <w:spacing w:line="360" w:lineRule="auto"/>
      </w:pPr>
      <w:r w:rsidRPr="00790654">
        <w:t xml:space="preserve">Loth KA, </w:t>
      </w:r>
      <w:proofErr w:type="spellStart"/>
      <w:r w:rsidRPr="00790654">
        <w:t>MacLehose</w:t>
      </w:r>
      <w:proofErr w:type="spellEnd"/>
      <w:r w:rsidRPr="00790654">
        <w:t xml:space="preserve"> RF, Fulkerson JA </w:t>
      </w:r>
      <w:r w:rsidRPr="00790654">
        <w:rPr>
          <w:i/>
        </w:rPr>
        <w:t>et al</w:t>
      </w:r>
      <w:r w:rsidRPr="00790654">
        <w:t>. (2013). Eat this, not that! Parental demographic correlates of food-related parenting practices. Appetite 60, 140-147.</w:t>
      </w:r>
    </w:p>
    <w:p w14:paraId="0203C434" w14:textId="77777777" w:rsidR="001E55EB" w:rsidRPr="00790654" w:rsidRDefault="001E55EB" w:rsidP="001E55EB">
      <w:pPr>
        <w:pStyle w:val="ListParagraph"/>
      </w:pPr>
    </w:p>
    <w:p w14:paraId="600CE349" w14:textId="485D4A9E" w:rsidR="008436F7" w:rsidRPr="00790654" w:rsidRDefault="00C659B9" w:rsidP="00C659B9">
      <w:pPr>
        <w:pStyle w:val="ListParagraph"/>
        <w:numPr>
          <w:ilvl w:val="0"/>
          <w:numId w:val="7"/>
        </w:numPr>
        <w:spacing w:line="360" w:lineRule="auto"/>
      </w:pPr>
      <w:r w:rsidRPr="00790654">
        <w:t xml:space="preserve">United Nations Children’s Fund (UNICEF) and World Health Organization (WHO) (2019) </w:t>
      </w:r>
      <w:r w:rsidR="00136E66" w:rsidRPr="00790654">
        <w:t xml:space="preserve">Progress on household drinking water, sanitation and hygiene 2000-2017. Special </w:t>
      </w:r>
      <w:r w:rsidRPr="00790654">
        <w:t>focus on inequalities. New York.</w:t>
      </w:r>
    </w:p>
    <w:p w14:paraId="69785FC7" w14:textId="77777777" w:rsidR="008436F7" w:rsidRPr="00790654" w:rsidRDefault="008436F7" w:rsidP="00091301">
      <w:pPr>
        <w:pStyle w:val="ListParagraph"/>
        <w:spacing w:line="360" w:lineRule="auto"/>
      </w:pPr>
    </w:p>
    <w:p w14:paraId="49FF4396" w14:textId="340D8618" w:rsidR="004E229E" w:rsidRPr="00790654" w:rsidRDefault="008436F7" w:rsidP="00091301">
      <w:pPr>
        <w:pStyle w:val="ListParagraph"/>
        <w:numPr>
          <w:ilvl w:val="0"/>
          <w:numId w:val="7"/>
        </w:numPr>
        <w:spacing w:line="360" w:lineRule="auto"/>
      </w:pPr>
      <w:proofErr w:type="spellStart"/>
      <w:r w:rsidRPr="00790654">
        <w:t>Aurino</w:t>
      </w:r>
      <w:proofErr w:type="spellEnd"/>
      <w:r w:rsidRPr="00790654">
        <w:t xml:space="preserve"> E</w:t>
      </w:r>
      <w:r w:rsidR="00C659B9" w:rsidRPr="00790654">
        <w:t xml:space="preserve"> (2017)</w:t>
      </w:r>
      <w:r w:rsidRPr="00790654">
        <w:t xml:space="preserve"> Do boys eat better than girls in India? Longitudinal evidence on dietary diversity and food consumption disparities among children and adolescents. </w:t>
      </w:r>
      <w:r w:rsidRPr="00790654">
        <w:rPr>
          <w:i/>
        </w:rPr>
        <w:t xml:space="preserve">Econ Hum </w:t>
      </w:r>
      <w:proofErr w:type="spellStart"/>
      <w:r w:rsidRPr="00790654">
        <w:rPr>
          <w:i/>
        </w:rPr>
        <w:t>Biol</w:t>
      </w:r>
      <w:proofErr w:type="spellEnd"/>
      <w:r w:rsidRPr="00790654">
        <w:t xml:space="preserve"> 25</w:t>
      </w:r>
      <w:r w:rsidR="00C659B9" w:rsidRPr="00790654">
        <w:t xml:space="preserve">, </w:t>
      </w:r>
      <w:r w:rsidRPr="00790654">
        <w:t xml:space="preserve">99-111. </w:t>
      </w:r>
    </w:p>
    <w:p w14:paraId="1BDC55C0" w14:textId="77777777" w:rsidR="00737C78" w:rsidRPr="00790654" w:rsidRDefault="00737C78" w:rsidP="00091301">
      <w:pPr>
        <w:pStyle w:val="ListParagraph"/>
        <w:spacing w:line="360" w:lineRule="auto"/>
      </w:pPr>
    </w:p>
    <w:p w14:paraId="267A131B" w14:textId="1C999845" w:rsidR="00264DCA" w:rsidRPr="00790654" w:rsidRDefault="00264DCA" w:rsidP="00264DCA">
      <w:pPr>
        <w:pStyle w:val="ListParagraph"/>
        <w:numPr>
          <w:ilvl w:val="0"/>
          <w:numId w:val="7"/>
        </w:numPr>
        <w:spacing w:line="360" w:lineRule="auto"/>
      </w:pPr>
      <w:r w:rsidRPr="00790654">
        <w:t>Miller V, Yusuf S, Chow CK</w:t>
      </w:r>
      <w:r w:rsidR="00571F16" w:rsidRPr="00790654">
        <w:t xml:space="preserve"> </w:t>
      </w:r>
      <w:r w:rsidR="00571F16" w:rsidRPr="00790654">
        <w:rPr>
          <w:i/>
        </w:rPr>
        <w:t>at al</w:t>
      </w:r>
      <w:r w:rsidR="00571F16" w:rsidRPr="00790654">
        <w:t>.</w:t>
      </w:r>
      <w:r w:rsidR="002E2848" w:rsidRPr="00790654">
        <w:t xml:space="preserve"> (2016)</w:t>
      </w:r>
      <w:r w:rsidRPr="00790654">
        <w:t xml:space="preserve"> Availability, affordability, and consumption of fruits and vegetables in 18 countries across income levels: findings from the Prospective Urban Rural Epidemiology (PURE) study. </w:t>
      </w:r>
      <w:r w:rsidRPr="00790654">
        <w:rPr>
          <w:i/>
        </w:rPr>
        <w:t>Lancet Global Health</w:t>
      </w:r>
      <w:r w:rsidRPr="00790654">
        <w:t xml:space="preserve"> 4</w:t>
      </w:r>
      <w:r w:rsidR="002E2848" w:rsidRPr="00790654">
        <w:t>,</w:t>
      </w:r>
      <w:r w:rsidRPr="00790654">
        <w:t xml:space="preserve"> e695-703.</w:t>
      </w:r>
    </w:p>
    <w:p w14:paraId="44CDD2B1" w14:textId="77777777" w:rsidR="00264DCA" w:rsidRPr="00790654" w:rsidRDefault="00264DCA" w:rsidP="00264DCA">
      <w:pPr>
        <w:pStyle w:val="ListParagraph"/>
      </w:pPr>
    </w:p>
    <w:p w14:paraId="42EA5B8C" w14:textId="7E3B2DCF" w:rsidR="00264DCA" w:rsidRPr="00790654" w:rsidRDefault="00264DCA" w:rsidP="00264DCA">
      <w:pPr>
        <w:pStyle w:val="ListParagraph"/>
        <w:numPr>
          <w:ilvl w:val="0"/>
          <w:numId w:val="7"/>
        </w:numPr>
        <w:spacing w:line="360" w:lineRule="auto"/>
      </w:pPr>
      <w:r w:rsidRPr="00790654">
        <w:t>Williams J, Townsend N, Rayner M</w:t>
      </w:r>
      <w:r w:rsidR="00571F16" w:rsidRPr="00790654">
        <w:t xml:space="preserve"> </w:t>
      </w:r>
      <w:r w:rsidR="00571F16" w:rsidRPr="00790654">
        <w:rPr>
          <w:i/>
        </w:rPr>
        <w:t>et al</w:t>
      </w:r>
      <w:r w:rsidR="00571F16" w:rsidRPr="00790654">
        <w:t>.</w:t>
      </w:r>
      <w:r w:rsidRPr="00790654">
        <w:t xml:space="preserve"> K</w:t>
      </w:r>
      <w:r w:rsidR="002E2848" w:rsidRPr="00790654">
        <w:t xml:space="preserve"> (2019)</w:t>
      </w:r>
      <w:r w:rsidRPr="00790654">
        <w:t xml:space="preserve"> Diet quality of adolescents in rural Sri Lanka based on the Diet Quality Index - Findings From the 'Integrating Nutrition Promotion and Rural Development' Project.  </w:t>
      </w:r>
      <w:r w:rsidRPr="00790654">
        <w:rPr>
          <w:i/>
        </w:rPr>
        <w:t>Public Health Nutr</w:t>
      </w:r>
      <w:r w:rsidRPr="00790654">
        <w:t xml:space="preserve"> 22</w:t>
      </w:r>
      <w:r w:rsidR="002E2848" w:rsidRPr="00790654">
        <w:t>,</w:t>
      </w:r>
      <w:r w:rsidRPr="00790654">
        <w:t xml:space="preserve"> 1735-44.</w:t>
      </w:r>
    </w:p>
    <w:p w14:paraId="2E30FA4D" w14:textId="77777777" w:rsidR="00264DCA" w:rsidRPr="00790654" w:rsidRDefault="00264DCA" w:rsidP="00264DCA">
      <w:pPr>
        <w:pStyle w:val="ListParagraph"/>
      </w:pPr>
    </w:p>
    <w:p w14:paraId="49BC05AB" w14:textId="69385C26" w:rsidR="002E2848" w:rsidRPr="00790654" w:rsidRDefault="002E2848" w:rsidP="002E2848">
      <w:pPr>
        <w:pStyle w:val="ListParagraph"/>
        <w:numPr>
          <w:ilvl w:val="0"/>
          <w:numId w:val="7"/>
        </w:numPr>
        <w:spacing w:line="360" w:lineRule="auto"/>
      </w:pPr>
      <w:r w:rsidRPr="00790654">
        <w:t>Keats EC, Rappaport AI, Shah S</w:t>
      </w:r>
      <w:r w:rsidR="00571F16" w:rsidRPr="00790654">
        <w:t xml:space="preserve"> </w:t>
      </w:r>
      <w:r w:rsidR="00571F16" w:rsidRPr="00790654">
        <w:rPr>
          <w:i/>
        </w:rPr>
        <w:t>et al</w:t>
      </w:r>
      <w:r w:rsidR="00571F16" w:rsidRPr="00790654">
        <w:t>.</w:t>
      </w:r>
      <w:r w:rsidRPr="00790654">
        <w:t xml:space="preserve"> (2018) The Dietary Intake and Practices of Adolescent Girls in Low- and Middle-Income Countries: A Systematic Review. </w:t>
      </w:r>
      <w:r w:rsidRPr="00790654">
        <w:rPr>
          <w:i/>
        </w:rPr>
        <w:t>Nutrients</w:t>
      </w:r>
      <w:r w:rsidRPr="00790654">
        <w:t xml:space="preserve"> 10, 1978. </w:t>
      </w:r>
    </w:p>
    <w:p w14:paraId="5C57C3D7" w14:textId="77777777" w:rsidR="002E2848" w:rsidRPr="00790654" w:rsidRDefault="002E2848" w:rsidP="002E2848">
      <w:pPr>
        <w:pStyle w:val="ListParagraph"/>
      </w:pPr>
    </w:p>
    <w:p w14:paraId="65B2EA88" w14:textId="4D325F31" w:rsidR="00737C78" w:rsidRPr="00790654" w:rsidRDefault="00737C78" w:rsidP="002E2848">
      <w:pPr>
        <w:pStyle w:val="ListParagraph"/>
        <w:numPr>
          <w:ilvl w:val="0"/>
          <w:numId w:val="7"/>
        </w:numPr>
        <w:spacing w:line="360" w:lineRule="auto"/>
      </w:pPr>
      <w:r w:rsidRPr="00790654">
        <w:t>Robinson TN, Banda JA, Hale L</w:t>
      </w:r>
      <w:r w:rsidR="00E23557" w:rsidRPr="00790654">
        <w:t xml:space="preserve"> </w:t>
      </w:r>
      <w:r w:rsidR="00E23557" w:rsidRPr="00790654">
        <w:rPr>
          <w:i/>
        </w:rPr>
        <w:t>et al</w:t>
      </w:r>
      <w:r w:rsidR="00E23557" w:rsidRPr="00790654">
        <w:t>.</w:t>
      </w:r>
      <w:r w:rsidRPr="00790654">
        <w:t xml:space="preserve"> </w:t>
      </w:r>
      <w:r w:rsidR="00E23557" w:rsidRPr="00790654">
        <w:t xml:space="preserve">(2017) </w:t>
      </w:r>
      <w:r w:rsidRPr="00790654">
        <w:t xml:space="preserve">Screen Media exposure and obesity in children and adolescents. </w:t>
      </w:r>
      <w:proofErr w:type="spellStart"/>
      <w:r w:rsidRPr="00790654">
        <w:rPr>
          <w:i/>
        </w:rPr>
        <w:t>Pediatrics</w:t>
      </w:r>
      <w:proofErr w:type="spellEnd"/>
      <w:r w:rsidRPr="00790654">
        <w:t xml:space="preserve"> 140 (</w:t>
      </w:r>
      <w:proofErr w:type="spellStart"/>
      <w:r w:rsidRPr="00790654">
        <w:t>Suppl</w:t>
      </w:r>
      <w:proofErr w:type="spellEnd"/>
      <w:r w:rsidRPr="00790654">
        <w:t xml:space="preserve"> 2)</w:t>
      </w:r>
      <w:r w:rsidR="00E23557" w:rsidRPr="00790654">
        <w:t xml:space="preserve">, </w:t>
      </w:r>
      <w:r w:rsidRPr="00790654">
        <w:t>S97-S101.</w:t>
      </w:r>
    </w:p>
    <w:p w14:paraId="20FBEC86" w14:textId="77777777" w:rsidR="00737C78" w:rsidRPr="00790654" w:rsidRDefault="00737C78" w:rsidP="00091301">
      <w:pPr>
        <w:pStyle w:val="ListParagraph"/>
        <w:spacing w:line="360" w:lineRule="auto"/>
      </w:pPr>
    </w:p>
    <w:p w14:paraId="39EBAA95" w14:textId="49A336C5" w:rsidR="00737C78" w:rsidRPr="00790654" w:rsidRDefault="00737C78" w:rsidP="00091301">
      <w:pPr>
        <w:pStyle w:val="ListParagraph"/>
        <w:numPr>
          <w:ilvl w:val="0"/>
          <w:numId w:val="7"/>
        </w:numPr>
        <w:spacing w:line="360" w:lineRule="auto"/>
      </w:pPr>
      <w:proofErr w:type="spellStart"/>
      <w:r w:rsidRPr="00790654">
        <w:t>Stiglic</w:t>
      </w:r>
      <w:proofErr w:type="spellEnd"/>
      <w:r w:rsidRPr="00790654">
        <w:t xml:space="preserve"> N, Viner RM</w:t>
      </w:r>
      <w:r w:rsidR="00E23557" w:rsidRPr="00790654">
        <w:t xml:space="preserve"> (2019)</w:t>
      </w:r>
      <w:r w:rsidRPr="00790654">
        <w:t xml:space="preserve"> Effects of </w:t>
      </w:r>
      <w:proofErr w:type="spellStart"/>
      <w:r w:rsidRPr="00790654">
        <w:t>screentime</w:t>
      </w:r>
      <w:proofErr w:type="spellEnd"/>
      <w:r w:rsidRPr="00790654">
        <w:t xml:space="preserve"> on the health and well-being of children and adolescents: a systematic review of reviews. </w:t>
      </w:r>
      <w:r w:rsidRPr="00790654">
        <w:rPr>
          <w:i/>
        </w:rPr>
        <w:t>BMJ Open</w:t>
      </w:r>
      <w:r w:rsidRPr="00790654">
        <w:t xml:space="preserve"> </w:t>
      </w:r>
      <w:r w:rsidR="009D51BC" w:rsidRPr="00790654">
        <w:t>9</w:t>
      </w:r>
      <w:r w:rsidR="00E23557" w:rsidRPr="00790654">
        <w:t xml:space="preserve">, </w:t>
      </w:r>
      <w:r w:rsidR="009D51BC" w:rsidRPr="00790654">
        <w:t xml:space="preserve">e023191. </w:t>
      </w:r>
      <w:r w:rsidR="00E23557" w:rsidRPr="00790654">
        <w:t>d</w:t>
      </w:r>
      <w:r w:rsidR="009D51BC" w:rsidRPr="00790654">
        <w:t>oi:10.1136/bmjopen-2018-023191.</w:t>
      </w:r>
    </w:p>
    <w:p w14:paraId="60D0B9B7" w14:textId="77777777" w:rsidR="009B7F6E" w:rsidRPr="00790654" w:rsidRDefault="009B7F6E" w:rsidP="00091301">
      <w:pPr>
        <w:pStyle w:val="ListParagraph"/>
        <w:spacing w:line="360" w:lineRule="auto"/>
      </w:pPr>
    </w:p>
    <w:p w14:paraId="427194B8" w14:textId="4DDB2549" w:rsidR="009B7F6E" w:rsidRPr="00790654" w:rsidRDefault="009B7F6E" w:rsidP="00091301">
      <w:pPr>
        <w:pStyle w:val="ListParagraph"/>
        <w:numPr>
          <w:ilvl w:val="0"/>
          <w:numId w:val="7"/>
        </w:numPr>
        <w:spacing w:line="360" w:lineRule="auto"/>
      </w:pPr>
      <w:proofErr w:type="spellStart"/>
      <w:r w:rsidRPr="00790654">
        <w:t>Bailin</w:t>
      </w:r>
      <w:proofErr w:type="spellEnd"/>
      <w:r w:rsidRPr="00790654">
        <w:t xml:space="preserve"> A, </w:t>
      </w:r>
      <w:proofErr w:type="spellStart"/>
      <w:r w:rsidRPr="00790654">
        <w:t>Milanaik</w:t>
      </w:r>
      <w:proofErr w:type="spellEnd"/>
      <w:r w:rsidRPr="00790654">
        <w:t xml:space="preserve"> R, </w:t>
      </w:r>
      <w:proofErr w:type="spellStart"/>
      <w:r w:rsidRPr="00790654">
        <w:t>Adesman</w:t>
      </w:r>
      <w:proofErr w:type="spellEnd"/>
      <w:r w:rsidRPr="00790654">
        <w:t xml:space="preserve"> A</w:t>
      </w:r>
      <w:r w:rsidR="00E23557" w:rsidRPr="00790654">
        <w:t xml:space="preserve"> (2014)</w:t>
      </w:r>
      <w:r w:rsidRPr="00790654">
        <w:t xml:space="preserve"> Health implications of new age technologies for adolescents: a review of the research. </w:t>
      </w:r>
      <w:proofErr w:type="spellStart"/>
      <w:r w:rsidRPr="00790654">
        <w:rPr>
          <w:i/>
        </w:rPr>
        <w:t>Curr</w:t>
      </w:r>
      <w:proofErr w:type="spellEnd"/>
      <w:r w:rsidRPr="00790654">
        <w:rPr>
          <w:i/>
        </w:rPr>
        <w:t xml:space="preserve"> </w:t>
      </w:r>
      <w:proofErr w:type="spellStart"/>
      <w:r w:rsidRPr="00790654">
        <w:rPr>
          <w:i/>
        </w:rPr>
        <w:t>Opin</w:t>
      </w:r>
      <w:proofErr w:type="spellEnd"/>
      <w:r w:rsidRPr="00790654">
        <w:rPr>
          <w:i/>
        </w:rPr>
        <w:t xml:space="preserve"> </w:t>
      </w:r>
      <w:proofErr w:type="spellStart"/>
      <w:r w:rsidRPr="00790654">
        <w:rPr>
          <w:i/>
        </w:rPr>
        <w:t>Pediatr</w:t>
      </w:r>
      <w:proofErr w:type="spellEnd"/>
      <w:r w:rsidRPr="00790654">
        <w:t xml:space="preserve"> 26</w:t>
      </w:r>
      <w:r w:rsidR="00E23557" w:rsidRPr="00790654">
        <w:t xml:space="preserve">, </w:t>
      </w:r>
      <w:r w:rsidRPr="00790654">
        <w:t>605-</w:t>
      </w:r>
      <w:r w:rsidR="00E23557" w:rsidRPr="00790654">
        <w:t>6</w:t>
      </w:r>
      <w:r w:rsidRPr="00790654">
        <w:t xml:space="preserve">19. </w:t>
      </w:r>
    </w:p>
    <w:p w14:paraId="1A633E9F" w14:textId="77777777" w:rsidR="00844B20" w:rsidRPr="00790654" w:rsidRDefault="00844B20" w:rsidP="00091301">
      <w:pPr>
        <w:pStyle w:val="ListParagraph"/>
        <w:spacing w:line="360" w:lineRule="auto"/>
      </w:pPr>
    </w:p>
    <w:p w14:paraId="6C662330" w14:textId="29D9CE71" w:rsidR="009B7F6E" w:rsidRPr="00790654" w:rsidRDefault="00844B20" w:rsidP="00091301">
      <w:pPr>
        <w:pStyle w:val="ListParagraph"/>
        <w:widowControl w:val="0"/>
        <w:numPr>
          <w:ilvl w:val="0"/>
          <w:numId w:val="7"/>
        </w:numPr>
        <w:spacing w:line="360" w:lineRule="auto"/>
      </w:pPr>
      <w:r w:rsidRPr="00790654">
        <w:t>Selkie E</w:t>
      </w:r>
      <w:r w:rsidR="00E23557" w:rsidRPr="00790654">
        <w:t xml:space="preserve"> (2019)</w:t>
      </w:r>
      <w:r w:rsidRPr="00790654">
        <w:t xml:space="preserve"> Smartphone </w:t>
      </w:r>
      <w:r w:rsidR="00E23557" w:rsidRPr="00790654">
        <w:t>o</w:t>
      </w:r>
      <w:r w:rsidRPr="00790654">
        <w:t xml:space="preserve">wnership as a </w:t>
      </w:r>
      <w:r w:rsidR="00E23557" w:rsidRPr="00790654">
        <w:t>d</w:t>
      </w:r>
      <w:r w:rsidRPr="00790654">
        <w:t xml:space="preserve">evelopmental </w:t>
      </w:r>
      <w:r w:rsidR="00E23557" w:rsidRPr="00790654">
        <w:t>m</w:t>
      </w:r>
      <w:r w:rsidRPr="00790654">
        <w:t xml:space="preserve">ilestone. </w:t>
      </w:r>
      <w:r w:rsidRPr="00790654">
        <w:rPr>
          <w:i/>
        </w:rPr>
        <w:t xml:space="preserve">J </w:t>
      </w:r>
      <w:proofErr w:type="spellStart"/>
      <w:r w:rsidRPr="00790654">
        <w:rPr>
          <w:i/>
        </w:rPr>
        <w:t>Adolesc</w:t>
      </w:r>
      <w:proofErr w:type="spellEnd"/>
      <w:r w:rsidRPr="00790654">
        <w:rPr>
          <w:i/>
        </w:rPr>
        <w:t xml:space="preserve"> Health</w:t>
      </w:r>
      <w:r w:rsidRPr="00790654">
        <w:t xml:space="preserve"> 64</w:t>
      </w:r>
      <w:r w:rsidR="00E23557" w:rsidRPr="00790654">
        <w:t>,</w:t>
      </w:r>
      <w:r w:rsidRPr="00790654">
        <w:t xml:space="preserve"> 419-420. </w:t>
      </w:r>
    </w:p>
    <w:p w14:paraId="107769A0" w14:textId="77777777" w:rsidR="0015306F" w:rsidRPr="00790654" w:rsidRDefault="0015306F" w:rsidP="0015306F">
      <w:pPr>
        <w:pStyle w:val="ListParagraph"/>
      </w:pPr>
    </w:p>
    <w:p w14:paraId="42B0F814" w14:textId="1F2160EF" w:rsidR="0015306F" w:rsidRPr="00790654" w:rsidRDefault="0015306F" w:rsidP="0015306F">
      <w:pPr>
        <w:pStyle w:val="ListParagraph"/>
        <w:widowControl w:val="0"/>
        <w:numPr>
          <w:ilvl w:val="0"/>
          <w:numId w:val="7"/>
        </w:numPr>
        <w:spacing w:line="360" w:lineRule="auto"/>
      </w:pPr>
      <w:r w:rsidRPr="00790654">
        <w:t xml:space="preserve">Kenney EL, </w:t>
      </w:r>
      <w:proofErr w:type="spellStart"/>
      <w:r w:rsidRPr="00790654">
        <w:t>Gortmaker</w:t>
      </w:r>
      <w:proofErr w:type="spellEnd"/>
      <w:r w:rsidRPr="00790654">
        <w:t xml:space="preserve"> SL (2017) United States Adolescents' Television, Computer, Videogame, Smartphone, and Tablet Use: Associations with Sugary Drinks, Sleep, Physical Activity, and Obesity. </w:t>
      </w:r>
      <w:r w:rsidRPr="00790654">
        <w:rPr>
          <w:i/>
        </w:rPr>
        <w:t>J Pediatr</w:t>
      </w:r>
      <w:r w:rsidRPr="00790654">
        <w:t xml:space="preserve"> 182, 144-149. </w:t>
      </w:r>
    </w:p>
    <w:p w14:paraId="2560E8F1" w14:textId="77777777" w:rsidR="00844B20" w:rsidRPr="00790654" w:rsidRDefault="00844B20" w:rsidP="00091301">
      <w:pPr>
        <w:pStyle w:val="ListParagraph"/>
        <w:widowControl w:val="0"/>
        <w:spacing w:line="360" w:lineRule="auto"/>
      </w:pPr>
    </w:p>
    <w:p w14:paraId="11D52CD0" w14:textId="503175EC" w:rsidR="009B7F6E" w:rsidRPr="00790654" w:rsidRDefault="009B7F6E" w:rsidP="00091301">
      <w:pPr>
        <w:pStyle w:val="ListParagraph"/>
        <w:widowControl w:val="0"/>
        <w:numPr>
          <w:ilvl w:val="0"/>
          <w:numId w:val="7"/>
        </w:numPr>
        <w:spacing w:line="360" w:lineRule="auto"/>
      </w:pPr>
      <w:proofErr w:type="spellStart"/>
      <w:r w:rsidRPr="00790654">
        <w:t>Looyestyn</w:t>
      </w:r>
      <w:proofErr w:type="spellEnd"/>
      <w:r w:rsidRPr="00790654">
        <w:t xml:space="preserve"> J, Kernot J, Boshoff K</w:t>
      </w:r>
      <w:r w:rsidR="00E23557" w:rsidRPr="00790654">
        <w:t xml:space="preserve"> </w:t>
      </w:r>
      <w:r w:rsidR="00E23557" w:rsidRPr="00790654">
        <w:rPr>
          <w:i/>
        </w:rPr>
        <w:t>et al</w:t>
      </w:r>
      <w:r w:rsidR="00E23557" w:rsidRPr="00790654">
        <w:t>. (2017)</w:t>
      </w:r>
      <w:r w:rsidRPr="00790654">
        <w:t xml:space="preserve"> Does gamification increase engagement with online programs? A systematic review. </w:t>
      </w:r>
      <w:r w:rsidRPr="00790654">
        <w:rPr>
          <w:i/>
        </w:rPr>
        <w:t>PLoS One</w:t>
      </w:r>
      <w:r w:rsidRPr="00790654">
        <w:t xml:space="preserve"> 12</w:t>
      </w:r>
      <w:r w:rsidR="00E23557" w:rsidRPr="00790654">
        <w:t xml:space="preserve">, </w:t>
      </w:r>
      <w:r w:rsidRPr="00790654">
        <w:t>e0173403.</w:t>
      </w:r>
    </w:p>
    <w:p w14:paraId="3A24D113" w14:textId="77777777" w:rsidR="00844B20" w:rsidRPr="00790654" w:rsidRDefault="00844B20" w:rsidP="00091301">
      <w:pPr>
        <w:pStyle w:val="ListParagraph"/>
        <w:spacing w:line="360" w:lineRule="auto"/>
      </w:pPr>
    </w:p>
    <w:p w14:paraId="58AEA318" w14:textId="77777777" w:rsidR="00A82A3F" w:rsidRPr="00790654" w:rsidRDefault="009B7F6E" w:rsidP="00091301">
      <w:pPr>
        <w:pStyle w:val="ListParagraph"/>
        <w:numPr>
          <w:ilvl w:val="0"/>
          <w:numId w:val="7"/>
        </w:numPr>
        <w:spacing w:line="360" w:lineRule="auto"/>
        <w:rPr>
          <w:u w:val="single"/>
        </w:rPr>
      </w:pPr>
      <w:proofErr w:type="spellStart"/>
      <w:r w:rsidRPr="00790654">
        <w:t>Chaplais</w:t>
      </w:r>
      <w:proofErr w:type="spellEnd"/>
      <w:r w:rsidRPr="00790654">
        <w:t xml:space="preserve"> E, Naughton G, </w:t>
      </w:r>
      <w:proofErr w:type="spellStart"/>
      <w:r w:rsidRPr="00790654">
        <w:t>Thivel</w:t>
      </w:r>
      <w:proofErr w:type="spellEnd"/>
      <w:r w:rsidRPr="00790654">
        <w:t xml:space="preserve"> D</w:t>
      </w:r>
      <w:r w:rsidR="00A82A3F" w:rsidRPr="00790654">
        <w:t xml:space="preserve"> </w:t>
      </w:r>
      <w:r w:rsidR="00A82A3F" w:rsidRPr="00790654">
        <w:rPr>
          <w:i/>
        </w:rPr>
        <w:t>et al</w:t>
      </w:r>
      <w:r w:rsidR="00A82A3F" w:rsidRPr="00790654">
        <w:t xml:space="preserve">. (2015) </w:t>
      </w:r>
      <w:r w:rsidRPr="00790654">
        <w:t xml:space="preserve">Smartphone </w:t>
      </w:r>
      <w:r w:rsidR="00A82A3F" w:rsidRPr="00790654">
        <w:t>i</w:t>
      </w:r>
      <w:r w:rsidRPr="00790654">
        <w:t xml:space="preserve">nterventions for </w:t>
      </w:r>
      <w:r w:rsidR="00A82A3F" w:rsidRPr="00790654">
        <w:t>w</w:t>
      </w:r>
      <w:r w:rsidRPr="00790654">
        <w:t xml:space="preserve">eight </w:t>
      </w:r>
      <w:r w:rsidR="00A82A3F" w:rsidRPr="00790654">
        <w:t>t</w:t>
      </w:r>
      <w:r w:rsidRPr="00790654">
        <w:t xml:space="preserve">reatment and </w:t>
      </w:r>
      <w:proofErr w:type="spellStart"/>
      <w:r w:rsidR="00A82A3F" w:rsidRPr="00790654">
        <w:t>b</w:t>
      </w:r>
      <w:r w:rsidRPr="00790654">
        <w:t>ehavioral</w:t>
      </w:r>
      <w:proofErr w:type="spellEnd"/>
      <w:r w:rsidRPr="00790654">
        <w:t xml:space="preserve"> </w:t>
      </w:r>
      <w:r w:rsidR="00A82A3F" w:rsidRPr="00790654">
        <w:t>c</w:t>
      </w:r>
      <w:r w:rsidRPr="00790654">
        <w:t xml:space="preserve">hange in </w:t>
      </w:r>
      <w:proofErr w:type="spellStart"/>
      <w:r w:rsidR="00A82A3F" w:rsidRPr="00790654">
        <w:t>p</w:t>
      </w:r>
      <w:r w:rsidRPr="00790654">
        <w:t>ediatric</w:t>
      </w:r>
      <w:proofErr w:type="spellEnd"/>
      <w:r w:rsidRPr="00790654">
        <w:t xml:space="preserve"> </w:t>
      </w:r>
      <w:r w:rsidR="00A82A3F" w:rsidRPr="00790654">
        <w:t>o</w:t>
      </w:r>
      <w:r w:rsidRPr="00790654">
        <w:t xml:space="preserve">besity: </w:t>
      </w:r>
      <w:r w:rsidR="00A82A3F" w:rsidRPr="00790654">
        <w:t>a</w:t>
      </w:r>
      <w:r w:rsidRPr="00790654">
        <w:t xml:space="preserve"> </w:t>
      </w:r>
      <w:r w:rsidR="00A82A3F" w:rsidRPr="00790654">
        <w:t>s</w:t>
      </w:r>
      <w:r w:rsidRPr="00790654">
        <w:t xml:space="preserve">ystematic </w:t>
      </w:r>
      <w:r w:rsidR="00A82A3F" w:rsidRPr="00790654">
        <w:t>r</w:t>
      </w:r>
      <w:r w:rsidRPr="00790654">
        <w:t xml:space="preserve">eview. </w:t>
      </w:r>
      <w:proofErr w:type="spellStart"/>
      <w:r w:rsidRPr="00790654">
        <w:rPr>
          <w:i/>
        </w:rPr>
        <w:t>Telemed</w:t>
      </w:r>
      <w:proofErr w:type="spellEnd"/>
      <w:r w:rsidRPr="00790654">
        <w:rPr>
          <w:i/>
        </w:rPr>
        <w:t xml:space="preserve"> J E Health</w:t>
      </w:r>
      <w:r w:rsidRPr="00790654">
        <w:t xml:space="preserve"> 21</w:t>
      </w:r>
      <w:r w:rsidR="00A82A3F" w:rsidRPr="00790654">
        <w:t xml:space="preserve">, </w:t>
      </w:r>
      <w:r w:rsidRPr="00790654">
        <w:t>822-</w:t>
      </w:r>
      <w:r w:rsidR="00A82A3F" w:rsidRPr="00790654">
        <w:t>8</w:t>
      </w:r>
      <w:r w:rsidRPr="00790654">
        <w:t>30.</w:t>
      </w:r>
    </w:p>
    <w:p w14:paraId="29BBC06A" w14:textId="77777777" w:rsidR="00A82A3F" w:rsidRPr="00790654" w:rsidRDefault="00A82A3F" w:rsidP="00A82A3F">
      <w:pPr>
        <w:pStyle w:val="ListParagraph"/>
      </w:pPr>
    </w:p>
    <w:p w14:paraId="7E796F98" w14:textId="6F25C504" w:rsidR="009D51BC" w:rsidRPr="00790654" w:rsidRDefault="00844B20" w:rsidP="008669CE">
      <w:pPr>
        <w:pStyle w:val="ListParagraph"/>
        <w:numPr>
          <w:ilvl w:val="0"/>
          <w:numId w:val="7"/>
        </w:numPr>
        <w:spacing w:line="360" w:lineRule="auto"/>
        <w:rPr>
          <w:rStyle w:val="Hyperlink"/>
          <w:color w:val="auto"/>
        </w:rPr>
      </w:pPr>
      <w:r w:rsidRPr="00790654">
        <w:t>Pew Research Center</w:t>
      </w:r>
      <w:r w:rsidR="00A82A3F" w:rsidRPr="00790654">
        <w:t xml:space="preserve"> (</w:t>
      </w:r>
      <w:r w:rsidRPr="00790654">
        <w:t>2018</w:t>
      </w:r>
      <w:r w:rsidR="00A82A3F" w:rsidRPr="00790654">
        <w:t>)</w:t>
      </w:r>
      <w:r w:rsidR="00A32BF0" w:rsidRPr="00790654">
        <w:t>.</w:t>
      </w:r>
      <w:r w:rsidRPr="00790654">
        <w:t xml:space="preserve"> Social </w:t>
      </w:r>
      <w:r w:rsidR="00A32BF0" w:rsidRPr="00790654">
        <w:t>m</w:t>
      </w:r>
      <w:r w:rsidRPr="00790654">
        <w:t>edia</w:t>
      </w:r>
      <w:r w:rsidR="00A32BF0" w:rsidRPr="00790654">
        <w:t xml:space="preserve"> u</w:t>
      </w:r>
      <w:r w:rsidRPr="00790654">
        <w:t xml:space="preserve">se </w:t>
      </w:r>
      <w:r w:rsidR="00A32BF0" w:rsidRPr="00790654">
        <w:t>c</w:t>
      </w:r>
      <w:r w:rsidRPr="00790654">
        <w:t xml:space="preserve">ontinues </w:t>
      </w:r>
      <w:r w:rsidR="00A32BF0" w:rsidRPr="00790654">
        <w:t>t</w:t>
      </w:r>
      <w:r w:rsidRPr="00790654">
        <w:t xml:space="preserve">o </w:t>
      </w:r>
      <w:r w:rsidR="00A32BF0" w:rsidRPr="00790654">
        <w:t>r</w:t>
      </w:r>
      <w:r w:rsidRPr="00790654">
        <w:t xml:space="preserve">ise in </w:t>
      </w:r>
      <w:r w:rsidR="00A32BF0" w:rsidRPr="00790654">
        <w:t>d</w:t>
      </w:r>
      <w:r w:rsidRPr="00790654">
        <w:t xml:space="preserve">eveloping </w:t>
      </w:r>
      <w:r w:rsidR="00A32BF0" w:rsidRPr="00790654">
        <w:t>c</w:t>
      </w:r>
      <w:r w:rsidRPr="00790654">
        <w:t>ountries, but</w:t>
      </w:r>
      <w:r w:rsidR="00A32BF0" w:rsidRPr="00790654">
        <w:t xml:space="preserve"> p</w:t>
      </w:r>
      <w:r w:rsidRPr="00790654">
        <w:t xml:space="preserve">lateaus </w:t>
      </w:r>
      <w:r w:rsidR="00A32BF0" w:rsidRPr="00790654">
        <w:t>a</w:t>
      </w:r>
      <w:r w:rsidRPr="00790654">
        <w:t xml:space="preserve">cross </w:t>
      </w:r>
      <w:r w:rsidR="00A32BF0" w:rsidRPr="00790654">
        <w:t>d</w:t>
      </w:r>
      <w:r w:rsidRPr="00790654">
        <w:t xml:space="preserve">eveloped </w:t>
      </w:r>
      <w:r w:rsidR="00A32BF0" w:rsidRPr="00790654">
        <w:t>o</w:t>
      </w:r>
      <w:r w:rsidRPr="00790654">
        <w:t>nes</w:t>
      </w:r>
      <w:r w:rsidR="00A32BF0" w:rsidRPr="00790654">
        <w:t xml:space="preserve"> (</w:t>
      </w:r>
      <w:hyperlink r:id="rId12" w:history="1">
        <w:r w:rsidR="004529F6" w:rsidRPr="00790654">
          <w:rPr>
            <w:rStyle w:val="Hyperlink"/>
            <w:color w:val="auto"/>
          </w:rPr>
          <w:t>https://www.pewresearch.org/global/2018/06/19/2-smartphone-ownership-on-the-rise-in-emerging-economies/</w:t>
        </w:r>
      </w:hyperlink>
      <w:r w:rsidR="00A32BF0" w:rsidRPr="00790654">
        <w:rPr>
          <w:rStyle w:val="Hyperlink"/>
          <w:color w:val="auto"/>
        </w:rPr>
        <w:t>).</w:t>
      </w:r>
      <w:r w:rsidR="009D51BC" w:rsidRPr="00790654">
        <w:rPr>
          <w:rStyle w:val="Hyperlink"/>
          <w:color w:val="auto"/>
        </w:rPr>
        <w:br w:type="page"/>
      </w:r>
    </w:p>
    <w:p w14:paraId="568AAED3" w14:textId="77777777" w:rsidR="009D51BC" w:rsidRPr="00790654" w:rsidRDefault="009D51BC" w:rsidP="00091301">
      <w:pPr>
        <w:spacing w:line="360" w:lineRule="auto"/>
        <w:rPr>
          <w:b/>
        </w:rPr>
      </w:pPr>
      <w:r w:rsidRPr="00790654">
        <w:rPr>
          <w:b/>
        </w:rPr>
        <w:lastRenderedPageBreak/>
        <w:t>Figure titles</w:t>
      </w:r>
    </w:p>
    <w:p w14:paraId="2161ACB2" w14:textId="77777777" w:rsidR="009D51BC" w:rsidRPr="00790654" w:rsidRDefault="009D51BC" w:rsidP="00091301">
      <w:pPr>
        <w:spacing w:line="360" w:lineRule="auto"/>
      </w:pPr>
      <w:r w:rsidRPr="00790654">
        <w:rPr>
          <w:b/>
        </w:rPr>
        <w:t xml:space="preserve">Figure 1:  </w:t>
      </w:r>
      <w:r w:rsidRPr="00790654">
        <w:t>Prevalence (%) of stunting, low body mass index, overweight and obesity among a) young adolescents and b) older adolescents</w:t>
      </w:r>
    </w:p>
    <w:p w14:paraId="3B2AEC8D" w14:textId="77777777" w:rsidR="009D51BC" w:rsidRPr="00790654" w:rsidRDefault="009D51BC" w:rsidP="00091301">
      <w:pPr>
        <w:spacing w:line="360" w:lineRule="auto"/>
      </w:pPr>
      <w:r w:rsidRPr="00790654">
        <w:rPr>
          <w:b/>
        </w:rPr>
        <w:t xml:space="preserve">Figure 2: </w:t>
      </w:r>
      <w:r w:rsidRPr="00790654">
        <w:t>Attained education level (a) and employment status (b) of mothers and heads of household</w:t>
      </w:r>
    </w:p>
    <w:p w14:paraId="381A8F32" w14:textId="3739C084" w:rsidR="009D51BC" w:rsidRPr="00790654" w:rsidRDefault="009D51BC" w:rsidP="00091301">
      <w:pPr>
        <w:spacing w:line="360" w:lineRule="auto"/>
      </w:pPr>
      <w:r w:rsidRPr="00790654">
        <w:rPr>
          <w:b/>
        </w:rPr>
        <w:t xml:space="preserve">Figure </w:t>
      </w:r>
      <w:r w:rsidR="00E65BE2" w:rsidRPr="00790654">
        <w:rPr>
          <w:b/>
        </w:rPr>
        <w:t>3</w:t>
      </w:r>
      <w:r w:rsidRPr="00790654">
        <w:rPr>
          <w:b/>
        </w:rPr>
        <w:t>:</w:t>
      </w:r>
      <w:r w:rsidRPr="00790654">
        <w:t xml:space="preserve">  </w:t>
      </w:r>
      <w:r w:rsidR="00C9599A" w:rsidRPr="00790654">
        <w:t>Main source of drinking water</w:t>
      </w:r>
      <w:r w:rsidRPr="00790654">
        <w:t xml:space="preserve"> (a) and </w:t>
      </w:r>
      <w:r w:rsidR="00C9599A" w:rsidRPr="00790654">
        <w:t>toilet facilities</w:t>
      </w:r>
      <w:r w:rsidRPr="00790654">
        <w:t xml:space="preserve"> (b) by setting (percentages, sexes and age groups pooled)</w:t>
      </w:r>
    </w:p>
    <w:p w14:paraId="6DF444B5" w14:textId="79A4899A" w:rsidR="009D51BC" w:rsidRPr="00790654" w:rsidRDefault="009D51BC" w:rsidP="00091301">
      <w:pPr>
        <w:spacing w:line="360" w:lineRule="auto"/>
      </w:pPr>
      <w:r w:rsidRPr="00790654">
        <w:rPr>
          <w:b/>
        </w:rPr>
        <w:t xml:space="preserve">Figure </w:t>
      </w:r>
      <w:r w:rsidR="00E65BE2" w:rsidRPr="00790654">
        <w:rPr>
          <w:b/>
        </w:rPr>
        <w:t>4</w:t>
      </w:r>
      <w:r w:rsidRPr="00790654">
        <w:rPr>
          <w:b/>
        </w:rPr>
        <w:t>:</w:t>
      </w:r>
      <w:r w:rsidRPr="00790654">
        <w:t xml:space="preserve"> </w:t>
      </w:r>
      <w:r w:rsidR="009F3029" w:rsidRPr="00790654">
        <w:t>Proportions</w:t>
      </w:r>
      <w:r w:rsidRPr="00790654">
        <w:t xml:space="preserve"> of adolescents achieving a diet diversity score of 5 or more (a) and median diet diversity scores (b) by setting, stratified by sex and age group</w:t>
      </w:r>
    </w:p>
    <w:p w14:paraId="4EFCC1E6" w14:textId="0CAB17B2" w:rsidR="009D51BC" w:rsidRPr="00790654" w:rsidRDefault="009D51BC" w:rsidP="00091301">
      <w:pPr>
        <w:spacing w:line="360" w:lineRule="auto"/>
      </w:pPr>
      <w:r w:rsidRPr="00790654">
        <w:rPr>
          <w:b/>
        </w:rPr>
        <w:t xml:space="preserve">Figure </w:t>
      </w:r>
      <w:r w:rsidR="00E65BE2" w:rsidRPr="00790654">
        <w:rPr>
          <w:b/>
        </w:rPr>
        <w:t>5</w:t>
      </w:r>
      <w:r w:rsidRPr="00790654">
        <w:rPr>
          <w:b/>
        </w:rPr>
        <w:t xml:space="preserve">:  </w:t>
      </w:r>
      <w:r w:rsidR="009F3029" w:rsidRPr="00790654">
        <w:t>Proportions</w:t>
      </w:r>
      <w:r w:rsidRPr="00790654">
        <w:t xml:space="preserve"> of adolescents who had eaten selected snack foods in the past 24 hours, by setting (sexes and age groups pooled)</w:t>
      </w:r>
    </w:p>
    <w:p w14:paraId="51A76EFE" w14:textId="5A4366A4" w:rsidR="009D51BC" w:rsidRPr="00790654" w:rsidRDefault="009D51BC" w:rsidP="00091301">
      <w:pPr>
        <w:spacing w:line="360" w:lineRule="auto"/>
      </w:pPr>
      <w:r w:rsidRPr="00790654">
        <w:rPr>
          <w:b/>
        </w:rPr>
        <w:t xml:space="preserve">Figure </w:t>
      </w:r>
      <w:r w:rsidR="00E65BE2" w:rsidRPr="00790654">
        <w:rPr>
          <w:b/>
        </w:rPr>
        <w:t>6</w:t>
      </w:r>
      <w:r w:rsidRPr="00790654">
        <w:rPr>
          <w:b/>
        </w:rPr>
        <w:t xml:space="preserve">: </w:t>
      </w:r>
      <w:r w:rsidRPr="00790654">
        <w:t>Ownership by adolescents of a</w:t>
      </w:r>
      <w:r w:rsidR="00850CB6" w:rsidRPr="00790654">
        <w:t>ny</w:t>
      </w:r>
      <w:r w:rsidRPr="00790654">
        <w:t xml:space="preserve"> mobile phone (solid bars) </w:t>
      </w:r>
      <w:r w:rsidR="00850CB6" w:rsidRPr="00790654">
        <w:t>and</w:t>
      </w:r>
      <w:r w:rsidRPr="00790654">
        <w:t xml:space="preserve"> </w:t>
      </w:r>
      <w:r w:rsidR="00850CB6" w:rsidRPr="00790654">
        <w:t xml:space="preserve">a </w:t>
      </w:r>
      <w:r w:rsidRPr="00790654">
        <w:t>smart phone (hatched bars), stratified by age group, sexes pooled</w:t>
      </w:r>
    </w:p>
    <w:p w14:paraId="01ACB79F" w14:textId="205F25E0" w:rsidR="00395A31" w:rsidRPr="00790654" w:rsidRDefault="00395A31" w:rsidP="00091301">
      <w:pPr>
        <w:spacing w:line="360" w:lineRule="auto"/>
        <w:rPr>
          <w:b/>
        </w:rPr>
      </w:pPr>
      <w:r w:rsidRPr="00790654">
        <w:rPr>
          <w:b/>
        </w:rPr>
        <w:t>Figure legends</w:t>
      </w:r>
    </w:p>
    <w:p w14:paraId="5738C013" w14:textId="5FDD81AB" w:rsidR="00395A31" w:rsidRPr="00790654" w:rsidRDefault="00395A31" w:rsidP="00091301">
      <w:pPr>
        <w:spacing w:line="360" w:lineRule="auto"/>
      </w:pPr>
      <w:r w:rsidRPr="00790654">
        <w:t xml:space="preserve">Figure 2 legend: If a caregiver was both a mother and a head of household, she was included in both analyses (5% in West Kiang, 17% in Cote D’Ivoire, 7% in Ethiopia, 0% in Johannesburg, 10% in Dervan, </w:t>
      </w:r>
      <w:r w:rsidR="00F33778" w:rsidRPr="00790654">
        <w:t>5</w:t>
      </w:r>
      <w:r w:rsidRPr="00790654">
        <w:t>% in Pune, 9% in Mumbai and 11% in Mysore).</w:t>
      </w:r>
    </w:p>
    <w:p w14:paraId="57591A4C" w14:textId="77777777" w:rsidR="009D51BC" w:rsidRPr="00790654" w:rsidRDefault="009D51BC" w:rsidP="00091301">
      <w:pPr>
        <w:spacing w:line="360" w:lineRule="auto"/>
        <w:rPr>
          <w:b/>
        </w:rPr>
      </w:pPr>
      <w:r w:rsidRPr="00790654">
        <w:rPr>
          <w:b/>
        </w:rPr>
        <w:t>Supplementary figure titles</w:t>
      </w:r>
    </w:p>
    <w:p w14:paraId="5E3AC5A4" w14:textId="2EDDFB82" w:rsidR="008363AB" w:rsidRPr="00790654" w:rsidRDefault="008363AB" w:rsidP="00091301">
      <w:pPr>
        <w:spacing w:line="360" w:lineRule="auto"/>
        <w:rPr>
          <w:b/>
        </w:rPr>
      </w:pPr>
      <w:r w:rsidRPr="00790654">
        <w:rPr>
          <w:b/>
        </w:rPr>
        <w:t xml:space="preserve">Supplementary Figure 1: </w:t>
      </w:r>
      <w:r w:rsidRPr="00790654">
        <w:t>Proportions of adolescents in each setting whose households owned the following assets (sexes and age groups pooled)</w:t>
      </w:r>
    </w:p>
    <w:p w14:paraId="1052CD33" w14:textId="39ACEAC1" w:rsidR="009D51BC" w:rsidRPr="00790654" w:rsidRDefault="009D51BC" w:rsidP="00091301">
      <w:pPr>
        <w:spacing w:line="360" w:lineRule="auto"/>
      </w:pPr>
      <w:r w:rsidRPr="00790654">
        <w:rPr>
          <w:b/>
        </w:rPr>
        <w:t xml:space="preserve">Supplementary Figure </w:t>
      </w:r>
      <w:r w:rsidR="008363AB" w:rsidRPr="00790654">
        <w:rPr>
          <w:b/>
        </w:rPr>
        <w:t>2</w:t>
      </w:r>
      <w:r w:rsidRPr="00790654">
        <w:rPr>
          <w:b/>
        </w:rPr>
        <w:t>:</w:t>
      </w:r>
      <w:r w:rsidRPr="00790654">
        <w:t xml:space="preserve"> </w:t>
      </w:r>
      <w:r w:rsidR="009F3029" w:rsidRPr="00790654">
        <w:t>Proportions</w:t>
      </w:r>
      <w:r w:rsidRPr="00790654">
        <w:t xml:space="preserve"> of adolescents in each setting who had eaten foods from selected food groups in the past 24 hours (sexes and age groups pooled)</w:t>
      </w:r>
    </w:p>
    <w:p w14:paraId="5396CD1B" w14:textId="20500BE0" w:rsidR="009D51BC" w:rsidRPr="00790654" w:rsidRDefault="009D51BC" w:rsidP="00091301">
      <w:pPr>
        <w:spacing w:line="360" w:lineRule="auto"/>
      </w:pPr>
      <w:r w:rsidRPr="00790654">
        <w:rPr>
          <w:b/>
        </w:rPr>
        <w:t xml:space="preserve">Supplementary Figure </w:t>
      </w:r>
      <w:r w:rsidR="008363AB" w:rsidRPr="00790654">
        <w:rPr>
          <w:b/>
        </w:rPr>
        <w:t>3</w:t>
      </w:r>
      <w:r w:rsidRPr="00790654">
        <w:rPr>
          <w:b/>
        </w:rPr>
        <w:t xml:space="preserve">: </w:t>
      </w:r>
      <w:r w:rsidRPr="00790654">
        <w:t>Frequencies of intake of selected food groups in each setting (sexes and age groups pooled)</w:t>
      </w:r>
    </w:p>
    <w:p w14:paraId="4C3F929A" w14:textId="1B879B02" w:rsidR="00407D99" w:rsidRPr="00790654" w:rsidRDefault="009D51BC" w:rsidP="00F46373">
      <w:pPr>
        <w:spacing w:line="360" w:lineRule="auto"/>
      </w:pPr>
      <w:r w:rsidRPr="00790654">
        <w:rPr>
          <w:b/>
        </w:rPr>
        <w:t xml:space="preserve">Supplementary Figure </w:t>
      </w:r>
      <w:r w:rsidR="008363AB" w:rsidRPr="00790654">
        <w:rPr>
          <w:b/>
        </w:rPr>
        <w:t>4</w:t>
      </w:r>
      <w:r w:rsidRPr="00790654">
        <w:rPr>
          <w:b/>
        </w:rPr>
        <w:t>:</w:t>
      </w:r>
      <w:r w:rsidRPr="00790654">
        <w:t xml:space="preserve"> Frequencies of intake of snack foods in each setting (sexes and age groups pooled)</w:t>
      </w:r>
      <w:r w:rsidR="00407D99" w:rsidRPr="00790654">
        <w:br w:type="page"/>
      </w:r>
    </w:p>
    <w:p w14:paraId="3DE7FD54" w14:textId="67FBF12F" w:rsidR="00407D99" w:rsidRPr="00790654" w:rsidRDefault="00407D99" w:rsidP="00407D99">
      <w:pPr>
        <w:spacing w:after="0"/>
        <w:rPr>
          <w:b/>
          <w:sz w:val="18"/>
          <w:szCs w:val="18"/>
        </w:rPr>
      </w:pPr>
      <w:r w:rsidRPr="00790654">
        <w:rPr>
          <w:b/>
          <w:sz w:val="18"/>
          <w:szCs w:val="18"/>
        </w:rPr>
        <w:lastRenderedPageBreak/>
        <w:t xml:space="preserve">Table 1: Description of study settings, selection method for the quantitative survey, </w:t>
      </w:r>
      <w:r w:rsidR="00E12C40" w:rsidRPr="00790654">
        <w:rPr>
          <w:b/>
          <w:sz w:val="18"/>
          <w:szCs w:val="18"/>
        </w:rPr>
        <w:t xml:space="preserve">data collection </w:t>
      </w:r>
      <w:r w:rsidRPr="00790654">
        <w:rPr>
          <w:b/>
          <w:sz w:val="18"/>
          <w:szCs w:val="18"/>
        </w:rPr>
        <w:t>dates and sample size</w:t>
      </w: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3312"/>
        <w:gridCol w:w="1224"/>
        <w:gridCol w:w="872"/>
        <w:gridCol w:w="546"/>
        <w:gridCol w:w="425"/>
        <w:gridCol w:w="567"/>
        <w:gridCol w:w="567"/>
        <w:gridCol w:w="821"/>
      </w:tblGrid>
      <w:tr w:rsidR="00790654" w:rsidRPr="00790654" w14:paraId="3CCFF1A6" w14:textId="77777777" w:rsidTr="005418E0">
        <w:tc>
          <w:tcPr>
            <w:tcW w:w="1191" w:type="dxa"/>
            <w:tcBorders>
              <w:top w:val="single" w:sz="4" w:space="0" w:color="auto"/>
            </w:tcBorders>
          </w:tcPr>
          <w:p w14:paraId="4B3EEA81" w14:textId="77777777" w:rsidR="005418E0" w:rsidRPr="00790654" w:rsidRDefault="005418E0" w:rsidP="00407D99">
            <w:pPr>
              <w:rPr>
                <w:b/>
                <w:sz w:val="16"/>
                <w:szCs w:val="16"/>
              </w:rPr>
            </w:pPr>
          </w:p>
        </w:tc>
        <w:tc>
          <w:tcPr>
            <w:tcW w:w="3312" w:type="dxa"/>
            <w:tcBorders>
              <w:top w:val="single" w:sz="4" w:space="0" w:color="auto"/>
            </w:tcBorders>
          </w:tcPr>
          <w:p w14:paraId="47B744B5" w14:textId="77777777" w:rsidR="005418E0" w:rsidRPr="00790654" w:rsidRDefault="005418E0" w:rsidP="00407D99">
            <w:pPr>
              <w:rPr>
                <w:b/>
                <w:sz w:val="16"/>
                <w:szCs w:val="16"/>
              </w:rPr>
            </w:pPr>
          </w:p>
        </w:tc>
        <w:tc>
          <w:tcPr>
            <w:tcW w:w="1224" w:type="dxa"/>
            <w:tcBorders>
              <w:top w:val="single" w:sz="4" w:space="0" w:color="auto"/>
            </w:tcBorders>
          </w:tcPr>
          <w:p w14:paraId="5CD3B888" w14:textId="77777777" w:rsidR="005418E0" w:rsidRPr="00790654" w:rsidRDefault="005418E0" w:rsidP="00407D99">
            <w:pPr>
              <w:rPr>
                <w:b/>
                <w:sz w:val="16"/>
                <w:szCs w:val="16"/>
              </w:rPr>
            </w:pPr>
          </w:p>
        </w:tc>
        <w:tc>
          <w:tcPr>
            <w:tcW w:w="872" w:type="dxa"/>
            <w:tcBorders>
              <w:top w:val="single" w:sz="4" w:space="0" w:color="auto"/>
            </w:tcBorders>
          </w:tcPr>
          <w:p w14:paraId="415B1F02" w14:textId="77777777" w:rsidR="005418E0" w:rsidRPr="00790654" w:rsidRDefault="005418E0" w:rsidP="00407D99">
            <w:pPr>
              <w:jc w:val="center"/>
              <w:rPr>
                <w:b/>
                <w:sz w:val="16"/>
                <w:szCs w:val="16"/>
              </w:rPr>
            </w:pPr>
          </w:p>
        </w:tc>
        <w:tc>
          <w:tcPr>
            <w:tcW w:w="2926" w:type="dxa"/>
            <w:gridSpan w:val="5"/>
            <w:tcBorders>
              <w:top w:val="single" w:sz="4" w:space="0" w:color="auto"/>
            </w:tcBorders>
          </w:tcPr>
          <w:p w14:paraId="3B5812A4" w14:textId="157A1B3E" w:rsidR="005418E0" w:rsidRPr="00790654" w:rsidRDefault="005418E0" w:rsidP="00407D99">
            <w:pPr>
              <w:jc w:val="center"/>
              <w:rPr>
                <w:b/>
                <w:sz w:val="16"/>
                <w:szCs w:val="16"/>
              </w:rPr>
            </w:pPr>
            <w:r w:rsidRPr="00790654">
              <w:rPr>
                <w:b/>
                <w:sz w:val="16"/>
                <w:szCs w:val="16"/>
              </w:rPr>
              <w:t xml:space="preserve">Final sample </w:t>
            </w:r>
          </w:p>
        </w:tc>
      </w:tr>
      <w:tr w:rsidR="00790654" w:rsidRPr="00790654" w14:paraId="29E0D8DC" w14:textId="77777777" w:rsidTr="005418E0">
        <w:tc>
          <w:tcPr>
            <w:tcW w:w="1191" w:type="dxa"/>
            <w:tcBorders>
              <w:bottom w:val="single" w:sz="4" w:space="0" w:color="auto"/>
            </w:tcBorders>
          </w:tcPr>
          <w:p w14:paraId="07EE6220" w14:textId="77777777" w:rsidR="00407D99" w:rsidRPr="00790654" w:rsidRDefault="00407D99" w:rsidP="00407D99">
            <w:pPr>
              <w:rPr>
                <w:b/>
                <w:sz w:val="16"/>
                <w:szCs w:val="16"/>
              </w:rPr>
            </w:pPr>
            <w:r w:rsidRPr="00790654">
              <w:rPr>
                <w:b/>
                <w:sz w:val="16"/>
                <w:szCs w:val="16"/>
              </w:rPr>
              <w:t>Setting</w:t>
            </w:r>
          </w:p>
        </w:tc>
        <w:tc>
          <w:tcPr>
            <w:tcW w:w="3312" w:type="dxa"/>
            <w:tcBorders>
              <w:bottom w:val="single" w:sz="4" w:space="0" w:color="auto"/>
            </w:tcBorders>
          </w:tcPr>
          <w:p w14:paraId="5F371A99" w14:textId="77777777" w:rsidR="00407D99" w:rsidRPr="00790654" w:rsidRDefault="00407D99" w:rsidP="00407D99">
            <w:pPr>
              <w:rPr>
                <w:b/>
                <w:sz w:val="16"/>
                <w:szCs w:val="16"/>
              </w:rPr>
            </w:pPr>
            <w:r w:rsidRPr="00790654">
              <w:rPr>
                <w:b/>
                <w:sz w:val="16"/>
                <w:szCs w:val="16"/>
              </w:rPr>
              <w:t>Population characteristics</w:t>
            </w:r>
          </w:p>
        </w:tc>
        <w:tc>
          <w:tcPr>
            <w:tcW w:w="1224" w:type="dxa"/>
            <w:tcBorders>
              <w:bottom w:val="single" w:sz="4" w:space="0" w:color="auto"/>
            </w:tcBorders>
          </w:tcPr>
          <w:p w14:paraId="60044987" w14:textId="77777777" w:rsidR="00407D99" w:rsidRPr="00790654" w:rsidRDefault="00407D99" w:rsidP="00407D99">
            <w:pPr>
              <w:rPr>
                <w:b/>
                <w:sz w:val="16"/>
                <w:szCs w:val="16"/>
              </w:rPr>
            </w:pPr>
            <w:r w:rsidRPr="00790654">
              <w:rPr>
                <w:b/>
                <w:sz w:val="16"/>
                <w:szCs w:val="16"/>
              </w:rPr>
              <w:t>Sample selection</w:t>
            </w:r>
          </w:p>
        </w:tc>
        <w:tc>
          <w:tcPr>
            <w:tcW w:w="872" w:type="dxa"/>
            <w:tcBorders>
              <w:bottom w:val="single" w:sz="4" w:space="0" w:color="auto"/>
            </w:tcBorders>
          </w:tcPr>
          <w:p w14:paraId="1F85BA1A" w14:textId="77777777" w:rsidR="00407D99" w:rsidRPr="00790654" w:rsidRDefault="00407D99" w:rsidP="00407D99">
            <w:pPr>
              <w:jc w:val="center"/>
              <w:rPr>
                <w:b/>
                <w:sz w:val="16"/>
                <w:szCs w:val="16"/>
              </w:rPr>
            </w:pPr>
            <w:r w:rsidRPr="00790654">
              <w:rPr>
                <w:b/>
                <w:sz w:val="16"/>
                <w:szCs w:val="16"/>
              </w:rPr>
              <w:t>Dates of data collection</w:t>
            </w:r>
          </w:p>
        </w:tc>
        <w:tc>
          <w:tcPr>
            <w:tcW w:w="546" w:type="dxa"/>
            <w:tcBorders>
              <w:bottom w:val="single" w:sz="4" w:space="0" w:color="auto"/>
            </w:tcBorders>
          </w:tcPr>
          <w:p w14:paraId="68414D29" w14:textId="77777777" w:rsidR="00407D99" w:rsidRPr="00790654" w:rsidRDefault="00407D99" w:rsidP="00407D99">
            <w:pPr>
              <w:jc w:val="center"/>
              <w:rPr>
                <w:b/>
                <w:sz w:val="16"/>
                <w:szCs w:val="16"/>
              </w:rPr>
            </w:pPr>
            <w:r w:rsidRPr="00790654">
              <w:rPr>
                <w:b/>
                <w:sz w:val="16"/>
                <w:szCs w:val="16"/>
              </w:rPr>
              <w:t>Boys, 10-12y</w:t>
            </w:r>
          </w:p>
          <w:p w14:paraId="2C3A164E" w14:textId="77777777" w:rsidR="00407D99" w:rsidRPr="00790654" w:rsidRDefault="00407D99" w:rsidP="00407D99">
            <w:pPr>
              <w:jc w:val="center"/>
              <w:rPr>
                <w:b/>
                <w:sz w:val="16"/>
                <w:szCs w:val="16"/>
              </w:rPr>
            </w:pPr>
            <w:r w:rsidRPr="00790654">
              <w:rPr>
                <w:b/>
                <w:sz w:val="16"/>
                <w:szCs w:val="16"/>
              </w:rPr>
              <w:t>(N)</w:t>
            </w:r>
          </w:p>
        </w:tc>
        <w:tc>
          <w:tcPr>
            <w:tcW w:w="425" w:type="dxa"/>
            <w:tcBorders>
              <w:bottom w:val="single" w:sz="4" w:space="0" w:color="auto"/>
            </w:tcBorders>
          </w:tcPr>
          <w:p w14:paraId="4B768434" w14:textId="77777777" w:rsidR="00407D99" w:rsidRPr="00790654" w:rsidRDefault="00407D99" w:rsidP="00407D99">
            <w:pPr>
              <w:jc w:val="center"/>
              <w:rPr>
                <w:b/>
                <w:sz w:val="16"/>
                <w:szCs w:val="16"/>
              </w:rPr>
            </w:pPr>
            <w:r w:rsidRPr="00790654">
              <w:rPr>
                <w:b/>
                <w:sz w:val="16"/>
                <w:szCs w:val="16"/>
              </w:rPr>
              <w:t>Girls</w:t>
            </w:r>
          </w:p>
          <w:p w14:paraId="1CBA9EE0" w14:textId="77777777" w:rsidR="00407D99" w:rsidRPr="00790654" w:rsidRDefault="00407D99" w:rsidP="00407D99">
            <w:pPr>
              <w:jc w:val="center"/>
              <w:rPr>
                <w:b/>
                <w:sz w:val="16"/>
                <w:szCs w:val="16"/>
              </w:rPr>
            </w:pPr>
            <w:r w:rsidRPr="00790654">
              <w:rPr>
                <w:b/>
                <w:sz w:val="16"/>
                <w:szCs w:val="16"/>
              </w:rPr>
              <w:t>10-12y</w:t>
            </w:r>
          </w:p>
          <w:p w14:paraId="3E6DC500" w14:textId="77777777" w:rsidR="00407D99" w:rsidRPr="00790654" w:rsidRDefault="00407D99" w:rsidP="00407D99">
            <w:pPr>
              <w:jc w:val="center"/>
              <w:rPr>
                <w:b/>
                <w:sz w:val="16"/>
                <w:szCs w:val="16"/>
              </w:rPr>
            </w:pPr>
            <w:r w:rsidRPr="00790654">
              <w:rPr>
                <w:b/>
                <w:sz w:val="16"/>
                <w:szCs w:val="16"/>
              </w:rPr>
              <w:t>(N)</w:t>
            </w:r>
          </w:p>
        </w:tc>
        <w:tc>
          <w:tcPr>
            <w:tcW w:w="567" w:type="dxa"/>
            <w:tcBorders>
              <w:bottom w:val="single" w:sz="4" w:space="0" w:color="auto"/>
            </w:tcBorders>
          </w:tcPr>
          <w:p w14:paraId="142B71BC" w14:textId="77777777" w:rsidR="00407D99" w:rsidRPr="00790654" w:rsidRDefault="00407D99" w:rsidP="00407D99">
            <w:pPr>
              <w:jc w:val="center"/>
              <w:rPr>
                <w:b/>
                <w:sz w:val="16"/>
                <w:szCs w:val="16"/>
              </w:rPr>
            </w:pPr>
            <w:r w:rsidRPr="00790654">
              <w:rPr>
                <w:b/>
                <w:sz w:val="16"/>
                <w:szCs w:val="16"/>
              </w:rPr>
              <w:t>Boys</w:t>
            </w:r>
          </w:p>
          <w:p w14:paraId="61B6FFE1" w14:textId="77777777" w:rsidR="00407D99" w:rsidRPr="00790654" w:rsidRDefault="00407D99" w:rsidP="00407D99">
            <w:pPr>
              <w:jc w:val="center"/>
              <w:rPr>
                <w:b/>
                <w:sz w:val="16"/>
                <w:szCs w:val="16"/>
              </w:rPr>
            </w:pPr>
            <w:r w:rsidRPr="00790654">
              <w:rPr>
                <w:b/>
                <w:sz w:val="16"/>
                <w:szCs w:val="16"/>
              </w:rPr>
              <w:t>15-17y</w:t>
            </w:r>
          </w:p>
          <w:p w14:paraId="448338A0" w14:textId="77777777" w:rsidR="00407D99" w:rsidRPr="00790654" w:rsidRDefault="00407D99" w:rsidP="00407D99">
            <w:pPr>
              <w:jc w:val="center"/>
              <w:rPr>
                <w:b/>
                <w:sz w:val="16"/>
                <w:szCs w:val="16"/>
              </w:rPr>
            </w:pPr>
            <w:r w:rsidRPr="00790654">
              <w:rPr>
                <w:b/>
                <w:sz w:val="16"/>
                <w:szCs w:val="16"/>
              </w:rPr>
              <w:t>(N)</w:t>
            </w:r>
          </w:p>
        </w:tc>
        <w:tc>
          <w:tcPr>
            <w:tcW w:w="567" w:type="dxa"/>
            <w:tcBorders>
              <w:bottom w:val="single" w:sz="4" w:space="0" w:color="auto"/>
            </w:tcBorders>
          </w:tcPr>
          <w:p w14:paraId="79201C73" w14:textId="77777777" w:rsidR="00407D99" w:rsidRPr="00790654" w:rsidRDefault="00407D99" w:rsidP="00407D99">
            <w:pPr>
              <w:jc w:val="center"/>
              <w:rPr>
                <w:b/>
                <w:sz w:val="16"/>
                <w:szCs w:val="16"/>
              </w:rPr>
            </w:pPr>
            <w:r w:rsidRPr="00790654">
              <w:rPr>
                <w:b/>
                <w:sz w:val="16"/>
                <w:szCs w:val="16"/>
              </w:rPr>
              <w:t>Girls</w:t>
            </w:r>
          </w:p>
          <w:p w14:paraId="5FF06F2C" w14:textId="77777777" w:rsidR="00407D99" w:rsidRPr="00790654" w:rsidRDefault="00407D99" w:rsidP="00407D99">
            <w:pPr>
              <w:jc w:val="center"/>
              <w:rPr>
                <w:b/>
                <w:sz w:val="16"/>
                <w:szCs w:val="16"/>
              </w:rPr>
            </w:pPr>
            <w:r w:rsidRPr="00790654">
              <w:rPr>
                <w:b/>
                <w:sz w:val="16"/>
                <w:szCs w:val="16"/>
              </w:rPr>
              <w:t>15-17y</w:t>
            </w:r>
          </w:p>
          <w:p w14:paraId="25E5CD84" w14:textId="77777777" w:rsidR="00407D99" w:rsidRPr="00790654" w:rsidRDefault="00407D99" w:rsidP="00407D99">
            <w:pPr>
              <w:jc w:val="center"/>
              <w:rPr>
                <w:b/>
                <w:sz w:val="16"/>
                <w:szCs w:val="16"/>
              </w:rPr>
            </w:pPr>
            <w:r w:rsidRPr="00790654">
              <w:rPr>
                <w:b/>
                <w:sz w:val="16"/>
                <w:szCs w:val="16"/>
              </w:rPr>
              <w:t>(N)</w:t>
            </w:r>
          </w:p>
        </w:tc>
        <w:tc>
          <w:tcPr>
            <w:tcW w:w="821" w:type="dxa"/>
            <w:tcBorders>
              <w:bottom w:val="single" w:sz="4" w:space="0" w:color="auto"/>
            </w:tcBorders>
          </w:tcPr>
          <w:p w14:paraId="46367C52" w14:textId="516A91E6" w:rsidR="00407D99" w:rsidRPr="00790654" w:rsidRDefault="005418E0" w:rsidP="00407D99">
            <w:pPr>
              <w:jc w:val="center"/>
              <w:rPr>
                <w:b/>
                <w:sz w:val="16"/>
                <w:szCs w:val="16"/>
              </w:rPr>
            </w:pPr>
            <w:r w:rsidRPr="00790654">
              <w:rPr>
                <w:b/>
                <w:sz w:val="16"/>
                <w:szCs w:val="16"/>
              </w:rPr>
              <w:t xml:space="preserve">TOTAL </w:t>
            </w:r>
          </w:p>
          <w:p w14:paraId="2F8B5A3E" w14:textId="0795DDF3" w:rsidR="005418E0" w:rsidRPr="00790654" w:rsidRDefault="005418E0" w:rsidP="00407D99">
            <w:pPr>
              <w:jc w:val="center"/>
              <w:rPr>
                <w:b/>
                <w:sz w:val="16"/>
                <w:szCs w:val="16"/>
              </w:rPr>
            </w:pPr>
            <w:r w:rsidRPr="00790654">
              <w:rPr>
                <w:b/>
                <w:sz w:val="16"/>
                <w:szCs w:val="16"/>
              </w:rPr>
              <w:t>(response rate (%))Ϯ</w:t>
            </w:r>
          </w:p>
          <w:p w14:paraId="7C0A1552" w14:textId="19C18155" w:rsidR="005418E0" w:rsidRPr="00790654" w:rsidRDefault="005418E0" w:rsidP="00407D99">
            <w:pPr>
              <w:jc w:val="center"/>
              <w:rPr>
                <w:b/>
                <w:sz w:val="16"/>
                <w:szCs w:val="16"/>
              </w:rPr>
            </w:pPr>
            <w:r w:rsidRPr="00790654">
              <w:rPr>
                <w:b/>
                <w:sz w:val="16"/>
                <w:szCs w:val="16"/>
              </w:rPr>
              <w:t>(N)</w:t>
            </w:r>
          </w:p>
        </w:tc>
      </w:tr>
      <w:tr w:rsidR="00790654" w:rsidRPr="00790654" w14:paraId="1F6E546D" w14:textId="77777777" w:rsidTr="005418E0">
        <w:tc>
          <w:tcPr>
            <w:tcW w:w="1191" w:type="dxa"/>
            <w:tcBorders>
              <w:top w:val="single" w:sz="4" w:space="0" w:color="auto"/>
            </w:tcBorders>
          </w:tcPr>
          <w:p w14:paraId="31EC4351" w14:textId="77777777" w:rsidR="00407D99" w:rsidRPr="00790654" w:rsidRDefault="00407D99" w:rsidP="00407D99">
            <w:pPr>
              <w:rPr>
                <w:b/>
                <w:sz w:val="16"/>
                <w:szCs w:val="16"/>
              </w:rPr>
            </w:pPr>
            <w:r w:rsidRPr="00790654">
              <w:rPr>
                <w:b/>
                <w:sz w:val="16"/>
                <w:szCs w:val="16"/>
              </w:rPr>
              <w:t>West Kiang, The Gambia</w:t>
            </w:r>
          </w:p>
          <w:p w14:paraId="4FDF5AA2" w14:textId="24B1FB52" w:rsidR="001F61D0" w:rsidRPr="00790654" w:rsidRDefault="001F61D0" w:rsidP="00407D99">
            <w:pPr>
              <w:rPr>
                <w:sz w:val="16"/>
                <w:szCs w:val="16"/>
              </w:rPr>
            </w:pPr>
            <w:r w:rsidRPr="00790654">
              <w:rPr>
                <w:sz w:val="16"/>
                <w:szCs w:val="16"/>
              </w:rPr>
              <w:t>(see Janha</w:t>
            </w:r>
            <w:r w:rsidR="000B6544" w:rsidRPr="00790654">
              <w:rPr>
                <w:sz w:val="16"/>
                <w:szCs w:val="16"/>
              </w:rPr>
              <w:t xml:space="preserve"> RE</w:t>
            </w:r>
            <w:r w:rsidRPr="00790654">
              <w:rPr>
                <w:sz w:val="16"/>
                <w:szCs w:val="16"/>
              </w:rPr>
              <w:t xml:space="preserve"> </w:t>
            </w:r>
            <w:r w:rsidRPr="00790654">
              <w:rPr>
                <w:i/>
                <w:sz w:val="16"/>
                <w:szCs w:val="16"/>
              </w:rPr>
              <w:t>et al</w:t>
            </w:r>
            <w:r w:rsidRPr="00790654">
              <w:rPr>
                <w:sz w:val="16"/>
                <w:szCs w:val="16"/>
              </w:rPr>
              <w:t>. in this issue)</w:t>
            </w:r>
          </w:p>
        </w:tc>
        <w:tc>
          <w:tcPr>
            <w:tcW w:w="3312" w:type="dxa"/>
            <w:tcBorders>
              <w:top w:val="single" w:sz="4" w:space="0" w:color="auto"/>
            </w:tcBorders>
          </w:tcPr>
          <w:p w14:paraId="46A4DB62" w14:textId="4DCE55FB" w:rsidR="00407D99" w:rsidRPr="00790654" w:rsidRDefault="00407D99" w:rsidP="00407D99">
            <w:pPr>
              <w:rPr>
                <w:sz w:val="16"/>
                <w:szCs w:val="16"/>
              </w:rPr>
            </w:pPr>
            <w:r w:rsidRPr="00790654">
              <w:rPr>
                <w:sz w:val="16"/>
                <w:szCs w:val="16"/>
              </w:rPr>
              <w:t>Poor rural subsistence farming villages</w:t>
            </w:r>
            <w:r w:rsidR="00C46138" w:rsidRPr="00790654">
              <w:rPr>
                <w:sz w:val="16"/>
                <w:szCs w:val="16"/>
              </w:rPr>
              <w:t>, non-electrified and connected by earth roads</w:t>
            </w:r>
            <w:r w:rsidRPr="00790654">
              <w:rPr>
                <w:sz w:val="16"/>
                <w:szCs w:val="16"/>
              </w:rPr>
              <w:t>. Some commercial farming (groundnuts). Nutrition and workload strongly influenced by season. Households comprise</w:t>
            </w:r>
            <w:r w:rsidR="00C46138" w:rsidRPr="00790654">
              <w:rPr>
                <w:sz w:val="16"/>
                <w:szCs w:val="16"/>
              </w:rPr>
              <w:t xml:space="preserve"> extended family compounds. </w:t>
            </w:r>
            <w:r w:rsidRPr="00790654">
              <w:rPr>
                <w:sz w:val="16"/>
                <w:szCs w:val="16"/>
              </w:rPr>
              <w:t>High rates of adult illiteracy.</w:t>
            </w:r>
            <w:r w:rsidR="00245C44" w:rsidRPr="00790654">
              <w:rPr>
                <w:sz w:val="16"/>
                <w:szCs w:val="16"/>
              </w:rPr>
              <w:t xml:space="preserve"> Food is predominantly from home gardening and farming, local markets and small shop outlets.</w:t>
            </w:r>
          </w:p>
          <w:p w14:paraId="3D8112F9" w14:textId="77777777" w:rsidR="00407D99" w:rsidRPr="00790654" w:rsidRDefault="00407D99" w:rsidP="00407D99">
            <w:pPr>
              <w:rPr>
                <w:sz w:val="16"/>
                <w:szCs w:val="16"/>
              </w:rPr>
            </w:pPr>
          </w:p>
        </w:tc>
        <w:tc>
          <w:tcPr>
            <w:tcW w:w="1224" w:type="dxa"/>
            <w:tcBorders>
              <w:top w:val="single" w:sz="4" w:space="0" w:color="auto"/>
            </w:tcBorders>
          </w:tcPr>
          <w:p w14:paraId="1BC1A22A" w14:textId="77777777" w:rsidR="00407D99" w:rsidRPr="00790654" w:rsidRDefault="00407D99" w:rsidP="00407D99">
            <w:pPr>
              <w:rPr>
                <w:sz w:val="16"/>
                <w:szCs w:val="16"/>
              </w:rPr>
            </w:pPr>
            <w:r w:rsidRPr="00790654">
              <w:rPr>
                <w:sz w:val="16"/>
                <w:szCs w:val="16"/>
              </w:rPr>
              <w:t xml:space="preserve">Purposive selection from demographic surveillance system (DSS), avoiding </w:t>
            </w:r>
            <w:proofErr w:type="spellStart"/>
            <w:r w:rsidRPr="00790654">
              <w:rPr>
                <w:sz w:val="16"/>
                <w:szCs w:val="16"/>
              </w:rPr>
              <w:t>Keneba</w:t>
            </w:r>
            <w:proofErr w:type="spellEnd"/>
            <w:r w:rsidRPr="00790654">
              <w:rPr>
                <w:sz w:val="16"/>
                <w:szCs w:val="16"/>
              </w:rPr>
              <w:t xml:space="preserve"> village (site of MRC Unit)</w:t>
            </w:r>
          </w:p>
        </w:tc>
        <w:tc>
          <w:tcPr>
            <w:tcW w:w="872" w:type="dxa"/>
            <w:tcBorders>
              <w:top w:val="single" w:sz="4" w:space="0" w:color="auto"/>
            </w:tcBorders>
          </w:tcPr>
          <w:p w14:paraId="6E76F893" w14:textId="77777777" w:rsidR="00407D99" w:rsidRPr="00790654" w:rsidRDefault="00407D99" w:rsidP="00407D99">
            <w:pPr>
              <w:jc w:val="center"/>
              <w:rPr>
                <w:sz w:val="16"/>
                <w:szCs w:val="16"/>
              </w:rPr>
            </w:pPr>
          </w:p>
          <w:p w14:paraId="652B1F01" w14:textId="77777777" w:rsidR="00407D99" w:rsidRPr="00790654" w:rsidRDefault="00407D99" w:rsidP="00407D99">
            <w:pPr>
              <w:jc w:val="center"/>
              <w:rPr>
                <w:sz w:val="16"/>
                <w:szCs w:val="16"/>
              </w:rPr>
            </w:pPr>
            <w:r w:rsidRPr="00790654">
              <w:rPr>
                <w:sz w:val="16"/>
                <w:szCs w:val="16"/>
              </w:rPr>
              <w:t>July 2018</w:t>
            </w:r>
          </w:p>
        </w:tc>
        <w:tc>
          <w:tcPr>
            <w:tcW w:w="546" w:type="dxa"/>
            <w:tcBorders>
              <w:top w:val="single" w:sz="4" w:space="0" w:color="auto"/>
            </w:tcBorders>
          </w:tcPr>
          <w:p w14:paraId="42515017" w14:textId="77777777" w:rsidR="00407D99" w:rsidRPr="00790654" w:rsidRDefault="00407D99" w:rsidP="00407D99">
            <w:pPr>
              <w:jc w:val="center"/>
              <w:rPr>
                <w:sz w:val="16"/>
                <w:szCs w:val="16"/>
              </w:rPr>
            </w:pPr>
          </w:p>
          <w:p w14:paraId="447A5D52" w14:textId="77777777" w:rsidR="00407D99" w:rsidRPr="00790654" w:rsidRDefault="00407D99" w:rsidP="00407D99">
            <w:pPr>
              <w:jc w:val="center"/>
              <w:rPr>
                <w:sz w:val="16"/>
                <w:szCs w:val="16"/>
              </w:rPr>
            </w:pPr>
            <w:r w:rsidRPr="00790654">
              <w:rPr>
                <w:sz w:val="16"/>
                <w:szCs w:val="16"/>
              </w:rPr>
              <w:t>21</w:t>
            </w:r>
          </w:p>
        </w:tc>
        <w:tc>
          <w:tcPr>
            <w:tcW w:w="425" w:type="dxa"/>
            <w:tcBorders>
              <w:top w:val="single" w:sz="4" w:space="0" w:color="auto"/>
            </w:tcBorders>
          </w:tcPr>
          <w:p w14:paraId="255AD9E6" w14:textId="77777777" w:rsidR="00407D99" w:rsidRPr="00790654" w:rsidRDefault="00407D99" w:rsidP="00407D99">
            <w:pPr>
              <w:jc w:val="center"/>
              <w:rPr>
                <w:sz w:val="16"/>
                <w:szCs w:val="16"/>
              </w:rPr>
            </w:pPr>
          </w:p>
          <w:p w14:paraId="29660E7E" w14:textId="77777777" w:rsidR="00407D99" w:rsidRPr="00790654" w:rsidRDefault="00407D99" w:rsidP="00407D99">
            <w:pPr>
              <w:jc w:val="center"/>
              <w:rPr>
                <w:sz w:val="16"/>
                <w:szCs w:val="16"/>
              </w:rPr>
            </w:pPr>
            <w:r w:rsidRPr="00790654">
              <w:rPr>
                <w:sz w:val="16"/>
                <w:szCs w:val="16"/>
              </w:rPr>
              <w:t>19</w:t>
            </w:r>
          </w:p>
        </w:tc>
        <w:tc>
          <w:tcPr>
            <w:tcW w:w="567" w:type="dxa"/>
            <w:tcBorders>
              <w:top w:val="single" w:sz="4" w:space="0" w:color="auto"/>
            </w:tcBorders>
          </w:tcPr>
          <w:p w14:paraId="4B46CB9E" w14:textId="77777777" w:rsidR="00407D99" w:rsidRPr="00790654" w:rsidRDefault="00407D99" w:rsidP="00407D99">
            <w:pPr>
              <w:jc w:val="center"/>
              <w:rPr>
                <w:sz w:val="16"/>
                <w:szCs w:val="16"/>
              </w:rPr>
            </w:pPr>
          </w:p>
          <w:p w14:paraId="75FE500D" w14:textId="77777777" w:rsidR="00407D99" w:rsidRPr="00790654" w:rsidRDefault="00407D99" w:rsidP="00407D99">
            <w:pPr>
              <w:jc w:val="center"/>
              <w:rPr>
                <w:sz w:val="16"/>
                <w:szCs w:val="16"/>
              </w:rPr>
            </w:pPr>
            <w:r w:rsidRPr="00790654">
              <w:rPr>
                <w:sz w:val="16"/>
                <w:szCs w:val="16"/>
              </w:rPr>
              <w:t>22</w:t>
            </w:r>
          </w:p>
        </w:tc>
        <w:tc>
          <w:tcPr>
            <w:tcW w:w="567" w:type="dxa"/>
            <w:tcBorders>
              <w:top w:val="single" w:sz="4" w:space="0" w:color="auto"/>
            </w:tcBorders>
          </w:tcPr>
          <w:p w14:paraId="3851F2E4" w14:textId="77777777" w:rsidR="00407D99" w:rsidRPr="00790654" w:rsidRDefault="00407D99" w:rsidP="00407D99">
            <w:pPr>
              <w:jc w:val="center"/>
              <w:rPr>
                <w:sz w:val="16"/>
                <w:szCs w:val="16"/>
              </w:rPr>
            </w:pPr>
          </w:p>
          <w:p w14:paraId="3ADFEB85" w14:textId="77777777" w:rsidR="00407D99" w:rsidRPr="00790654" w:rsidRDefault="00407D99" w:rsidP="00407D99">
            <w:pPr>
              <w:jc w:val="center"/>
              <w:rPr>
                <w:sz w:val="16"/>
                <w:szCs w:val="16"/>
              </w:rPr>
            </w:pPr>
            <w:r w:rsidRPr="00790654">
              <w:rPr>
                <w:sz w:val="16"/>
                <w:szCs w:val="16"/>
              </w:rPr>
              <w:t>18</w:t>
            </w:r>
          </w:p>
        </w:tc>
        <w:tc>
          <w:tcPr>
            <w:tcW w:w="821" w:type="dxa"/>
            <w:tcBorders>
              <w:top w:val="single" w:sz="4" w:space="0" w:color="auto"/>
            </w:tcBorders>
          </w:tcPr>
          <w:p w14:paraId="3B5B2D3A" w14:textId="77777777" w:rsidR="00407D99" w:rsidRPr="00790654" w:rsidRDefault="00407D99" w:rsidP="00407D99">
            <w:pPr>
              <w:jc w:val="center"/>
              <w:rPr>
                <w:sz w:val="16"/>
                <w:szCs w:val="16"/>
              </w:rPr>
            </w:pPr>
          </w:p>
          <w:p w14:paraId="720DE157" w14:textId="77777777" w:rsidR="00407D99" w:rsidRPr="00790654" w:rsidRDefault="00407D99" w:rsidP="00407D99">
            <w:pPr>
              <w:jc w:val="center"/>
              <w:rPr>
                <w:sz w:val="16"/>
                <w:szCs w:val="16"/>
              </w:rPr>
            </w:pPr>
            <w:r w:rsidRPr="00790654">
              <w:rPr>
                <w:sz w:val="16"/>
                <w:szCs w:val="16"/>
              </w:rPr>
              <w:t>80</w:t>
            </w:r>
          </w:p>
          <w:p w14:paraId="33E2D0BB" w14:textId="78E068A3" w:rsidR="005418E0" w:rsidRPr="00790654" w:rsidRDefault="005418E0" w:rsidP="00407D99">
            <w:pPr>
              <w:jc w:val="center"/>
              <w:rPr>
                <w:sz w:val="16"/>
                <w:szCs w:val="16"/>
              </w:rPr>
            </w:pPr>
            <w:r w:rsidRPr="00790654">
              <w:rPr>
                <w:sz w:val="16"/>
                <w:szCs w:val="16"/>
              </w:rPr>
              <w:t>(96%)</w:t>
            </w:r>
          </w:p>
        </w:tc>
      </w:tr>
      <w:tr w:rsidR="00790654" w:rsidRPr="00790654" w14:paraId="0E3F08D6" w14:textId="77777777" w:rsidTr="005418E0">
        <w:tc>
          <w:tcPr>
            <w:tcW w:w="1191" w:type="dxa"/>
          </w:tcPr>
          <w:p w14:paraId="66A99FCE" w14:textId="77777777" w:rsidR="00407D99" w:rsidRPr="00790654" w:rsidRDefault="00407D99" w:rsidP="00407D99">
            <w:pPr>
              <w:rPr>
                <w:b/>
                <w:sz w:val="16"/>
                <w:szCs w:val="16"/>
              </w:rPr>
            </w:pPr>
            <w:r w:rsidRPr="00790654">
              <w:rPr>
                <w:b/>
                <w:sz w:val="16"/>
                <w:szCs w:val="16"/>
              </w:rPr>
              <w:t>Abidjan, Cote D’Ivoire</w:t>
            </w:r>
          </w:p>
          <w:p w14:paraId="1464833F" w14:textId="77777777" w:rsidR="001F61D0" w:rsidRPr="00790654" w:rsidRDefault="001F61D0" w:rsidP="00407D99">
            <w:pPr>
              <w:rPr>
                <w:sz w:val="16"/>
                <w:szCs w:val="16"/>
              </w:rPr>
            </w:pPr>
            <w:r w:rsidRPr="00790654">
              <w:rPr>
                <w:sz w:val="16"/>
                <w:szCs w:val="16"/>
              </w:rPr>
              <w:t>(see Jesson J et al. in this issue)</w:t>
            </w:r>
          </w:p>
        </w:tc>
        <w:tc>
          <w:tcPr>
            <w:tcW w:w="3312" w:type="dxa"/>
          </w:tcPr>
          <w:p w14:paraId="6F0BC074" w14:textId="69D9ABBD" w:rsidR="00407D99" w:rsidRPr="00790654" w:rsidRDefault="00C46138" w:rsidP="00407D99">
            <w:pPr>
              <w:rPr>
                <w:sz w:val="16"/>
                <w:szCs w:val="16"/>
              </w:rPr>
            </w:pPr>
            <w:r w:rsidRPr="00790654">
              <w:rPr>
                <w:sz w:val="16"/>
                <w:szCs w:val="16"/>
              </w:rPr>
              <w:t>3</w:t>
            </w:r>
            <w:r w:rsidR="00D14B2F" w:rsidRPr="00790654">
              <w:rPr>
                <w:sz w:val="16"/>
                <w:szCs w:val="16"/>
              </w:rPr>
              <w:t xml:space="preserve"> </w:t>
            </w:r>
            <w:r w:rsidR="00407D99" w:rsidRPr="00790654">
              <w:rPr>
                <w:sz w:val="16"/>
                <w:szCs w:val="16"/>
              </w:rPr>
              <w:t>districts of Abidjan city.</w:t>
            </w:r>
            <w:r w:rsidR="00407D99" w:rsidRPr="00790654">
              <w:t xml:space="preserve"> </w:t>
            </w:r>
            <w:r w:rsidR="00407D99" w:rsidRPr="00790654">
              <w:rPr>
                <w:sz w:val="16"/>
                <w:szCs w:val="16"/>
              </w:rPr>
              <w:t>Low-income families. Dwellings have solid walls and roofing but limited space and access to electricity, and poor sanitation. Food mainly purchased from roadside market stalls.</w:t>
            </w:r>
          </w:p>
          <w:p w14:paraId="30E327AA" w14:textId="77777777" w:rsidR="00407D99" w:rsidRPr="00790654" w:rsidRDefault="00407D99" w:rsidP="00407D99">
            <w:pPr>
              <w:rPr>
                <w:sz w:val="16"/>
                <w:szCs w:val="16"/>
              </w:rPr>
            </w:pPr>
          </w:p>
        </w:tc>
        <w:tc>
          <w:tcPr>
            <w:tcW w:w="1224" w:type="dxa"/>
          </w:tcPr>
          <w:p w14:paraId="1575729C" w14:textId="77777777" w:rsidR="00407D99" w:rsidRPr="00790654" w:rsidRDefault="00407D99" w:rsidP="00407D99">
            <w:pPr>
              <w:rPr>
                <w:sz w:val="16"/>
                <w:szCs w:val="16"/>
              </w:rPr>
            </w:pPr>
            <w:r w:rsidRPr="00790654">
              <w:rPr>
                <w:sz w:val="16"/>
                <w:szCs w:val="16"/>
              </w:rPr>
              <w:t>Convenience sampling through schools and community associations</w:t>
            </w:r>
          </w:p>
        </w:tc>
        <w:tc>
          <w:tcPr>
            <w:tcW w:w="872" w:type="dxa"/>
          </w:tcPr>
          <w:p w14:paraId="55BA99F2" w14:textId="77777777" w:rsidR="00407D99" w:rsidRPr="00790654" w:rsidRDefault="00407D99" w:rsidP="00407D99">
            <w:pPr>
              <w:jc w:val="center"/>
              <w:rPr>
                <w:sz w:val="16"/>
                <w:szCs w:val="16"/>
              </w:rPr>
            </w:pPr>
          </w:p>
          <w:p w14:paraId="72B0B97E" w14:textId="77777777" w:rsidR="00407D99" w:rsidRPr="00790654" w:rsidRDefault="00407D99" w:rsidP="00407D99">
            <w:pPr>
              <w:jc w:val="center"/>
              <w:rPr>
                <w:sz w:val="16"/>
                <w:szCs w:val="16"/>
              </w:rPr>
            </w:pPr>
            <w:r w:rsidRPr="00790654">
              <w:rPr>
                <w:sz w:val="16"/>
                <w:szCs w:val="16"/>
              </w:rPr>
              <w:t>June 2018</w:t>
            </w:r>
          </w:p>
        </w:tc>
        <w:tc>
          <w:tcPr>
            <w:tcW w:w="546" w:type="dxa"/>
          </w:tcPr>
          <w:p w14:paraId="00C91C26" w14:textId="77777777" w:rsidR="00407D99" w:rsidRPr="00790654" w:rsidRDefault="00407D99" w:rsidP="00407D99">
            <w:pPr>
              <w:jc w:val="center"/>
              <w:rPr>
                <w:sz w:val="16"/>
                <w:szCs w:val="16"/>
              </w:rPr>
            </w:pPr>
          </w:p>
          <w:p w14:paraId="3E499D92" w14:textId="77777777" w:rsidR="00407D99" w:rsidRPr="00790654" w:rsidRDefault="00407D99" w:rsidP="00407D99">
            <w:pPr>
              <w:jc w:val="center"/>
              <w:rPr>
                <w:sz w:val="16"/>
                <w:szCs w:val="16"/>
              </w:rPr>
            </w:pPr>
            <w:r w:rsidRPr="00790654">
              <w:rPr>
                <w:sz w:val="16"/>
                <w:szCs w:val="16"/>
              </w:rPr>
              <w:t>29</w:t>
            </w:r>
          </w:p>
        </w:tc>
        <w:tc>
          <w:tcPr>
            <w:tcW w:w="425" w:type="dxa"/>
          </w:tcPr>
          <w:p w14:paraId="292EB39F" w14:textId="77777777" w:rsidR="00407D99" w:rsidRPr="00790654" w:rsidRDefault="00407D99" w:rsidP="00407D99">
            <w:pPr>
              <w:jc w:val="center"/>
              <w:rPr>
                <w:sz w:val="16"/>
                <w:szCs w:val="16"/>
              </w:rPr>
            </w:pPr>
          </w:p>
          <w:p w14:paraId="7FADA7EF" w14:textId="77777777" w:rsidR="00407D99" w:rsidRPr="00790654" w:rsidRDefault="00407D99" w:rsidP="00407D99">
            <w:pPr>
              <w:jc w:val="center"/>
              <w:rPr>
                <w:sz w:val="16"/>
                <w:szCs w:val="16"/>
              </w:rPr>
            </w:pPr>
            <w:r w:rsidRPr="00790654">
              <w:rPr>
                <w:sz w:val="16"/>
                <w:szCs w:val="16"/>
              </w:rPr>
              <w:t>38</w:t>
            </w:r>
          </w:p>
        </w:tc>
        <w:tc>
          <w:tcPr>
            <w:tcW w:w="567" w:type="dxa"/>
          </w:tcPr>
          <w:p w14:paraId="44107F79" w14:textId="77777777" w:rsidR="00407D99" w:rsidRPr="00790654" w:rsidRDefault="00407D99" w:rsidP="00407D99">
            <w:pPr>
              <w:jc w:val="center"/>
              <w:rPr>
                <w:sz w:val="16"/>
                <w:szCs w:val="16"/>
              </w:rPr>
            </w:pPr>
          </w:p>
          <w:p w14:paraId="47F72457" w14:textId="77777777" w:rsidR="00407D99" w:rsidRPr="00790654" w:rsidRDefault="00407D99" w:rsidP="00407D99">
            <w:pPr>
              <w:jc w:val="center"/>
              <w:rPr>
                <w:sz w:val="16"/>
                <w:szCs w:val="16"/>
              </w:rPr>
            </w:pPr>
            <w:r w:rsidRPr="00790654">
              <w:rPr>
                <w:sz w:val="16"/>
                <w:szCs w:val="16"/>
              </w:rPr>
              <w:t>18</w:t>
            </w:r>
          </w:p>
        </w:tc>
        <w:tc>
          <w:tcPr>
            <w:tcW w:w="567" w:type="dxa"/>
          </w:tcPr>
          <w:p w14:paraId="6F3A0035" w14:textId="77777777" w:rsidR="00407D99" w:rsidRPr="00790654" w:rsidRDefault="00407D99" w:rsidP="00407D99">
            <w:pPr>
              <w:jc w:val="center"/>
              <w:rPr>
                <w:sz w:val="16"/>
                <w:szCs w:val="16"/>
              </w:rPr>
            </w:pPr>
          </w:p>
          <w:p w14:paraId="1F26F2F5" w14:textId="77777777" w:rsidR="00407D99" w:rsidRPr="00790654" w:rsidRDefault="00407D99" w:rsidP="00407D99">
            <w:pPr>
              <w:jc w:val="center"/>
              <w:rPr>
                <w:sz w:val="16"/>
                <w:szCs w:val="16"/>
              </w:rPr>
            </w:pPr>
            <w:r w:rsidRPr="00790654">
              <w:rPr>
                <w:sz w:val="16"/>
                <w:szCs w:val="16"/>
              </w:rPr>
              <w:t>24</w:t>
            </w:r>
          </w:p>
        </w:tc>
        <w:tc>
          <w:tcPr>
            <w:tcW w:w="821" w:type="dxa"/>
          </w:tcPr>
          <w:p w14:paraId="344364AA" w14:textId="77777777" w:rsidR="00407D99" w:rsidRPr="00790654" w:rsidRDefault="00407D99" w:rsidP="00407D99">
            <w:pPr>
              <w:jc w:val="center"/>
              <w:rPr>
                <w:sz w:val="16"/>
                <w:szCs w:val="16"/>
              </w:rPr>
            </w:pPr>
          </w:p>
          <w:p w14:paraId="31D1C792" w14:textId="77777777" w:rsidR="00407D99" w:rsidRPr="00790654" w:rsidRDefault="00407D99" w:rsidP="00407D99">
            <w:pPr>
              <w:jc w:val="center"/>
              <w:rPr>
                <w:sz w:val="16"/>
                <w:szCs w:val="16"/>
              </w:rPr>
            </w:pPr>
            <w:r w:rsidRPr="00790654">
              <w:rPr>
                <w:sz w:val="16"/>
                <w:szCs w:val="16"/>
              </w:rPr>
              <w:t>109</w:t>
            </w:r>
          </w:p>
          <w:p w14:paraId="1879A86C" w14:textId="57E2050E" w:rsidR="005418E0" w:rsidRPr="00790654" w:rsidRDefault="005418E0" w:rsidP="00407D99">
            <w:pPr>
              <w:jc w:val="center"/>
              <w:rPr>
                <w:sz w:val="16"/>
                <w:szCs w:val="16"/>
              </w:rPr>
            </w:pPr>
            <w:r w:rsidRPr="00790654">
              <w:rPr>
                <w:sz w:val="16"/>
                <w:szCs w:val="16"/>
              </w:rPr>
              <w:t>(N/A)</w:t>
            </w:r>
          </w:p>
        </w:tc>
      </w:tr>
      <w:tr w:rsidR="00790654" w:rsidRPr="00790654" w14:paraId="4052637D" w14:textId="77777777" w:rsidTr="005418E0">
        <w:tc>
          <w:tcPr>
            <w:tcW w:w="1191" w:type="dxa"/>
          </w:tcPr>
          <w:p w14:paraId="2342A5CD" w14:textId="77777777" w:rsidR="00407D99" w:rsidRPr="00790654" w:rsidRDefault="00407D99" w:rsidP="00407D99">
            <w:pPr>
              <w:rPr>
                <w:b/>
                <w:sz w:val="16"/>
                <w:szCs w:val="16"/>
              </w:rPr>
            </w:pPr>
            <w:r w:rsidRPr="00790654">
              <w:rPr>
                <w:b/>
                <w:sz w:val="16"/>
                <w:szCs w:val="16"/>
              </w:rPr>
              <w:t>Jimma, Ethiopia</w:t>
            </w:r>
          </w:p>
          <w:p w14:paraId="4EDF7BD1" w14:textId="77777777" w:rsidR="001F61D0" w:rsidRPr="00790654" w:rsidRDefault="001F61D0" w:rsidP="00407D99">
            <w:pPr>
              <w:rPr>
                <w:sz w:val="16"/>
                <w:szCs w:val="16"/>
              </w:rPr>
            </w:pPr>
            <w:r w:rsidRPr="00790654">
              <w:rPr>
                <w:sz w:val="16"/>
                <w:szCs w:val="16"/>
              </w:rPr>
              <w:t xml:space="preserve">(see </w:t>
            </w:r>
            <w:proofErr w:type="spellStart"/>
            <w:r w:rsidRPr="00790654">
              <w:rPr>
                <w:sz w:val="16"/>
                <w:szCs w:val="16"/>
              </w:rPr>
              <w:t>Abera</w:t>
            </w:r>
            <w:proofErr w:type="spellEnd"/>
            <w:r w:rsidRPr="00790654">
              <w:rPr>
                <w:sz w:val="16"/>
                <w:szCs w:val="16"/>
              </w:rPr>
              <w:t xml:space="preserve"> M et al. in this issue)</w:t>
            </w:r>
          </w:p>
        </w:tc>
        <w:tc>
          <w:tcPr>
            <w:tcW w:w="3312" w:type="dxa"/>
          </w:tcPr>
          <w:p w14:paraId="6E9DF2AA" w14:textId="03BB0105" w:rsidR="00407D99" w:rsidRPr="00790654" w:rsidRDefault="00407D99" w:rsidP="004D1CC9">
            <w:pPr>
              <w:rPr>
                <w:sz w:val="16"/>
                <w:szCs w:val="16"/>
              </w:rPr>
            </w:pPr>
            <w:r w:rsidRPr="00790654">
              <w:rPr>
                <w:sz w:val="16"/>
                <w:szCs w:val="16"/>
              </w:rPr>
              <w:t>Low and middle socio-economic classes</w:t>
            </w:r>
            <w:r w:rsidR="00C46138" w:rsidRPr="00790654">
              <w:rPr>
                <w:sz w:val="16"/>
                <w:szCs w:val="16"/>
              </w:rPr>
              <w:t xml:space="preserve"> </w:t>
            </w:r>
            <w:r w:rsidRPr="00790654">
              <w:rPr>
                <w:sz w:val="16"/>
                <w:szCs w:val="16"/>
              </w:rPr>
              <w:t>in Jimma City</w:t>
            </w:r>
            <w:r w:rsidR="004D1CC9" w:rsidRPr="00790654">
              <w:rPr>
                <w:sz w:val="16"/>
                <w:szCs w:val="16"/>
              </w:rPr>
              <w:t>. Smal</w:t>
            </w:r>
            <w:r w:rsidR="000B6544" w:rsidRPr="00790654">
              <w:rPr>
                <w:sz w:val="16"/>
                <w:szCs w:val="16"/>
              </w:rPr>
              <w:t>l</w:t>
            </w:r>
            <w:r w:rsidR="004D1CC9" w:rsidRPr="00790654">
              <w:rPr>
                <w:sz w:val="16"/>
                <w:szCs w:val="16"/>
              </w:rPr>
              <w:t xml:space="preserve"> rapidly growing and industrialising city, </w:t>
            </w:r>
            <w:r w:rsidRPr="00790654">
              <w:rPr>
                <w:sz w:val="16"/>
                <w:szCs w:val="16"/>
              </w:rPr>
              <w:t xml:space="preserve">population </w:t>
            </w:r>
            <w:r w:rsidR="004D1CC9" w:rsidRPr="00790654">
              <w:rPr>
                <w:sz w:val="16"/>
                <w:szCs w:val="16"/>
              </w:rPr>
              <w:t>~2</w:t>
            </w:r>
            <w:r w:rsidRPr="00790654">
              <w:rPr>
                <w:sz w:val="16"/>
                <w:szCs w:val="16"/>
              </w:rPr>
              <w:t xml:space="preserve">00,000. Main local industry is coffee growing. </w:t>
            </w:r>
            <w:r w:rsidR="0085172F" w:rsidRPr="00790654">
              <w:rPr>
                <w:sz w:val="16"/>
                <w:szCs w:val="16"/>
              </w:rPr>
              <w:t xml:space="preserve">Food purchased from informal vendors, </w:t>
            </w:r>
            <w:r w:rsidR="00C46138" w:rsidRPr="00790654">
              <w:rPr>
                <w:sz w:val="16"/>
                <w:szCs w:val="16"/>
              </w:rPr>
              <w:t xml:space="preserve">shops, </w:t>
            </w:r>
            <w:r w:rsidR="0085172F" w:rsidRPr="00790654">
              <w:rPr>
                <w:sz w:val="16"/>
                <w:szCs w:val="16"/>
              </w:rPr>
              <w:t>markets and supermarkets.</w:t>
            </w:r>
          </w:p>
          <w:p w14:paraId="3C73599F" w14:textId="77777777" w:rsidR="004D1CC9" w:rsidRPr="00790654" w:rsidRDefault="004D1CC9" w:rsidP="004D1CC9">
            <w:pPr>
              <w:rPr>
                <w:sz w:val="16"/>
                <w:szCs w:val="16"/>
              </w:rPr>
            </w:pPr>
          </w:p>
        </w:tc>
        <w:tc>
          <w:tcPr>
            <w:tcW w:w="1224" w:type="dxa"/>
          </w:tcPr>
          <w:p w14:paraId="3041F7F6" w14:textId="66AA45AB" w:rsidR="00407D99" w:rsidRPr="00790654" w:rsidRDefault="004D1CC9" w:rsidP="00C46138">
            <w:pPr>
              <w:rPr>
                <w:sz w:val="16"/>
                <w:szCs w:val="16"/>
              </w:rPr>
            </w:pPr>
            <w:r w:rsidRPr="00790654">
              <w:rPr>
                <w:sz w:val="16"/>
                <w:szCs w:val="16"/>
              </w:rPr>
              <w:t xml:space="preserve">Convenience sampling, through </w:t>
            </w:r>
            <w:r w:rsidR="00C46138" w:rsidRPr="00790654">
              <w:rPr>
                <w:sz w:val="16"/>
                <w:szCs w:val="16"/>
              </w:rPr>
              <w:t>CHWs</w:t>
            </w:r>
          </w:p>
        </w:tc>
        <w:tc>
          <w:tcPr>
            <w:tcW w:w="872" w:type="dxa"/>
          </w:tcPr>
          <w:p w14:paraId="6DD271FB" w14:textId="77777777" w:rsidR="004D1CC9" w:rsidRPr="00790654" w:rsidRDefault="004D1CC9" w:rsidP="00407D99">
            <w:pPr>
              <w:jc w:val="center"/>
              <w:rPr>
                <w:sz w:val="16"/>
                <w:szCs w:val="16"/>
              </w:rPr>
            </w:pPr>
          </w:p>
          <w:p w14:paraId="3D6B8D50" w14:textId="77777777" w:rsidR="00407D99" w:rsidRPr="00790654" w:rsidRDefault="004D1CC9" w:rsidP="00407D99">
            <w:pPr>
              <w:jc w:val="center"/>
              <w:rPr>
                <w:sz w:val="16"/>
                <w:szCs w:val="16"/>
              </w:rPr>
            </w:pPr>
            <w:r w:rsidRPr="00790654">
              <w:rPr>
                <w:sz w:val="16"/>
                <w:szCs w:val="16"/>
              </w:rPr>
              <w:t>June-July 2018</w:t>
            </w:r>
          </w:p>
        </w:tc>
        <w:tc>
          <w:tcPr>
            <w:tcW w:w="546" w:type="dxa"/>
          </w:tcPr>
          <w:p w14:paraId="62191BE3" w14:textId="77777777" w:rsidR="00407D99" w:rsidRPr="00790654" w:rsidRDefault="00407D99" w:rsidP="00407D99">
            <w:pPr>
              <w:jc w:val="center"/>
              <w:rPr>
                <w:sz w:val="16"/>
                <w:szCs w:val="16"/>
              </w:rPr>
            </w:pPr>
          </w:p>
          <w:p w14:paraId="784FCDE5" w14:textId="77777777" w:rsidR="00407D99" w:rsidRPr="00790654" w:rsidRDefault="00407D99" w:rsidP="00407D99">
            <w:pPr>
              <w:jc w:val="center"/>
              <w:rPr>
                <w:sz w:val="16"/>
                <w:szCs w:val="16"/>
              </w:rPr>
            </w:pPr>
            <w:r w:rsidRPr="00790654">
              <w:rPr>
                <w:sz w:val="16"/>
                <w:szCs w:val="16"/>
              </w:rPr>
              <w:t>7</w:t>
            </w:r>
          </w:p>
        </w:tc>
        <w:tc>
          <w:tcPr>
            <w:tcW w:w="425" w:type="dxa"/>
          </w:tcPr>
          <w:p w14:paraId="289AC2C1" w14:textId="77777777" w:rsidR="00407D99" w:rsidRPr="00790654" w:rsidRDefault="00407D99" w:rsidP="00407D99">
            <w:pPr>
              <w:jc w:val="center"/>
              <w:rPr>
                <w:sz w:val="16"/>
                <w:szCs w:val="16"/>
              </w:rPr>
            </w:pPr>
          </w:p>
          <w:p w14:paraId="542E23A1" w14:textId="77777777" w:rsidR="00407D99" w:rsidRPr="00790654" w:rsidRDefault="00407D99" w:rsidP="00407D99">
            <w:pPr>
              <w:jc w:val="center"/>
              <w:rPr>
                <w:sz w:val="16"/>
                <w:szCs w:val="16"/>
              </w:rPr>
            </w:pPr>
            <w:r w:rsidRPr="00790654">
              <w:rPr>
                <w:sz w:val="16"/>
                <w:szCs w:val="16"/>
              </w:rPr>
              <w:t>9</w:t>
            </w:r>
          </w:p>
        </w:tc>
        <w:tc>
          <w:tcPr>
            <w:tcW w:w="567" w:type="dxa"/>
          </w:tcPr>
          <w:p w14:paraId="0919B634" w14:textId="77777777" w:rsidR="00407D99" w:rsidRPr="00790654" w:rsidRDefault="00407D99" w:rsidP="00407D99">
            <w:pPr>
              <w:jc w:val="center"/>
              <w:rPr>
                <w:sz w:val="16"/>
                <w:szCs w:val="16"/>
              </w:rPr>
            </w:pPr>
          </w:p>
          <w:p w14:paraId="3A6F8CC8" w14:textId="77777777" w:rsidR="00407D99" w:rsidRPr="00790654" w:rsidRDefault="00407D99" w:rsidP="00407D99">
            <w:pPr>
              <w:jc w:val="center"/>
              <w:rPr>
                <w:sz w:val="16"/>
                <w:szCs w:val="16"/>
              </w:rPr>
            </w:pPr>
            <w:r w:rsidRPr="00790654">
              <w:rPr>
                <w:sz w:val="16"/>
                <w:szCs w:val="16"/>
              </w:rPr>
              <w:t>10</w:t>
            </w:r>
          </w:p>
        </w:tc>
        <w:tc>
          <w:tcPr>
            <w:tcW w:w="567" w:type="dxa"/>
          </w:tcPr>
          <w:p w14:paraId="6478AEB8" w14:textId="77777777" w:rsidR="00407D99" w:rsidRPr="00790654" w:rsidRDefault="00407D99" w:rsidP="00407D99">
            <w:pPr>
              <w:jc w:val="center"/>
              <w:rPr>
                <w:sz w:val="16"/>
                <w:szCs w:val="16"/>
              </w:rPr>
            </w:pPr>
          </w:p>
          <w:p w14:paraId="04D3AF6D" w14:textId="77777777" w:rsidR="00407D99" w:rsidRPr="00790654" w:rsidRDefault="00407D99" w:rsidP="00407D99">
            <w:pPr>
              <w:jc w:val="center"/>
              <w:rPr>
                <w:sz w:val="16"/>
                <w:szCs w:val="16"/>
              </w:rPr>
            </w:pPr>
            <w:r w:rsidRPr="00790654">
              <w:rPr>
                <w:sz w:val="16"/>
                <w:szCs w:val="16"/>
              </w:rPr>
              <w:t>15</w:t>
            </w:r>
          </w:p>
        </w:tc>
        <w:tc>
          <w:tcPr>
            <w:tcW w:w="821" w:type="dxa"/>
          </w:tcPr>
          <w:p w14:paraId="47FD8F43" w14:textId="77777777" w:rsidR="00407D99" w:rsidRPr="00790654" w:rsidRDefault="00407D99" w:rsidP="00407D99">
            <w:pPr>
              <w:jc w:val="center"/>
              <w:rPr>
                <w:sz w:val="16"/>
                <w:szCs w:val="16"/>
              </w:rPr>
            </w:pPr>
          </w:p>
          <w:p w14:paraId="14E8BBD6" w14:textId="77777777" w:rsidR="00407D99" w:rsidRPr="00790654" w:rsidRDefault="00407D99" w:rsidP="00407D99">
            <w:pPr>
              <w:jc w:val="center"/>
              <w:rPr>
                <w:sz w:val="16"/>
                <w:szCs w:val="16"/>
              </w:rPr>
            </w:pPr>
            <w:r w:rsidRPr="00790654">
              <w:rPr>
                <w:sz w:val="16"/>
                <w:szCs w:val="16"/>
              </w:rPr>
              <w:t>41</w:t>
            </w:r>
          </w:p>
          <w:p w14:paraId="656DCCB0" w14:textId="625AAEC3" w:rsidR="005418E0" w:rsidRPr="00790654" w:rsidRDefault="005418E0" w:rsidP="00407D99">
            <w:pPr>
              <w:jc w:val="center"/>
              <w:rPr>
                <w:sz w:val="16"/>
                <w:szCs w:val="16"/>
              </w:rPr>
            </w:pPr>
            <w:r w:rsidRPr="00790654">
              <w:rPr>
                <w:sz w:val="16"/>
                <w:szCs w:val="16"/>
              </w:rPr>
              <w:t>(82%)</w:t>
            </w:r>
          </w:p>
        </w:tc>
      </w:tr>
      <w:tr w:rsidR="00790654" w:rsidRPr="00790654" w14:paraId="4D1C8B48" w14:textId="77777777" w:rsidTr="005418E0">
        <w:tc>
          <w:tcPr>
            <w:tcW w:w="1191" w:type="dxa"/>
          </w:tcPr>
          <w:p w14:paraId="33BF8D4D" w14:textId="77777777" w:rsidR="00407D99" w:rsidRPr="00790654" w:rsidRDefault="00407D99" w:rsidP="00407D99">
            <w:pPr>
              <w:rPr>
                <w:b/>
                <w:sz w:val="16"/>
                <w:szCs w:val="16"/>
              </w:rPr>
            </w:pPr>
            <w:r w:rsidRPr="00790654">
              <w:rPr>
                <w:b/>
                <w:sz w:val="16"/>
                <w:szCs w:val="16"/>
              </w:rPr>
              <w:t>Johannesburg, South Africa</w:t>
            </w:r>
          </w:p>
          <w:p w14:paraId="569C831C" w14:textId="77777777" w:rsidR="001F61D0" w:rsidRPr="00790654" w:rsidRDefault="001F61D0" w:rsidP="00407D99">
            <w:pPr>
              <w:rPr>
                <w:sz w:val="16"/>
                <w:szCs w:val="16"/>
              </w:rPr>
            </w:pPr>
            <w:r w:rsidRPr="00790654">
              <w:rPr>
                <w:sz w:val="16"/>
                <w:szCs w:val="16"/>
              </w:rPr>
              <w:t>(see Wrottesley S et al. in this issue)</w:t>
            </w:r>
          </w:p>
        </w:tc>
        <w:tc>
          <w:tcPr>
            <w:tcW w:w="3312" w:type="dxa"/>
          </w:tcPr>
          <w:p w14:paraId="4D5EB598" w14:textId="38B0B47B" w:rsidR="00407D99" w:rsidRPr="00790654" w:rsidRDefault="00407D99" w:rsidP="00407D99">
            <w:pPr>
              <w:rPr>
                <w:sz w:val="16"/>
                <w:szCs w:val="16"/>
              </w:rPr>
            </w:pPr>
            <w:r w:rsidRPr="00790654">
              <w:rPr>
                <w:sz w:val="16"/>
                <w:szCs w:val="16"/>
              </w:rPr>
              <w:t>Disadvantaged urban township (Soweto</w:t>
            </w:r>
            <w:r w:rsidR="00C46138" w:rsidRPr="00790654">
              <w:rPr>
                <w:sz w:val="16"/>
                <w:szCs w:val="16"/>
              </w:rPr>
              <w:t>)</w:t>
            </w:r>
            <w:r w:rsidRPr="00790654">
              <w:rPr>
                <w:sz w:val="16"/>
                <w:szCs w:val="16"/>
              </w:rPr>
              <w:t xml:space="preserve"> in Johannesburg (population 7.9 million). </w:t>
            </w:r>
            <w:r w:rsidR="00C46138" w:rsidRPr="00790654">
              <w:rPr>
                <w:sz w:val="16"/>
                <w:szCs w:val="16"/>
              </w:rPr>
              <w:t>G</w:t>
            </w:r>
            <w:r w:rsidRPr="00790654">
              <w:rPr>
                <w:sz w:val="16"/>
                <w:szCs w:val="16"/>
              </w:rPr>
              <w:t>ood infrastructure (roads, electricity) due to post-apartheid investment. Recent rapid emergence of shopping malls and fast-food chains.</w:t>
            </w:r>
          </w:p>
          <w:p w14:paraId="45695BB0" w14:textId="77777777" w:rsidR="00407D99" w:rsidRPr="00790654" w:rsidRDefault="00407D99" w:rsidP="00407D99">
            <w:pPr>
              <w:rPr>
                <w:sz w:val="16"/>
                <w:szCs w:val="16"/>
              </w:rPr>
            </w:pPr>
          </w:p>
        </w:tc>
        <w:tc>
          <w:tcPr>
            <w:tcW w:w="1224" w:type="dxa"/>
          </w:tcPr>
          <w:p w14:paraId="75EF561C" w14:textId="1D12D0E8" w:rsidR="00407D99" w:rsidRPr="00790654" w:rsidRDefault="00407D99" w:rsidP="00C46138">
            <w:pPr>
              <w:rPr>
                <w:sz w:val="16"/>
                <w:szCs w:val="16"/>
              </w:rPr>
            </w:pPr>
            <w:r w:rsidRPr="00790654">
              <w:rPr>
                <w:sz w:val="16"/>
                <w:szCs w:val="16"/>
              </w:rPr>
              <w:t xml:space="preserve">Convenience sampling through </w:t>
            </w:r>
            <w:r w:rsidR="00C46138" w:rsidRPr="00790654">
              <w:rPr>
                <w:sz w:val="16"/>
                <w:szCs w:val="16"/>
              </w:rPr>
              <w:t>CHWs</w:t>
            </w:r>
          </w:p>
        </w:tc>
        <w:tc>
          <w:tcPr>
            <w:tcW w:w="872" w:type="dxa"/>
          </w:tcPr>
          <w:p w14:paraId="79C774F1" w14:textId="77777777" w:rsidR="00407D99" w:rsidRPr="00790654" w:rsidRDefault="00407D99" w:rsidP="00407D99">
            <w:pPr>
              <w:jc w:val="center"/>
              <w:rPr>
                <w:sz w:val="16"/>
                <w:szCs w:val="16"/>
              </w:rPr>
            </w:pPr>
          </w:p>
          <w:p w14:paraId="73DE3CA8" w14:textId="77777777" w:rsidR="00407D99" w:rsidRPr="00790654" w:rsidRDefault="00407D99" w:rsidP="00407D99">
            <w:pPr>
              <w:jc w:val="center"/>
              <w:rPr>
                <w:sz w:val="16"/>
                <w:szCs w:val="16"/>
              </w:rPr>
            </w:pPr>
            <w:r w:rsidRPr="00790654">
              <w:rPr>
                <w:sz w:val="16"/>
                <w:szCs w:val="16"/>
              </w:rPr>
              <w:t>July 2018</w:t>
            </w:r>
          </w:p>
        </w:tc>
        <w:tc>
          <w:tcPr>
            <w:tcW w:w="546" w:type="dxa"/>
          </w:tcPr>
          <w:p w14:paraId="2FC9E3A8" w14:textId="77777777" w:rsidR="00407D99" w:rsidRPr="00790654" w:rsidRDefault="00407D99" w:rsidP="00407D99">
            <w:pPr>
              <w:jc w:val="center"/>
              <w:rPr>
                <w:sz w:val="16"/>
                <w:szCs w:val="16"/>
              </w:rPr>
            </w:pPr>
          </w:p>
          <w:p w14:paraId="6F2F69C9" w14:textId="77777777" w:rsidR="00407D99" w:rsidRPr="00790654" w:rsidRDefault="00407D99" w:rsidP="00407D99">
            <w:pPr>
              <w:jc w:val="center"/>
              <w:rPr>
                <w:sz w:val="16"/>
                <w:szCs w:val="16"/>
              </w:rPr>
            </w:pPr>
            <w:r w:rsidRPr="00790654">
              <w:rPr>
                <w:sz w:val="16"/>
                <w:szCs w:val="16"/>
              </w:rPr>
              <w:t>22</w:t>
            </w:r>
          </w:p>
        </w:tc>
        <w:tc>
          <w:tcPr>
            <w:tcW w:w="425" w:type="dxa"/>
          </w:tcPr>
          <w:p w14:paraId="08FA4859" w14:textId="77777777" w:rsidR="00407D99" w:rsidRPr="00790654" w:rsidRDefault="00407D99" w:rsidP="00407D99">
            <w:pPr>
              <w:jc w:val="center"/>
              <w:rPr>
                <w:sz w:val="16"/>
                <w:szCs w:val="16"/>
              </w:rPr>
            </w:pPr>
          </w:p>
          <w:p w14:paraId="04B6296B" w14:textId="77777777" w:rsidR="00407D99" w:rsidRPr="00790654" w:rsidRDefault="00407D99" w:rsidP="00407D99">
            <w:pPr>
              <w:jc w:val="center"/>
              <w:rPr>
                <w:sz w:val="16"/>
                <w:szCs w:val="16"/>
              </w:rPr>
            </w:pPr>
            <w:r w:rsidRPr="00790654">
              <w:rPr>
                <w:sz w:val="16"/>
                <w:szCs w:val="16"/>
              </w:rPr>
              <w:t>20</w:t>
            </w:r>
          </w:p>
        </w:tc>
        <w:tc>
          <w:tcPr>
            <w:tcW w:w="567" w:type="dxa"/>
          </w:tcPr>
          <w:p w14:paraId="5B5FB25B" w14:textId="77777777" w:rsidR="00407D99" w:rsidRPr="00790654" w:rsidRDefault="00407D99" w:rsidP="00407D99">
            <w:pPr>
              <w:jc w:val="center"/>
              <w:rPr>
                <w:sz w:val="16"/>
                <w:szCs w:val="16"/>
              </w:rPr>
            </w:pPr>
          </w:p>
          <w:p w14:paraId="014A27A7" w14:textId="77777777" w:rsidR="00407D99" w:rsidRPr="00790654" w:rsidRDefault="00407D99" w:rsidP="00407D99">
            <w:pPr>
              <w:jc w:val="center"/>
              <w:rPr>
                <w:sz w:val="16"/>
                <w:szCs w:val="16"/>
              </w:rPr>
            </w:pPr>
            <w:r w:rsidRPr="00790654">
              <w:rPr>
                <w:sz w:val="16"/>
                <w:szCs w:val="16"/>
              </w:rPr>
              <w:t>20</w:t>
            </w:r>
          </w:p>
        </w:tc>
        <w:tc>
          <w:tcPr>
            <w:tcW w:w="567" w:type="dxa"/>
          </w:tcPr>
          <w:p w14:paraId="14DFD5F0" w14:textId="77777777" w:rsidR="00407D99" w:rsidRPr="00790654" w:rsidRDefault="00407D99" w:rsidP="00407D99">
            <w:pPr>
              <w:jc w:val="center"/>
              <w:rPr>
                <w:sz w:val="16"/>
                <w:szCs w:val="16"/>
              </w:rPr>
            </w:pPr>
          </w:p>
          <w:p w14:paraId="6A1F085E" w14:textId="77777777" w:rsidR="00407D99" w:rsidRPr="00790654" w:rsidRDefault="00407D99" w:rsidP="00407D99">
            <w:pPr>
              <w:jc w:val="center"/>
              <w:rPr>
                <w:sz w:val="16"/>
                <w:szCs w:val="16"/>
              </w:rPr>
            </w:pPr>
            <w:r w:rsidRPr="00790654">
              <w:rPr>
                <w:sz w:val="16"/>
                <w:szCs w:val="16"/>
              </w:rPr>
              <w:t>19</w:t>
            </w:r>
          </w:p>
        </w:tc>
        <w:tc>
          <w:tcPr>
            <w:tcW w:w="821" w:type="dxa"/>
          </w:tcPr>
          <w:p w14:paraId="4390DB9F" w14:textId="77777777" w:rsidR="00407D99" w:rsidRPr="00790654" w:rsidRDefault="00407D99" w:rsidP="00407D99">
            <w:pPr>
              <w:jc w:val="center"/>
              <w:rPr>
                <w:sz w:val="16"/>
                <w:szCs w:val="16"/>
              </w:rPr>
            </w:pPr>
          </w:p>
          <w:p w14:paraId="415C8BB4" w14:textId="77777777" w:rsidR="00407D99" w:rsidRPr="00790654" w:rsidRDefault="00407D99" w:rsidP="00407D99">
            <w:pPr>
              <w:jc w:val="center"/>
              <w:rPr>
                <w:sz w:val="16"/>
                <w:szCs w:val="16"/>
              </w:rPr>
            </w:pPr>
            <w:r w:rsidRPr="00790654">
              <w:rPr>
                <w:sz w:val="16"/>
                <w:szCs w:val="16"/>
              </w:rPr>
              <w:t>81</w:t>
            </w:r>
          </w:p>
          <w:p w14:paraId="27464046" w14:textId="16684947" w:rsidR="005418E0" w:rsidRPr="00790654" w:rsidRDefault="005418E0" w:rsidP="00407D99">
            <w:pPr>
              <w:jc w:val="center"/>
              <w:rPr>
                <w:sz w:val="16"/>
                <w:szCs w:val="16"/>
              </w:rPr>
            </w:pPr>
            <w:r w:rsidRPr="00790654">
              <w:rPr>
                <w:sz w:val="16"/>
                <w:szCs w:val="16"/>
              </w:rPr>
              <w:t>(100%)</w:t>
            </w:r>
          </w:p>
        </w:tc>
      </w:tr>
      <w:tr w:rsidR="00790654" w:rsidRPr="00790654" w14:paraId="4E92106A" w14:textId="77777777" w:rsidTr="005418E0">
        <w:tc>
          <w:tcPr>
            <w:tcW w:w="1191" w:type="dxa"/>
          </w:tcPr>
          <w:p w14:paraId="466E148B" w14:textId="77777777" w:rsidR="00407D99" w:rsidRPr="00790654" w:rsidRDefault="00407D99" w:rsidP="00407D99">
            <w:pPr>
              <w:rPr>
                <w:b/>
                <w:sz w:val="16"/>
                <w:szCs w:val="16"/>
              </w:rPr>
            </w:pPr>
            <w:r w:rsidRPr="00790654">
              <w:rPr>
                <w:b/>
                <w:sz w:val="16"/>
                <w:szCs w:val="16"/>
              </w:rPr>
              <w:t>Dervan, Maharashtra, India</w:t>
            </w:r>
          </w:p>
          <w:p w14:paraId="0816F782" w14:textId="77777777" w:rsidR="001F61D0" w:rsidRPr="00790654" w:rsidRDefault="001F61D0" w:rsidP="00407D99">
            <w:pPr>
              <w:rPr>
                <w:sz w:val="16"/>
                <w:szCs w:val="16"/>
              </w:rPr>
            </w:pPr>
            <w:r w:rsidRPr="00790654">
              <w:rPr>
                <w:sz w:val="16"/>
                <w:szCs w:val="16"/>
              </w:rPr>
              <w:t>(see Banavali U et al. in this issue)</w:t>
            </w:r>
          </w:p>
        </w:tc>
        <w:tc>
          <w:tcPr>
            <w:tcW w:w="3312" w:type="dxa"/>
          </w:tcPr>
          <w:p w14:paraId="55E6DADA" w14:textId="71E36FB0" w:rsidR="00407D99" w:rsidRPr="00790654" w:rsidRDefault="00407D99" w:rsidP="00407D99">
            <w:pPr>
              <w:rPr>
                <w:sz w:val="16"/>
                <w:szCs w:val="16"/>
              </w:rPr>
            </w:pPr>
            <w:r w:rsidRPr="00790654">
              <w:rPr>
                <w:sz w:val="16"/>
                <w:szCs w:val="16"/>
              </w:rPr>
              <w:t xml:space="preserve">Villages in </w:t>
            </w:r>
            <w:r w:rsidR="00C46138" w:rsidRPr="00790654">
              <w:rPr>
                <w:sz w:val="16"/>
                <w:szCs w:val="16"/>
              </w:rPr>
              <w:t xml:space="preserve">deprived </w:t>
            </w:r>
            <w:r w:rsidRPr="00790654">
              <w:rPr>
                <w:sz w:val="16"/>
                <w:szCs w:val="16"/>
              </w:rPr>
              <w:t xml:space="preserve">rural </w:t>
            </w:r>
            <w:r w:rsidR="00C46138" w:rsidRPr="00790654">
              <w:rPr>
                <w:sz w:val="16"/>
                <w:szCs w:val="16"/>
              </w:rPr>
              <w:t>region f Konkan</w:t>
            </w:r>
            <w:r w:rsidRPr="00790654">
              <w:rPr>
                <w:sz w:val="16"/>
                <w:szCs w:val="16"/>
              </w:rPr>
              <w:t xml:space="preserve">. Main livelihood farming (rice) but land quality poor; many men </w:t>
            </w:r>
            <w:r w:rsidR="00C46138" w:rsidRPr="00790654">
              <w:rPr>
                <w:sz w:val="16"/>
                <w:szCs w:val="16"/>
              </w:rPr>
              <w:t xml:space="preserve">earn by working </w:t>
            </w:r>
            <w:r w:rsidRPr="00790654">
              <w:rPr>
                <w:sz w:val="16"/>
                <w:szCs w:val="16"/>
              </w:rPr>
              <w:t>in cities. Earth roads. Erratic electricity. Food purchased in local market</w:t>
            </w:r>
            <w:r w:rsidR="00C46138" w:rsidRPr="00790654">
              <w:rPr>
                <w:sz w:val="16"/>
                <w:szCs w:val="16"/>
              </w:rPr>
              <w:t>s</w:t>
            </w:r>
            <w:r w:rsidRPr="00790654">
              <w:rPr>
                <w:sz w:val="16"/>
                <w:szCs w:val="16"/>
              </w:rPr>
              <w:t xml:space="preserve">. </w:t>
            </w:r>
            <w:r w:rsidR="00C46138" w:rsidRPr="00790654">
              <w:rPr>
                <w:sz w:val="16"/>
                <w:szCs w:val="16"/>
              </w:rPr>
              <w:t xml:space="preserve">Sample included </w:t>
            </w:r>
            <w:r w:rsidRPr="00790654">
              <w:rPr>
                <w:sz w:val="16"/>
                <w:szCs w:val="16"/>
              </w:rPr>
              <w:t>‘</w:t>
            </w:r>
            <w:proofErr w:type="spellStart"/>
            <w:r w:rsidRPr="00790654">
              <w:rPr>
                <w:sz w:val="16"/>
                <w:szCs w:val="16"/>
              </w:rPr>
              <w:t>tribals</w:t>
            </w:r>
            <w:proofErr w:type="spellEnd"/>
            <w:r w:rsidRPr="00790654">
              <w:rPr>
                <w:sz w:val="16"/>
                <w:szCs w:val="16"/>
              </w:rPr>
              <w:t>’</w:t>
            </w:r>
            <w:r w:rsidR="00C46138" w:rsidRPr="00790654">
              <w:rPr>
                <w:sz w:val="16"/>
                <w:szCs w:val="16"/>
              </w:rPr>
              <w:t xml:space="preserve"> (</w:t>
            </w:r>
            <w:r w:rsidRPr="00790654">
              <w:rPr>
                <w:sz w:val="16"/>
                <w:szCs w:val="16"/>
              </w:rPr>
              <w:t>historically hunter-gatherers).</w:t>
            </w:r>
          </w:p>
          <w:p w14:paraId="1466C56C" w14:textId="77777777" w:rsidR="00407D99" w:rsidRPr="00790654" w:rsidRDefault="00407D99" w:rsidP="00407D99">
            <w:pPr>
              <w:rPr>
                <w:sz w:val="16"/>
                <w:szCs w:val="16"/>
              </w:rPr>
            </w:pPr>
          </w:p>
        </w:tc>
        <w:tc>
          <w:tcPr>
            <w:tcW w:w="1224" w:type="dxa"/>
          </w:tcPr>
          <w:p w14:paraId="212252F3" w14:textId="575A56E8" w:rsidR="00407D99" w:rsidRPr="00790654" w:rsidRDefault="002A6B79" w:rsidP="00C46138">
            <w:pPr>
              <w:rPr>
                <w:sz w:val="16"/>
                <w:szCs w:val="16"/>
              </w:rPr>
            </w:pPr>
            <w:r w:rsidRPr="00790654">
              <w:rPr>
                <w:sz w:val="16"/>
                <w:szCs w:val="16"/>
              </w:rPr>
              <w:t>Convenience</w:t>
            </w:r>
            <w:r w:rsidR="00407D99" w:rsidRPr="00790654">
              <w:rPr>
                <w:sz w:val="16"/>
                <w:szCs w:val="16"/>
              </w:rPr>
              <w:t xml:space="preserve"> sampling in government schools  </w:t>
            </w:r>
          </w:p>
        </w:tc>
        <w:tc>
          <w:tcPr>
            <w:tcW w:w="872" w:type="dxa"/>
          </w:tcPr>
          <w:p w14:paraId="3CD4FDB5" w14:textId="77777777" w:rsidR="0085172F" w:rsidRPr="00790654" w:rsidRDefault="0085172F" w:rsidP="00407D99">
            <w:pPr>
              <w:jc w:val="center"/>
              <w:rPr>
                <w:sz w:val="16"/>
                <w:szCs w:val="16"/>
              </w:rPr>
            </w:pPr>
          </w:p>
          <w:p w14:paraId="5215E2E4" w14:textId="77777777" w:rsidR="00407D99" w:rsidRPr="00790654" w:rsidRDefault="00407D99" w:rsidP="00407D99">
            <w:pPr>
              <w:jc w:val="center"/>
              <w:rPr>
                <w:sz w:val="16"/>
                <w:szCs w:val="16"/>
              </w:rPr>
            </w:pPr>
            <w:r w:rsidRPr="00790654">
              <w:rPr>
                <w:sz w:val="16"/>
                <w:szCs w:val="16"/>
              </w:rPr>
              <w:t>June-September 2018</w:t>
            </w:r>
          </w:p>
        </w:tc>
        <w:tc>
          <w:tcPr>
            <w:tcW w:w="546" w:type="dxa"/>
          </w:tcPr>
          <w:p w14:paraId="2CAE3260" w14:textId="77777777" w:rsidR="00407D99" w:rsidRPr="00790654" w:rsidRDefault="00407D99" w:rsidP="00407D99">
            <w:pPr>
              <w:jc w:val="center"/>
              <w:rPr>
                <w:sz w:val="16"/>
                <w:szCs w:val="16"/>
              </w:rPr>
            </w:pPr>
          </w:p>
          <w:p w14:paraId="31CF55C8" w14:textId="77777777" w:rsidR="0085172F" w:rsidRPr="00790654" w:rsidRDefault="0085172F" w:rsidP="00407D99">
            <w:pPr>
              <w:jc w:val="center"/>
              <w:rPr>
                <w:sz w:val="16"/>
                <w:szCs w:val="16"/>
              </w:rPr>
            </w:pPr>
          </w:p>
          <w:p w14:paraId="7A1AA960" w14:textId="77777777" w:rsidR="00407D99" w:rsidRPr="00790654" w:rsidRDefault="00407D99" w:rsidP="00407D99">
            <w:pPr>
              <w:jc w:val="center"/>
              <w:rPr>
                <w:sz w:val="16"/>
                <w:szCs w:val="16"/>
              </w:rPr>
            </w:pPr>
            <w:r w:rsidRPr="00790654">
              <w:rPr>
                <w:sz w:val="16"/>
                <w:szCs w:val="16"/>
              </w:rPr>
              <w:t>25</w:t>
            </w:r>
          </w:p>
        </w:tc>
        <w:tc>
          <w:tcPr>
            <w:tcW w:w="425" w:type="dxa"/>
          </w:tcPr>
          <w:p w14:paraId="6BE0D244" w14:textId="77777777" w:rsidR="00407D99" w:rsidRPr="00790654" w:rsidRDefault="00407D99" w:rsidP="00407D99">
            <w:pPr>
              <w:jc w:val="center"/>
              <w:rPr>
                <w:sz w:val="16"/>
                <w:szCs w:val="16"/>
              </w:rPr>
            </w:pPr>
          </w:p>
          <w:p w14:paraId="2AEF676D" w14:textId="77777777" w:rsidR="0085172F" w:rsidRPr="00790654" w:rsidRDefault="0085172F" w:rsidP="00407D99">
            <w:pPr>
              <w:jc w:val="center"/>
              <w:rPr>
                <w:sz w:val="16"/>
                <w:szCs w:val="16"/>
              </w:rPr>
            </w:pPr>
          </w:p>
          <w:p w14:paraId="3D5F89A7" w14:textId="77777777" w:rsidR="00407D99" w:rsidRPr="00790654" w:rsidRDefault="00407D99" w:rsidP="00407D99">
            <w:pPr>
              <w:jc w:val="center"/>
              <w:rPr>
                <w:sz w:val="16"/>
                <w:szCs w:val="16"/>
              </w:rPr>
            </w:pPr>
            <w:r w:rsidRPr="00790654">
              <w:rPr>
                <w:sz w:val="16"/>
                <w:szCs w:val="16"/>
              </w:rPr>
              <w:t>25</w:t>
            </w:r>
          </w:p>
        </w:tc>
        <w:tc>
          <w:tcPr>
            <w:tcW w:w="567" w:type="dxa"/>
          </w:tcPr>
          <w:p w14:paraId="1530A955" w14:textId="77777777" w:rsidR="00407D99" w:rsidRPr="00790654" w:rsidRDefault="00407D99" w:rsidP="00407D99">
            <w:pPr>
              <w:jc w:val="center"/>
              <w:rPr>
                <w:sz w:val="16"/>
                <w:szCs w:val="16"/>
              </w:rPr>
            </w:pPr>
          </w:p>
          <w:p w14:paraId="06DCD74E" w14:textId="77777777" w:rsidR="0085172F" w:rsidRPr="00790654" w:rsidRDefault="0085172F" w:rsidP="00407D99">
            <w:pPr>
              <w:jc w:val="center"/>
              <w:rPr>
                <w:sz w:val="16"/>
                <w:szCs w:val="16"/>
              </w:rPr>
            </w:pPr>
          </w:p>
          <w:p w14:paraId="613C925E" w14:textId="77777777" w:rsidR="00407D99" w:rsidRPr="00790654" w:rsidRDefault="00407D99" w:rsidP="00407D99">
            <w:pPr>
              <w:jc w:val="center"/>
              <w:rPr>
                <w:sz w:val="16"/>
                <w:szCs w:val="16"/>
              </w:rPr>
            </w:pPr>
            <w:r w:rsidRPr="00790654">
              <w:rPr>
                <w:sz w:val="16"/>
                <w:szCs w:val="16"/>
              </w:rPr>
              <w:t>35</w:t>
            </w:r>
          </w:p>
        </w:tc>
        <w:tc>
          <w:tcPr>
            <w:tcW w:w="567" w:type="dxa"/>
          </w:tcPr>
          <w:p w14:paraId="6BC8017A" w14:textId="77777777" w:rsidR="00407D99" w:rsidRPr="00790654" w:rsidRDefault="00407D99" w:rsidP="00407D99">
            <w:pPr>
              <w:jc w:val="center"/>
              <w:rPr>
                <w:sz w:val="16"/>
                <w:szCs w:val="16"/>
              </w:rPr>
            </w:pPr>
          </w:p>
          <w:p w14:paraId="72EDA3A6" w14:textId="77777777" w:rsidR="0085172F" w:rsidRPr="00790654" w:rsidRDefault="0085172F" w:rsidP="00407D99">
            <w:pPr>
              <w:jc w:val="center"/>
              <w:rPr>
                <w:sz w:val="16"/>
                <w:szCs w:val="16"/>
              </w:rPr>
            </w:pPr>
          </w:p>
          <w:p w14:paraId="21ABFABD" w14:textId="77777777" w:rsidR="00407D99" w:rsidRPr="00790654" w:rsidRDefault="00407D99" w:rsidP="00407D99">
            <w:pPr>
              <w:jc w:val="center"/>
              <w:rPr>
                <w:sz w:val="16"/>
                <w:szCs w:val="16"/>
              </w:rPr>
            </w:pPr>
            <w:r w:rsidRPr="00790654">
              <w:rPr>
                <w:sz w:val="16"/>
                <w:szCs w:val="16"/>
              </w:rPr>
              <w:t>27</w:t>
            </w:r>
          </w:p>
        </w:tc>
        <w:tc>
          <w:tcPr>
            <w:tcW w:w="821" w:type="dxa"/>
          </w:tcPr>
          <w:p w14:paraId="5DBED9A2" w14:textId="77777777" w:rsidR="00407D99" w:rsidRPr="00790654" w:rsidRDefault="00407D99" w:rsidP="00407D99">
            <w:pPr>
              <w:jc w:val="center"/>
              <w:rPr>
                <w:sz w:val="16"/>
                <w:szCs w:val="16"/>
              </w:rPr>
            </w:pPr>
          </w:p>
          <w:p w14:paraId="7DB005CC" w14:textId="77777777" w:rsidR="0085172F" w:rsidRPr="00790654" w:rsidRDefault="0085172F" w:rsidP="00407D99">
            <w:pPr>
              <w:jc w:val="center"/>
              <w:rPr>
                <w:sz w:val="16"/>
                <w:szCs w:val="16"/>
              </w:rPr>
            </w:pPr>
          </w:p>
          <w:p w14:paraId="39CFF299" w14:textId="77777777" w:rsidR="00407D99" w:rsidRPr="00790654" w:rsidRDefault="00407D99" w:rsidP="00407D99">
            <w:pPr>
              <w:jc w:val="center"/>
              <w:rPr>
                <w:sz w:val="16"/>
                <w:szCs w:val="16"/>
              </w:rPr>
            </w:pPr>
            <w:r w:rsidRPr="00790654">
              <w:rPr>
                <w:sz w:val="16"/>
                <w:szCs w:val="16"/>
              </w:rPr>
              <w:t>112</w:t>
            </w:r>
          </w:p>
          <w:p w14:paraId="64DB5D2A" w14:textId="799AAE32" w:rsidR="005418E0" w:rsidRPr="00790654" w:rsidRDefault="005418E0" w:rsidP="00407D99">
            <w:pPr>
              <w:jc w:val="center"/>
              <w:rPr>
                <w:sz w:val="16"/>
                <w:szCs w:val="16"/>
              </w:rPr>
            </w:pPr>
            <w:r w:rsidRPr="00790654">
              <w:rPr>
                <w:sz w:val="16"/>
                <w:szCs w:val="16"/>
              </w:rPr>
              <w:t>(100%)</w:t>
            </w:r>
          </w:p>
        </w:tc>
      </w:tr>
      <w:tr w:rsidR="00790654" w:rsidRPr="00790654" w14:paraId="22FF7BB9" w14:textId="77777777" w:rsidTr="005418E0">
        <w:tc>
          <w:tcPr>
            <w:tcW w:w="1191" w:type="dxa"/>
          </w:tcPr>
          <w:p w14:paraId="548C8B86" w14:textId="77777777" w:rsidR="00407D99" w:rsidRPr="00790654" w:rsidRDefault="00407D99" w:rsidP="00407D99">
            <w:pPr>
              <w:rPr>
                <w:b/>
                <w:sz w:val="16"/>
                <w:szCs w:val="16"/>
              </w:rPr>
            </w:pPr>
            <w:r w:rsidRPr="00790654">
              <w:rPr>
                <w:b/>
                <w:sz w:val="16"/>
                <w:szCs w:val="16"/>
              </w:rPr>
              <w:t>Pune, Maharashtra, India</w:t>
            </w:r>
          </w:p>
          <w:p w14:paraId="2ED1656E" w14:textId="584CFB33" w:rsidR="001F61D0" w:rsidRPr="00790654" w:rsidRDefault="001F61D0" w:rsidP="00407D99">
            <w:pPr>
              <w:rPr>
                <w:sz w:val="16"/>
                <w:szCs w:val="16"/>
              </w:rPr>
            </w:pPr>
            <w:r w:rsidRPr="00790654">
              <w:rPr>
                <w:sz w:val="16"/>
                <w:szCs w:val="16"/>
              </w:rPr>
              <w:t>(see Joshi</w:t>
            </w:r>
            <w:r w:rsidR="000B6544" w:rsidRPr="00790654">
              <w:rPr>
                <w:sz w:val="16"/>
                <w:szCs w:val="16"/>
              </w:rPr>
              <w:t>-Reddy</w:t>
            </w:r>
            <w:r w:rsidRPr="00790654">
              <w:rPr>
                <w:sz w:val="16"/>
                <w:szCs w:val="16"/>
              </w:rPr>
              <w:t xml:space="preserve"> K et al. in this issue)</w:t>
            </w:r>
          </w:p>
        </w:tc>
        <w:tc>
          <w:tcPr>
            <w:tcW w:w="3312" w:type="dxa"/>
          </w:tcPr>
          <w:p w14:paraId="322CE6F5" w14:textId="1FAA6C89" w:rsidR="00407D99" w:rsidRPr="00790654" w:rsidRDefault="00407D99" w:rsidP="00990A75">
            <w:pPr>
              <w:rPr>
                <w:sz w:val="16"/>
                <w:szCs w:val="16"/>
              </w:rPr>
            </w:pPr>
            <w:r w:rsidRPr="00790654">
              <w:rPr>
                <w:sz w:val="16"/>
                <w:szCs w:val="16"/>
              </w:rPr>
              <w:t xml:space="preserve">Rural villages, previously a subsistence farming community, now transformed by </w:t>
            </w:r>
            <w:r w:rsidR="00990A75" w:rsidRPr="00790654">
              <w:rPr>
                <w:sz w:val="16"/>
                <w:szCs w:val="16"/>
              </w:rPr>
              <w:t>improved roads, electrification and</w:t>
            </w:r>
            <w:r w:rsidR="00C46138" w:rsidRPr="00790654">
              <w:rPr>
                <w:sz w:val="16"/>
                <w:szCs w:val="16"/>
              </w:rPr>
              <w:t xml:space="preserve"> irrigation, enabling</w:t>
            </w:r>
            <w:r w:rsidR="00990A75" w:rsidRPr="00790654">
              <w:rPr>
                <w:sz w:val="16"/>
                <w:szCs w:val="16"/>
              </w:rPr>
              <w:t xml:space="preserve"> </w:t>
            </w:r>
            <w:r w:rsidRPr="00790654">
              <w:rPr>
                <w:sz w:val="16"/>
                <w:szCs w:val="16"/>
              </w:rPr>
              <w:t>cash crops (</w:t>
            </w:r>
            <w:r w:rsidR="00990A75" w:rsidRPr="00790654">
              <w:rPr>
                <w:sz w:val="16"/>
                <w:szCs w:val="16"/>
              </w:rPr>
              <w:t xml:space="preserve">eg. </w:t>
            </w:r>
            <w:r w:rsidRPr="00790654">
              <w:rPr>
                <w:sz w:val="16"/>
                <w:szCs w:val="16"/>
              </w:rPr>
              <w:t xml:space="preserve">sugar cane) </w:t>
            </w:r>
            <w:r w:rsidR="00C46138" w:rsidRPr="00790654">
              <w:rPr>
                <w:sz w:val="16"/>
                <w:szCs w:val="16"/>
              </w:rPr>
              <w:t xml:space="preserve">and small industries, with greatly </w:t>
            </w:r>
            <w:r w:rsidRPr="00790654">
              <w:rPr>
                <w:sz w:val="16"/>
                <w:szCs w:val="16"/>
              </w:rPr>
              <w:t xml:space="preserve">increased local wealth. </w:t>
            </w:r>
          </w:p>
          <w:p w14:paraId="7FA50F1B" w14:textId="77777777" w:rsidR="00990A75" w:rsidRPr="00790654" w:rsidRDefault="00990A75" w:rsidP="00990A75">
            <w:pPr>
              <w:rPr>
                <w:sz w:val="16"/>
                <w:szCs w:val="16"/>
              </w:rPr>
            </w:pPr>
          </w:p>
        </w:tc>
        <w:tc>
          <w:tcPr>
            <w:tcW w:w="1224" w:type="dxa"/>
          </w:tcPr>
          <w:p w14:paraId="7A41714C" w14:textId="6CD8AEC5" w:rsidR="00407D99" w:rsidRPr="00790654" w:rsidRDefault="00407D99" w:rsidP="00C46138">
            <w:pPr>
              <w:rPr>
                <w:sz w:val="16"/>
                <w:szCs w:val="16"/>
              </w:rPr>
            </w:pPr>
            <w:r w:rsidRPr="00790654">
              <w:rPr>
                <w:sz w:val="16"/>
                <w:szCs w:val="16"/>
              </w:rPr>
              <w:t xml:space="preserve">Convenience sample, recruited through </w:t>
            </w:r>
            <w:r w:rsidR="00C46138" w:rsidRPr="00790654">
              <w:rPr>
                <w:sz w:val="16"/>
                <w:szCs w:val="16"/>
              </w:rPr>
              <w:t>CHWs</w:t>
            </w:r>
          </w:p>
        </w:tc>
        <w:tc>
          <w:tcPr>
            <w:tcW w:w="872" w:type="dxa"/>
          </w:tcPr>
          <w:p w14:paraId="3BA45F6E" w14:textId="77777777" w:rsidR="00407D99" w:rsidRPr="00790654" w:rsidRDefault="00407D99" w:rsidP="00407D99">
            <w:pPr>
              <w:jc w:val="center"/>
              <w:rPr>
                <w:sz w:val="16"/>
                <w:szCs w:val="16"/>
              </w:rPr>
            </w:pPr>
            <w:r w:rsidRPr="00790654">
              <w:rPr>
                <w:sz w:val="16"/>
                <w:szCs w:val="16"/>
              </w:rPr>
              <w:t>May-August 2018</w:t>
            </w:r>
          </w:p>
        </w:tc>
        <w:tc>
          <w:tcPr>
            <w:tcW w:w="546" w:type="dxa"/>
          </w:tcPr>
          <w:p w14:paraId="2BEDCB50" w14:textId="77777777" w:rsidR="00407D99" w:rsidRPr="00790654" w:rsidRDefault="00407D99" w:rsidP="00407D99">
            <w:pPr>
              <w:jc w:val="center"/>
              <w:rPr>
                <w:sz w:val="16"/>
                <w:szCs w:val="16"/>
              </w:rPr>
            </w:pPr>
          </w:p>
          <w:p w14:paraId="5C9D996C" w14:textId="77777777" w:rsidR="00407D99" w:rsidRPr="00790654" w:rsidRDefault="00407D99" w:rsidP="00407D99">
            <w:pPr>
              <w:jc w:val="center"/>
              <w:rPr>
                <w:sz w:val="16"/>
                <w:szCs w:val="16"/>
              </w:rPr>
            </w:pPr>
            <w:r w:rsidRPr="00790654">
              <w:rPr>
                <w:sz w:val="16"/>
                <w:szCs w:val="16"/>
              </w:rPr>
              <w:t>20</w:t>
            </w:r>
          </w:p>
        </w:tc>
        <w:tc>
          <w:tcPr>
            <w:tcW w:w="425" w:type="dxa"/>
          </w:tcPr>
          <w:p w14:paraId="2513AA83" w14:textId="77777777" w:rsidR="00407D99" w:rsidRPr="00790654" w:rsidRDefault="00407D99" w:rsidP="00407D99">
            <w:pPr>
              <w:jc w:val="center"/>
              <w:rPr>
                <w:sz w:val="16"/>
                <w:szCs w:val="16"/>
              </w:rPr>
            </w:pPr>
          </w:p>
          <w:p w14:paraId="7E813B1A" w14:textId="77777777" w:rsidR="00407D99" w:rsidRPr="00790654" w:rsidRDefault="00407D99" w:rsidP="00407D99">
            <w:pPr>
              <w:jc w:val="center"/>
              <w:rPr>
                <w:sz w:val="16"/>
                <w:szCs w:val="16"/>
              </w:rPr>
            </w:pPr>
            <w:r w:rsidRPr="00790654">
              <w:rPr>
                <w:sz w:val="16"/>
                <w:szCs w:val="16"/>
              </w:rPr>
              <w:t>20</w:t>
            </w:r>
          </w:p>
        </w:tc>
        <w:tc>
          <w:tcPr>
            <w:tcW w:w="567" w:type="dxa"/>
          </w:tcPr>
          <w:p w14:paraId="3EC55AA4" w14:textId="77777777" w:rsidR="00407D99" w:rsidRPr="00790654" w:rsidRDefault="00407D99" w:rsidP="00407D99">
            <w:pPr>
              <w:jc w:val="center"/>
              <w:rPr>
                <w:sz w:val="16"/>
                <w:szCs w:val="16"/>
              </w:rPr>
            </w:pPr>
          </w:p>
          <w:p w14:paraId="34332BB5" w14:textId="77777777" w:rsidR="00407D99" w:rsidRPr="00790654" w:rsidRDefault="00407D99" w:rsidP="00407D99">
            <w:pPr>
              <w:jc w:val="center"/>
              <w:rPr>
                <w:sz w:val="16"/>
                <w:szCs w:val="16"/>
              </w:rPr>
            </w:pPr>
            <w:r w:rsidRPr="00790654">
              <w:rPr>
                <w:sz w:val="16"/>
                <w:szCs w:val="16"/>
              </w:rPr>
              <w:t>20</w:t>
            </w:r>
          </w:p>
        </w:tc>
        <w:tc>
          <w:tcPr>
            <w:tcW w:w="567" w:type="dxa"/>
          </w:tcPr>
          <w:p w14:paraId="2A208856" w14:textId="77777777" w:rsidR="00407D99" w:rsidRPr="00790654" w:rsidRDefault="00407D99" w:rsidP="00407D99">
            <w:pPr>
              <w:jc w:val="center"/>
              <w:rPr>
                <w:sz w:val="16"/>
                <w:szCs w:val="16"/>
              </w:rPr>
            </w:pPr>
          </w:p>
          <w:p w14:paraId="3D1B0CF4" w14:textId="77777777" w:rsidR="00407D99" w:rsidRPr="00790654" w:rsidRDefault="00407D99" w:rsidP="00407D99">
            <w:pPr>
              <w:jc w:val="center"/>
              <w:rPr>
                <w:sz w:val="16"/>
                <w:szCs w:val="16"/>
              </w:rPr>
            </w:pPr>
            <w:r w:rsidRPr="00790654">
              <w:rPr>
                <w:sz w:val="16"/>
                <w:szCs w:val="16"/>
              </w:rPr>
              <w:t>21</w:t>
            </w:r>
          </w:p>
        </w:tc>
        <w:tc>
          <w:tcPr>
            <w:tcW w:w="821" w:type="dxa"/>
          </w:tcPr>
          <w:p w14:paraId="51CCD1F1" w14:textId="77777777" w:rsidR="00407D99" w:rsidRPr="00790654" w:rsidRDefault="00407D99" w:rsidP="00407D99">
            <w:pPr>
              <w:jc w:val="center"/>
              <w:rPr>
                <w:sz w:val="16"/>
                <w:szCs w:val="16"/>
              </w:rPr>
            </w:pPr>
          </w:p>
          <w:p w14:paraId="3E19B378" w14:textId="77777777" w:rsidR="00407D99" w:rsidRPr="00790654" w:rsidRDefault="00407D99" w:rsidP="00407D99">
            <w:pPr>
              <w:jc w:val="center"/>
              <w:rPr>
                <w:sz w:val="16"/>
                <w:szCs w:val="16"/>
              </w:rPr>
            </w:pPr>
            <w:r w:rsidRPr="00790654">
              <w:rPr>
                <w:sz w:val="16"/>
                <w:szCs w:val="16"/>
              </w:rPr>
              <w:t>81</w:t>
            </w:r>
          </w:p>
          <w:p w14:paraId="399EFA92" w14:textId="7B06CD72" w:rsidR="005418E0" w:rsidRPr="00790654" w:rsidRDefault="005418E0" w:rsidP="00407D99">
            <w:pPr>
              <w:jc w:val="center"/>
              <w:rPr>
                <w:sz w:val="16"/>
                <w:szCs w:val="16"/>
              </w:rPr>
            </w:pPr>
            <w:r w:rsidRPr="00790654">
              <w:rPr>
                <w:sz w:val="16"/>
                <w:szCs w:val="16"/>
              </w:rPr>
              <w:t>(88%)</w:t>
            </w:r>
          </w:p>
        </w:tc>
      </w:tr>
      <w:tr w:rsidR="00790654" w:rsidRPr="00790654" w14:paraId="7D91CE34" w14:textId="77777777" w:rsidTr="005418E0">
        <w:tc>
          <w:tcPr>
            <w:tcW w:w="1191" w:type="dxa"/>
          </w:tcPr>
          <w:p w14:paraId="3E3A2307" w14:textId="77777777" w:rsidR="00407D99" w:rsidRPr="00790654" w:rsidRDefault="00407D99" w:rsidP="00407D99">
            <w:pPr>
              <w:rPr>
                <w:b/>
                <w:sz w:val="16"/>
                <w:szCs w:val="16"/>
              </w:rPr>
            </w:pPr>
            <w:r w:rsidRPr="00790654">
              <w:rPr>
                <w:b/>
                <w:sz w:val="16"/>
                <w:szCs w:val="16"/>
              </w:rPr>
              <w:t>Mumbai, Maharashtra, India</w:t>
            </w:r>
          </w:p>
          <w:p w14:paraId="575E8D92" w14:textId="77777777" w:rsidR="001F61D0" w:rsidRPr="00790654" w:rsidRDefault="001F61D0" w:rsidP="00407D99">
            <w:pPr>
              <w:rPr>
                <w:sz w:val="16"/>
                <w:szCs w:val="16"/>
              </w:rPr>
            </w:pPr>
            <w:r w:rsidRPr="00790654">
              <w:rPr>
                <w:sz w:val="16"/>
                <w:szCs w:val="16"/>
              </w:rPr>
              <w:t>(see Chopra H et al. in this issue)</w:t>
            </w:r>
          </w:p>
        </w:tc>
        <w:tc>
          <w:tcPr>
            <w:tcW w:w="3312" w:type="dxa"/>
          </w:tcPr>
          <w:p w14:paraId="616A058F" w14:textId="1C2BD7D5" w:rsidR="00407D99" w:rsidRPr="00790654" w:rsidRDefault="00425955" w:rsidP="00407D99">
            <w:pPr>
              <w:rPr>
                <w:sz w:val="16"/>
                <w:szCs w:val="16"/>
              </w:rPr>
            </w:pPr>
            <w:r w:rsidRPr="00790654">
              <w:rPr>
                <w:sz w:val="16"/>
                <w:szCs w:val="16"/>
              </w:rPr>
              <w:t>City s</w:t>
            </w:r>
            <w:r w:rsidR="00407D99" w:rsidRPr="00790654">
              <w:rPr>
                <w:sz w:val="16"/>
                <w:szCs w:val="16"/>
              </w:rPr>
              <w:t>lums in</w:t>
            </w:r>
            <w:r w:rsidRPr="00790654">
              <w:rPr>
                <w:sz w:val="16"/>
                <w:szCs w:val="16"/>
              </w:rPr>
              <w:t xml:space="preserve"> </w:t>
            </w:r>
            <w:r w:rsidR="00407D99" w:rsidRPr="00790654">
              <w:rPr>
                <w:sz w:val="16"/>
                <w:szCs w:val="16"/>
              </w:rPr>
              <w:t>India’s commercial capital. Multiple occupation groups represented</w:t>
            </w:r>
            <w:r w:rsidRPr="00790654">
              <w:rPr>
                <w:sz w:val="16"/>
                <w:szCs w:val="16"/>
              </w:rPr>
              <w:t xml:space="preserve"> (</w:t>
            </w:r>
            <w:r w:rsidR="00407D99" w:rsidRPr="00790654">
              <w:rPr>
                <w:sz w:val="16"/>
                <w:szCs w:val="16"/>
              </w:rPr>
              <w:t>labourers through professionals</w:t>
            </w:r>
            <w:r w:rsidRPr="00790654">
              <w:rPr>
                <w:sz w:val="16"/>
                <w:szCs w:val="16"/>
              </w:rPr>
              <w:t>)</w:t>
            </w:r>
            <w:r w:rsidR="00407D99" w:rsidRPr="00790654">
              <w:rPr>
                <w:sz w:val="16"/>
                <w:szCs w:val="16"/>
              </w:rPr>
              <w:t xml:space="preserve">. Mostly </w:t>
            </w:r>
            <w:r w:rsidRPr="00790654">
              <w:rPr>
                <w:sz w:val="16"/>
                <w:szCs w:val="16"/>
              </w:rPr>
              <w:t>1</w:t>
            </w:r>
            <w:r w:rsidR="00407D99" w:rsidRPr="00790654">
              <w:rPr>
                <w:sz w:val="16"/>
                <w:szCs w:val="16"/>
              </w:rPr>
              <w:t xml:space="preserve">-room </w:t>
            </w:r>
            <w:r w:rsidRPr="00790654">
              <w:rPr>
                <w:sz w:val="16"/>
                <w:szCs w:val="16"/>
              </w:rPr>
              <w:t xml:space="preserve">closely packed </w:t>
            </w:r>
            <w:r w:rsidR="00407D99" w:rsidRPr="00790654">
              <w:rPr>
                <w:sz w:val="16"/>
                <w:szCs w:val="16"/>
              </w:rPr>
              <w:t>concrete dwellings</w:t>
            </w:r>
            <w:r w:rsidRPr="00790654">
              <w:rPr>
                <w:sz w:val="16"/>
                <w:szCs w:val="16"/>
              </w:rPr>
              <w:t>, and</w:t>
            </w:r>
            <w:r w:rsidR="00407D99" w:rsidRPr="00790654">
              <w:rPr>
                <w:sz w:val="16"/>
                <w:szCs w:val="16"/>
              </w:rPr>
              <w:t xml:space="preserve"> </w:t>
            </w:r>
            <w:r w:rsidRPr="00790654">
              <w:rPr>
                <w:sz w:val="16"/>
                <w:szCs w:val="16"/>
              </w:rPr>
              <w:t>public</w:t>
            </w:r>
            <w:r w:rsidR="00407D99" w:rsidRPr="00790654">
              <w:rPr>
                <w:sz w:val="16"/>
                <w:szCs w:val="16"/>
              </w:rPr>
              <w:t xml:space="preserve"> toilet facilities. Most have access to electricity. Food sources: abundant vendors and markets.</w:t>
            </w:r>
          </w:p>
          <w:p w14:paraId="3B6431E4" w14:textId="77777777" w:rsidR="00407D99" w:rsidRPr="00790654" w:rsidRDefault="00407D99" w:rsidP="00407D99">
            <w:pPr>
              <w:rPr>
                <w:sz w:val="16"/>
                <w:szCs w:val="16"/>
              </w:rPr>
            </w:pPr>
          </w:p>
        </w:tc>
        <w:tc>
          <w:tcPr>
            <w:tcW w:w="1224" w:type="dxa"/>
          </w:tcPr>
          <w:p w14:paraId="0DDAC3BC" w14:textId="2E2B85C3" w:rsidR="00407D99" w:rsidRPr="00790654" w:rsidRDefault="00407D99" w:rsidP="00C46138">
            <w:pPr>
              <w:rPr>
                <w:sz w:val="16"/>
                <w:szCs w:val="16"/>
              </w:rPr>
            </w:pPr>
            <w:r w:rsidRPr="00790654">
              <w:rPr>
                <w:sz w:val="16"/>
                <w:szCs w:val="16"/>
              </w:rPr>
              <w:t>Convenience sample, recruited through</w:t>
            </w:r>
            <w:r w:rsidR="00C46138" w:rsidRPr="00790654">
              <w:rPr>
                <w:sz w:val="16"/>
                <w:szCs w:val="16"/>
              </w:rPr>
              <w:t xml:space="preserve"> CHWs</w:t>
            </w:r>
          </w:p>
        </w:tc>
        <w:tc>
          <w:tcPr>
            <w:tcW w:w="872" w:type="dxa"/>
          </w:tcPr>
          <w:p w14:paraId="1C93B6DA" w14:textId="77777777" w:rsidR="00407D99" w:rsidRPr="00790654" w:rsidRDefault="00407D99" w:rsidP="00407D99">
            <w:pPr>
              <w:jc w:val="center"/>
              <w:rPr>
                <w:sz w:val="16"/>
                <w:szCs w:val="16"/>
              </w:rPr>
            </w:pPr>
            <w:r w:rsidRPr="00790654">
              <w:rPr>
                <w:sz w:val="16"/>
                <w:szCs w:val="16"/>
              </w:rPr>
              <w:t>June-August 2018</w:t>
            </w:r>
          </w:p>
        </w:tc>
        <w:tc>
          <w:tcPr>
            <w:tcW w:w="546" w:type="dxa"/>
          </w:tcPr>
          <w:p w14:paraId="69DA7B78" w14:textId="77777777" w:rsidR="00407D99" w:rsidRPr="00790654" w:rsidRDefault="00407D99" w:rsidP="00407D99">
            <w:pPr>
              <w:jc w:val="center"/>
              <w:rPr>
                <w:sz w:val="16"/>
                <w:szCs w:val="16"/>
              </w:rPr>
            </w:pPr>
          </w:p>
          <w:p w14:paraId="7DBFA639" w14:textId="77777777" w:rsidR="00407D99" w:rsidRPr="00790654" w:rsidRDefault="00407D99" w:rsidP="00407D99">
            <w:pPr>
              <w:jc w:val="center"/>
              <w:rPr>
                <w:sz w:val="16"/>
                <w:szCs w:val="16"/>
              </w:rPr>
            </w:pPr>
            <w:r w:rsidRPr="00790654">
              <w:rPr>
                <w:sz w:val="16"/>
                <w:szCs w:val="16"/>
              </w:rPr>
              <w:t>20</w:t>
            </w:r>
          </w:p>
        </w:tc>
        <w:tc>
          <w:tcPr>
            <w:tcW w:w="425" w:type="dxa"/>
          </w:tcPr>
          <w:p w14:paraId="3C58CDAC" w14:textId="77777777" w:rsidR="00407D99" w:rsidRPr="00790654" w:rsidRDefault="00407D99" w:rsidP="00407D99">
            <w:pPr>
              <w:jc w:val="center"/>
              <w:rPr>
                <w:sz w:val="16"/>
                <w:szCs w:val="16"/>
              </w:rPr>
            </w:pPr>
          </w:p>
          <w:p w14:paraId="35D707CB" w14:textId="77777777" w:rsidR="00407D99" w:rsidRPr="00790654" w:rsidRDefault="00407D99" w:rsidP="00407D99">
            <w:pPr>
              <w:jc w:val="center"/>
              <w:rPr>
                <w:sz w:val="16"/>
                <w:szCs w:val="16"/>
              </w:rPr>
            </w:pPr>
            <w:r w:rsidRPr="00790654">
              <w:rPr>
                <w:sz w:val="16"/>
                <w:szCs w:val="16"/>
              </w:rPr>
              <w:t>20</w:t>
            </w:r>
          </w:p>
        </w:tc>
        <w:tc>
          <w:tcPr>
            <w:tcW w:w="567" w:type="dxa"/>
          </w:tcPr>
          <w:p w14:paraId="1552B517" w14:textId="77777777" w:rsidR="00407D99" w:rsidRPr="00790654" w:rsidRDefault="00407D99" w:rsidP="00407D99">
            <w:pPr>
              <w:jc w:val="center"/>
              <w:rPr>
                <w:sz w:val="16"/>
                <w:szCs w:val="16"/>
              </w:rPr>
            </w:pPr>
          </w:p>
          <w:p w14:paraId="20F9EBA1" w14:textId="77777777" w:rsidR="00407D99" w:rsidRPr="00790654" w:rsidRDefault="00407D99" w:rsidP="00407D99">
            <w:pPr>
              <w:jc w:val="center"/>
              <w:rPr>
                <w:sz w:val="16"/>
                <w:szCs w:val="16"/>
              </w:rPr>
            </w:pPr>
            <w:r w:rsidRPr="00790654">
              <w:rPr>
                <w:sz w:val="16"/>
                <w:szCs w:val="16"/>
              </w:rPr>
              <w:t>20</w:t>
            </w:r>
          </w:p>
        </w:tc>
        <w:tc>
          <w:tcPr>
            <w:tcW w:w="567" w:type="dxa"/>
          </w:tcPr>
          <w:p w14:paraId="2ED142C6" w14:textId="77777777" w:rsidR="00407D99" w:rsidRPr="00790654" w:rsidRDefault="00407D99" w:rsidP="00407D99">
            <w:pPr>
              <w:jc w:val="center"/>
              <w:rPr>
                <w:sz w:val="16"/>
                <w:szCs w:val="16"/>
              </w:rPr>
            </w:pPr>
          </w:p>
          <w:p w14:paraId="2CFB841E" w14:textId="77777777" w:rsidR="00407D99" w:rsidRPr="00790654" w:rsidRDefault="00407D99" w:rsidP="00407D99">
            <w:pPr>
              <w:jc w:val="center"/>
              <w:rPr>
                <w:sz w:val="16"/>
                <w:szCs w:val="16"/>
              </w:rPr>
            </w:pPr>
            <w:r w:rsidRPr="00790654">
              <w:rPr>
                <w:sz w:val="16"/>
                <w:szCs w:val="16"/>
              </w:rPr>
              <w:t>20</w:t>
            </w:r>
          </w:p>
        </w:tc>
        <w:tc>
          <w:tcPr>
            <w:tcW w:w="821" w:type="dxa"/>
          </w:tcPr>
          <w:p w14:paraId="480832BD" w14:textId="77777777" w:rsidR="00407D99" w:rsidRPr="00790654" w:rsidRDefault="00407D99" w:rsidP="00407D99">
            <w:pPr>
              <w:jc w:val="center"/>
              <w:rPr>
                <w:sz w:val="16"/>
                <w:szCs w:val="16"/>
              </w:rPr>
            </w:pPr>
          </w:p>
          <w:p w14:paraId="52A71FCB" w14:textId="77777777" w:rsidR="00407D99" w:rsidRPr="00790654" w:rsidRDefault="00407D99" w:rsidP="00407D99">
            <w:pPr>
              <w:jc w:val="center"/>
              <w:rPr>
                <w:sz w:val="16"/>
                <w:szCs w:val="16"/>
              </w:rPr>
            </w:pPr>
            <w:r w:rsidRPr="00790654">
              <w:rPr>
                <w:sz w:val="16"/>
                <w:szCs w:val="16"/>
              </w:rPr>
              <w:t>80*</w:t>
            </w:r>
          </w:p>
          <w:p w14:paraId="7D8F4D34" w14:textId="707B8822" w:rsidR="005418E0" w:rsidRPr="00790654" w:rsidRDefault="005418E0" w:rsidP="00407D99">
            <w:pPr>
              <w:jc w:val="center"/>
              <w:rPr>
                <w:sz w:val="16"/>
                <w:szCs w:val="16"/>
              </w:rPr>
            </w:pPr>
            <w:r w:rsidRPr="00790654">
              <w:rPr>
                <w:sz w:val="16"/>
                <w:szCs w:val="16"/>
              </w:rPr>
              <w:t>(98%)</w:t>
            </w:r>
          </w:p>
        </w:tc>
      </w:tr>
      <w:tr w:rsidR="00790654" w:rsidRPr="00790654" w14:paraId="65EECEAF" w14:textId="77777777" w:rsidTr="005418E0">
        <w:tc>
          <w:tcPr>
            <w:tcW w:w="1191" w:type="dxa"/>
            <w:tcBorders>
              <w:bottom w:val="single" w:sz="4" w:space="0" w:color="auto"/>
            </w:tcBorders>
          </w:tcPr>
          <w:p w14:paraId="5DA0AD14" w14:textId="77777777" w:rsidR="00407D99" w:rsidRPr="00790654" w:rsidRDefault="00407D99" w:rsidP="00407D99">
            <w:pPr>
              <w:rPr>
                <w:b/>
                <w:sz w:val="16"/>
                <w:szCs w:val="16"/>
              </w:rPr>
            </w:pPr>
            <w:r w:rsidRPr="00790654">
              <w:rPr>
                <w:b/>
                <w:sz w:val="16"/>
                <w:szCs w:val="16"/>
              </w:rPr>
              <w:t>Mysore, Karnataka,  South India</w:t>
            </w:r>
          </w:p>
          <w:p w14:paraId="781CD2C5" w14:textId="77777777" w:rsidR="001F61D0" w:rsidRPr="00790654" w:rsidRDefault="001F61D0" w:rsidP="00407D99">
            <w:pPr>
              <w:rPr>
                <w:sz w:val="16"/>
                <w:szCs w:val="16"/>
              </w:rPr>
            </w:pPr>
            <w:r w:rsidRPr="00790654">
              <w:rPr>
                <w:sz w:val="16"/>
                <w:szCs w:val="16"/>
              </w:rPr>
              <w:t>(see Joseph S et al. in this issue)</w:t>
            </w:r>
          </w:p>
        </w:tc>
        <w:tc>
          <w:tcPr>
            <w:tcW w:w="3312" w:type="dxa"/>
            <w:tcBorders>
              <w:bottom w:val="single" w:sz="4" w:space="0" w:color="auto"/>
            </w:tcBorders>
          </w:tcPr>
          <w:p w14:paraId="04CECF19" w14:textId="6487C8AF" w:rsidR="00407D99" w:rsidRPr="00790654" w:rsidRDefault="00425955" w:rsidP="00425955">
            <w:pPr>
              <w:rPr>
                <w:sz w:val="16"/>
                <w:szCs w:val="16"/>
              </w:rPr>
            </w:pPr>
            <w:r w:rsidRPr="00790654">
              <w:rPr>
                <w:sz w:val="16"/>
                <w:szCs w:val="16"/>
              </w:rPr>
              <w:t>L</w:t>
            </w:r>
            <w:r w:rsidR="003E096A" w:rsidRPr="00790654">
              <w:rPr>
                <w:sz w:val="16"/>
                <w:szCs w:val="16"/>
              </w:rPr>
              <w:t>ow middle-/middle-class</w:t>
            </w:r>
            <w:r w:rsidRPr="00790654">
              <w:rPr>
                <w:sz w:val="16"/>
                <w:szCs w:val="16"/>
              </w:rPr>
              <w:t xml:space="preserve"> </w:t>
            </w:r>
            <w:r w:rsidR="003E096A" w:rsidRPr="00790654">
              <w:rPr>
                <w:sz w:val="16"/>
                <w:szCs w:val="16"/>
              </w:rPr>
              <w:t>neighbourhoods</w:t>
            </w:r>
            <w:r w:rsidRPr="00790654">
              <w:rPr>
                <w:sz w:val="16"/>
                <w:szCs w:val="16"/>
              </w:rPr>
              <w:t xml:space="preserve"> in </w:t>
            </w:r>
            <w:r w:rsidR="00407D99" w:rsidRPr="00790654">
              <w:rPr>
                <w:sz w:val="16"/>
                <w:szCs w:val="16"/>
              </w:rPr>
              <w:t>one of the best developed cities in India. Mainly detached houses</w:t>
            </w:r>
            <w:r w:rsidRPr="00790654">
              <w:rPr>
                <w:sz w:val="16"/>
                <w:szCs w:val="16"/>
              </w:rPr>
              <w:t xml:space="preserve"> or </w:t>
            </w:r>
            <w:r w:rsidR="00407D99" w:rsidRPr="00790654">
              <w:rPr>
                <w:sz w:val="16"/>
                <w:szCs w:val="16"/>
              </w:rPr>
              <w:t>apartments. Several parks for public recreation and physical activity.  Food sources: abundant food shops and markets.</w:t>
            </w:r>
          </w:p>
        </w:tc>
        <w:tc>
          <w:tcPr>
            <w:tcW w:w="1224" w:type="dxa"/>
            <w:tcBorders>
              <w:bottom w:val="single" w:sz="4" w:space="0" w:color="auto"/>
            </w:tcBorders>
          </w:tcPr>
          <w:p w14:paraId="0CEBAB8E" w14:textId="77777777" w:rsidR="00407D99" w:rsidRPr="00790654" w:rsidRDefault="00407D99" w:rsidP="003E096A">
            <w:pPr>
              <w:rPr>
                <w:sz w:val="16"/>
                <w:szCs w:val="16"/>
              </w:rPr>
            </w:pPr>
            <w:r w:rsidRPr="00790654">
              <w:rPr>
                <w:sz w:val="16"/>
                <w:szCs w:val="16"/>
              </w:rPr>
              <w:t xml:space="preserve">Convenience sampling via schools and the community; </w:t>
            </w:r>
          </w:p>
        </w:tc>
        <w:tc>
          <w:tcPr>
            <w:tcW w:w="872" w:type="dxa"/>
            <w:tcBorders>
              <w:bottom w:val="single" w:sz="4" w:space="0" w:color="auto"/>
            </w:tcBorders>
          </w:tcPr>
          <w:p w14:paraId="48212646" w14:textId="77777777" w:rsidR="00407D99" w:rsidRPr="00790654" w:rsidRDefault="000E07B5" w:rsidP="00407D99">
            <w:pPr>
              <w:jc w:val="center"/>
              <w:rPr>
                <w:sz w:val="16"/>
                <w:szCs w:val="16"/>
              </w:rPr>
            </w:pPr>
            <w:r w:rsidRPr="00790654">
              <w:rPr>
                <w:sz w:val="16"/>
                <w:szCs w:val="16"/>
              </w:rPr>
              <w:t>July-November 2018</w:t>
            </w:r>
          </w:p>
        </w:tc>
        <w:tc>
          <w:tcPr>
            <w:tcW w:w="546" w:type="dxa"/>
            <w:tcBorders>
              <w:bottom w:val="single" w:sz="4" w:space="0" w:color="auto"/>
            </w:tcBorders>
          </w:tcPr>
          <w:p w14:paraId="3AC63468" w14:textId="77777777" w:rsidR="00407D99" w:rsidRPr="00790654" w:rsidRDefault="00407D99" w:rsidP="00407D99">
            <w:pPr>
              <w:jc w:val="center"/>
              <w:rPr>
                <w:sz w:val="16"/>
                <w:szCs w:val="16"/>
              </w:rPr>
            </w:pPr>
          </w:p>
          <w:p w14:paraId="60D53F9D" w14:textId="77777777" w:rsidR="00407D99" w:rsidRPr="00790654" w:rsidRDefault="003E096A" w:rsidP="00407D99">
            <w:pPr>
              <w:jc w:val="center"/>
              <w:rPr>
                <w:sz w:val="16"/>
                <w:szCs w:val="16"/>
              </w:rPr>
            </w:pPr>
            <w:r w:rsidRPr="00790654">
              <w:rPr>
                <w:sz w:val="16"/>
                <w:szCs w:val="16"/>
              </w:rPr>
              <w:t>19</w:t>
            </w:r>
          </w:p>
        </w:tc>
        <w:tc>
          <w:tcPr>
            <w:tcW w:w="425" w:type="dxa"/>
            <w:tcBorders>
              <w:bottom w:val="single" w:sz="4" w:space="0" w:color="auto"/>
            </w:tcBorders>
          </w:tcPr>
          <w:p w14:paraId="6FF64EF6" w14:textId="77777777" w:rsidR="00407D99" w:rsidRPr="00790654" w:rsidRDefault="00407D99" w:rsidP="00407D99">
            <w:pPr>
              <w:jc w:val="center"/>
              <w:rPr>
                <w:sz w:val="16"/>
                <w:szCs w:val="16"/>
              </w:rPr>
            </w:pPr>
          </w:p>
          <w:p w14:paraId="574026E8" w14:textId="77777777" w:rsidR="00407D99" w:rsidRPr="00790654" w:rsidRDefault="00407D99" w:rsidP="00407D99">
            <w:pPr>
              <w:jc w:val="center"/>
              <w:rPr>
                <w:sz w:val="16"/>
                <w:szCs w:val="16"/>
              </w:rPr>
            </w:pPr>
            <w:r w:rsidRPr="00790654">
              <w:rPr>
                <w:sz w:val="16"/>
                <w:szCs w:val="16"/>
              </w:rPr>
              <w:t>20</w:t>
            </w:r>
          </w:p>
        </w:tc>
        <w:tc>
          <w:tcPr>
            <w:tcW w:w="567" w:type="dxa"/>
            <w:tcBorders>
              <w:bottom w:val="single" w:sz="4" w:space="0" w:color="auto"/>
            </w:tcBorders>
          </w:tcPr>
          <w:p w14:paraId="53216FB7" w14:textId="77777777" w:rsidR="00407D99" w:rsidRPr="00790654" w:rsidRDefault="00407D99" w:rsidP="00407D99">
            <w:pPr>
              <w:jc w:val="center"/>
              <w:rPr>
                <w:sz w:val="16"/>
                <w:szCs w:val="16"/>
              </w:rPr>
            </w:pPr>
          </w:p>
          <w:p w14:paraId="44C7ACBA" w14:textId="77777777" w:rsidR="00407D99" w:rsidRPr="00790654" w:rsidRDefault="00407D99" w:rsidP="00407D99">
            <w:pPr>
              <w:jc w:val="center"/>
              <w:rPr>
                <w:sz w:val="16"/>
                <w:szCs w:val="16"/>
              </w:rPr>
            </w:pPr>
            <w:r w:rsidRPr="00790654">
              <w:rPr>
                <w:sz w:val="16"/>
                <w:szCs w:val="16"/>
              </w:rPr>
              <w:t>20</w:t>
            </w:r>
          </w:p>
        </w:tc>
        <w:tc>
          <w:tcPr>
            <w:tcW w:w="567" w:type="dxa"/>
            <w:tcBorders>
              <w:bottom w:val="single" w:sz="4" w:space="0" w:color="auto"/>
            </w:tcBorders>
          </w:tcPr>
          <w:p w14:paraId="3B3A2EF7" w14:textId="77777777" w:rsidR="00407D99" w:rsidRPr="00790654" w:rsidRDefault="00407D99" w:rsidP="00407D99">
            <w:pPr>
              <w:jc w:val="center"/>
              <w:rPr>
                <w:sz w:val="16"/>
                <w:szCs w:val="16"/>
              </w:rPr>
            </w:pPr>
          </w:p>
          <w:p w14:paraId="422899F0" w14:textId="77777777" w:rsidR="00407D99" w:rsidRPr="00790654" w:rsidRDefault="00407D99" w:rsidP="00407D99">
            <w:pPr>
              <w:jc w:val="center"/>
              <w:rPr>
                <w:sz w:val="16"/>
                <w:szCs w:val="16"/>
              </w:rPr>
            </w:pPr>
            <w:r w:rsidRPr="00790654">
              <w:rPr>
                <w:sz w:val="16"/>
                <w:szCs w:val="16"/>
              </w:rPr>
              <w:t>21</w:t>
            </w:r>
          </w:p>
        </w:tc>
        <w:tc>
          <w:tcPr>
            <w:tcW w:w="821" w:type="dxa"/>
            <w:tcBorders>
              <w:bottom w:val="single" w:sz="4" w:space="0" w:color="auto"/>
            </w:tcBorders>
          </w:tcPr>
          <w:p w14:paraId="2AA66EB8" w14:textId="77777777" w:rsidR="00407D99" w:rsidRPr="00790654" w:rsidRDefault="00407D99" w:rsidP="00407D99">
            <w:pPr>
              <w:jc w:val="center"/>
              <w:rPr>
                <w:sz w:val="16"/>
                <w:szCs w:val="16"/>
              </w:rPr>
            </w:pPr>
          </w:p>
          <w:p w14:paraId="4E2274F0" w14:textId="77777777" w:rsidR="00407D99" w:rsidRPr="00790654" w:rsidRDefault="00407D99" w:rsidP="003E096A">
            <w:pPr>
              <w:jc w:val="center"/>
              <w:rPr>
                <w:sz w:val="16"/>
                <w:szCs w:val="16"/>
              </w:rPr>
            </w:pPr>
            <w:r w:rsidRPr="00790654">
              <w:rPr>
                <w:sz w:val="16"/>
                <w:szCs w:val="16"/>
              </w:rPr>
              <w:t>8</w:t>
            </w:r>
            <w:r w:rsidR="003E096A" w:rsidRPr="00790654">
              <w:rPr>
                <w:sz w:val="16"/>
                <w:szCs w:val="16"/>
              </w:rPr>
              <w:t>0</w:t>
            </w:r>
          </w:p>
          <w:p w14:paraId="4DF25D36" w14:textId="13243551" w:rsidR="005418E0" w:rsidRPr="00790654" w:rsidRDefault="005418E0" w:rsidP="003E096A">
            <w:pPr>
              <w:jc w:val="center"/>
              <w:rPr>
                <w:sz w:val="16"/>
                <w:szCs w:val="16"/>
              </w:rPr>
            </w:pPr>
            <w:r w:rsidRPr="00790654">
              <w:rPr>
                <w:sz w:val="16"/>
                <w:szCs w:val="16"/>
              </w:rPr>
              <w:t>(N/A)</w:t>
            </w:r>
          </w:p>
        </w:tc>
      </w:tr>
    </w:tbl>
    <w:p w14:paraId="157C0943" w14:textId="46B6BEB3" w:rsidR="00407D99" w:rsidRPr="00790654" w:rsidRDefault="00407D99" w:rsidP="00407D99">
      <w:pPr>
        <w:rPr>
          <w:sz w:val="16"/>
          <w:szCs w:val="16"/>
        </w:rPr>
      </w:pPr>
      <w:r w:rsidRPr="00790654">
        <w:rPr>
          <w:sz w:val="16"/>
          <w:szCs w:val="16"/>
        </w:rPr>
        <w:t>Footnote: *Dietary data were collected for 67 adolescents in Mumbai</w:t>
      </w:r>
      <w:r w:rsidR="00425955" w:rsidRPr="00790654">
        <w:rPr>
          <w:sz w:val="16"/>
          <w:szCs w:val="16"/>
        </w:rPr>
        <w:t>;</w:t>
      </w:r>
      <w:r w:rsidR="005418E0" w:rsidRPr="00790654">
        <w:rPr>
          <w:sz w:val="16"/>
          <w:szCs w:val="16"/>
        </w:rPr>
        <w:t xml:space="preserve"> Ϯ Percentage of adolescents approached who agreed to participate; not available for Cote D’Ivoire and Mysore, where community meetings were held and participants asked to volunteer;</w:t>
      </w:r>
      <w:r w:rsidR="00425955" w:rsidRPr="00790654">
        <w:rPr>
          <w:sz w:val="16"/>
          <w:szCs w:val="16"/>
        </w:rPr>
        <w:t xml:space="preserve"> CHW=community health worker</w:t>
      </w:r>
    </w:p>
    <w:p w14:paraId="3E0ACFA1" w14:textId="77777777" w:rsidR="006C0AB4" w:rsidRPr="00790654" w:rsidRDefault="006C0AB4">
      <w:pPr>
        <w:rPr>
          <w:rFonts w:ascii="Calibri" w:eastAsia="Calibri" w:hAnsi="Calibri" w:cs="Times New Roman"/>
          <w:b/>
        </w:rPr>
      </w:pPr>
      <w:r w:rsidRPr="00790654">
        <w:rPr>
          <w:rFonts w:ascii="Calibri" w:eastAsia="Calibri" w:hAnsi="Calibri" w:cs="Times New Roman"/>
          <w:b/>
        </w:rPr>
        <w:br w:type="page"/>
      </w:r>
    </w:p>
    <w:p w14:paraId="7A6DDEA1" w14:textId="1BB30671" w:rsidR="00407D99" w:rsidRPr="00790654" w:rsidRDefault="00407D99" w:rsidP="00407D99">
      <w:pPr>
        <w:spacing w:after="160" w:line="259" w:lineRule="auto"/>
        <w:rPr>
          <w:rFonts w:ascii="Calibri" w:eastAsia="Calibri" w:hAnsi="Calibri" w:cs="Times New Roman"/>
          <w:b/>
        </w:rPr>
      </w:pPr>
      <w:r w:rsidRPr="00790654">
        <w:rPr>
          <w:rFonts w:ascii="Calibri" w:eastAsia="Calibri" w:hAnsi="Calibri" w:cs="Times New Roman"/>
          <w:b/>
        </w:rPr>
        <w:lastRenderedPageBreak/>
        <w:t>Table 2: Screen Time</w:t>
      </w:r>
    </w:p>
    <w:tbl>
      <w:tblPr>
        <w:tblW w:w="9083" w:type="dxa"/>
        <w:tblCellMar>
          <w:left w:w="0" w:type="dxa"/>
          <w:right w:w="0" w:type="dxa"/>
        </w:tblCellMar>
        <w:tblLook w:val="0420" w:firstRow="1" w:lastRow="0" w:firstColumn="0" w:lastColumn="0" w:noHBand="0" w:noVBand="1"/>
      </w:tblPr>
      <w:tblGrid>
        <w:gridCol w:w="1720"/>
        <w:gridCol w:w="1242"/>
        <w:gridCol w:w="1007"/>
        <w:gridCol w:w="1134"/>
        <w:gridCol w:w="995"/>
        <w:gridCol w:w="995"/>
        <w:gridCol w:w="995"/>
        <w:gridCol w:w="995"/>
      </w:tblGrid>
      <w:tr w:rsidR="00790654" w:rsidRPr="00790654" w14:paraId="226832FA" w14:textId="77777777" w:rsidTr="00407D99">
        <w:trPr>
          <w:trHeight w:val="1207"/>
        </w:trPr>
        <w:tc>
          <w:tcPr>
            <w:tcW w:w="1720" w:type="dxa"/>
            <w:tcBorders>
              <w:top w:val="single" w:sz="4" w:space="0" w:color="auto"/>
              <w:bottom w:val="single" w:sz="4" w:space="0" w:color="auto"/>
            </w:tcBorders>
            <w:shd w:val="clear" w:color="auto" w:fill="auto"/>
            <w:tcMar>
              <w:top w:w="28" w:type="dxa"/>
              <w:left w:w="144" w:type="dxa"/>
              <w:bottom w:w="28" w:type="dxa"/>
              <w:right w:w="144" w:type="dxa"/>
            </w:tcMar>
            <w:hideMark/>
          </w:tcPr>
          <w:p w14:paraId="6402C0D8"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b/>
                <w:bCs/>
              </w:rPr>
              <w:t>Setting</w:t>
            </w:r>
          </w:p>
        </w:tc>
        <w:tc>
          <w:tcPr>
            <w:tcW w:w="1242" w:type="dxa"/>
            <w:tcBorders>
              <w:top w:val="single" w:sz="4" w:space="0" w:color="auto"/>
              <w:bottom w:val="single" w:sz="4" w:space="0" w:color="auto"/>
            </w:tcBorders>
            <w:shd w:val="clear" w:color="auto" w:fill="auto"/>
            <w:tcMar>
              <w:top w:w="28" w:type="dxa"/>
              <w:left w:w="144" w:type="dxa"/>
              <w:bottom w:w="28" w:type="dxa"/>
              <w:right w:w="144" w:type="dxa"/>
            </w:tcMar>
            <w:hideMark/>
          </w:tcPr>
          <w:p w14:paraId="58AD1022"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b/>
                <w:bCs/>
              </w:rPr>
              <w:t>Younger or older age group</w:t>
            </w:r>
          </w:p>
        </w:tc>
        <w:tc>
          <w:tcPr>
            <w:tcW w:w="2141" w:type="dxa"/>
            <w:gridSpan w:val="2"/>
            <w:tcBorders>
              <w:top w:val="single" w:sz="4" w:space="0" w:color="auto"/>
              <w:bottom w:val="single" w:sz="4" w:space="0" w:color="auto"/>
            </w:tcBorders>
            <w:shd w:val="clear" w:color="auto" w:fill="auto"/>
            <w:tcMar>
              <w:top w:w="28" w:type="dxa"/>
              <w:left w:w="144" w:type="dxa"/>
              <w:bottom w:w="28" w:type="dxa"/>
              <w:right w:w="144" w:type="dxa"/>
            </w:tcMar>
            <w:hideMark/>
          </w:tcPr>
          <w:p w14:paraId="0250D740"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Watching entertainment (TV, computer, phone)</w:t>
            </w:r>
          </w:p>
          <w:p w14:paraId="725E5F21"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Hours per day</w:t>
            </w:r>
          </w:p>
          <w:p w14:paraId="29746DA0"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Median (range)</w:t>
            </w:r>
          </w:p>
        </w:tc>
        <w:tc>
          <w:tcPr>
            <w:tcW w:w="1990" w:type="dxa"/>
            <w:gridSpan w:val="2"/>
            <w:tcBorders>
              <w:top w:val="single" w:sz="4" w:space="0" w:color="auto"/>
              <w:bottom w:val="single" w:sz="4" w:space="0" w:color="auto"/>
            </w:tcBorders>
            <w:shd w:val="clear" w:color="auto" w:fill="auto"/>
            <w:tcMar>
              <w:top w:w="28" w:type="dxa"/>
              <w:left w:w="144" w:type="dxa"/>
              <w:bottom w:w="28" w:type="dxa"/>
              <w:right w:w="144" w:type="dxa"/>
            </w:tcMar>
            <w:hideMark/>
          </w:tcPr>
          <w:p w14:paraId="729E6E9C"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Playing games</w:t>
            </w:r>
          </w:p>
          <w:p w14:paraId="43064E8F"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(computer, phone)</w:t>
            </w:r>
          </w:p>
          <w:p w14:paraId="64008F66"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Hours per day</w:t>
            </w:r>
          </w:p>
          <w:p w14:paraId="048A38E4"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Median (range)</w:t>
            </w:r>
          </w:p>
        </w:tc>
        <w:tc>
          <w:tcPr>
            <w:tcW w:w="1990" w:type="dxa"/>
            <w:gridSpan w:val="2"/>
            <w:tcBorders>
              <w:top w:val="single" w:sz="4" w:space="0" w:color="auto"/>
              <w:bottom w:val="single" w:sz="4" w:space="0" w:color="auto"/>
            </w:tcBorders>
            <w:shd w:val="clear" w:color="auto" w:fill="auto"/>
            <w:tcMar>
              <w:top w:w="28" w:type="dxa"/>
              <w:left w:w="144" w:type="dxa"/>
              <w:bottom w:w="28" w:type="dxa"/>
              <w:right w:w="144" w:type="dxa"/>
            </w:tcMar>
            <w:hideMark/>
          </w:tcPr>
          <w:p w14:paraId="45B52778"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Doing schoolwork on a computer</w:t>
            </w:r>
          </w:p>
          <w:p w14:paraId="51B7F99D"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Hours per day</w:t>
            </w:r>
          </w:p>
          <w:p w14:paraId="19EFDFC4" w14:textId="77777777" w:rsidR="00407D99" w:rsidRPr="00790654" w:rsidRDefault="00407D99" w:rsidP="00407D99">
            <w:pPr>
              <w:spacing w:after="0" w:line="240" w:lineRule="auto"/>
              <w:jc w:val="center"/>
              <w:rPr>
                <w:rFonts w:ascii="Calibri" w:eastAsia="Calibri" w:hAnsi="Calibri" w:cs="Times New Roman"/>
              </w:rPr>
            </w:pPr>
            <w:r w:rsidRPr="00790654">
              <w:rPr>
                <w:rFonts w:ascii="Calibri" w:eastAsia="Calibri" w:hAnsi="Calibri" w:cs="Times New Roman"/>
                <w:b/>
                <w:bCs/>
              </w:rPr>
              <w:t>Median (range)</w:t>
            </w:r>
          </w:p>
        </w:tc>
      </w:tr>
      <w:tr w:rsidR="00790654" w:rsidRPr="00790654" w14:paraId="7B7F9F86" w14:textId="77777777" w:rsidTr="00407D99">
        <w:trPr>
          <w:trHeight w:val="40"/>
        </w:trPr>
        <w:tc>
          <w:tcPr>
            <w:tcW w:w="1720" w:type="dxa"/>
            <w:vMerge w:val="restart"/>
            <w:shd w:val="clear" w:color="auto" w:fill="auto"/>
            <w:tcMar>
              <w:top w:w="28" w:type="dxa"/>
              <w:left w:w="144" w:type="dxa"/>
              <w:bottom w:w="28" w:type="dxa"/>
              <w:right w:w="144" w:type="dxa"/>
            </w:tcMar>
            <w:hideMark/>
          </w:tcPr>
          <w:p w14:paraId="12787352"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West Kiang, Gambia</w:t>
            </w:r>
          </w:p>
        </w:tc>
        <w:tc>
          <w:tcPr>
            <w:tcW w:w="1242" w:type="dxa"/>
            <w:shd w:val="clear" w:color="auto" w:fill="auto"/>
            <w:tcMar>
              <w:top w:w="28" w:type="dxa"/>
              <w:left w:w="144" w:type="dxa"/>
              <w:bottom w:w="28" w:type="dxa"/>
              <w:right w:w="144" w:type="dxa"/>
            </w:tcMar>
            <w:hideMark/>
          </w:tcPr>
          <w:p w14:paraId="31ECC3BE"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631E1747"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146FF508"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2617FF83"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01B202A2"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c>
          <w:tcPr>
            <w:tcW w:w="995" w:type="dxa"/>
            <w:shd w:val="clear" w:color="auto" w:fill="auto"/>
            <w:tcMar>
              <w:top w:w="28" w:type="dxa"/>
              <w:left w:w="144" w:type="dxa"/>
              <w:bottom w:w="28" w:type="dxa"/>
              <w:right w:w="144" w:type="dxa"/>
            </w:tcMar>
            <w:hideMark/>
          </w:tcPr>
          <w:p w14:paraId="251BC39D"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352C31C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r>
      <w:tr w:rsidR="00790654" w:rsidRPr="00790654" w14:paraId="56368F16" w14:textId="77777777" w:rsidTr="00407D99">
        <w:trPr>
          <w:trHeight w:val="357"/>
        </w:trPr>
        <w:tc>
          <w:tcPr>
            <w:tcW w:w="1720" w:type="dxa"/>
            <w:vMerge/>
            <w:shd w:val="clear" w:color="auto" w:fill="auto"/>
            <w:vAlign w:val="center"/>
            <w:hideMark/>
          </w:tcPr>
          <w:p w14:paraId="6A17C2E6"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2C9CEF10"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shd w:val="clear" w:color="auto" w:fill="auto"/>
            <w:tcMar>
              <w:top w:w="28" w:type="dxa"/>
              <w:left w:w="144" w:type="dxa"/>
              <w:bottom w:w="28" w:type="dxa"/>
              <w:right w:w="144" w:type="dxa"/>
            </w:tcMar>
            <w:hideMark/>
          </w:tcPr>
          <w:p w14:paraId="1B8BF5CF"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6361B421"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36483D17"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0C5C72CD"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c>
          <w:tcPr>
            <w:tcW w:w="995" w:type="dxa"/>
            <w:shd w:val="clear" w:color="auto" w:fill="auto"/>
            <w:tcMar>
              <w:top w:w="28" w:type="dxa"/>
              <w:left w:w="144" w:type="dxa"/>
              <w:bottom w:w="28" w:type="dxa"/>
              <w:right w:w="144" w:type="dxa"/>
            </w:tcMar>
            <w:hideMark/>
          </w:tcPr>
          <w:p w14:paraId="51ACD4F9"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6E733EA1"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r>
      <w:tr w:rsidR="00790654" w:rsidRPr="00790654" w14:paraId="331FB3FB" w14:textId="77777777" w:rsidTr="00407D99">
        <w:trPr>
          <w:trHeight w:val="20"/>
        </w:trPr>
        <w:tc>
          <w:tcPr>
            <w:tcW w:w="1720" w:type="dxa"/>
            <w:vMerge w:val="restart"/>
            <w:shd w:val="clear" w:color="auto" w:fill="auto"/>
            <w:tcMar>
              <w:top w:w="28" w:type="dxa"/>
              <w:left w:w="144" w:type="dxa"/>
              <w:bottom w:w="28" w:type="dxa"/>
              <w:right w:w="144" w:type="dxa"/>
            </w:tcMar>
            <w:hideMark/>
          </w:tcPr>
          <w:p w14:paraId="061C2EB7"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 xml:space="preserve">Abidjan, </w:t>
            </w:r>
          </w:p>
          <w:p w14:paraId="0238CF4B"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Cote D’Ivoire</w:t>
            </w:r>
          </w:p>
        </w:tc>
        <w:tc>
          <w:tcPr>
            <w:tcW w:w="1242" w:type="dxa"/>
            <w:shd w:val="clear" w:color="auto" w:fill="auto"/>
            <w:tcMar>
              <w:top w:w="28" w:type="dxa"/>
              <w:left w:w="144" w:type="dxa"/>
              <w:bottom w:w="28" w:type="dxa"/>
              <w:right w:w="144" w:type="dxa"/>
            </w:tcMar>
            <w:hideMark/>
          </w:tcPr>
          <w:p w14:paraId="5875152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1EBA9AF9"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2</w:t>
            </w:r>
          </w:p>
        </w:tc>
        <w:tc>
          <w:tcPr>
            <w:tcW w:w="1134" w:type="dxa"/>
            <w:shd w:val="clear" w:color="auto" w:fill="auto"/>
            <w:tcMar>
              <w:top w:w="28" w:type="dxa"/>
              <w:left w:w="144" w:type="dxa"/>
              <w:bottom w:w="28" w:type="dxa"/>
              <w:right w:w="144" w:type="dxa"/>
            </w:tcMar>
            <w:hideMark/>
          </w:tcPr>
          <w:p w14:paraId="77D80657"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(0-11)</w:t>
            </w:r>
          </w:p>
        </w:tc>
        <w:tc>
          <w:tcPr>
            <w:tcW w:w="995" w:type="dxa"/>
            <w:shd w:val="clear" w:color="auto" w:fill="auto"/>
            <w:tcMar>
              <w:top w:w="28" w:type="dxa"/>
              <w:left w:w="144" w:type="dxa"/>
              <w:bottom w:w="28" w:type="dxa"/>
              <w:right w:w="144" w:type="dxa"/>
            </w:tcMar>
            <w:hideMark/>
          </w:tcPr>
          <w:p w14:paraId="3578272D"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2</w:t>
            </w:r>
          </w:p>
        </w:tc>
        <w:tc>
          <w:tcPr>
            <w:tcW w:w="995" w:type="dxa"/>
            <w:shd w:val="clear" w:color="auto" w:fill="auto"/>
            <w:tcMar>
              <w:top w:w="28" w:type="dxa"/>
              <w:left w:w="144" w:type="dxa"/>
              <w:bottom w:w="28" w:type="dxa"/>
              <w:right w:w="144" w:type="dxa"/>
            </w:tcMar>
            <w:hideMark/>
          </w:tcPr>
          <w:p w14:paraId="5D83AEA8"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c>
          <w:tcPr>
            <w:tcW w:w="995" w:type="dxa"/>
            <w:shd w:val="clear" w:color="auto" w:fill="auto"/>
            <w:tcMar>
              <w:top w:w="28" w:type="dxa"/>
              <w:left w:w="144" w:type="dxa"/>
              <w:bottom w:w="28" w:type="dxa"/>
              <w:right w:w="144" w:type="dxa"/>
            </w:tcMar>
            <w:hideMark/>
          </w:tcPr>
          <w:p w14:paraId="1FD03D8C"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12D5E786"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(0-2)</w:t>
            </w:r>
          </w:p>
        </w:tc>
      </w:tr>
      <w:tr w:rsidR="00790654" w:rsidRPr="00790654" w14:paraId="7D94D0BB" w14:textId="77777777" w:rsidTr="00407D99">
        <w:trPr>
          <w:trHeight w:val="374"/>
        </w:trPr>
        <w:tc>
          <w:tcPr>
            <w:tcW w:w="1720" w:type="dxa"/>
            <w:vMerge/>
            <w:shd w:val="clear" w:color="auto" w:fill="auto"/>
            <w:vAlign w:val="center"/>
            <w:hideMark/>
          </w:tcPr>
          <w:p w14:paraId="624875C7"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10DB4C15"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 xml:space="preserve">Older </w:t>
            </w:r>
          </w:p>
        </w:tc>
        <w:tc>
          <w:tcPr>
            <w:tcW w:w="1007" w:type="dxa"/>
            <w:shd w:val="clear" w:color="auto" w:fill="auto"/>
            <w:tcMar>
              <w:top w:w="28" w:type="dxa"/>
              <w:left w:w="144" w:type="dxa"/>
              <w:bottom w:w="28" w:type="dxa"/>
              <w:right w:w="144" w:type="dxa"/>
            </w:tcMar>
            <w:hideMark/>
          </w:tcPr>
          <w:p w14:paraId="48026D9D"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3</w:t>
            </w:r>
          </w:p>
        </w:tc>
        <w:tc>
          <w:tcPr>
            <w:tcW w:w="1134" w:type="dxa"/>
            <w:shd w:val="clear" w:color="auto" w:fill="auto"/>
            <w:tcMar>
              <w:top w:w="28" w:type="dxa"/>
              <w:left w:w="144" w:type="dxa"/>
              <w:bottom w:w="28" w:type="dxa"/>
              <w:right w:w="144" w:type="dxa"/>
            </w:tcMar>
            <w:hideMark/>
          </w:tcPr>
          <w:p w14:paraId="2033EB6A"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(0-10)</w:t>
            </w:r>
          </w:p>
        </w:tc>
        <w:tc>
          <w:tcPr>
            <w:tcW w:w="995" w:type="dxa"/>
            <w:shd w:val="clear" w:color="auto" w:fill="auto"/>
            <w:tcMar>
              <w:top w:w="28" w:type="dxa"/>
              <w:left w:w="144" w:type="dxa"/>
              <w:bottom w:w="28" w:type="dxa"/>
              <w:right w:w="144" w:type="dxa"/>
            </w:tcMar>
            <w:hideMark/>
          </w:tcPr>
          <w:p w14:paraId="02DB1103"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995" w:type="dxa"/>
            <w:shd w:val="clear" w:color="auto" w:fill="auto"/>
            <w:tcMar>
              <w:top w:w="28" w:type="dxa"/>
              <w:left w:w="144" w:type="dxa"/>
              <w:bottom w:w="28" w:type="dxa"/>
              <w:right w:w="144" w:type="dxa"/>
            </w:tcMar>
            <w:hideMark/>
          </w:tcPr>
          <w:p w14:paraId="292848DA"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c>
          <w:tcPr>
            <w:tcW w:w="995" w:type="dxa"/>
            <w:shd w:val="clear" w:color="auto" w:fill="auto"/>
            <w:tcMar>
              <w:top w:w="28" w:type="dxa"/>
              <w:left w:w="144" w:type="dxa"/>
              <w:bottom w:w="28" w:type="dxa"/>
              <w:right w:w="144" w:type="dxa"/>
            </w:tcMar>
            <w:hideMark/>
          </w:tcPr>
          <w:p w14:paraId="097FA5D9"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010A275D"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(0-4)</w:t>
            </w:r>
          </w:p>
        </w:tc>
      </w:tr>
      <w:tr w:rsidR="00790654" w:rsidRPr="00790654" w14:paraId="54794C0D" w14:textId="77777777" w:rsidTr="00407D99">
        <w:trPr>
          <w:trHeight w:val="40"/>
        </w:trPr>
        <w:tc>
          <w:tcPr>
            <w:tcW w:w="1720" w:type="dxa"/>
            <w:vMerge w:val="restart"/>
            <w:shd w:val="clear" w:color="auto" w:fill="auto"/>
            <w:tcMar>
              <w:top w:w="28" w:type="dxa"/>
              <w:left w:w="144" w:type="dxa"/>
              <w:bottom w:w="28" w:type="dxa"/>
              <w:right w:w="144" w:type="dxa"/>
            </w:tcMar>
            <w:hideMark/>
          </w:tcPr>
          <w:p w14:paraId="51188DBF"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Jimma, Ethiopia</w:t>
            </w:r>
          </w:p>
        </w:tc>
        <w:tc>
          <w:tcPr>
            <w:tcW w:w="1242" w:type="dxa"/>
            <w:shd w:val="clear" w:color="auto" w:fill="auto"/>
            <w:tcMar>
              <w:top w:w="28" w:type="dxa"/>
              <w:left w:w="144" w:type="dxa"/>
              <w:bottom w:w="28" w:type="dxa"/>
              <w:right w:w="144" w:type="dxa"/>
            </w:tcMar>
            <w:hideMark/>
          </w:tcPr>
          <w:p w14:paraId="3602A87C"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1F067D8F"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570B88A0"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(0-11)</w:t>
            </w:r>
          </w:p>
        </w:tc>
        <w:tc>
          <w:tcPr>
            <w:tcW w:w="995" w:type="dxa"/>
            <w:shd w:val="clear" w:color="auto" w:fill="auto"/>
            <w:tcMar>
              <w:top w:w="28" w:type="dxa"/>
              <w:left w:w="144" w:type="dxa"/>
              <w:bottom w:w="28" w:type="dxa"/>
              <w:right w:w="144" w:type="dxa"/>
            </w:tcMar>
            <w:hideMark/>
          </w:tcPr>
          <w:p w14:paraId="70854C5F"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995" w:type="dxa"/>
            <w:shd w:val="clear" w:color="auto" w:fill="auto"/>
            <w:tcMar>
              <w:top w:w="28" w:type="dxa"/>
              <w:left w:w="144" w:type="dxa"/>
              <w:bottom w:w="28" w:type="dxa"/>
              <w:right w:w="144" w:type="dxa"/>
            </w:tcMar>
            <w:hideMark/>
          </w:tcPr>
          <w:p w14:paraId="44CFC814"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(0-14)</w:t>
            </w:r>
          </w:p>
        </w:tc>
        <w:tc>
          <w:tcPr>
            <w:tcW w:w="995" w:type="dxa"/>
            <w:shd w:val="clear" w:color="auto" w:fill="auto"/>
            <w:tcMar>
              <w:top w:w="28" w:type="dxa"/>
              <w:left w:w="144" w:type="dxa"/>
              <w:bottom w:w="28" w:type="dxa"/>
              <w:right w:w="144" w:type="dxa"/>
            </w:tcMar>
            <w:hideMark/>
          </w:tcPr>
          <w:p w14:paraId="723B92EF"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7280DBB3"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r>
      <w:tr w:rsidR="00790654" w:rsidRPr="00790654" w14:paraId="29B7CC90" w14:textId="77777777" w:rsidTr="00407D99">
        <w:trPr>
          <w:trHeight w:val="374"/>
        </w:trPr>
        <w:tc>
          <w:tcPr>
            <w:tcW w:w="1720" w:type="dxa"/>
            <w:vMerge/>
            <w:shd w:val="clear" w:color="auto" w:fill="auto"/>
            <w:vAlign w:val="center"/>
            <w:hideMark/>
          </w:tcPr>
          <w:p w14:paraId="4C676976"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3645AC6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shd w:val="clear" w:color="auto" w:fill="auto"/>
            <w:tcMar>
              <w:top w:w="28" w:type="dxa"/>
              <w:left w:w="144" w:type="dxa"/>
              <w:bottom w:w="28" w:type="dxa"/>
              <w:right w:w="144" w:type="dxa"/>
            </w:tcMar>
            <w:hideMark/>
          </w:tcPr>
          <w:p w14:paraId="29F4ECA0"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4</w:t>
            </w:r>
          </w:p>
        </w:tc>
        <w:tc>
          <w:tcPr>
            <w:tcW w:w="1134" w:type="dxa"/>
            <w:shd w:val="clear" w:color="auto" w:fill="auto"/>
            <w:tcMar>
              <w:top w:w="28" w:type="dxa"/>
              <w:left w:w="144" w:type="dxa"/>
              <w:bottom w:w="28" w:type="dxa"/>
              <w:right w:w="144" w:type="dxa"/>
            </w:tcMar>
            <w:hideMark/>
          </w:tcPr>
          <w:p w14:paraId="342688D9"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(1-6)</w:t>
            </w:r>
          </w:p>
        </w:tc>
        <w:tc>
          <w:tcPr>
            <w:tcW w:w="995" w:type="dxa"/>
            <w:shd w:val="clear" w:color="auto" w:fill="auto"/>
            <w:tcMar>
              <w:top w:w="28" w:type="dxa"/>
              <w:left w:w="144" w:type="dxa"/>
              <w:bottom w:w="28" w:type="dxa"/>
              <w:right w:w="144" w:type="dxa"/>
            </w:tcMar>
            <w:hideMark/>
          </w:tcPr>
          <w:p w14:paraId="455CB4B0"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108CA533"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c>
          <w:tcPr>
            <w:tcW w:w="995" w:type="dxa"/>
            <w:shd w:val="clear" w:color="auto" w:fill="auto"/>
            <w:tcMar>
              <w:top w:w="28" w:type="dxa"/>
              <w:left w:w="144" w:type="dxa"/>
              <w:bottom w:w="28" w:type="dxa"/>
              <w:right w:w="144" w:type="dxa"/>
            </w:tcMar>
            <w:hideMark/>
          </w:tcPr>
          <w:p w14:paraId="7EAA4028"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646C4C4B"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r>
      <w:tr w:rsidR="00790654" w:rsidRPr="00790654" w14:paraId="773BD718" w14:textId="77777777" w:rsidTr="00407D99">
        <w:trPr>
          <w:trHeight w:val="40"/>
        </w:trPr>
        <w:tc>
          <w:tcPr>
            <w:tcW w:w="1720" w:type="dxa"/>
            <w:vMerge w:val="restart"/>
            <w:shd w:val="clear" w:color="auto" w:fill="auto"/>
            <w:tcMar>
              <w:top w:w="28" w:type="dxa"/>
              <w:left w:w="144" w:type="dxa"/>
              <w:bottom w:w="28" w:type="dxa"/>
              <w:right w:w="144" w:type="dxa"/>
            </w:tcMar>
            <w:hideMark/>
          </w:tcPr>
          <w:p w14:paraId="0B2F78B2" w14:textId="77777777" w:rsidR="00407D99" w:rsidRPr="00790654" w:rsidRDefault="00407D99" w:rsidP="00407D99">
            <w:pPr>
              <w:spacing w:after="0" w:line="240" w:lineRule="auto"/>
              <w:rPr>
                <w:rFonts w:ascii="Calibri" w:eastAsia="Calibri" w:hAnsi="Calibri" w:cs="Times New Roman"/>
                <w:b/>
              </w:rPr>
            </w:pPr>
            <w:proofErr w:type="spellStart"/>
            <w:r w:rsidRPr="00790654">
              <w:rPr>
                <w:rFonts w:ascii="Calibri" w:eastAsia="Calibri" w:hAnsi="Calibri" w:cs="Times New Roman"/>
                <w:b/>
              </w:rPr>
              <w:t>Jo’burg</w:t>
            </w:r>
            <w:proofErr w:type="spellEnd"/>
            <w:r w:rsidRPr="00790654">
              <w:rPr>
                <w:rFonts w:ascii="Calibri" w:eastAsia="Calibri" w:hAnsi="Calibri" w:cs="Times New Roman"/>
                <w:b/>
              </w:rPr>
              <w:t xml:space="preserve">, </w:t>
            </w:r>
          </w:p>
          <w:p w14:paraId="373609F9"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S Africa</w:t>
            </w:r>
          </w:p>
        </w:tc>
        <w:tc>
          <w:tcPr>
            <w:tcW w:w="1242" w:type="dxa"/>
            <w:shd w:val="clear" w:color="auto" w:fill="auto"/>
            <w:tcMar>
              <w:top w:w="28" w:type="dxa"/>
              <w:left w:w="144" w:type="dxa"/>
              <w:bottom w:w="28" w:type="dxa"/>
              <w:right w:w="144" w:type="dxa"/>
            </w:tcMar>
            <w:hideMark/>
          </w:tcPr>
          <w:p w14:paraId="2F296FF9"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63B9671E"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3</w:t>
            </w:r>
          </w:p>
        </w:tc>
        <w:tc>
          <w:tcPr>
            <w:tcW w:w="1134" w:type="dxa"/>
            <w:shd w:val="clear" w:color="auto" w:fill="auto"/>
            <w:tcMar>
              <w:top w:w="28" w:type="dxa"/>
              <w:left w:w="144" w:type="dxa"/>
              <w:bottom w:w="28" w:type="dxa"/>
              <w:right w:w="144" w:type="dxa"/>
            </w:tcMar>
            <w:hideMark/>
          </w:tcPr>
          <w:p w14:paraId="5AB5C48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(2-5)</w:t>
            </w:r>
          </w:p>
        </w:tc>
        <w:tc>
          <w:tcPr>
            <w:tcW w:w="995" w:type="dxa"/>
            <w:shd w:val="clear" w:color="auto" w:fill="auto"/>
            <w:tcMar>
              <w:top w:w="28" w:type="dxa"/>
              <w:left w:w="144" w:type="dxa"/>
              <w:bottom w:w="28" w:type="dxa"/>
              <w:right w:w="144" w:type="dxa"/>
            </w:tcMar>
            <w:hideMark/>
          </w:tcPr>
          <w:p w14:paraId="0A4299EA"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2</w:t>
            </w:r>
          </w:p>
        </w:tc>
        <w:tc>
          <w:tcPr>
            <w:tcW w:w="995" w:type="dxa"/>
            <w:shd w:val="clear" w:color="auto" w:fill="auto"/>
            <w:tcMar>
              <w:top w:w="28" w:type="dxa"/>
              <w:left w:w="144" w:type="dxa"/>
              <w:bottom w:w="28" w:type="dxa"/>
              <w:right w:w="144" w:type="dxa"/>
            </w:tcMar>
            <w:hideMark/>
          </w:tcPr>
          <w:p w14:paraId="38175211"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71B42885"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995" w:type="dxa"/>
            <w:shd w:val="clear" w:color="auto" w:fill="auto"/>
            <w:tcMar>
              <w:top w:w="28" w:type="dxa"/>
              <w:left w:w="144" w:type="dxa"/>
              <w:bottom w:w="28" w:type="dxa"/>
              <w:right w:w="144" w:type="dxa"/>
            </w:tcMar>
            <w:hideMark/>
          </w:tcPr>
          <w:p w14:paraId="2783680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r>
      <w:tr w:rsidR="00790654" w:rsidRPr="00790654" w14:paraId="1D27FF00" w14:textId="77777777" w:rsidTr="00407D99">
        <w:trPr>
          <w:trHeight w:val="374"/>
        </w:trPr>
        <w:tc>
          <w:tcPr>
            <w:tcW w:w="1720" w:type="dxa"/>
            <w:vMerge/>
            <w:shd w:val="clear" w:color="auto" w:fill="auto"/>
            <w:vAlign w:val="center"/>
            <w:hideMark/>
          </w:tcPr>
          <w:p w14:paraId="4DB7B724"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1BF9D0F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shd w:val="clear" w:color="auto" w:fill="auto"/>
            <w:tcMar>
              <w:top w:w="28" w:type="dxa"/>
              <w:left w:w="144" w:type="dxa"/>
              <w:bottom w:w="28" w:type="dxa"/>
              <w:right w:w="144" w:type="dxa"/>
            </w:tcMar>
            <w:hideMark/>
          </w:tcPr>
          <w:p w14:paraId="59D39636"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3</w:t>
            </w:r>
          </w:p>
        </w:tc>
        <w:tc>
          <w:tcPr>
            <w:tcW w:w="1134" w:type="dxa"/>
            <w:shd w:val="clear" w:color="auto" w:fill="auto"/>
            <w:tcMar>
              <w:top w:w="28" w:type="dxa"/>
              <w:left w:w="144" w:type="dxa"/>
              <w:bottom w:w="28" w:type="dxa"/>
              <w:right w:w="144" w:type="dxa"/>
            </w:tcMar>
            <w:hideMark/>
          </w:tcPr>
          <w:p w14:paraId="25366BB6"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(2-4)</w:t>
            </w:r>
          </w:p>
        </w:tc>
        <w:tc>
          <w:tcPr>
            <w:tcW w:w="995" w:type="dxa"/>
            <w:shd w:val="clear" w:color="auto" w:fill="auto"/>
            <w:tcMar>
              <w:top w:w="28" w:type="dxa"/>
              <w:left w:w="144" w:type="dxa"/>
              <w:bottom w:w="28" w:type="dxa"/>
              <w:right w:w="144" w:type="dxa"/>
            </w:tcMar>
            <w:hideMark/>
          </w:tcPr>
          <w:p w14:paraId="33CEF3A5"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995" w:type="dxa"/>
            <w:shd w:val="clear" w:color="auto" w:fill="auto"/>
            <w:tcMar>
              <w:top w:w="28" w:type="dxa"/>
              <w:left w:w="144" w:type="dxa"/>
              <w:bottom w:w="28" w:type="dxa"/>
              <w:right w:w="144" w:type="dxa"/>
            </w:tcMar>
            <w:hideMark/>
          </w:tcPr>
          <w:p w14:paraId="2565C235"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4BD826BF"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3E534FC5"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(0-1)</w:t>
            </w:r>
          </w:p>
        </w:tc>
      </w:tr>
      <w:tr w:rsidR="00790654" w:rsidRPr="00790654" w14:paraId="1BB2DEAE" w14:textId="77777777" w:rsidTr="00407D99">
        <w:trPr>
          <w:trHeight w:val="40"/>
        </w:trPr>
        <w:tc>
          <w:tcPr>
            <w:tcW w:w="1720" w:type="dxa"/>
            <w:vMerge w:val="restart"/>
            <w:shd w:val="clear" w:color="auto" w:fill="auto"/>
            <w:tcMar>
              <w:top w:w="28" w:type="dxa"/>
              <w:left w:w="144" w:type="dxa"/>
              <w:bottom w:w="28" w:type="dxa"/>
              <w:right w:w="144" w:type="dxa"/>
            </w:tcMar>
            <w:hideMark/>
          </w:tcPr>
          <w:p w14:paraId="226E72F3"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 xml:space="preserve">Dervan, </w:t>
            </w:r>
          </w:p>
          <w:p w14:paraId="023CA6DA"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India</w:t>
            </w:r>
          </w:p>
        </w:tc>
        <w:tc>
          <w:tcPr>
            <w:tcW w:w="1242" w:type="dxa"/>
            <w:shd w:val="clear" w:color="auto" w:fill="auto"/>
            <w:tcMar>
              <w:top w:w="28" w:type="dxa"/>
              <w:left w:w="144" w:type="dxa"/>
              <w:bottom w:w="28" w:type="dxa"/>
              <w:right w:w="144" w:type="dxa"/>
            </w:tcMar>
            <w:hideMark/>
          </w:tcPr>
          <w:p w14:paraId="6BD9B31D"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19B9490A"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7433C598"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01304492"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33C33B54"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(0-2)</w:t>
            </w:r>
          </w:p>
        </w:tc>
        <w:tc>
          <w:tcPr>
            <w:tcW w:w="995" w:type="dxa"/>
            <w:shd w:val="clear" w:color="auto" w:fill="auto"/>
            <w:tcMar>
              <w:top w:w="28" w:type="dxa"/>
              <w:left w:w="144" w:type="dxa"/>
              <w:bottom w:w="28" w:type="dxa"/>
              <w:right w:w="144" w:type="dxa"/>
            </w:tcMar>
            <w:hideMark/>
          </w:tcPr>
          <w:p w14:paraId="63C7D863"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995" w:type="dxa"/>
            <w:shd w:val="clear" w:color="auto" w:fill="auto"/>
            <w:tcMar>
              <w:top w:w="28" w:type="dxa"/>
              <w:left w:w="144" w:type="dxa"/>
              <w:bottom w:w="28" w:type="dxa"/>
              <w:right w:w="144" w:type="dxa"/>
            </w:tcMar>
            <w:hideMark/>
          </w:tcPr>
          <w:p w14:paraId="04C52F43"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(0-4)</w:t>
            </w:r>
          </w:p>
        </w:tc>
      </w:tr>
      <w:tr w:rsidR="00790654" w:rsidRPr="00790654" w14:paraId="68FC26AD" w14:textId="77777777" w:rsidTr="00407D99">
        <w:trPr>
          <w:trHeight w:val="374"/>
        </w:trPr>
        <w:tc>
          <w:tcPr>
            <w:tcW w:w="1720" w:type="dxa"/>
            <w:vMerge/>
            <w:shd w:val="clear" w:color="auto" w:fill="auto"/>
            <w:vAlign w:val="center"/>
            <w:hideMark/>
          </w:tcPr>
          <w:p w14:paraId="38157BAC"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2B3653B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shd w:val="clear" w:color="auto" w:fill="auto"/>
            <w:tcMar>
              <w:top w:w="28" w:type="dxa"/>
              <w:left w:w="144" w:type="dxa"/>
              <w:bottom w:w="28" w:type="dxa"/>
              <w:right w:w="144" w:type="dxa"/>
            </w:tcMar>
            <w:hideMark/>
          </w:tcPr>
          <w:p w14:paraId="5E378D31"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14308398"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(0-4)</w:t>
            </w:r>
          </w:p>
        </w:tc>
        <w:tc>
          <w:tcPr>
            <w:tcW w:w="995" w:type="dxa"/>
            <w:shd w:val="clear" w:color="auto" w:fill="auto"/>
            <w:tcMar>
              <w:top w:w="28" w:type="dxa"/>
              <w:left w:w="144" w:type="dxa"/>
              <w:bottom w:w="28" w:type="dxa"/>
              <w:right w:w="144" w:type="dxa"/>
            </w:tcMar>
            <w:hideMark/>
          </w:tcPr>
          <w:p w14:paraId="24351C30"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2487193B"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(0-4)</w:t>
            </w:r>
          </w:p>
        </w:tc>
        <w:tc>
          <w:tcPr>
            <w:tcW w:w="995" w:type="dxa"/>
            <w:shd w:val="clear" w:color="auto" w:fill="auto"/>
            <w:tcMar>
              <w:top w:w="28" w:type="dxa"/>
              <w:left w:w="144" w:type="dxa"/>
              <w:bottom w:w="28" w:type="dxa"/>
              <w:right w:w="144" w:type="dxa"/>
            </w:tcMar>
            <w:hideMark/>
          </w:tcPr>
          <w:p w14:paraId="6DDFC452"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995" w:type="dxa"/>
            <w:shd w:val="clear" w:color="auto" w:fill="auto"/>
            <w:tcMar>
              <w:top w:w="28" w:type="dxa"/>
              <w:left w:w="144" w:type="dxa"/>
              <w:bottom w:w="28" w:type="dxa"/>
              <w:right w:w="144" w:type="dxa"/>
            </w:tcMar>
            <w:hideMark/>
          </w:tcPr>
          <w:p w14:paraId="3C7B8077"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r>
      <w:tr w:rsidR="00790654" w:rsidRPr="00790654" w14:paraId="6B7DECC7" w14:textId="77777777" w:rsidTr="00407D99">
        <w:trPr>
          <w:trHeight w:val="40"/>
        </w:trPr>
        <w:tc>
          <w:tcPr>
            <w:tcW w:w="1720" w:type="dxa"/>
            <w:vMerge w:val="restart"/>
            <w:shd w:val="clear" w:color="auto" w:fill="auto"/>
            <w:tcMar>
              <w:top w:w="28" w:type="dxa"/>
              <w:left w:w="144" w:type="dxa"/>
              <w:bottom w:w="28" w:type="dxa"/>
              <w:right w:w="144" w:type="dxa"/>
            </w:tcMar>
            <w:hideMark/>
          </w:tcPr>
          <w:p w14:paraId="2C64A5B2"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 xml:space="preserve">Pune, </w:t>
            </w:r>
          </w:p>
          <w:p w14:paraId="2C357841"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India</w:t>
            </w:r>
          </w:p>
        </w:tc>
        <w:tc>
          <w:tcPr>
            <w:tcW w:w="1242" w:type="dxa"/>
            <w:shd w:val="clear" w:color="auto" w:fill="auto"/>
            <w:tcMar>
              <w:top w:w="28" w:type="dxa"/>
              <w:left w:w="144" w:type="dxa"/>
              <w:bottom w:w="28" w:type="dxa"/>
              <w:right w:w="144" w:type="dxa"/>
            </w:tcMar>
            <w:hideMark/>
          </w:tcPr>
          <w:p w14:paraId="1A53203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0208C112"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 xml:space="preserve">1 </w:t>
            </w:r>
          </w:p>
        </w:tc>
        <w:tc>
          <w:tcPr>
            <w:tcW w:w="1134" w:type="dxa"/>
            <w:shd w:val="clear" w:color="auto" w:fill="auto"/>
            <w:tcMar>
              <w:top w:w="28" w:type="dxa"/>
              <w:left w:w="144" w:type="dxa"/>
              <w:bottom w:w="28" w:type="dxa"/>
              <w:right w:w="144" w:type="dxa"/>
            </w:tcMar>
            <w:hideMark/>
          </w:tcPr>
          <w:p w14:paraId="24E37B26"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(0-4)</w:t>
            </w:r>
          </w:p>
        </w:tc>
        <w:tc>
          <w:tcPr>
            <w:tcW w:w="995" w:type="dxa"/>
            <w:shd w:val="clear" w:color="auto" w:fill="auto"/>
            <w:tcMar>
              <w:top w:w="28" w:type="dxa"/>
              <w:left w:w="144" w:type="dxa"/>
              <w:bottom w:w="28" w:type="dxa"/>
              <w:right w:w="144" w:type="dxa"/>
            </w:tcMar>
            <w:hideMark/>
          </w:tcPr>
          <w:p w14:paraId="45F82FB5"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0.5</w:t>
            </w:r>
          </w:p>
        </w:tc>
        <w:tc>
          <w:tcPr>
            <w:tcW w:w="995" w:type="dxa"/>
            <w:shd w:val="clear" w:color="auto" w:fill="auto"/>
            <w:tcMar>
              <w:top w:w="28" w:type="dxa"/>
              <w:left w:w="144" w:type="dxa"/>
              <w:bottom w:w="28" w:type="dxa"/>
              <w:right w:w="144" w:type="dxa"/>
            </w:tcMar>
            <w:hideMark/>
          </w:tcPr>
          <w:p w14:paraId="5D4B077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(0-3.5)</w:t>
            </w:r>
          </w:p>
        </w:tc>
        <w:tc>
          <w:tcPr>
            <w:tcW w:w="995" w:type="dxa"/>
            <w:shd w:val="clear" w:color="auto" w:fill="auto"/>
            <w:tcMar>
              <w:top w:w="28" w:type="dxa"/>
              <w:left w:w="144" w:type="dxa"/>
              <w:bottom w:w="28" w:type="dxa"/>
              <w:right w:w="144" w:type="dxa"/>
            </w:tcMar>
            <w:hideMark/>
          </w:tcPr>
          <w:p w14:paraId="226B7DB0"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10C187A8"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r>
      <w:tr w:rsidR="00790654" w:rsidRPr="00790654" w14:paraId="4D2DC428" w14:textId="77777777" w:rsidTr="00407D99">
        <w:trPr>
          <w:trHeight w:val="374"/>
        </w:trPr>
        <w:tc>
          <w:tcPr>
            <w:tcW w:w="1720" w:type="dxa"/>
            <w:vMerge/>
            <w:shd w:val="clear" w:color="auto" w:fill="auto"/>
            <w:vAlign w:val="center"/>
            <w:hideMark/>
          </w:tcPr>
          <w:p w14:paraId="58F189B3"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453C7829"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shd w:val="clear" w:color="auto" w:fill="auto"/>
            <w:tcMar>
              <w:top w:w="28" w:type="dxa"/>
              <w:left w:w="144" w:type="dxa"/>
              <w:bottom w:w="28" w:type="dxa"/>
              <w:right w:w="144" w:type="dxa"/>
            </w:tcMar>
            <w:hideMark/>
          </w:tcPr>
          <w:p w14:paraId="3BDA9875"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1.5</w:t>
            </w:r>
          </w:p>
        </w:tc>
        <w:tc>
          <w:tcPr>
            <w:tcW w:w="1134" w:type="dxa"/>
            <w:shd w:val="clear" w:color="auto" w:fill="auto"/>
            <w:tcMar>
              <w:top w:w="28" w:type="dxa"/>
              <w:left w:w="144" w:type="dxa"/>
              <w:bottom w:w="28" w:type="dxa"/>
              <w:right w:w="144" w:type="dxa"/>
            </w:tcMar>
            <w:hideMark/>
          </w:tcPr>
          <w:p w14:paraId="4C1798FE"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(0-6.5)</w:t>
            </w:r>
          </w:p>
        </w:tc>
        <w:tc>
          <w:tcPr>
            <w:tcW w:w="995" w:type="dxa"/>
            <w:shd w:val="clear" w:color="auto" w:fill="auto"/>
            <w:tcMar>
              <w:top w:w="28" w:type="dxa"/>
              <w:left w:w="144" w:type="dxa"/>
              <w:bottom w:w="28" w:type="dxa"/>
              <w:right w:w="144" w:type="dxa"/>
            </w:tcMar>
            <w:hideMark/>
          </w:tcPr>
          <w:p w14:paraId="405535F8"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0.25</w:t>
            </w:r>
          </w:p>
        </w:tc>
        <w:tc>
          <w:tcPr>
            <w:tcW w:w="995" w:type="dxa"/>
            <w:shd w:val="clear" w:color="auto" w:fill="auto"/>
            <w:tcMar>
              <w:top w:w="28" w:type="dxa"/>
              <w:left w:w="144" w:type="dxa"/>
              <w:bottom w:w="28" w:type="dxa"/>
              <w:right w:w="144" w:type="dxa"/>
            </w:tcMar>
            <w:hideMark/>
          </w:tcPr>
          <w:p w14:paraId="200441F0"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(0-2)</w:t>
            </w:r>
          </w:p>
        </w:tc>
        <w:tc>
          <w:tcPr>
            <w:tcW w:w="995" w:type="dxa"/>
            <w:shd w:val="clear" w:color="auto" w:fill="auto"/>
            <w:tcMar>
              <w:top w:w="28" w:type="dxa"/>
              <w:left w:w="144" w:type="dxa"/>
              <w:bottom w:w="28" w:type="dxa"/>
              <w:right w:w="144" w:type="dxa"/>
            </w:tcMar>
            <w:hideMark/>
          </w:tcPr>
          <w:p w14:paraId="5E625BAB"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7E6393E5"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w:t>
            </w:r>
          </w:p>
        </w:tc>
      </w:tr>
      <w:tr w:rsidR="00790654" w:rsidRPr="00790654" w14:paraId="3A00BB13" w14:textId="77777777" w:rsidTr="00407D99">
        <w:trPr>
          <w:trHeight w:val="40"/>
        </w:trPr>
        <w:tc>
          <w:tcPr>
            <w:tcW w:w="1720" w:type="dxa"/>
            <w:vMerge w:val="restart"/>
            <w:shd w:val="clear" w:color="auto" w:fill="auto"/>
            <w:tcMar>
              <w:top w:w="28" w:type="dxa"/>
              <w:left w:w="144" w:type="dxa"/>
              <w:bottom w:w="28" w:type="dxa"/>
              <w:right w:w="144" w:type="dxa"/>
            </w:tcMar>
            <w:hideMark/>
          </w:tcPr>
          <w:p w14:paraId="6FCB180E"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Mumbai,</w:t>
            </w:r>
          </w:p>
          <w:p w14:paraId="5D66D602"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India</w:t>
            </w:r>
          </w:p>
        </w:tc>
        <w:tc>
          <w:tcPr>
            <w:tcW w:w="1242" w:type="dxa"/>
            <w:shd w:val="clear" w:color="auto" w:fill="auto"/>
            <w:tcMar>
              <w:top w:w="28" w:type="dxa"/>
              <w:left w:w="144" w:type="dxa"/>
              <w:bottom w:w="28" w:type="dxa"/>
              <w:right w:w="144" w:type="dxa"/>
            </w:tcMar>
            <w:hideMark/>
          </w:tcPr>
          <w:p w14:paraId="4D2CED8E"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4FA250D4"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2103B29A"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(0-4)</w:t>
            </w:r>
          </w:p>
        </w:tc>
        <w:tc>
          <w:tcPr>
            <w:tcW w:w="995" w:type="dxa"/>
            <w:shd w:val="clear" w:color="auto" w:fill="auto"/>
            <w:tcMar>
              <w:top w:w="28" w:type="dxa"/>
              <w:left w:w="144" w:type="dxa"/>
              <w:bottom w:w="28" w:type="dxa"/>
              <w:right w:w="144" w:type="dxa"/>
            </w:tcMar>
            <w:hideMark/>
          </w:tcPr>
          <w:p w14:paraId="25E792C4"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0.4</w:t>
            </w:r>
          </w:p>
        </w:tc>
        <w:tc>
          <w:tcPr>
            <w:tcW w:w="995" w:type="dxa"/>
            <w:shd w:val="clear" w:color="auto" w:fill="auto"/>
            <w:tcMar>
              <w:top w:w="28" w:type="dxa"/>
              <w:left w:w="144" w:type="dxa"/>
              <w:bottom w:w="28" w:type="dxa"/>
              <w:right w:w="144" w:type="dxa"/>
            </w:tcMar>
            <w:hideMark/>
          </w:tcPr>
          <w:p w14:paraId="3FF6345B"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(0-2)</w:t>
            </w:r>
          </w:p>
        </w:tc>
        <w:tc>
          <w:tcPr>
            <w:tcW w:w="995" w:type="dxa"/>
            <w:shd w:val="clear" w:color="auto" w:fill="auto"/>
            <w:tcMar>
              <w:top w:w="28" w:type="dxa"/>
              <w:left w:w="144" w:type="dxa"/>
              <w:bottom w:w="28" w:type="dxa"/>
              <w:right w:w="144" w:type="dxa"/>
            </w:tcMar>
            <w:hideMark/>
          </w:tcPr>
          <w:p w14:paraId="63436804"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2BFA3CF1"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(0-0.05)</w:t>
            </w:r>
          </w:p>
        </w:tc>
      </w:tr>
      <w:tr w:rsidR="00790654" w:rsidRPr="00790654" w14:paraId="790C4784" w14:textId="77777777" w:rsidTr="00407D99">
        <w:trPr>
          <w:trHeight w:val="374"/>
        </w:trPr>
        <w:tc>
          <w:tcPr>
            <w:tcW w:w="1720" w:type="dxa"/>
            <w:vMerge/>
            <w:shd w:val="clear" w:color="auto" w:fill="auto"/>
            <w:vAlign w:val="center"/>
            <w:hideMark/>
          </w:tcPr>
          <w:p w14:paraId="4915935B" w14:textId="77777777" w:rsidR="00407D99" w:rsidRPr="00790654" w:rsidRDefault="00407D99" w:rsidP="00407D99">
            <w:pPr>
              <w:spacing w:after="0" w:line="240" w:lineRule="auto"/>
              <w:rPr>
                <w:rFonts w:ascii="Calibri" w:eastAsia="Calibri" w:hAnsi="Calibri" w:cs="Times New Roman"/>
                <w:b/>
              </w:rPr>
            </w:pPr>
          </w:p>
        </w:tc>
        <w:tc>
          <w:tcPr>
            <w:tcW w:w="1242" w:type="dxa"/>
            <w:shd w:val="clear" w:color="auto" w:fill="auto"/>
            <w:tcMar>
              <w:top w:w="28" w:type="dxa"/>
              <w:left w:w="144" w:type="dxa"/>
              <w:bottom w:w="28" w:type="dxa"/>
              <w:right w:w="144" w:type="dxa"/>
            </w:tcMar>
            <w:hideMark/>
          </w:tcPr>
          <w:p w14:paraId="5BC2E086"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shd w:val="clear" w:color="auto" w:fill="auto"/>
            <w:tcMar>
              <w:top w:w="28" w:type="dxa"/>
              <w:left w:w="144" w:type="dxa"/>
              <w:bottom w:w="28" w:type="dxa"/>
              <w:right w:w="144" w:type="dxa"/>
            </w:tcMar>
            <w:hideMark/>
          </w:tcPr>
          <w:p w14:paraId="5E2C660B"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2</w:t>
            </w:r>
          </w:p>
        </w:tc>
        <w:tc>
          <w:tcPr>
            <w:tcW w:w="1134" w:type="dxa"/>
            <w:shd w:val="clear" w:color="auto" w:fill="auto"/>
            <w:tcMar>
              <w:top w:w="28" w:type="dxa"/>
              <w:left w:w="144" w:type="dxa"/>
              <w:bottom w:w="28" w:type="dxa"/>
              <w:right w:w="144" w:type="dxa"/>
            </w:tcMar>
            <w:hideMark/>
          </w:tcPr>
          <w:p w14:paraId="6853AD61"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(0-5)</w:t>
            </w:r>
          </w:p>
        </w:tc>
        <w:tc>
          <w:tcPr>
            <w:tcW w:w="995" w:type="dxa"/>
            <w:shd w:val="clear" w:color="auto" w:fill="auto"/>
            <w:tcMar>
              <w:top w:w="28" w:type="dxa"/>
              <w:left w:w="144" w:type="dxa"/>
              <w:bottom w:w="28" w:type="dxa"/>
              <w:right w:w="144" w:type="dxa"/>
            </w:tcMar>
            <w:hideMark/>
          </w:tcPr>
          <w:p w14:paraId="6D2F45F7"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0.5</w:t>
            </w:r>
          </w:p>
        </w:tc>
        <w:tc>
          <w:tcPr>
            <w:tcW w:w="995" w:type="dxa"/>
            <w:shd w:val="clear" w:color="auto" w:fill="auto"/>
            <w:tcMar>
              <w:top w:w="28" w:type="dxa"/>
              <w:left w:w="144" w:type="dxa"/>
              <w:bottom w:w="28" w:type="dxa"/>
              <w:right w:w="144" w:type="dxa"/>
            </w:tcMar>
            <w:hideMark/>
          </w:tcPr>
          <w:p w14:paraId="499C0BDE"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0280164C"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06E42280"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r>
      <w:tr w:rsidR="00790654" w:rsidRPr="00790654" w14:paraId="423E8956" w14:textId="77777777" w:rsidTr="00407D99">
        <w:trPr>
          <w:trHeight w:val="40"/>
        </w:trPr>
        <w:tc>
          <w:tcPr>
            <w:tcW w:w="1720" w:type="dxa"/>
            <w:vMerge w:val="restart"/>
            <w:shd w:val="clear" w:color="auto" w:fill="auto"/>
            <w:tcMar>
              <w:top w:w="28" w:type="dxa"/>
              <w:left w:w="144" w:type="dxa"/>
              <w:bottom w:w="28" w:type="dxa"/>
              <w:right w:w="144" w:type="dxa"/>
            </w:tcMar>
            <w:hideMark/>
          </w:tcPr>
          <w:p w14:paraId="67207A91"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 xml:space="preserve">Mysore, </w:t>
            </w:r>
          </w:p>
          <w:p w14:paraId="640B05AF" w14:textId="77777777" w:rsidR="00407D99" w:rsidRPr="00790654" w:rsidRDefault="00407D99" w:rsidP="00407D99">
            <w:pPr>
              <w:spacing w:after="0" w:line="240" w:lineRule="auto"/>
              <w:rPr>
                <w:rFonts w:ascii="Calibri" w:eastAsia="Calibri" w:hAnsi="Calibri" w:cs="Times New Roman"/>
                <w:b/>
              </w:rPr>
            </w:pPr>
            <w:r w:rsidRPr="00790654">
              <w:rPr>
                <w:rFonts w:ascii="Calibri" w:eastAsia="Calibri" w:hAnsi="Calibri" w:cs="Times New Roman"/>
                <w:b/>
              </w:rPr>
              <w:t>India</w:t>
            </w:r>
          </w:p>
        </w:tc>
        <w:tc>
          <w:tcPr>
            <w:tcW w:w="1242" w:type="dxa"/>
            <w:shd w:val="clear" w:color="auto" w:fill="auto"/>
            <w:tcMar>
              <w:top w:w="28" w:type="dxa"/>
              <w:left w:w="144" w:type="dxa"/>
              <w:bottom w:w="28" w:type="dxa"/>
              <w:right w:w="144" w:type="dxa"/>
            </w:tcMar>
            <w:hideMark/>
          </w:tcPr>
          <w:p w14:paraId="15E5F1D4"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Younger</w:t>
            </w:r>
          </w:p>
        </w:tc>
        <w:tc>
          <w:tcPr>
            <w:tcW w:w="1007" w:type="dxa"/>
            <w:shd w:val="clear" w:color="auto" w:fill="auto"/>
            <w:tcMar>
              <w:top w:w="28" w:type="dxa"/>
              <w:left w:w="144" w:type="dxa"/>
              <w:bottom w:w="28" w:type="dxa"/>
              <w:right w:w="144" w:type="dxa"/>
            </w:tcMar>
            <w:hideMark/>
          </w:tcPr>
          <w:p w14:paraId="317B1108"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1</w:t>
            </w:r>
          </w:p>
        </w:tc>
        <w:tc>
          <w:tcPr>
            <w:tcW w:w="1134" w:type="dxa"/>
            <w:shd w:val="clear" w:color="auto" w:fill="auto"/>
            <w:tcMar>
              <w:top w:w="28" w:type="dxa"/>
              <w:left w:w="144" w:type="dxa"/>
              <w:bottom w:w="28" w:type="dxa"/>
              <w:right w:w="144" w:type="dxa"/>
            </w:tcMar>
            <w:hideMark/>
          </w:tcPr>
          <w:p w14:paraId="59493087"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c>
          <w:tcPr>
            <w:tcW w:w="995" w:type="dxa"/>
            <w:shd w:val="clear" w:color="auto" w:fill="auto"/>
            <w:tcMar>
              <w:top w:w="28" w:type="dxa"/>
              <w:left w:w="144" w:type="dxa"/>
              <w:bottom w:w="28" w:type="dxa"/>
              <w:right w:w="144" w:type="dxa"/>
            </w:tcMar>
            <w:hideMark/>
          </w:tcPr>
          <w:p w14:paraId="67D795F7"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0.5</w:t>
            </w:r>
          </w:p>
        </w:tc>
        <w:tc>
          <w:tcPr>
            <w:tcW w:w="995" w:type="dxa"/>
            <w:shd w:val="clear" w:color="auto" w:fill="auto"/>
            <w:tcMar>
              <w:top w:w="28" w:type="dxa"/>
              <w:left w:w="144" w:type="dxa"/>
              <w:bottom w:w="28" w:type="dxa"/>
              <w:right w:w="144" w:type="dxa"/>
            </w:tcMar>
            <w:hideMark/>
          </w:tcPr>
          <w:p w14:paraId="54A10649"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(0-3)</w:t>
            </w:r>
          </w:p>
        </w:tc>
        <w:tc>
          <w:tcPr>
            <w:tcW w:w="995" w:type="dxa"/>
            <w:shd w:val="clear" w:color="auto" w:fill="auto"/>
            <w:tcMar>
              <w:top w:w="28" w:type="dxa"/>
              <w:left w:w="144" w:type="dxa"/>
              <w:bottom w:w="28" w:type="dxa"/>
              <w:right w:w="144" w:type="dxa"/>
            </w:tcMar>
            <w:hideMark/>
          </w:tcPr>
          <w:p w14:paraId="407B0B64"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shd w:val="clear" w:color="auto" w:fill="auto"/>
            <w:tcMar>
              <w:top w:w="28" w:type="dxa"/>
              <w:left w:w="144" w:type="dxa"/>
              <w:bottom w:w="28" w:type="dxa"/>
              <w:right w:w="144" w:type="dxa"/>
            </w:tcMar>
            <w:hideMark/>
          </w:tcPr>
          <w:p w14:paraId="4B70D23F"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(0-5)</w:t>
            </w:r>
          </w:p>
        </w:tc>
      </w:tr>
      <w:tr w:rsidR="00407D99" w:rsidRPr="00790654" w14:paraId="390CBB64" w14:textId="77777777" w:rsidTr="00407D99">
        <w:trPr>
          <w:trHeight w:val="20"/>
        </w:trPr>
        <w:tc>
          <w:tcPr>
            <w:tcW w:w="1720" w:type="dxa"/>
            <w:vMerge/>
            <w:tcBorders>
              <w:bottom w:val="single" w:sz="4" w:space="0" w:color="auto"/>
            </w:tcBorders>
            <w:shd w:val="clear" w:color="auto" w:fill="auto"/>
            <w:vAlign w:val="center"/>
            <w:hideMark/>
          </w:tcPr>
          <w:p w14:paraId="742788E6" w14:textId="77777777" w:rsidR="00407D99" w:rsidRPr="00790654" w:rsidRDefault="00407D99" w:rsidP="00407D99">
            <w:pPr>
              <w:spacing w:after="0" w:line="240" w:lineRule="auto"/>
              <w:rPr>
                <w:rFonts w:ascii="Calibri" w:eastAsia="Calibri" w:hAnsi="Calibri" w:cs="Times New Roman"/>
              </w:rPr>
            </w:pPr>
          </w:p>
        </w:tc>
        <w:tc>
          <w:tcPr>
            <w:tcW w:w="1242" w:type="dxa"/>
            <w:tcBorders>
              <w:bottom w:val="single" w:sz="4" w:space="0" w:color="auto"/>
            </w:tcBorders>
            <w:shd w:val="clear" w:color="auto" w:fill="auto"/>
            <w:tcMar>
              <w:top w:w="28" w:type="dxa"/>
              <w:left w:w="144" w:type="dxa"/>
              <w:bottom w:w="28" w:type="dxa"/>
              <w:right w:w="144" w:type="dxa"/>
            </w:tcMar>
            <w:hideMark/>
          </w:tcPr>
          <w:p w14:paraId="2BBBC589"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Older</w:t>
            </w:r>
          </w:p>
        </w:tc>
        <w:tc>
          <w:tcPr>
            <w:tcW w:w="1007" w:type="dxa"/>
            <w:tcBorders>
              <w:bottom w:val="single" w:sz="4" w:space="0" w:color="auto"/>
            </w:tcBorders>
            <w:shd w:val="clear" w:color="auto" w:fill="auto"/>
            <w:tcMar>
              <w:top w:w="28" w:type="dxa"/>
              <w:left w:w="144" w:type="dxa"/>
              <w:bottom w:w="28" w:type="dxa"/>
              <w:right w:w="144" w:type="dxa"/>
            </w:tcMar>
            <w:hideMark/>
          </w:tcPr>
          <w:p w14:paraId="5D95D47C"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2</w:t>
            </w:r>
          </w:p>
        </w:tc>
        <w:tc>
          <w:tcPr>
            <w:tcW w:w="1134" w:type="dxa"/>
            <w:tcBorders>
              <w:bottom w:val="single" w:sz="4" w:space="0" w:color="auto"/>
            </w:tcBorders>
            <w:shd w:val="clear" w:color="auto" w:fill="auto"/>
            <w:tcMar>
              <w:top w:w="28" w:type="dxa"/>
              <w:left w:w="144" w:type="dxa"/>
              <w:bottom w:w="28" w:type="dxa"/>
              <w:right w:w="144" w:type="dxa"/>
            </w:tcMar>
            <w:hideMark/>
          </w:tcPr>
          <w:p w14:paraId="58059055"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(0-6)</w:t>
            </w:r>
          </w:p>
        </w:tc>
        <w:tc>
          <w:tcPr>
            <w:tcW w:w="995" w:type="dxa"/>
            <w:tcBorders>
              <w:bottom w:val="single" w:sz="4" w:space="0" w:color="auto"/>
            </w:tcBorders>
            <w:shd w:val="clear" w:color="auto" w:fill="auto"/>
            <w:tcMar>
              <w:top w:w="28" w:type="dxa"/>
              <w:left w:w="144" w:type="dxa"/>
              <w:bottom w:w="28" w:type="dxa"/>
              <w:right w:w="144" w:type="dxa"/>
            </w:tcMar>
            <w:hideMark/>
          </w:tcPr>
          <w:p w14:paraId="687EED4F"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tcBorders>
              <w:bottom w:val="single" w:sz="4" w:space="0" w:color="auto"/>
            </w:tcBorders>
            <w:shd w:val="clear" w:color="auto" w:fill="auto"/>
            <w:tcMar>
              <w:top w:w="28" w:type="dxa"/>
              <w:left w:w="144" w:type="dxa"/>
              <w:bottom w:w="28" w:type="dxa"/>
              <w:right w:w="144" w:type="dxa"/>
            </w:tcMar>
            <w:hideMark/>
          </w:tcPr>
          <w:p w14:paraId="6862E722"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(0-5)</w:t>
            </w:r>
          </w:p>
        </w:tc>
        <w:tc>
          <w:tcPr>
            <w:tcW w:w="995" w:type="dxa"/>
            <w:tcBorders>
              <w:bottom w:val="single" w:sz="4" w:space="0" w:color="auto"/>
            </w:tcBorders>
            <w:shd w:val="clear" w:color="auto" w:fill="auto"/>
            <w:tcMar>
              <w:top w:w="28" w:type="dxa"/>
              <w:left w:w="144" w:type="dxa"/>
              <w:bottom w:w="28" w:type="dxa"/>
              <w:right w:w="144" w:type="dxa"/>
            </w:tcMar>
            <w:hideMark/>
          </w:tcPr>
          <w:p w14:paraId="3549F1B9" w14:textId="77777777" w:rsidR="00407D99" w:rsidRPr="00790654" w:rsidRDefault="00407D99" w:rsidP="00407D99">
            <w:pPr>
              <w:spacing w:after="0" w:line="240" w:lineRule="auto"/>
              <w:jc w:val="right"/>
              <w:rPr>
                <w:rFonts w:ascii="Calibri" w:eastAsia="Calibri" w:hAnsi="Calibri" w:cs="Times New Roman"/>
              </w:rPr>
            </w:pPr>
            <w:r w:rsidRPr="00790654">
              <w:rPr>
                <w:rFonts w:ascii="Calibri" w:eastAsia="Calibri" w:hAnsi="Calibri" w:cs="Times New Roman"/>
                <w:b/>
                <w:bCs/>
              </w:rPr>
              <w:t>0</w:t>
            </w:r>
          </w:p>
        </w:tc>
        <w:tc>
          <w:tcPr>
            <w:tcW w:w="995" w:type="dxa"/>
            <w:tcBorders>
              <w:bottom w:val="single" w:sz="4" w:space="0" w:color="auto"/>
            </w:tcBorders>
            <w:shd w:val="clear" w:color="auto" w:fill="auto"/>
            <w:tcMar>
              <w:top w:w="28" w:type="dxa"/>
              <w:left w:w="144" w:type="dxa"/>
              <w:bottom w:w="28" w:type="dxa"/>
              <w:right w:w="144" w:type="dxa"/>
            </w:tcMar>
            <w:hideMark/>
          </w:tcPr>
          <w:p w14:paraId="70CB0F09" w14:textId="77777777" w:rsidR="00407D99" w:rsidRPr="00790654" w:rsidRDefault="00407D99" w:rsidP="00407D99">
            <w:pPr>
              <w:spacing w:after="0" w:line="240" w:lineRule="auto"/>
              <w:rPr>
                <w:rFonts w:ascii="Calibri" w:eastAsia="Calibri" w:hAnsi="Calibri" w:cs="Times New Roman"/>
              </w:rPr>
            </w:pPr>
            <w:r w:rsidRPr="00790654">
              <w:rPr>
                <w:rFonts w:ascii="Calibri" w:eastAsia="Calibri" w:hAnsi="Calibri" w:cs="Times New Roman"/>
              </w:rPr>
              <w:t>(0-2)</w:t>
            </w:r>
          </w:p>
        </w:tc>
      </w:tr>
    </w:tbl>
    <w:p w14:paraId="23DF8F66" w14:textId="77777777" w:rsidR="009F6693" w:rsidRPr="00790654" w:rsidRDefault="009F6693">
      <w:pPr>
        <w:rPr>
          <w:b/>
        </w:rPr>
      </w:pPr>
    </w:p>
    <w:sectPr w:rsidR="009F6693" w:rsidRPr="00790654" w:rsidSect="00FA30F9">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5A64" w14:textId="77777777" w:rsidR="009847BC" w:rsidRDefault="009847BC" w:rsidP="00852448">
      <w:pPr>
        <w:spacing w:after="0" w:line="240" w:lineRule="auto"/>
      </w:pPr>
      <w:r>
        <w:separator/>
      </w:r>
    </w:p>
  </w:endnote>
  <w:endnote w:type="continuationSeparator" w:id="0">
    <w:p w14:paraId="1AB21616" w14:textId="77777777" w:rsidR="009847BC" w:rsidRDefault="009847BC" w:rsidP="0085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99684"/>
      <w:docPartObj>
        <w:docPartGallery w:val="Page Numbers (Bottom of Page)"/>
        <w:docPartUnique/>
      </w:docPartObj>
    </w:sdtPr>
    <w:sdtEndPr>
      <w:rPr>
        <w:noProof/>
      </w:rPr>
    </w:sdtEndPr>
    <w:sdtContent>
      <w:p w14:paraId="38132ACB" w14:textId="394BEF49" w:rsidR="00223145" w:rsidRDefault="00223145">
        <w:pPr>
          <w:pStyle w:val="Footer"/>
          <w:jc w:val="center"/>
        </w:pPr>
        <w:r>
          <w:fldChar w:fldCharType="begin"/>
        </w:r>
        <w:r>
          <w:instrText xml:space="preserve"> PAGE   \* MERGEFORMAT </w:instrText>
        </w:r>
        <w:r>
          <w:fldChar w:fldCharType="separate"/>
        </w:r>
        <w:r w:rsidR="009F6693">
          <w:rPr>
            <w:noProof/>
          </w:rPr>
          <w:t>21</w:t>
        </w:r>
        <w:r>
          <w:rPr>
            <w:noProof/>
          </w:rPr>
          <w:fldChar w:fldCharType="end"/>
        </w:r>
      </w:p>
    </w:sdtContent>
  </w:sdt>
  <w:p w14:paraId="525D8809" w14:textId="77777777" w:rsidR="00223145" w:rsidRDefault="0022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7343" w14:textId="77777777" w:rsidR="009847BC" w:rsidRDefault="009847BC" w:rsidP="00852448">
      <w:pPr>
        <w:spacing w:after="0" w:line="240" w:lineRule="auto"/>
      </w:pPr>
      <w:r>
        <w:separator/>
      </w:r>
    </w:p>
  </w:footnote>
  <w:footnote w:type="continuationSeparator" w:id="0">
    <w:p w14:paraId="406D19B9" w14:textId="77777777" w:rsidR="009847BC" w:rsidRDefault="009847BC" w:rsidP="00852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296"/>
    <w:multiLevelType w:val="hybridMultilevel"/>
    <w:tmpl w:val="62F48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93AD1"/>
    <w:multiLevelType w:val="hybridMultilevel"/>
    <w:tmpl w:val="2C7604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8E3300"/>
    <w:multiLevelType w:val="hybridMultilevel"/>
    <w:tmpl w:val="F9EA089C"/>
    <w:lvl w:ilvl="0" w:tplc="8E164404">
      <w:start w:val="2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640EE6"/>
    <w:multiLevelType w:val="hybridMultilevel"/>
    <w:tmpl w:val="79DEB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A062D"/>
    <w:multiLevelType w:val="hybridMultilevel"/>
    <w:tmpl w:val="34D0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11490"/>
    <w:multiLevelType w:val="hybridMultilevel"/>
    <w:tmpl w:val="70BC4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D472D3"/>
    <w:multiLevelType w:val="hybridMultilevel"/>
    <w:tmpl w:val="62F48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4D6F0E"/>
    <w:multiLevelType w:val="hybridMultilevel"/>
    <w:tmpl w:val="52E69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553AD"/>
    <w:multiLevelType w:val="hybridMultilevel"/>
    <w:tmpl w:val="2C7604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172444"/>
    <w:multiLevelType w:val="hybridMultilevel"/>
    <w:tmpl w:val="5E86CA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8"/>
  </w:num>
  <w:num w:numId="6">
    <w:abstractNumId w:val="4"/>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E6"/>
    <w:rsid w:val="00002629"/>
    <w:rsid w:val="00003A71"/>
    <w:rsid w:val="0000467B"/>
    <w:rsid w:val="00006FEA"/>
    <w:rsid w:val="00010064"/>
    <w:rsid w:val="00014BCD"/>
    <w:rsid w:val="0001652C"/>
    <w:rsid w:val="00025A3B"/>
    <w:rsid w:val="00031723"/>
    <w:rsid w:val="00034C37"/>
    <w:rsid w:val="00035AC4"/>
    <w:rsid w:val="00036BAD"/>
    <w:rsid w:val="000448CD"/>
    <w:rsid w:val="00051D31"/>
    <w:rsid w:val="00053DE7"/>
    <w:rsid w:val="000558F9"/>
    <w:rsid w:val="00062C4E"/>
    <w:rsid w:val="00064F33"/>
    <w:rsid w:val="000764A7"/>
    <w:rsid w:val="000773C0"/>
    <w:rsid w:val="0008506B"/>
    <w:rsid w:val="000855E4"/>
    <w:rsid w:val="00091301"/>
    <w:rsid w:val="00091547"/>
    <w:rsid w:val="00091FDF"/>
    <w:rsid w:val="000952CE"/>
    <w:rsid w:val="000A4FAA"/>
    <w:rsid w:val="000A67FA"/>
    <w:rsid w:val="000A6DA4"/>
    <w:rsid w:val="000B6544"/>
    <w:rsid w:val="000C1F22"/>
    <w:rsid w:val="000C2F78"/>
    <w:rsid w:val="000C2F82"/>
    <w:rsid w:val="000C50EF"/>
    <w:rsid w:val="000D05DE"/>
    <w:rsid w:val="000D457A"/>
    <w:rsid w:val="000D73C9"/>
    <w:rsid w:val="000D79F3"/>
    <w:rsid w:val="000E07B5"/>
    <w:rsid w:val="000F4279"/>
    <w:rsid w:val="00102F16"/>
    <w:rsid w:val="0010454A"/>
    <w:rsid w:val="00104DE7"/>
    <w:rsid w:val="00107A87"/>
    <w:rsid w:val="00111974"/>
    <w:rsid w:val="00113613"/>
    <w:rsid w:val="00117676"/>
    <w:rsid w:val="00125CB5"/>
    <w:rsid w:val="0013192D"/>
    <w:rsid w:val="00136E66"/>
    <w:rsid w:val="00143596"/>
    <w:rsid w:val="00145B88"/>
    <w:rsid w:val="00147894"/>
    <w:rsid w:val="0015306F"/>
    <w:rsid w:val="001542BB"/>
    <w:rsid w:val="001611D5"/>
    <w:rsid w:val="0016723E"/>
    <w:rsid w:val="00167FE9"/>
    <w:rsid w:val="00170C56"/>
    <w:rsid w:val="001764B5"/>
    <w:rsid w:val="0018393B"/>
    <w:rsid w:val="00191C3F"/>
    <w:rsid w:val="0019750E"/>
    <w:rsid w:val="001A4EFF"/>
    <w:rsid w:val="001A625A"/>
    <w:rsid w:val="001A7325"/>
    <w:rsid w:val="001B08CF"/>
    <w:rsid w:val="001B0A1A"/>
    <w:rsid w:val="001B1F52"/>
    <w:rsid w:val="001B6844"/>
    <w:rsid w:val="001C2A0E"/>
    <w:rsid w:val="001C5338"/>
    <w:rsid w:val="001C6881"/>
    <w:rsid w:val="001C75AB"/>
    <w:rsid w:val="001C773D"/>
    <w:rsid w:val="001D134C"/>
    <w:rsid w:val="001E55EB"/>
    <w:rsid w:val="001F61D0"/>
    <w:rsid w:val="002048D7"/>
    <w:rsid w:val="00221FE3"/>
    <w:rsid w:val="00223145"/>
    <w:rsid w:val="002274CD"/>
    <w:rsid w:val="00234FEF"/>
    <w:rsid w:val="0023774A"/>
    <w:rsid w:val="00237F70"/>
    <w:rsid w:val="00242C5E"/>
    <w:rsid w:val="00245BDD"/>
    <w:rsid w:val="00245C44"/>
    <w:rsid w:val="00245D21"/>
    <w:rsid w:val="0025178E"/>
    <w:rsid w:val="00253353"/>
    <w:rsid w:val="00253477"/>
    <w:rsid w:val="00253884"/>
    <w:rsid w:val="002561A2"/>
    <w:rsid w:val="00261BF0"/>
    <w:rsid w:val="0026260E"/>
    <w:rsid w:val="00264DCA"/>
    <w:rsid w:val="00272EC9"/>
    <w:rsid w:val="0027663D"/>
    <w:rsid w:val="00280039"/>
    <w:rsid w:val="00287CC8"/>
    <w:rsid w:val="002921A6"/>
    <w:rsid w:val="00292F60"/>
    <w:rsid w:val="0029371E"/>
    <w:rsid w:val="00293DF9"/>
    <w:rsid w:val="002971C4"/>
    <w:rsid w:val="002A32CB"/>
    <w:rsid w:val="002A6B79"/>
    <w:rsid w:val="002C2B87"/>
    <w:rsid w:val="002C5EC9"/>
    <w:rsid w:val="002C6780"/>
    <w:rsid w:val="002C7F6B"/>
    <w:rsid w:val="002D1067"/>
    <w:rsid w:val="002D2791"/>
    <w:rsid w:val="002D444E"/>
    <w:rsid w:val="002D47ED"/>
    <w:rsid w:val="002E2848"/>
    <w:rsid w:val="002E679B"/>
    <w:rsid w:val="002F1C4A"/>
    <w:rsid w:val="00302072"/>
    <w:rsid w:val="003038A3"/>
    <w:rsid w:val="00306ECB"/>
    <w:rsid w:val="0032134C"/>
    <w:rsid w:val="0032167D"/>
    <w:rsid w:val="00322036"/>
    <w:rsid w:val="003238D9"/>
    <w:rsid w:val="00327BB7"/>
    <w:rsid w:val="00327FE0"/>
    <w:rsid w:val="003312E9"/>
    <w:rsid w:val="0034312A"/>
    <w:rsid w:val="00344E21"/>
    <w:rsid w:val="00345C02"/>
    <w:rsid w:val="003460F4"/>
    <w:rsid w:val="003507D8"/>
    <w:rsid w:val="0035153F"/>
    <w:rsid w:val="003525BE"/>
    <w:rsid w:val="003525D6"/>
    <w:rsid w:val="00353EBE"/>
    <w:rsid w:val="00357725"/>
    <w:rsid w:val="00357CBC"/>
    <w:rsid w:val="00364047"/>
    <w:rsid w:val="003642B4"/>
    <w:rsid w:val="00366F79"/>
    <w:rsid w:val="00371AFD"/>
    <w:rsid w:val="003767F5"/>
    <w:rsid w:val="003775EC"/>
    <w:rsid w:val="00392826"/>
    <w:rsid w:val="00395A31"/>
    <w:rsid w:val="00397AA8"/>
    <w:rsid w:val="003A19A2"/>
    <w:rsid w:val="003A3538"/>
    <w:rsid w:val="003A47CF"/>
    <w:rsid w:val="003A57EF"/>
    <w:rsid w:val="003B7959"/>
    <w:rsid w:val="003C5AD6"/>
    <w:rsid w:val="003C71DA"/>
    <w:rsid w:val="003E096A"/>
    <w:rsid w:val="003E6B11"/>
    <w:rsid w:val="003F1EE4"/>
    <w:rsid w:val="003F4EB8"/>
    <w:rsid w:val="003F5FE0"/>
    <w:rsid w:val="0040106D"/>
    <w:rsid w:val="00401FA1"/>
    <w:rsid w:val="00404FCB"/>
    <w:rsid w:val="00405159"/>
    <w:rsid w:val="00406725"/>
    <w:rsid w:val="00407D99"/>
    <w:rsid w:val="00414F21"/>
    <w:rsid w:val="004161C0"/>
    <w:rsid w:val="00425955"/>
    <w:rsid w:val="00425F16"/>
    <w:rsid w:val="00427BCF"/>
    <w:rsid w:val="00440EC0"/>
    <w:rsid w:val="00444B6D"/>
    <w:rsid w:val="00444C64"/>
    <w:rsid w:val="004529F6"/>
    <w:rsid w:val="004545FA"/>
    <w:rsid w:val="00462800"/>
    <w:rsid w:val="00481C39"/>
    <w:rsid w:val="00483459"/>
    <w:rsid w:val="0049317C"/>
    <w:rsid w:val="00493F4C"/>
    <w:rsid w:val="0049453E"/>
    <w:rsid w:val="00495C6A"/>
    <w:rsid w:val="004977E0"/>
    <w:rsid w:val="004A2C47"/>
    <w:rsid w:val="004A7D26"/>
    <w:rsid w:val="004B0DAC"/>
    <w:rsid w:val="004B1AA4"/>
    <w:rsid w:val="004B2542"/>
    <w:rsid w:val="004B52A2"/>
    <w:rsid w:val="004C0283"/>
    <w:rsid w:val="004C0474"/>
    <w:rsid w:val="004C06EE"/>
    <w:rsid w:val="004C5D10"/>
    <w:rsid w:val="004D1CC9"/>
    <w:rsid w:val="004D2701"/>
    <w:rsid w:val="004E229E"/>
    <w:rsid w:val="004E683B"/>
    <w:rsid w:val="004E7805"/>
    <w:rsid w:val="004F131C"/>
    <w:rsid w:val="004F1836"/>
    <w:rsid w:val="004F1FF9"/>
    <w:rsid w:val="0050180D"/>
    <w:rsid w:val="00504120"/>
    <w:rsid w:val="00512BCB"/>
    <w:rsid w:val="00512EF1"/>
    <w:rsid w:val="00515A11"/>
    <w:rsid w:val="0051602D"/>
    <w:rsid w:val="00516E7C"/>
    <w:rsid w:val="00517D50"/>
    <w:rsid w:val="005209F7"/>
    <w:rsid w:val="0052450B"/>
    <w:rsid w:val="0052470E"/>
    <w:rsid w:val="00530C5F"/>
    <w:rsid w:val="005314C1"/>
    <w:rsid w:val="00535FB1"/>
    <w:rsid w:val="0053711A"/>
    <w:rsid w:val="00537BE0"/>
    <w:rsid w:val="005418E0"/>
    <w:rsid w:val="00543F12"/>
    <w:rsid w:val="00547B4D"/>
    <w:rsid w:val="0055602C"/>
    <w:rsid w:val="00560D4C"/>
    <w:rsid w:val="00562EB8"/>
    <w:rsid w:val="00566258"/>
    <w:rsid w:val="00571F16"/>
    <w:rsid w:val="005757B8"/>
    <w:rsid w:val="00581615"/>
    <w:rsid w:val="00591F02"/>
    <w:rsid w:val="0059579F"/>
    <w:rsid w:val="00597D9B"/>
    <w:rsid w:val="005A21B9"/>
    <w:rsid w:val="005B44B5"/>
    <w:rsid w:val="005B710B"/>
    <w:rsid w:val="005B7E10"/>
    <w:rsid w:val="005C08B8"/>
    <w:rsid w:val="005C1AF2"/>
    <w:rsid w:val="005C5733"/>
    <w:rsid w:val="005D346A"/>
    <w:rsid w:val="005D7409"/>
    <w:rsid w:val="005E2856"/>
    <w:rsid w:val="005E3CDA"/>
    <w:rsid w:val="005E4B15"/>
    <w:rsid w:val="005E72F9"/>
    <w:rsid w:val="005F03BE"/>
    <w:rsid w:val="005F7BA1"/>
    <w:rsid w:val="0060055E"/>
    <w:rsid w:val="006041B7"/>
    <w:rsid w:val="00611149"/>
    <w:rsid w:val="00615A1A"/>
    <w:rsid w:val="00615D63"/>
    <w:rsid w:val="0062118F"/>
    <w:rsid w:val="00621C30"/>
    <w:rsid w:val="0062318B"/>
    <w:rsid w:val="00625002"/>
    <w:rsid w:val="006253A1"/>
    <w:rsid w:val="00630A37"/>
    <w:rsid w:val="00630B4F"/>
    <w:rsid w:val="00636B60"/>
    <w:rsid w:val="00645333"/>
    <w:rsid w:val="00646A48"/>
    <w:rsid w:val="006470C7"/>
    <w:rsid w:val="00647D1B"/>
    <w:rsid w:val="00650F57"/>
    <w:rsid w:val="00653354"/>
    <w:rsid w:val="00654BA2"/>
    <w:rsid w:val="00657740"/>
    <w:rsid w:val="006664A9"/>
    <w:rsid w:val="00672A90"/>
    <w:rsid w:val="0067446C"/>
    <w:rsid w:val="006803FF"/>
    <w:rsid w:val="006806BA"/>
    <w:rsid w:val="006812F2"/>
    <w:rsid w:val="00682FF6"/>
    <w:rsid w:val="00684ACF"/>
    <w:rsid w:val="006866ED"/>
    <w:rsid w:val="00691C80"/>
    <w:rsid w:val="00692932"/>
    <w:rsid w:val="00697775"/>
    <w:rsid w:val="006979AA"/>
    <w:rsid w:val="006A1900"/>
    <w:rsid w:val="006A1CE3"/>
    <w:rsid w:val="006A21FE"/>
    <w:rsid w:val="006B4B6F"/>
    <w:rsid w:val="006C0AB4"/>
    <w:rsid w:val="006C11FF"/>
    <w:rsid w:val="006C3429"/>
    <w:rsid w:val="006C602A"/>
    <w:rsid w:val="006C7F9C"/>
    <w:rsid w:val="006D5FBD"/>
    <w:rsid w:val="006D7229"/>
    <w:rsid w:val="006D72FD"/>
    <w:rsid w:val="006E6DA3"/>
    <w:rsid w:val="006F1109"/>
    <w:rsid w:val="0070094C"/>
    <w:rsid w:val="007040A1"/>
    <w:rsid w:val="00715260"/>
    <w:rsid w:val="00721C6B"/>
    <w:rsid w:val="00722213"/>
    <w:rsid w:val="007319C8"/>
    <w:rsid w:val="007319F5"/>
    <w:rsid w:val="007349A2"/>
    <w:rsid w:val="00736EB6"/>
    <w:rsid w:val="00737C78"/>
    <w:rsid w:val="00740525"/>
    <w:rsid w:val="007410AD"/>
    <w:rsid w:val="00746094"/>
    <w:rsid w:val="0075047E"/>
    <w:rsid w:val="0075118F"/>
    <w:rsid w:val="007600AF"/>
    <w:rsid w:val="00761C6E"/>
    <w:rsid w:val="00766AC2"/>
    <w:rsid w:val="00783A15"/>
    <w:rsid w:val="00790654"/>
    <w:rsid w:val="00794D53"/>
    <w:rsid w:val="007A08D1"/>
    <w:rsid w:val="007A0DB8"/>
    <w:rsid w:val="007A1426"/>
    <w:rsid w:val="007A71B5"/>
    <w:rsid w:val="007C0A3F"/>
    <w:rsid w:val="007D01DE"/>
    <w:rsid w:val="007D4578"/>
    <w:rsid w:val="007D507E"/>
    <w:rsid w:val="007D648C"/>
    <w:rsid w:val="007E5BF3"/>
    <w:rsid w:val="007E7E91"/>
    <w:rsid w:val="007F24BB"/>
    <w:rsid w:val="007F69C3"/>
    <w:rsid w:val="007F7770"/>
    <w:rsid w:val="008114F6"/>
    <w:rsid w:val="00815BFC"/>
    <w:rsid w:val="00832F69"/>
    <w:rsid w:val="008341DD"/>
    <w:rsid w:val="008362BF"/>
    <w:rsid w:val="008363AB"/>
    <w:rsid w:val="008379AD"/>
    <w:rsid w:val="008436F7"/>
    <w:rsid w:val="008446A9"/>
    <w:rsid w:val="00844B20"/>
    <w:rsid w:val="008452F9"/>
    <w:rsid w:val="008469BC"/>
    <w:rsid w:val="00850CB6"/>
    <w:rsid w:val="0085172F"/>
    <w:rsid w:val="00852448"/>
    <w:rsid w:val="008555C4"/>
    <w:rsid w:val="00862DB0"/>
    <w:rsid w:val="0086300A"/>
    <w:rsid w:val="008642AC"/>
    <w:rsid w:val="008646FE"/>
    <w:rsid w:val="00865DBD"/>
    <w:rsid w:val="008669CE"/>
    <w:rsid w:val="00866E91"/>
    <w:rsid w:val="00882724"/>
    <w:rsid w:val="00883E3E"/>
    <w:rsid w:val="00893024"/>
    <w:rsid w:val="008A192F"/>
    <w:rsid w:val="008B09EA"/>
    <w:rsid w:val="008B3AF9"/>
    <w:rsid w:val="008C5013"/>
    <w:rsid w:val="008C5D25"/>
    <w:rsid w:val="008D0365"/>
    <w:rsid w:val="008E2336"/>
    <w:rsid w:val="008F2CE1"/>
    <w:rsid w:val="008F775A"/>
    <w:rsid w:val="00901AB1"/>
    <w:rsid w:val="0090406B"/>
    <w:rsid w:val="00912C61"/>
    <w:rsid w:val="0092008A"/>
    <w:rsid w:val="00921E3F"/>
    <w:rsid w:val="00927E84"/>
    <w:rsid w:val="00932383"/>
    <w:rsid w:val="00936C2A"/>
    <w:rsid w:val="009461EB"/>
    <w:rsid w:val="00947AD9"/>
    <w:rsid w:val="00951849"/>
    <w:rsid w:val="00964CD0"/>
    <w:rsid w:val="00966740"/>
    <w:rsid w:val="00966B98"/>
    <w:rsid w:val="0097014E"/>
    <w:rsid w:val="00970337"/>
    <w:rsid w:val="009765D4"/>
    <w:rsid w:val="00976F21"/>
    <w:rsid w:val="009847BC"/>
    <w:rsid w:val="00990A75"/>
    <w:rsid w:val="00991181"/>
    <w:rsid w:val="00993BEA"/>
    <w:rsid w:val="00997478"/>
    <w:rsid w:val="009A018B"/>
    <w:rsid w:val="009B1050"/>
    <w:rsid w:val="009B2841"/>
    <w:rsid w:val="009B5931"/>
    <w:rsid w:val="009B61A8"/>
    <w:rsid w:val="009B7D76"/>
    <w:rsid w:val="009B7F6E"/>
    <w:rsid w:val="009C058A"/>
    <w:rsid w:val="009C31E1"/>
    <w:rsid w:val="009C6BD9"/>
    <w:rsid w:val="009D163A"/>
    <w:rsid w:val="009D25C8"/>
    <w:rsid w:val="009D2E7B"/>
    <w:rsid w:val="009D517C"/>
    <w:rsid w:val="009D51BC"/>
    <w:rsid w:val="009F143C"/>
    <w:rsid w:val="009F2B9D"/>
    <w:rsid w:val="009F3029"/>
    <w:rsid w:val="009F6693"/>
    <w:rsid w:val="00A020D3"/>
    <w:rsid w:val="00A03D4D"/>
    <w:rsid w:val="00A12E8C"/>
    <w:rsid w:val="00A134EB"/>
    <w:rsid w:val="00A326B0"/>
    <w:rsid w:val="00A32BF0"/>
    <w:rsid w:val="00A3506B"/>
    <w:rsid w:val="00A3728D"/>
    <w:rsid w:val="00A41479"/>
    <w:rsid w:val="00A41F90"/>
    <w:rsid w:val="00A43053"/>
    <w:rsid w:val="00A47874"/>
    <w:rsid w:val="00A5293C"/>
    <w:rsid w:val="00A60ED3"/>
    <w:rsid w:val="00A61672"/>
    <w:rsid w:val="00A62988"/>
    <w:rsid w:val="00A67D8C"/>
    <w:rsid w:val="00A67E29"/>
    <w:rsid w:val="00A712DA"/>
    <w:rsid w:val="00A73BD0"/>
    <w:rsid w:val="00A82A3F"/>
    <w:rsid w:val="00A852E9"/>
    <w:rsid w:val="00A86389"/>
    <w:rsid w:val="00A900F5"/>
    <w:rsid w:val="00A90FD8"/>
    <w:rsid w:val="00A94542"/>
    <w:rsid w:val="00A97E4C"/>
    <w:rsid w:val="00AA352B"/>
    <w:rsid w:val="00AA4F60"/>
    <w:rsid w:val="00AC2AA3"/>
    <w:rsid w:val="00AC6BEF"/>
    <w:rsid w:val="00AC7A5D"/>
    <w:rsid w:val="00AE476A"/>
    <w:rsid w:val="00AE6410"/>
    <w:rsid w:val="00AE7C58"/>
    <w:rsid w:val="00B004D5"/>
    <w:rsid w:val="00B012DD"/>
    <w:rsid w:val="00B043B0"/>
    <w:rsid w:val="00B045A3"/>
    <w:rsid w:val="00B1107E"/>
    <w:rsid w:val="00B27FD2"/>
    <w:rsid w:val="00B34710"/>
    <w:rsid w:val="00B37398"/>
    <w:rsid w:val="00B40628"/>
    <w:rsid w:val="00B40A5D"/>
    <w:rsid w:val="00B43CA5"/>
    <w:rsid w:val="00B45A9A"/>
    <w:rsid w:val="00B51EE2"/>
    <w:rsid w:val="00B57A46"/>
    <w:rsid w:val="00B57F8E"/>
    <w:rsid w:val="00B66761"/>
    <w:rsid w:val="00B76AD2"/>
    <w:rsid w:val="00B845B9"/>
    <w:rsid w:val="00B9221B"/>
    <w:rsid w:val="00BA1227"/>
    <w:rsid w:val="00BB17FE"/>
    <w:rsid w:val="00BB7059"/>
    <w:rsid w:val="00BC4159"/>
    <w:rsid w:val="00BD46C5"/>
    <w:rsid w:val="00BD52D9"/>
    <w:rsid w:val="00BD62CC"/>
    <w:rsid w:val="00BE0CE6"/>
    <w:rsid w:val="00BE7BC9"/>
    <w:rsid w:val="00BF1074"/>
    <w:rsid w:val="00BF23E5"/>
    <w:rsid w:val="00BF7690"/>
    <w:rsid w:val="00C041BC"/>
    <w:rsid w:val="00C10280"/>
    <w:rsid w:val="00C1572B"/>
    <w:rsid w:val="00C16E92"/>
    <w:rsid w:val="00C231E4"/>
    <w:rsid w:val="00C27508"/>
    <w:rsid w:val="00C32DCE"/>
    <w:rsid w:val="00C32F66"/>
    <w:rsid w:val="00C3330A"/>
    <w:rsid w:val="00C344AC"/>
    <w:rsid w:val="00C34912"/>
    <w:rsid w:val="00C410A6"/>
    <w:rsid w:val="00C41AC0"/>
    <w:rsid w:val="00C41C40"/>
    <w:rsid w:val="00C46138"/>
    <w:rsid w:val="00C60499"/>
    <w:rsid w:val="00C659B9"/>
    <w:rsid w:val="00C723A3"/>
    <w:rsid w:val="00C879C3"/>
    <w:rsid w:val="00C90304"/>
    <w:rsid w:val="00C91423"/>
    <w:rsid w:val="00C917BB"/>
    <w:rsid w:val="00C9599A"/>
    <w:rsid w:val="00C95DFE"/>
    <w:rsid w:val="00CB4062"/>
    <w:rsid w:val="00CB4396"/>
    <w:rsid w:val="00CC688A"/>
    <w:rsid w:val="00CD0A5E"/>
    <w:rsid w:val="00CD4218"/>
    <w:rsid w:val="00CE08D8"/>
    <w:rsid w:val="00CE11D2"/>
    <w:rsid w:val="00CE4242"/>
    <w:rsid w:val="00CF0525"/>
    <w:rsid w:val="00CF78B3"/>
    <w:rsid w:val="00D015A3"/>
    <w:rsid w:val="00D100A8"/>
    <w:rsid w:val="00D137FC"/>
    <w:rsid w:val="00D14B2F"/>
    <w:rsid w:val="00D2228C"/>
    <w:rsid w:val="00D24738"/>
    <w:rsid w:val="00D2647A"/>
    <w:rsid w:val="00D30C70"/>
    <w:rsid w:val="00D3429B"/>
    <w:rsid w:val="00D35E5C"/>
    <w:rsid w:val="00D37F75"/>
    <w:rsid w:val="00D415A0"/>
    <w:rsid w:val="00D41688"/>
    <w:rsid w:val="00D42603"/>
    <w:rsid w:val="00D42877"/>
    <w:rsid w:val="00D439A2"/>
    <w:rsid w:val="00D52F95"/>
    <w:rsid w:val="00D554D4"/>
    <w:rsid w:val="00D55B2A"/>
    <w:rsid w:val="00D615B9"/>
    <w:rsid w:val="00D64977"/>
    <w:rsid w:val="00D64DF7"/>
    <w:rsid w:val="00D651C1"/>
    <w:rsid w:val="00D72F99"/>
    <w:rsid w:val="00D756F3"/>
    <w:rsid w:val="00D85971"/>
    <w:rsid w:val="00D8728F"/>
    <w:rsid w:val="00D87D34"/>
    <w:rsid w:val="00D95FEB"/>
    <w:rsid w:val="00DB01A7"/>
    <w:rsid w:val="00DB5CF3"/>
    <w:rsid w:val="00DB60BF"/>
    <w:rsid w:val="00DB78E7"/>
    <w:rsid w:val="00DC14D3"/>
    <w:rsid w:val="00DC78FF"/>
    <w:rsid w:val="00DC7C61"/>
    <w:rsid w:val="00DD0E03"/>
    <w:rsid w:val="00DD5608"/>
    <w:rsid w:val="00DD6F01"/>
    <w:rsid w:val="00DE4424"/>
    <w:rsid w:val="00DE720C"/>
    <w:rsid w:val="00DF6B58"/>
    <w:rsid w:val="00DF75BB"/>
    <w:rsid w:val="00E023D3"/>
    <w:rsid w:val="00E07207"/>
    <w:rsid w:val="00E12C40"/>
    <w:rsid w:val="00E23557"/>
    <w:rsid w:val="00E26D9F"/>
    <w:rsid w:val="00E367E9"/>
    <w:rsid w:val="00E4485B"/>
    <w:rsid w:val="00E45C96"/>
    <w:rsid w:val="00E46313"/>
    <w:rsid w:val="00E47C8E"/>
    <w:rsid w:val="00E51C1F"/>
    <w:rsid w:val="00E5227B"/>
    <w:rsid w:val="00E53BC7"/>
    <w:rsid w:val="00E65BE2"/>
    <w:rsid w:val="00E66005"/>
    <w:rsid w:val="00E71EE4"/>
    <w:rsid w:val="00E80316"/>
    <w:rsid w:val="00E8457F"/>
    <w:rsid w:val="00E84D64"/>
    <w:rsid w:val="00E87D42"/>
    <w:rsid w:val="00E91F06"/>
    <w:rsid w:val="00E93761"/>
    <w:rsid w:val="00E961F0"/>
    <w:rsid w:val="00EA2709"/>
    <w:rsid w:val="00EA287A"/>
    <w:rsid w:val="00EA4A4E"/>
    <w:rsid w:val="00EB1FC6"/>
    <w:rsid w:val="00EB58AB"/>
    <w:rsid w:val="00EB69B4"/>
    <w:rsid w:val="00EC0A36"/>
    <w:rsid w:val="00EC0A3A"/>
    <w:rsid w:val="00EC34F7"/>
    <w:rsid w:val="00EC50A1"/>
    <w:rsid w:val="00EE53E5"/>
    <w:rsid w:val="00F01A41"/>
    <w:rsid w:val="00F0328B"/>
    <w:rsid w:val="00F06931"/>
    <w:rsid w:val="00F108EB"/>
    <w:rsid w:val="00F30391"/>
    <w:rsid w:val="00F30BA6"/>
    <w:rsid w:val="00F32582"/>
    <w:rsid w:val="00F33778"/>
    <w:rsid w:val="00F46373"/>
    <w:rsid w:val="00F47854"/>
    <w:rsid w:val="00F51212"/>
    <w:rsid w:val="00F527D6"/>
    <w:rsid w:val="00F545F2"/>
    <w:rsid w:val="00F5795C"/>
    <w:rsid w:val="00F71104"/>
    <w:rsid w:val="00F7134F"/>
    <w:rsid w:val="00F76940"/>
    <w:rsid w:val="00F77893"/>
    <w:rsid w:val="00F940FE"/>
    <w:rsid w:val="00F95A7D"/>
    <w:rsid w:val="00FA0236"/>
    <w:rsid w:val="00FA30F9"/>
    <w:rsid w:val="00FA3C3D"/>
    <w:rsid w:val="00FB1B21"/>
    <w:rsid w:val="00FB4335"/>
    <w:rsid w:val="00FB600C"/>
    <w:rsid w:val="00FC0F98"/>
    <w:rsid w:val="00FC569A"/>
    <w:rsid w:val="00FD118B"/>
    <w:rsid w:val="00FD2BAB"/>
    <w:rsid w:val="00FD3892"/>
    <w:rsid w:val="00FD3BAD"/>
    <w:rsid w:val="00FE078E"/>
    <w:rsid w:val="00FE31FC"/>
    <w:rsid w:val="00FF02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65F"/>
  <w15:docId w15:val="{703EB584-9E12-4D25-85B4-A7099FA2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2BB"/>
    <w:rPr>
      <w:color w:val="0000FF" w:themeColor="hyperlink"/>
      <w:u w:val="single"/>
    </w:rPr>
  </w:style>
  <w:style w:type="paragraph" w:styleId="Header">
    <w:name w:val="header"/>
    <w:basedOn w:val="Normal"/>
    <w:link w:val="HeaderChar"/>
    <w:uiPriority w:val="99"/>
    <w:unhideWhenUsed/>
    <w:rsid w:val="0085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448"/>
  </w:style>
  <w:style w:type="paragraph" w:styleId="Footer">
    <w:name w:val="footer"/>
    <w:basedOn w:val="Normal"/>
    <w:link w:val="FooterChar"/>
    <w:uiPriority w:val="99"/>
    <w:unhideWhenUsed/>
    <w:rsid w:val="0085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448"/>
  </w:style>
  <w:style w:type="table" w:styleId="TableGrid">
    <w:name w:val="Table Grid"/>
    <w:basedOn w:val="TableNormal"/>
    <w:uiPriority w:val="39"/>
    <w:rsid w:val="0096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2A"/>
    <w:rPr>
      <w:rFonts w:ascii="Tahoma" w:hAnsi="Tahoma" w:cs="Tahoma"/>
      <w:sz w:val="16"/>
      <w:szCs w:val="16"/>
    </w:rPr>
  </w:style>
  <w:style w:type="paragraph" w:styleId="NormalWeb">
    <w:name w:val="Normal (Web)"/>
    <w:basedOn w:val="Normal"/>
    <w:uiPriority w:val="99"/>
    <w:semiHidden/>
    <w:unhideWhenUsed/>
    <w:rsid w:val="00401FA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E6DA3"/>
    <w:pPr>
      <w:ind w:left="720"/>
      <w:contextualSpacing/>
    </w:pPr>
  </w:style>
  <w:style w:type="character" w:styleId="CommentReference">
    <w:name w:val="annotation reference"/>
    <w:basedOn w:val="DefaultParagraphFont"/>
    <w:uiPriority w:val="99"/>
    <w:semiHidden/>
    <w:unhideWhenUsed/>
    <w:rsid w:val="00F71104"/>
    <w:rPr>
      <w:sz w:val="16"/>
      <w:szCs w:val="16"/>
    </w:rPr>
  </w:style>
  <w:style w:type="paragraph" w:styleId="CommentText">
    <w:name w:val="annotation text"/>
    <w:basedOn w:val="Normal"/>
    <w:link w:val="CommentTextChar"/>
    <w:uiPriority w:val="99"/>
    <w:semiHidden/>
    <w:unhideWhenUsed/>
    <w:rsid w:val="00F71104"/>
    <w:pPr>
      <w:spacing w:line="240" w:lineRule="auto"/>
    </w:pPr>
    <w:rPr>
      <w:sz w:val="20"/>
      <w:szCs w:val="20"/>
    </w:rPr>
  </w:style>
  <w:style w:type="character" w:customStyle="1" w:styleId="CommentTextChar">
    <w:name w:val="Comment Text Char"/>
    <w:basedOn w:val="DefaultParagraphFont"/>
    <w:link w:val="CommentText"/>
    <w:uiPriority w:val="99"/>
    <w:semiHidden/>
    <w:rsid w:val="00F71104"/>
    <w:rPr>
      <w:sz w:val="20"/>
      <w:szCs w:val="20"/>
    </w:rPr>
  </w:style>
  <w:style w:type="paragraph" w:styleId="CommentSubject">
    <w:name w:val="annotation subject"/>
    <w:basedOn w:val="CommentText"/>
    <w:next w:val="CommentText"/>
    <w:link w:val="CommentSubjectChar"/>
    <w:uiPriority w:val="99"/>
    <w:semiHidden/>
    <w:unhideWhenUsed/>
    <w:rsid w:val="00F71104"/>
    <w:rPr>
      <w:b/>
      <w:bCs/>
    </w:rPr>
  </w:style>
  <w:style w:type="character" w:customStyle="1" w:styleId="CommentSubjectChar">
    <w:name w:val="Comment Subject Char"/>
    <w:basedOn w:val="CommentTextChar"/>
    <w:link w:val="CommentSubject"/>
    <w:uiPriority w:val="99"/>
    <w:semiHidden/>
    <w:rsid w:val="00F71104"/>
    <w:rPr>
      <w:b/>
      <w:bCs/>
      <w:sz w:val="20"/>
      <w:szCs w:val="20"/>
    </w:rPr>
  </w:style>
  <w:style w:type="character" w:styleId="LineNumber">
    <w:name w:val="line number"/>
    <w:basedOn w:val="DefaultParagraphFont"/>
    <w:uiPriority w:val="99"/>
    <w:semiHidden/>
    <w:unhideWhenUsed/>
    <w:rsid w:val="0009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df@mrc.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wresearch.org/global/2018/06/19/2-smartphone-ownership-on-the-rise-in-emerging-econom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rowthre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3/a-i5486e.pdf" TargetMode="External"/><Relationship Id="rId4" Type="http://schemas.openxmlformats.org/officeDocument/2006/relationships/settings" Target="settings.xml"/><Relationship Id="rId9" Type="http://schemas.openxmlformats.org/officeDocument/2006/relationships/hyperlink" Target="http://rchiips.org/nfhs/factsheet_nfhs-4.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AAE3-15B6-4216-B618-55F97FF5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Fall</dc:creator>
  <cp:lastModifiedBy>Drake K.A.</cp:lastModifiedBy>
  <cp:revision>2</cp:revision>
  <cp:lastPrinted>2020-05-08T14:49:00Z</cp:lastPrinted>
  <dcterms:created xsi:type="dcterms:W3CDTF">2020-05-19T10:19:00Z</dcterms:created>
  <dcterms:modified xsi:type="dcterms:W3CDTF">2020-05-19T10:19:00Z</dcterms:modified>
</cp:coreProperties>
</file>