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88" w:rsidRPr="00862088" w:rsidRDefault="00862088" w:rsidP="00862088">
      <w:pPr>
        <w:spacing w:line="360" w:lineRule="auto"/>
        <w:rPr>
          <w:rFonts w:ascii="Times New Roman" w:eastAsia="Times New Roman" w:hAnsi="Times New Roman" w:cs="Times New Roman"/>
          <w:i/>
          <w:sz w:val="24"/>
          <w:szCs w:val="24"/>
        </w:rPr>
      </w:pPr>
      <w:bookmarkStart w:id="0" w:name="_GoBack"/>
      <w:bookmarkEnd w:id="0"/>
      <w:r w:rsidRPr="00862088">
        <w:rPr>
          <w:rFonts w:ascii="Times New Roman" w:eastAsia="Times New Roman" w:hAnsi="Times New Roman" w:cs="Times New Roman"/>
          <w:i/>
          <w:sz w:val="24"/>
          <w:szCs w:val="24"/>
        </w:rPr>
        <w:t>Table 1. Description of the data collection sites</w:t>
      </w:r>
    </w:p>
    <w:p w:rsidR="00862088" w:rsidRPr="00862088" w:rsidRDefault="00862088" w:rsidP="00862088">
      <w:pPr>
        <w:spacing w:line="360" w:lineRule="auto"/>
        <w:rPr>
          <w:rFonts w:ascii="Times New Roman" w:eastAsia="Times New Roman" w:hAnsi="Times New Roman" w:cs="Times New Roman"/>
          <w:i/>
          <w:sz w:val="24"/>
          <w:szCs w:val="24"/>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305"/>
        <w:gridCol w:w="1890"/>
        <w:gridCol w:w="5655"/>
      </w:tblGrid>
      <w:tr w:rsidR="00862088" w:rsidRPr="00862088" w:rsidTr="00A63696">
        <w:trPr>
          <w:trHeight w:val="500"/>
        </w:trPr>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jc w:val="center"/>
              <w:rPr>
                <w:rFonts w:ascii="Times New Roman" w:eastAsia="Times New Roman" w:hAnsi="Times New Roman" w:cs="Times New Roman"/>
                <w:b/>
                <w:sz w:val="24"/>
                <w:szCs w:val="24"/>
              </w:rPr>
            </w:pPr>
            <w:r w:rsidRPr="00862088">
              <w:rPr>
                <w:rFonts w:ascii="Times New Roman" w:eastAsia="Times New Roman" w:hAnsi="Times New Roman" w:cs="Times New Roman"/>
                <w:b/>
                <w:sz w:val="24"/>
                <w:szCs w:val="24"/>
              </w:rPr>
              <w:t>Site</w:t>
            </w:r>
          </w:p>
        </w:tc>
        <w:tc>
          <w:tcPr>
            <w:tcW w:w="189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jc w:val="center"/>
              <w:rPr>
                <w:rFonts w:ascii="Times New Roman" w:eastAsia="Times New Roman" w:hAnsi="Times New Roman" w:cs="Times New Roman"/>
                <w:b/>
                <w:sz w:val="24"/>
                <w:szCs w:val="24"/>
              </w:rPr>
            </w:pPr>
            <w:r w:rsidRPr="00862088">
              <w:rPr>
                <w:rFonts w:ascii="Times New Roman" w:eastAsia="Times New Roman" w:hAnsi="Times New Roman" w:cs="Times New Roman"/>
                <w:b/>
                <w:sz w:val="24"/>
                <w:szCs w:val="24"/>
              </w:rPr>
              <w:t>Setting</w:t>
            </w:r>
          </w:p>
        </w:tc>
        <w:tc>
          <w:tcPr>
            <w:tcW w:w="5655"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jc w:val="center"/>
              <w:rPr>
                <w:rFonts w:ascii="Times New Roman" w:eastAsia="Times New Roman" w:hAnsi="Times New Roman" w:cs="Times New Roman"/>
                <w:b/>
                <w:sz w:val="24"/>
                <w:szCs w:val="24"/>
              </w:rPr>
            </w:pPr>
            <w:r w:rsidRPr="00862088">
              <w:rPr>
                <w:rFonts w:ascii="Times New Roman" w:eastAsia="Times New Roman" w:hAnsi="Times New Roman" w:cs="Times New Roman"/>
                <w:b/>
                <w:sz w:val="24"/>
                <w:szCs w:val="24"/>
              </w:rPr>
              <w:t>Description</w:t>
            </w:r>
          </w:p>
        </w:tc>
      </w:tr>
      <w:tr w:rsidR="00862088" w:rsidRPr="00862088" w:rsidTr="00A63696">
        <w:trPr>
          <w:trHeight w:val="102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Jimma,</w:t>
            </w:r>
          </w:p>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Ethiopia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Low-income urban</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Jimma is situated 352kms southwest of the capital Addis Ababa. Ethiopia is a LIC, with nearly a quarter of its population living below the national poverty line.</w:t>
            </w:r>
          </w:p>
        </w:tc>
      </w:tr>
      <w:tr w:rsidR="00862088" w:rsidRPr="00862088" w:rsidTr="00A63696">
        <w:trPr>
          <w:trHeight w:val="210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Abidjan, Côte d’Ivoire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Low-income urban</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Rural-urban migration and successive geopolitical crises have resulted in rapidly increasing uncontrolled urbanisation in the capital, Abidjan. Data was generated in two districts, comprising mainly low-income households/poor quality housing. Food is purchased from market stalls alongside main roads, near public amenities.</w:t>
            </w:r>
          </w:p>
        </w:tc>
      </w:tr>
      <w:tr w:rsidR="00862088" w:rsidRPr="00862088" w:rsidTr="00A63696">
        <w:trPr>
          <w:trHeight w:val="128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Kiang West, The Gambia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Rural villages</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ind w:left="40"/>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Data was generated in six rural villages in the Kiang West district, 160 km from the capital. The population largely comprises subsistence farmers who live in extended family compounds with few amenities.</w:t>
            </w:r>
          </w:p>
        </w:tc>
      </w:tr>
      <w:tr w:rsidR="00862088" w:rsidRPr="00862088" w:rsidTr="00A63696">
        <w:trPr>
          <w:trHeight w:val="182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Soweto, South Africa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Poor urban townships</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ind w:left="40"/>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Soweto is one of the most well-known historically disadvantaged townships in South Africa as it was linked to the anti-apartheid struggle and political riots. Economic transformation during the past decade has led to the rapid emergence of shopping malls, fast-food chains and transport networks.</w:t>
            </w:r>
          </w:p>
        </w:tc>
      </w:tr>
      <w:tr w:rsidR="00862088" w:rsidRPr="00862088" w:rsidTr="00A63696">
        <w:trPr>
          <w:trHeight w:val="128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lastRenderedPageBreak/>
              <w:t>Mumbai, India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Urban slums</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ind w:left="40"/>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42% of the population of Mumbai live in crowded urban slums. The population of these slums are diverse, including those living in poverty, as well as middle class and professional residents.</w:t>
            </w:r>
          </w:p>
        </w:tc>
      </w:tr>
      <w:tr w:rsidR="00862088" w:rsidRPr="00862088" w:rsidTr="00A63696">
        <w:trPr>
          <w:trHeight w:val="156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Pune, India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Rural and peri-urban villages 40-60km from the city of Pune</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ind w:left="40"/>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Located in the state of Maharashtra, India, the villages around Pune are transitioning in terms of expansion of city limits and economic growth. The population is a mix of farmers, skilled professionals, unskilled labourers and entrepreneurs.</w:t>
            </w:r>
          </w:p>
        </w:tc>
      </w:tr>
      <w:tr w:rsidR="00862088" w:rsidRPr="00862088" w:rsidTr="00A63696">
        <w:trPr>
          <w:trHeight w:val="1560"/>
        </w:trPr>
        <w:tc>
          <w:tcPr>
            <w:tcW w:w="13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Dervan, India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Rural and tribal villages</w:t>
            </w:r>
          </w:p>
        </w:tc>
        <w:tc>
          <w:tcPr>
            <w:tcW w:w="5655" w:type="dxa"/>
            <w:tcBorders>
              <w:top w:val="nil"/>
              <w:left w:val="nil"/>
              <w:bottom w:val="single" w:sz="8"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Access roads are poorly lit and the power supply to villages is erratic. Farming is the main occupation of inhabitants, yet many men go to the cities in pursuit of jobs. Basic commodities such as groceries are available in the local weekly market, shared by 10-12 villages.</w:t>
            </w:r>
          </w:p>
        </w:tc>
      </w:tr>
      <w:tr w:rsidR="00862088" w:rsidRPr="00862088" w:rsidTr="00A63696">
        <w:trPr>
          <w:trHeight w:val="1300"/>
        </w:trPr>
        <w:tc>
          <w:tcPr>
            <w:tcW w:w="1305"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Mysore, India</w:t>
            </w:r>
          </w:p>
        </w:tc>
        <w:tc>
          <w:tcPr>
            <w:tcW w:w="1890" w:type="dxa"/>
            <w:tcBorders>
              <w:top w:val="nil"/>
              <w:left w:val="nil"/>
              <w:bottom w:val="single" w:sz="12" w:space="0" w:color="000000"/>
              <w:right w:val="single" w:sz="8" w:space="0" w:color="000000"/>
            </w:tcBorders>
            <w:tcMar>
              <w:top w:w="100" w:type="dxa"/>
              <w:left w:w="100" w:type="dxa"/>
              <w:bottom w:w="100" w:type="dxa"/>
              <w:right w:w="100" w:type="dxa"/>
            </w:tcMar>
          </w:tcPr>
          <w:p w:rsidR="00862088" w:rsidRPr="00862088" w:rsidRDefault="00862088" w:rsidP="00A63696">
            <w:pPr>
              <w:spacing w:before="240" w:after="240" w:line="360" w:lineRule="auto"/>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Urban low-and middle income</w:t>
            </w:r>
          </w:p>
        </w:tc>
        <w:tc>
          <w:tcPr>
            <w:tcW w:w="5655" w:type="dxa"/>
            <w:tcBorders>
              <w:top w:val="nil"/>
              <w:left w:val="nil"/>
              <w:bottom w:val="single" w:sz="12" w:space="0" w:color="000000"/>
              <w:right w:val="single" w:sz="12" w:space="0" w:color="000000"/>
            </w:tcBorders>
            <w:tcMar>
              <w:top w:w="100" w:type="dxa"/>
              <w:left w:w="100" w:type="dxa"/>
              <w:bottom w:w="100" w:type="dxa"/>
              <w:right w:w="100" w:type="dxa"/>
            </w:tcMar>
          </w:tcPr>
          <w:p w:rsidR="00862088" w:rsidRPr="00862088" w:rsidRDefault="00862088" w:rsidP="00A63696">
            <w:pPr>
              <w:spacing w:before="240" w:after="240" w:line="360" w:lineRule="auto"/>
              <w:ind w:left="40"/>
              <w:rPr>
                <w:rFonts w:ascii="Times New Roman" w:eastAsia="Times New Roman" w:hAnsi="Times New Roman" w:cs="Times New Roman"/>
                <w:sz w:val="24"/>
                <w:szCs w:val="24"/>
              </w:rPr>
            </w:pPr>
            <w:r w:rsidRPr="00862088">
              <w:rPr>
                <w:rFonts w:ascii="Times New Roman" w:eastAsia="Times New Roman" w:hAnsi="Times New Roman" w:cs="Times New Roman"/>
                <w:sz w:val="24"/>
                <w:szCs w:val="24"/>
              </w:rPr>
              <w:t>Located in the Karnataka region, Mysore is a relatively large, densely populated city comprising a generally middle-class population of both skilled and unskilled labourers.</w:t>
            </w:r>
          </w:p>
        </w:tc>
      </w:tr>
    </w:tbl>
    <w:p w:rsidR="00052514" w:rsidRPr="00862088" w:rsidRDefault="00FF3350"/>
    <w:p w:rsidR="00862088" w:rsidRPr="00862088" w:rsidRDefault="00862088"/>
    <w:p w:rsidR="00862088" w:rsidRDefault="00862088"/>
    <w:p w:rsidR="00862088" w:rsidRDefault="00862088"/>
    <w:p w:rsidR="00862088" w:rsidRDefault="00862088"/>
    <w:p w:rsidR="00862088" w:rsidRDefault="00862088"/>
    <w:p w:rsidR="00862088" w:rsidRPr="00862088" w:rsidRDefault="00862088"/>
    <w:p w:rsidR="00862088" w:rsidRPr="00862088" w:rsidRDefault="00862088"/>
    <w:p w:rsidR="00862088" w:rsidRPr="00862088" w:rsidRDefault="00862088"/>
    <w:p w:rsidR="00862088" w:rsidRPr="00862088" w:rsidRDefault="00862088"/>
    <w:p w:rsidR="00862088" w:rsidRDefault="00862088"/>
    <w:p w:rsidR="00862088" w:rsidRDefault="00862088"/>
    <w:p w:rsidR="00862088" w:rsidRDefault="00862088"/>
    <w:p w:rsidR="00862088" w:rsidRDefault="00862088"/>
    <w:p w:rsidR="00862088" w:rsidRDefault="00862088"/>
    <w:p w:rsidR="00862088" w:rsidRDefault="00862088"/>
    <w:p w:rsidR="00862088" w:rsidRDefault="00862088"/>
    <w:p w:rsidR="00862088" w:rsidRDefault="00862088"/>
    <w:sectPr w:rsidR="0086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88"/>
    <w:rsid w:val="00060D4D"/>
    <w:rsid w:val="00862088"/>
    <w:rsid w:val="00B31EE3"/>
    <w:rsid w:val="00FF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1B90-14DC-4FAF-88A5-887AA3A2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62088"/>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Langdon</dc:creator>
  <cp:keywords/>
  <dc:description/>
  <cp:lastModifiedBy>Drake K.A.</cp:lastModifiedBy>
  <cp:revision>2</cp:revision>
  <dcterms:created xsi:type="dcterms:W3CDTF">2020-05-15T09:41:00Z</dcterms:created>
  <dcterms:modified xsi:type="dcterms:W3CDTF">2020-05-15T09:41:00Z</dcterms:modified>
</cp:coreProperties>
</file>