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0627" w14:textId="312BB623" w:rsidR="007972EC" w:rsidRPr="000F0A89" w:rsidRDefault="007972EC" w:rsidP="007972EC">
      <w:pPr>
        <w:jc w:val="center"/>
      </w:pPr>
      <w:r w:rsidRPr="000F0A89">
        <w:rPr>
          <w:b/>
          <w:bCs/>
        </w:rPr>
        <w:t>Title</w:t>
      </w:r>
      <w:r w:rsidRPr="000F0A89">
        <w:t>: Optimising and profiling pre-implementation contexts to create and implement a public health network intervention for tackling loneliness.</w:t>
      </w:r>
    </w:p>
    <w:p w14:paraId="59EAD6A4" w14:textId="77777777" w:rsidR="007972EC" w:rsidRPr="000F0A89" w:rsidRDefault="007972EC" w:rsidP="007972EC">
      <w:pPr>
        <w:jc w:val="center"/>
      </w:pPr>
    </w:p>
    <w:p w14:paraId="21392E91" w14:textId="77777777" w:rsidR="007972EC" w:rsidRPr="000F0A89" w:rsidRDefault="007972EC" w:rsidP="007972EC">
      <w:pPr>
        <w:jc w:val="center"/>
        <w:rPr>
          <w:b/>
          <w:vertAlign w:val="superscript"/>
        </w:rPr>
      </w:pPr>
      <w:r w:rsidRPr="000F0A89">
        <w:rPr>
          <w:b/>
          <w:bCs/>
        </w:rPr>
        <w:t>Authors</w:t>
      </w:r>
      <w:r w:rsidRPr="000F0A89">
        <w:t>: Ellis, J.,</w:t>
      </w:r>
      <w:r w:rsidRPr="000F0A89">
        <w:rPr>
          <w:b/>
          <w:vertAlign w:val="superscript"/>
        </w:rPr>
        <w:t xml:space="preserve"> 1</w:t>
      </w:r>
      <w:r w:rsidRPr="000F0A89">
        <w:t xml:space="preserve"> Band, R.,</w:t>
      </w:r>
      <w:r w:rsidRPr="000F0A89">
        <w:rPr>
          <w:b/>
          <w:vertAlign w:val="superscript"/>
        </w:rPr>
        <w:t xml:space="preserve"> 1</w:t>
      </w:r>
      <w:r w:rsidRPr="000F0A89">
        <w:t xml:space="preserve"> Kinsella, K.,</w:t>
      </w:r>
      <w:r w:rsidRPr="000F0A89">
        <w:rPr>
          <w:b/>
          <w:vertAlign w:val="superscript"/>
        </w:rPr>
        <w:t xml:space="preserve"> 2</w:t>
      </w:r>
      <w:r w:rsidRPr="000F0A89">
        <w:t xml:space="preserve"> Cheetham-Blake, T.,</w:t>
      </w:r>
      <w:r w:rsidRPr="000F0A89">
        <w:rPr>
          <w:b/>
          <w:vertAlign w:val="superscript"/>
        </w:rPr>
        <w:t xml:space="preserve"> 1</w:t>
      </w:r>
      <w:r w:rsidRPr="000F0A89">
        <w:t xml:space="preserve"> James, E.,</w:t>
      </w:r>
      <w:r w:rsidRPr="000F0A89">
        <w:rPr>
          <w:b/>
          <w:vertAlign w:val="superscript"/>
        </w:rPr>
        <w:t xml:space="preserve"> 1</w:t>
      </w:r>
      <w:r w:rsidRPr="000F0A89">
        <w:t xml:space="preserve"> Ewings, S.</w:t>
      </w:r>
      <w:r w:rsidRPr="000F0A89">
        <w:rPr>
          <w:vertAlign w:val="superscript"/>
        </w:rPr>
        <w:t>3</w:t>
      </w:r>
      <w:r w:rsidRPr="000F0A89">
        <w:t xml:space="preserve"> and Rogers, A.</w:t>
      </w:r>
      <w:r w:rsidRPr="000F0A89">
        <w:rPr>
          <w:b/>
          <w:vertAlign w:val="superscript"/>
        </w:rPr>
        <w:t xml:space="preserve"> 1</w:t>
      </w:r>
    </w:p>
    <w:p w14:paraId="29BC341D" w14:textId="77777777" w:rsidR="007972EC" w:rsidRPr="000F0A89" w:rsidRDefault="007972EC" w:rsidP="007972EC">
      <w:pPr>
        <w:jc w:val="center"/>
      </w:pPr>
    </w:p>
    <w:p w14:paraId="3428024B" w14:textId="49CDC05F" w:rsidR="007972EC" w:rsidRPr="000F0A89" w:rsidRDefault="007972EC" w:rsidP="007972EC">
      <w:pPr>
        <w:tabs>
          <w:tab w:val="left" w:pos="4111"/>
        </w:tabs>
        <w:jc w:val="center"/>
        <w:rPr>
          <w:color w:val="000000" w:themeColor="text1"/>
        </w:rPr>
      </w:pPr>
      <w:r w:rsidRPr="000F0A89">
        <w:rPr>
          <w:b/>
          <w:bCs/>
        </w:rPr>
        <w:t xml:space="preserve">Address: </w:t>
      </w:r>
      <w:r w:rsidRPr="000F0A89">
        <w:rPr>
          <w:b/>
          <w:vertAlign w:val="superscript"/>
        </w:rPr>
        <w:t>1</w:t>
      </w:r>
      <w:r w:rsidRPr="000F0A89">
        <w:t xml:space="preserve"> NIHR CLAHRC </w:t>
      </w:r>
      <w:r w:rsidRPr="000F0A89">
        <w:rPr>
          <w:color w:val="000000" w:themeColor="text1"/>
        </w:rPr>
        <w:t>Wessex, School of Health Sciences, Building 67, University of Southampton, University Road, SO17 1BJ</w:t>
      </w:r>
    </w:p>
    <w:p w14:paraId="7DECD534" w14:textId="5A49950B" w:rsidR="007972EC" w:rsidRPr="000F0A89" w:rsidRDefault="007972EC" w:rsidP="0051426B">
      <w:pPr>
        <w:jc w:val="center"/>
        <w:rPr>
          <w:color w:val="000000" w:themeColor="text1"/>
        </w:rPr>
      </w:pPr>
      <w:r w:rsidRPr="000F0A89">
        <w:rPr>
          <w:color w:val="000000" w:themeColor="text1"/>
          <w:vertAlign w:val="superscript"/>
        </w:rPr>
        <w:t xml:space="preserve">2 </w:t>
      </w:r>
      <w:r w:rsidR="0051426B" w:rsidRPr="000F0A89">
        <w:rPr>
          <w:color w:val="000000" w:themeColor="text1"/>
          <w:vertAlign w:val="superscript"/>
        </w:rPr>
        <w:t xml:space="preserve"> </w:t>
      </w:r>
      <w:r w:rsidR="0051426B" w:rsidRPr="000F0A89">
        <w:rPr>
          <w:color w:val="000000" w:themeColor="text1"/>
        </w:rPr>
        <w:t xml:space="preserve">Public Health </w:t>
      </w:r>
      <w:r w:rsidR="0097315A" w:rsidRPr="000F0A89">
        <w:rPr>
          <w:color w:val="000000" w:themeColor="text1"/>
        </w:rPr>
        <w:t>Institute</w:t>
      </w:r>
      <w:r w:rsidR="0051426B" w:rsidRPr="000F0A89">
        <w:rPr>
          <w:color w:val="000000" w:themeColor="text1"/>
        </w:rPr>
        <w:t xml:space="preserve">, </w:t>
      </w:r>
      <w:r w:rsidR="0051426B" w:rsidRPr="000F0A89">
        <w:rPr>
          <w:rFonts w:ascii="Calibri" w:eastAsia="Times New Roman" w:hAnsi="Calibri" w:cs="Times New Roman"/>
          <w:color w:val="000000" w:themeColor="text1"/>
          <w:lang w:eastAsia="en-GB"/>
        </w:rPr>
        <w:t>Liverpool John Moores University, 3</w:t>
      </w:r>
      <w:r w:rsidR="0051426B" w:rsidRPr="000F0A89">
        <w:rPr>
          <w:rFonts w:ascii="Calibri" w:eastAsia="Times New Roman" w:hAnsi="Calibri" w:cs="Times New Roman"/>
          <w:color w:val="000000" w:themeColor="text1"/>
          <w:vertAlign w:val="superscript"/>
          <w:lang w:eastAsia="en-GB"/>
        </w:rPr>
        <w:t>rd</w:t>
      </w:r>
      <w:r w:rsidR="0051426B" w:rsidRPr="000F0A89">
        <w:rPr>
          <w:rFonts w:ascii="Calibri" w:eastAsia="Times New Roman" w:hAnsi="Calibri" w:cs="Times New Roman"/>
          <w:color w:val="000000" w:themeColor="text1"/>
          <w:lang w:eastAsia="en-GB"/>
        </w:rPr>
        <w:t> Floor Exchange Station, Tithebarn Street, Liverpool, L2 2QP</w:t>
      </w:r>
    </w:p>
    <w:p w14:paraId="01BC238E" w14:textId="79B89BDD" w:rsidR="007972EC" w:rsidRPr="000F0A89" w:rsidRDefault="007972EC" w:rsidP="007972EC">
      <w:pPr>
        <w:tabs>
          <w:tab w:val="left" w:pos="4111"/>
        </w:tabs>
        <w:jc w:val="center"/>
        <w:rPr>
          <w:color w:val="000000" w:themeColor="text1"/>
        </w:rPr>
      </w:pPr>
      <w:r w:rsidRPr="000F0A89">
        <w:rPr>
          <w:color w:val="000000" w:themeColor="text1"/>
          <w:vertAlign w:val="superscript"/>
        </w:rPr>
        <w:t xml:space="preserve">3 </w:t>
      </w:r>
      <w:r w:rsidRPr="000F0A89">
        <w:rPr>
          <w:color w:val="000000" w:themeColor="text1"/>
        </w:rPr>
        <w:t xml:space="preserve">School of Health Sciences, </w:t>
      </w:r>
      <w:r w:rsidR="0097315A" w:rsidRPr="000F0A89">
        <w:rPr>
          <w:color w:val="000000" w:themeColor="text1"/>
        </w:rPr>
        <w:t>Building</w:t>
      </w:r>
      <w:r w:rsidRPr="000F0A89">
        <w:rPr>
          <w:color w:val="000000" w:themeColor="text1"/>
        </w:rPr>
        <w:t xml:space="preserve"> 67, University of Southampton, University Road, SO17 1BJ</w:t>
      </w:r>
    </w:p>
    <w:p w14:paraId="29ACB536" w14:textId="77777777" w:rsidR="007972EC" w:rsidRPr="000F0A89" w:rsidRDefault="007972EC" w:rsidP="007972EC">
      <w:pPr>
        <w:tabs>
          <w:tab w:val="left" w:pos="4111"/>
        </w:tabs>
        <w:spacing w:line="360" w:lineRule="auto"/>
        <w:jc w:val="center"/>
        <w:outlineLvl w:val="0"/>
        <w:rPr>
          <w:rFonts w:cs="Consolas"/>
          <w:b/>
          <w:lang w:val="en-US"/>
        </w:rPr>
      </w:pPr>
    </w:p>
    <w:p w14:paraId="61B09C0E" w14:textId="77777777" w:rsidR="007972EC" w:rsidRPr="000F0A89" w:rsidRDefault="007972EC" w:rsidP="007972EC">
      <w:pPr>
        <w:tabs>
          <w:tab w:val="left" w:pos="4111"/>
        </w:tabs>
        <w:spacing w:line="360" w:lineRule="auto"/>
        <w:jc w:val="center"/>
        <w:outlineLvl w:val="0"/>
        <w:rPr>
          <w:rFonts w:cs="Consolas"/>
          <w:lang w:val="en-US"/>
        </w:rPr>
      </w:pPr>
      <w:r w:rsidRPr="000F0A89">
        <w:rPr>
          <w:rFonts w:cs="Consolas"/>
          <w:b/>
          <w:lang w:val="en-US"/>
        </w:rPr>
        <w:t xml:space="preserve">Corresponding Author: </w:t>
      </w:r>
      <w:r w:rsidRPr="000F0A89">
        <w:rPr>
          <w:rFonts w:cs="Consolas"/>
          <w:lang w:val="en-US"/>
        </w:rPr>
        <w:t>Dr Jaimie Ellis</w:t>
      </w:r>
    </w:p>
    <w:p w14:paraId="4F5FA1D9" w14:textId="77777777" w:rsidR="007972EC" w:rsidRPr="000F0A89" w:rsidRDefault="007972EC" w:rsidP="007972EC">
      <w:pPr>
        <w:tabs>
          <w:tab w:val="left" w:pos="4111"/>
        </w:tabs>
        <w:spacing w:line="360" w:lineRule="auto"/>
        <w:jc w:val="center"/>
        <w:outlineLvl w:val="0"/>
      </w:pPr>
      <w:r w:rsidRPr="000F0A89">
        <w:rPr>
          <w:rFonts w:cs="Consolas"/>
          <w:b/>
          <w:bCs/>
          <w:lang w:val="en-US"/>
        </w:rPr>
        <w:t>Email</w:t>
      </w:r>
      <w:r w:rsidRPr="000F0A89">
        <w:rPr>
          <w:rFonts w:cs="Consolas"/>
          <w:lang w:val="en-US"/>
        </w:rPr>
        <w:t>: J.Ellis@soton.ac.uk</w:t>
      </w:r>
    </w:p>
    <w:p w14:paraId="4B4253C4" w14:textId="77777777" w:rsidR="007972EC" w:rsidRPr="000F0A89" w:rsidRDefault="007972EC">
      <w:pPr>
        <w:rPr>
          <w:rFonts w:asciiTheme="majorHAnsi" w:eastAsiaTheme="majorEastAsia" w:hAnsiTheme="majorHAnsi" w:cstheme="majorBidi"/>
          <w:color w:val="2F5496" w:themeColor="accent1" w:themeShade="BF"/>
          <w:sz w:val="32"/>
          <w:szCs w:val="32"/>
        </w:rPr>
      </w:pPr>
      <w:r w:rsidRPr="000F0A89">
        <w:br w:type="page"/>
      </w:r>
    </w:p>
    <w:p w14:paraId="3FAB8B77" w14:textId="74F73893" w:rsidR="00B532DF" w:rsidRPr="000F0A89" w:rsidRDefault="00D02231" w:rsidP="00D75502">
      <w:pPr>
        <w:pStyle w:val="Heading1"/>
        <w:jc w:val="center"/>
        <w:rPr>
          <w:rFonts w:eastAsia="Times New Roman"/>
        </w:rPr>
      </w:pPr>
      <w:r w:rsidRPr="000F0A89">
        <w:lastRenderedPageBreak/>
        <w:t xml:space="preserve">Optimising and </w:t>
      </w:r>
      <w:r w:rsidR="00911DBF" w:rsidRPr="000F0A89">
        <w:t>profiling</w:t>
      </w:r>
      <w:r w:rsidR="00432028" w:rsidRPr="000F0A89">
        <w:t xml:space="preserve"> pre-</w:t>
      </w:r>
      <w:r w:rsidR="002A278D" w:rsidRPr="000F0A89">
        <w:t xml:space="preserve">implementation </w:t>
      </w:r>
      <w:r w:rsidRPr="000F0A89">
        <w:t xml:space="preserve">contexts </w:t>
      </w:r>
      <w:r w:rsidR="00B532DF" w:rsidRPr="000F0A89">
        <w:rPr>
          <w:rFonts w:eastAsia="Times New Roman"/>
        </w:rPr>
        <w:t>to create and implement</w:t>
      </w:r>
      <w:r w:rsidR="00911DBF" w:rsidRPr="000F0A89">
        <w:rPr>
          <w:rFonts w:eastAsia="Times New Roman"/>
        </w:rPr>
        <w:t xml:space="preserve"> a public he</w:t>
      </w:r>
      <w:r w:rsidR="00B3106A" w:rsidRPr="000F0A89">
        <w:rPr>
          <w:rFonts w:eastAsia="Times New Roman"/>
        </w:rPr>
        <w:t>a</w:t>
      </w:r>
      <w:r w:rsidR="00911DBF" w:rsidRPr="000F0A89">
        <w:rPr>
          <w:rFonts w:eastAsia="Times New Roman"/>
        </w:rPr>
        <w:t>lth network intervention for tackling loneliness</w:t>
      </w:r>
    </w:p>
    <w:p w14:paraId="7BF7EFCD" w14:textId="77777777" w:rsidR="00106BC2" w:rsidRPr="000F0A89" w:rsidRDefault="00106BC2" w:rsidP="00106BC2">
      <w:pPr>
        <w:pStyle w:val="Heading3"/>
      </w:pPr>
    </w:p>
    <w:p w14:paraId="5D51EE89" w14:textId="46129EFA" w:rsidR="00800314" w:rsidRPr="000F0A89" w:rsidRDefault="00800314" w:rsidP="007632DB">
      <w:pPr>
        <w:pStyle w:val="Heading1"/>
      </w:pPr>
      <w:r w:rsidRPr="000F0A89">
        <w:t>Abstract</w:t>
      </w:r>
    </w:p>
    <w:p w14:paraId="5369BE14" w14:textId="1AADD644" w:rsidR="00800314" w:rsidRPr="000F0A89" w:rsidRDefault="00800314" w:rsidP="00800314"/>
    <w:p w14:paraId="1A01AFBE" w14:textId="1EA0DC80" w:rsidR="00800314" w:rsidRPr="000F0A89" w:rsidRDefault="00800314" w:rsidP="00800314">
      <w:pPr>
        <w:pStyle w:val="Heading2"/>
      </w:pPr>
      <w:r w:rsidRPr="000F0A89">
        <w:t>Background</w:t>
      </w:r>
    </w:p>
    <w:p w14:paraId="1C37E50E" w14:textId="710E0FEF" w:rsidR="004B0D2A" w:rsidRPr="000F0A89" w:rsidRDefault="004B0D2A" w:rsidP="004B0D2A"/>
    <w:p w14:paraId="43862B73" w14:textId="7D7FE084" w:rsidR="004B0D2A" w:rsidRPr="000F0A89" w:rsidRDefault="00C737CA" w:rsidP="004B0D2A">
      <w:pPr>
        <w:jc w:val="both"/>
      </w:pPr>
      <w:r w:rsidRPr="000F0A89">
        <w:t xml:space="preserve">The implementation of complex interventions </w:t>
      </w:r>
      <w:r w:rsidR="0097315A" w:rsidRPr="000F0A89">
        <w:t>experiences</w:t>
      </w:r>
      <w:r w:rsidRPr="000F0A89">
        <w:t xml:space="preserve"> challenges that affect the </w:t>
      </w:r>
      <w:r w:rsidR="0097315A" w:rsidRPr="000F0A89">
        <w:t>extent</w:t>
      </w:r>
      <w:r w:rsidRPr="000F0A89">
        <w:t xml:space="preserve"> to which they become embedded and scaled-up. </w:t>
      </w:r>
      <w:r w:rsidR="003C1EA4" w:rsidRPr="000F0A89">
        <w:t xml:space="preserve">Implementation at scale in </w:t>
      </w:r>
      <w:r w:rsidR="004B0D2A" w:rsidRPr="000F0A89">
        <w:t xml:space="preserve">complex environments like community </w:t>
      </w:r>
      <w:r w:rsidRPr="000F0A89">
        <w:t>settings</w:t>
      </w:r>
      <w:r w:rsidR="003C1EA4" w:rsidRPr="000F0A89">
        <w:t xml:space="preserve">, defies universal replication. </w:t>
      </w:r>
      <w:r w:rsidR="004B0D2A" w:rsidRPr="000F0A89">
        <w:t xml:space="preserve">Planning for implementation in </w:t>
      </w:r>
      <w:r w:rsidR="00071823" w:rsidRPr="000F0A89">
        <w:t>such</w:t>
      </w:r>
      <w:r w:rsidR="004D55FD" w:rsidRPr="000F0A89">
        <w:t xml:space="preserve"> </w:t>
      </w:r>
      <w:r w:rsidR="004B0D2A" w:rsidRPr="000F0A89">
        <w:t xml:space="preserve">environments requires knowledge of organisational capacity and </w:t>
      </w:r>
      <w:r w:rsidR="0097315A" w:rsidRPr="000F0A89">
        <w:t>structure</w:t>
      </w:r>
      <w:r w:rsidR="00071823" w:rsidRPr="000F0A89">
        <w:t>.</w:t>
      </w:r>
      <w:r w:rsidR="00073696" w:rsidRPr="000F0A89">
        <w:t xml:space="preserve"> </w:t>
      </w:r>
      <w:r w:rsidR="00BF190D" w:rsidRPr="000F0A89">
        <w:t>Pre</w:t>
      </w:r>
      <w:r w:rsidR="00071823" w:rsidRPr="000F0A89">
        <w:t>-implementation</w:t>
      </w:r>
      <w:r w:rsidR="00BF190D" w:rsidRPr="000F0A89">
        <w:t xml:space="preserve"> </w:t>
      </w:r>
      <w:r w:rsidR="00071823" w:rsidRPr="000F0A89">
        <w:t xml:space="preserve">work </w:t>
      </w:r>
      <w:r w:rsidR="00BF190D" w:rsidRPr="000F0A89">
        <w:t xml:space="preserve">is </w:t>
      </w:r>
      <w:r w:rsidR="00071823" w:rsidRPr="000F0A89">
        <w:t>a</w:t>
      </w:r>
      <w:r w:rsidR="008819DA" w:rsidRPr="000F0A89">
        <w:t xml:space="preserve">n </w:t>
      </w:r>
      <w:r w:rsidR="00DC3A60" w:rsidRPr="000F0A89">
        <w:t>important element</w:t>
      </w:r>
      <w:r w:rsidR="008819DA" w:rsidRPr="000F0A89">
        <w:t xml:space="preserve"> </w:t>
      </w:r>
      <w:r w:rsidR="00DC3A60" w:rsidRPr="000F0A89">
        <w:t>of the</w:t>
      </w:r>
      <w:r w:rsidR="004B0D2A" w:rsidRPr="000F0A89">
        <w:t xml:space="preserve"> early phase of preparing the</w:t>
      </w:r>
      <w:r w:rsidR="00BF190D" w:rsidRPr="000F0A89">
        <w:t xml:space="preserve"> setting</w:t>
      </w:r>
      <w:r w:rsidR="004B0D2A" w:rsidRPr="000F0A89">
        <w:t xml:space="preserve"> for</w:t>
      </w:r>
      <w:r w:rsidR="00BF190D" w:rsidRPr="000F0A89">
        <w:t xml:space="preserve"> the</w:t>
      </w:r>
      <w:r w:rsidR="004B0D2A" w:rsidRPr="000F0A89">
        <w:t xml:space="preserve"> introduction of a</w:t>
      </w:r>
      <w:r w:rsidR="004D1B2D" w:rsidRPr="000F0A89">
        <w:t xml:space="preserve">n </w:t>
      </w:r>
      <w:r w:rsidR="004B0D2A" w:rsidRPr="000F0A89">
        <w:t>intervention</w:t>
      </w:r>
      <w:r w:rsidR="00BF190D" w:rsidRPr="000F0A89">
        <w:t>, and</w:t>
      </w:r>
      <w:r w:rsidR="008819DA" w:rsidRPr="000F0A89">
        <w:t xml:space="preserve"> the factors contributing towards the creation of an optimal pre-implementation community </w:t>
      </w:r>
      <w:r w:rsidR="00BF190D" w:rsidRPr="000F0A89">
        <w:t xml:space="preserve">context are </w:t>
      </w:r>
      <w:r w:rsidR="008819DA" w:rsidRPr="000F0A89">
        <w:t xml:space="preserve">under acknowledged. </w:t>
      </w:r>
    </w:p>
    <w:p w14:paraId="1B4FCEC3" w14:textId="5FBBD199" w:rsidR="00800314" w:rsidRPr="000F0A89" w:rsidRDefault="00800314" w:rsidP="00800314"/>
    <w:p w14:paraId="232C8CDF" w14:textId="3548E9A5" w:rsidR="004B0D2A" w:rsidRPr="000F0A89" w:rsidRDefault="00800314" w:rsidP="004B0D2A">
      <w:pPr>
        <w:pStyle w:val="Heading2"/>
      </w:pPr>
      <w:r w:rsidRPr="000F0A89">
        <w:t>Methods</w:t>
      </w:r>
    </w:p>
    <w:p w14:paraId="493823E0" w14:textId="09C5266A" w:rsidR="004B0D2A" w:rsidRPr="000F0A89" w:rsidRDefault="004B0D2A" w:rsidP="004B0D2A"/>
    <w:p w14:paraId="7FF8EE09" w14:textId="1F5D1B6E" w:rsidR="00BF190D" w:rsidRPr="000F0A89" w:rsidRDefault="003C1EA4" w:rsidP="00BF190D">
      <w:pPr>
        <w:jc w:val="both"/>
      </w:pPr>
      <w:r w:rsidRPr="000F0A89">
        <w:t>To</w:t>
      </w:r>
      <w:r w:rsidR="00BF190D" w:rsidRPr="000F0A89">
        <w:t xml:space="preserve"> explore the factors contributing towards the creation of an optimal pre-implementation context</w:t>
      </w:r>
      <w:r w:rsidRPr="000F0A89">
        <w:t>, a quasi-ethnographic approach was taken</w:t>
      </w:r>
      <w:r w:rsidR="00BF190D" w:rsidRPr="000F0A89">
        <w:t xml:space="preserve">. </w:t>
      </w:r>
      <w:r w:rsidRPr="000F0A89">
        <w:t>The implementation of a</w:t>
      </w:r>
      <w:r w:rsidR="00BF190D" w:rsidRPr="000F0A89">
        <w:t xml:space="preserve"> social network intervention </w:t>
      </w:r>
      <w:r w:rsidR="004A1E06" w:rsidRPr="000F0A89">
        <w:t xml:space="preserve">designed to tackle loneliness </w:t>
      </w:r>
      <w:r w:rsidR="00BF190D" w:rsidRPr="000F0A89">
        <w:t xml:space="preserve"> in a community setting acts as the case in example. </w:t>
      </w:r>
      <w:r w:rsidRPr="000F0A89">
        <w:t>O</w:t>
      </w:r>
      <w:r w:rsidR="00BF190D" w:rsidRPr="000F0A89">
        <w:t xml:space="preserve">bservations (of meetings), interviews (with community partners) and documentary analysis (national and local policy documents and intervention resources) </w:t>
      </w:r>
      <w:r w:rsidRPr="000F0A89">
        <w:t>were conducted</w:t>
      </w:r>
      <w:r w:rsidR="00BF190D" w:rsidRPr="000F0A89">
        <w:t xml:space="preserve">. Layder’s </w:t>
      </w:r>
      <w:r w:rsidR="00DC3A60" w:rsidRPr="000F0A89">
        <w:t>adaptive</w:t>
      </w:r>
      <w:r w:rsidR="00BF190D" w:rsidRPr="000F0A89">
        <w:t xml:space="preserve"> theory approach was taken to data analysis, with the Consolidated Framework for Implementation Research (CFIR) and a typology of third sector organisations used to interpret the findings.  </w:t>
      </w:r>
    </w:p>
    <w:p w14:paraId="66DB68EF" w14:textId="0A557FA1" w:rsidR="00800314" w:rsidRPr="000F0A89" w:rsidRDefault="00800314" w:rsidP="00800314"/>
    <w:p w14:paraId="0D0DFF0F" w14:textId="618660DD" w:rsidR="00800314" w:rsidRPr="000F0A89" w:rsidRDefault="00800314" w:rsidP="00800314">
      <w:pPr>
        <w:pStyle w:val="Heading2"/>
      </w:pPr>
      <w:r w:rsidRPr="000F0A89">
        <w:t xml:space="preserve">Results: </w:t>
      </w:r>
    </w:p>
    <w:p w14:paraId="7B3EDF50" w14:textId="20616053" w:rsidR="00800314" w:rsidRPr="000F0A89" w:rsidRDefault="00800314" w:rsidP="00800314"/>
    <w:p w14:paraId="65CD0555" w14:textId="63BE68EE" w:rsidR="003C1EA4" w:rsidRPr="000F0A89" w:rsidRDefault="00A22126" w:rsidP="000C71A9">
      <w:pPr>
        <w:jc w:val="both"/>
      </w:pPr>
      <w:r w:rsidRPr="000F0A89">
        <w:t>C</w:t>
      </w:r>
      <w:r w:rsidR="002057BB" w:rsidRPr="000F0A89">
        <w:t xml:space="preserve">ommunity settings were </w:t>
      </w:r>
      <w:r w:rsidR="00B03DD1" w:rsidRPr="000F0A89">
        <w:t>found</w:t>
      </w:r>
      <w:r w:rsidRPr="000F0A89">
        <w:t xml:space="preserve"> to sit along a continuum with three broad categories</w:t>
      </w:r>
      <w:r w:rsidR="00B03DD1" w:rsidRPr="000F0A89">
        <w:t xml:space="preserve"> defined as</w:t>
      </w:r>
      <w:r w:rsidR="002057BB" w:rsidRPr="000F0A89">
        <w:t>; Fully Professionalised Organisations, Aspirational Community, Voluntary and Social Enterprises and Non-Pro</w:t>
      </w:r>
      <w:r w:rsidR="003C1EA4" w:rsidRPr="000F0A89">
        <w:t xml:space="preserve">fessionalised Community-Based </w:t>
      </w:r>
      <w:r w:rsidR="002057BB" w:rsidRPr="000F0A89">
        <w:t xml:space="preserve">Groups. The </w:t>
      </w:r>
      <w:r w:rsidR="00607899" w:rsidRPr="000F0A89">
        <w:t xml:space="preserve">nature of an optimal pre-implementation context </w:t>
      </w:r>
      <w:r w:rsidR="002057BB" w:rsidRPr="000F0A89">
        <w:t xml:space="preserve">varied </w:t>
      </w:r>
      <w:r w:rsidR="00A8434F" w:rsidRPr="000F0A89">
        <w:t>across</w:t>
      </w:r>
      <w:r w:rsidR="002057BB" w:rsidRPr="000F0A89">
        <w:t xml:space="preserve"> these settings. Using the CFIR </w:t>
      </w:r>
      <w:r w:rsidR="00340C53" w:rsidRPr="000F0A89">
        <w:t xml:space="preserve">the </w:t>
      </w:r>
      <w:r w:rsidR="003C1EA4" w:rsidRPr="000F0A89">
        <w:t xml:space="preserve">results illustrate that some settings were more influenced by political landscape (Fully-professional and Aspirational setting) and </w:t>
      </w:r>
      <w:r w:rsidR="00DC3A60" w:rsidRPr="000F0A89">
        <w:t>others</w:t>
      </w:r>
      <w:r w:rsidR="003C1EA4" w:rsidRPr="000F0A89">
        <w:t xml:space="preserve"> more influenced by </w:t>
      </w:r>
      <w:r w:rsidR="00DC3A60" w:rsidRPr="000F0A89">
        <w:t xml:space="preserve">their </w:t>
      </w:r>
      <w:r w:rsidR="003C1EA4" w:rsidRPr="000F0A89">
        <w:t>founding values</w:t>
      </w:r>
      <w:r w:rsidR="00DC3A60" w:rsidRPr="000F0A89">
        <w:t xml:space="preserve"> and ethos’</w:t>
      </w:r>
      <w:r w:rsidR="003C1EA4" w:rsidRPr="000F0A89">
        <w:t xml:space="preserve"> (Non-Professionalised Community-Based settings). Readiness was achieved at different </w:t>
      </w:r>
      <w:r w:rsidR="00DC3A60" w:rsidRPr="000F0A89">
        <w:t>speeds</w:t>
      </w:r>
      <w:r w:rsidR="003C1EA4" w:rsidRPr="000F0A89">
        <w:t xml:space="preserve"> across the </w:t>
      </w:r>
      <w:r w:rsidR="00B46C05" w:rsidRPr="000F0A89">
        <w:t>categories</w:t>
      </w:r>
      <w:r w:rsidR="003C1EA4" w:rsidRPr="000F0A89">
        <w:t xml:space="preserve"> with those settings with more resource availability more able to achieve readiness (</w:t>
      </w:r>
      <w:proofErr w:type="gramStart"/>
      <w:r w:rsidR="003C1EA4" w:rsidRPr="000F0A89">
        <w:t>Fully-Professional</w:t>
      </w:r>
      <w:proofErr w:type="gramEnd"/>
      <w:r w:rsidR="003C1EA4" w:rsidRPr="000F0A89">
        <w:t xml:space="preserve"> settings), and others requiring flexibility in the intervention to help overcome limited resource </w:t>
      </w:r>
      <w:r w:rsidR="00DC3A60" w:rsidRPr="000F0A89">
        <w:t>availability</w:t>
      </w:r>
      <w:r w:rsidR="003C1EA4" w:rsidRPr="000F0A89">
        <w:t xml:space="preserve"> (</w:t>
      </w:r>
      <w:r w:rsidR="00DC3A60" w:rsidRPr="000F0A89">
        <w:t>Aspirational</w:t>
      </w:r>
      <w:r w:rsidR="003C1EA4" w:rsidRPr="000F0A89">
        <w:t xml:space="preserve"> and Non-Professionalised Community-Based settings). </w:t>
      </w:r>
    </w:p>
    <w:p w14:paraId="0279C2D0" w14:textId="77777777" w:rsidR="003C1EA4" w:rsidRPr="000F0A89" w:rsidRDefault="003C1EA4" w:rsidP="000C71A9">
      <w:pPr>
        <w:jc w:val="both"/>
      </w:pPr>
    </w:p>
    <w:p w14:paraId="24D3AA96" w14:textId="7112698A" w:rsidR="000C71A9" w:rsidRPr="000F0A89" w:rsidRDefault="00340C53" w:rsidP="000C71A9">
      <w:pPr>
        <w:jc w:val="both"/>
      </w:pPr>
      <w:r w:rsidRPr="000F0A89">
        <w:t xml:space="preserve"> </w:t>
      </w:r>
    </w:p>
    <w:p w14:paraId="3A0393A7" w14:textId="5FF005D7" w:rsidR="00800314" w:rsidRPr="000F0A89" w:rsidRDefault="00800314" w:rsidP="00800314">
      <w:pPr>
        <w:pStyle w:val="Heading2"/>
      </w:pPr>
      <w:r w:rsidRPr="000F0A89">
        <w:t>Conclusions:</w:t>
      </w:r>
    </w:p>
    <w:p w14:paraId="161CF4A1" w14:textId="5A633933" w:rsidR="00800314" w:rsidRPr="000F0A89" w:rsidRDefault="00800314" w:rsidP="00800314"/>
    <w:p w14:paraId="2B964DE4" w14:textId="740D40A5" w:rsidR="006F421B" w:rsidRPr="000F0A89" w:rsidRDefault="006F421B" w:rsidP="00892B2B">
      <w:pPr>
        <w:jc w:val="both"/>
      </w:pPr>
      <w:r w:rsidRPr="000F0A89">
        <w:lastRenderedPageBreak/>
        <w:t xml:space="preserve">The CFIR </w:t>
      </w:r>
      <w:r w:rsidR="00892B2B" w:rsidRPr="000F0A89">
        <w:t xml:space="preserve">is useful in highlighting the multiple facets at play in creating the optimal pre-implementation context, and where flex is required to achieve this. The CFIR illuminates the similarities and differences between and across settings, highlighting the complexity of open-system settings and the important need for pre-implementation work. </w:t>
      </w:r>
    </w:p>
    <w:p w14:paraId="6AB26F42" w14:textId="77777777" w:rsidR="006F421B" w:rsidRPr="000F0A89" w:rsidRDefault="006F421B" w:rsidP="00800314"/>
    <w:p w14:paraId="3B870514" w14:textId="1BD1F851" w:rsidR="00800314" w:rsidRPr="000F0A89" w:rsidRDefault="00800314" w:rsidP="00800314">
      <w:pPr>
        <w:pStyle w:val="Heading2"/>
        <w:rPr>
          <w:rFonts w:asciiTheme="minorHAnsi" w:hAnsiTheme="minorHAnsi" w:cstheme="minorHAnsi"/>
          <w:color w:val="auto"/>
          <w:sz w:val="24"/>
          <w:szCs w:val="24"/>
        </w:rPr>
      </w:pPr>
      <w:r w:rsidRPr="000F0A89">
        <w:t>Trial Registration:</w:t>
      </w:r>
      <w:r w:rsidR="00B07922" w:rsidRPr="000F0A89">
        <w:rPr>
          <w:color w:val="1F497D"/>
        </w:rPr>
        <w:t xml:space="preserve"> </w:t>
      </w:r>
      <w:r w:rsidR="00B07922" w:rsidRPr="000F0A89">
        <w:rPr>
          <w:rFonts w:asciiTheme="minorHAnsi" w:hAnsiTheme="minorHAnsi" w:cstheme="minorHAnsi"/>
          <w:color w:val="auto"/>
          <w:sz w:val="24"/>
          <w:szCs w:val="24"/>
        </w:rPr>
        <w:t>ISRCTN19193075</w:t>
      </w:r>
    </w:p>
    <w:p w14:paraId="61300142" w14:textId="09AD25E9" w:rsidR="00BF0B4C" w:rsidRPr="000F0A89" w:rsidRDefault="00BF0B4C" w:rsidP="00BF0B4C"/>
    <w:p w14:paraId="614A2976" w14:textId="15B6BE16" w:rsidR="00BF0B4C" w:rsidRPr="000F0A89" w:rsidRDefault="00BF0B4C" w:rsidP="00BF0B4C">
      <w:pPr>
        <w:pStyle w:val="Heading1"/>
      </w:pPr>
      <w:r w:rsidRPr="000F0A89">
        <w:t xml:space="preserve">Contributions to the literature </w:t>
      </w:r>
    </w:p>
    <w:p w14:paraId="1EA70685" w14:textId="08B1DC75" w:rsidR="00BF0B4C" w:rsidRPr="000F0A89" w:rsidRDefault="00BF0B4C" w:rsidP="00BF0B4C"/>
    <w:p w14:paraId="707BDA4A" w14:textId="72E581A7" w:rsidR="00BB3F41" w:rsidRPr="000F0A89" w:rsidRDefault="00BB3F41" w:rsidP="00BB3F41">
      <w:pPr>
        <w:pStyle w:val="ListParagraph"/>
        <w:numPr>
          <w:ilvl w:val="0"/>
          <w:numId w:val="24"/>
        </w:numPr>
        <w:jc w:val="both"/>
      </w:pPr>
      <w:r w:rsidRPr="000F0A89">
        <w:t>The importance of pre-implementation work to understand the context is well documented but this paper goes further and illuminates the factors that are relevant to implementation of a social network intervention designed to tackle loneliness in a community setting.</w:t>
      </w:r>
    </w:p>
    <w:p w14:paraId="14C677EF" w14:textId="749A1443" w:rsidR="00BB3F41" w:rsidRPr="000F0A89" w:rsidRDefault="00BB3F41" w:rsidP="000200BA">
      <w:pPr>
        <w:pStyle w:val="ListParagraph"/>
        <w:numPr>
          <w:ilvl w:val="0"/>
          <w:numId w:val="24"/>
        </w:numPr>
        <w:jc w:val="both"/>
      </w:pPr>
      <w:r w:rsidRPr="000F0A89">
        <w:rPr>
          <w:rFonts w:cstheme="minorHAnsi"/>
        </w:rPr>
        <w:t>Factors contributing towards the creation of an optimal pre-implementation community context are under acknowledged in the literature and this paper highlights the factors contributing towards creation of an optimal pre-implementation community context ready for the implementation of a public health intervention.</w:t>
      </w:r>
    </w:p>
    <w:p w14:paraId="5248C0A0" w14:textId="2F82806B" w:rsidR="00BF0B4C" w:rsidRPr="000F0A89" w:rsidRDefault="004900FC" w:rsidP="004900FC">
      <w:pPr>
        <w:pStyle w:val="ListParagraph"/>
        <w:numPr>
          <w:ilvl w:val="0"/>
          <w:numId w:val="24"/>
        </w:numPr>
        <w:jc w:val="both"/>
      </w:pPr>
      <w:r w:rsidRPr="000F0A89">
        <w:t xml:space="preserve">Intervention elasticity and context pliability are </w:t>
      </w:r>
      <w:r w:rsidR="0097315A" w:rsidRPr="000F0A89">
        <w:t>acknowledged</w:t>
      </w:r>
      <w:r w:rsidRPr="000F0A89">
        <w:t xml:space="preserve"> to be importan</w:t>
      </w:r>
      <w:r w:rsidR="00384693" w:rsidRPr="000F0A89">
        <w:t>t</w:t>
      </w:r>
      <w:r w:rsidRPr="000F0A89">
        <w:t xml:space="preserve"> factors in the implementa</w:t>
      </w:r>
      <w:r w:rsidR="00071952" w:rsidRPr="000F0A89">
        <w:t>tion</w:t>
      </w:r>
      <w:r w:rsidRPr="000F0A89">
        <w:t xml:space="preserve"> process, this paper moves </w:t>
      </w:r>
      <w:r w:rsidR="0097315A" w:rsidRPr="000F0A89">
        <w:t>beyond</w:t>
      </w:r>
      <w:r w:rsidRPr="000F0A89">
        <w:t xml:space="preserve"> elasticity and pliability in closed clinical settings by testing these in relation to a public health intervention being implemented in a community setting.  </w:t>
      </w:r>
      <w:r w:rsidR="00350330" w:rsidRPr="000F0A89">
        <w:t xml:space="preserve">  </w:t>
      </w:r>
    </w:p>
    <w:p w14:paraId="57E61527" w14:textId="12839991" w:rsidR="004277B9" w:rsidRPr="000F0A89" w:rsidRDefault="003A1A06" w:rsidP="007632DB">
      <w:pPr>
        <w:pStyle w:val="Heading1"/>
      </w:pPr>
      <w:r w:rsidRPr="000F0A89">
        <w:t xml:space="preserve">Background </w:t>
      </w:r>
    </w:p>
    <w:p w14:paraId="30C662E5" w14:textId="77777777" w:rsidR="003A1A06" w:rsidRPr="000F0A89" w:rsidRDefault="003A1A06"/>
    <w:p w14:paraId="65C03A01" w14:textId="52A1891E" w:rsidR="00196844" w:rsidRPr="000F0A89" w:rsidRDefault="00F00F2E" w:rsidP="00C64F70">
      <w:pPr>
        <w:spacing w:line="276" w:lineRule="auto"/>
        <w:jc w:val="both"/>
        <w:rPr>
          <w:color w:val="000000" w:themeColor="text1"/>
        </w:rPr>
      </w:pPr>
      <w:r w:rsidRPr="000F0A89">
        <w:t xml:space="preserve">Key </w:t>
      </w:r>
      <w:r w:rsidR="00994A1E" w:rsidRPr="000F0A89">
        <w:t xml:space="preserve">challenges are evident in the extent to which </w:t>
      </w:r>
      <w:r w:rsidR="00C64F70" w:rsidRPr="000F0A89">
        <w:t xml:space="preserve">the </w:t>
      </w:r>
      <w:r w:rsidR="00994A1E" w:rsidRPr="000F0A89">
        <w:t xml:space="preserve">implementation of complex interventions </w:t>
      </w:r>
      <w:r w:rsidR="00C64F70" w:rsidRPr="000F0A89">
        <w:t xml:space="preserve">can </w:t>
      </w:r>
      <w:r w:rsidR="00994A1E" w:rsidRPr="000F0A89">
        <w:t xml:space="preserve">become </w:t>
      </w:r>
      <w:r w:rsidR="00C64F70" w:rsidRPr="000F0A89">
        <w:t xml:space="preserve">an </w:t>
      </w:r>
      <w:r w:rsidR="00994A1E" w:rsidRPr="000F0A89">
        <w:t>embedded part of routin</w:t>
      </w:r>
      <w:r w:rsidR="00C64F70" w:rsidRPr="000F0A89">
        <w:t>e</w:t>
      </w:r>
      <w:r w:rsidR="00994A1E" w:rsidRPr="000F0A89">
        <w:t xml:space="preserve"> practice and </w:t>
      </w:r>
      <w:r w:rsidR="00C64F70" w:rsidRPr="000F0A89">
        <w:t>are able to be scaled-up</w:t>
      </w:r>
      <w:r w:rsidR="00994A1E" w:rsidRPr="000F0A89">
        <w:t xml:space="preserve">. </w:t>
      </w:r>
      <w:r w:rsidR="004367A6" w:rsidRPr="000F0A89">
        <w:t xml:space="preserve"> There </w:t>
      </w:r>
      <w:r w:rsidR="002A278D" w:rsidRPr="000F0A89">
        <w:t>is increasing</w:t>
      </w:r>
      <w:r w:rsidR="00623A5B" w:rsidRPr="000F0A89">
        <w:t xml:space="preserve"> </w:t>
      </w:r>
      <w:r w:rsidR="004367A6" w:rsidRPr="000F0A89">
        <w:t xml:space="preserve">recognition that implementation at scale in complex environments is </w:t>
      </w:r>
      <w:r w:rsidR="00643841" w:rsidRPr="000F0A89">
        <w:t xml:space="preserve">far from simple and defies a method for </w:t>
      </w:r>
      <w:r w:rsidR="004367A6" w:rsidRPr="000F0A89">
        <w:t>universal replica</w:t>
      </w:r>
      <w:r w:rsidR="00643841" w:rsidRPr="000F0A89">
        <w:t>tion</w:t>
      </w:r>
      <w:r w:rsidR="00EF4284" w:rsidRPr="000F0A89">
        <w:t xml:space="preserve"> </w:t>
      </w:r>
      <w:r w:rsidR="00DF7DF0" w:rsidRPr="000F0A89">
        <w:fldChar w:fldCharType="begin" w:fldLock="1"/>
      </w:r>
      <w:r w:rsidR="00DF7DF0" w:rsidRPr="000F0A89">
        <w:instrText>ADDIN CSL_CITATION {"citationItems":[{"id":"ITEM-1","itemData":{"DOI":"10.1186/s12916-018-1089-4","ISBN":"1291601810894","ISSN":"17417015","abstract":"Complexity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author":[{"dropping-particle":"","family":"Greenhalgh","given":"Trisha","non-dropping-particle":"","parse-names":false,"suffix":""},{"dropping-particle":"","family":"Papoutsi","given":"Chrysanthi","non-dropping-particle":"","parse-names":false,"suffix":""}],"container-title":"BMC Medicine","id":"ITEM-1","issue":"1","issued":{"date-parts":[["2018"]]},"page":"4-9","publisher":"BMC Medicine","title":"Studying complexity in health services research: Desperately seeking an overdue paradigm shift","type":"article-journal","volume":"16"},"uris":["http://www.mendeley.com/documents/?uuid=4bb3e0e9-44ec-4bc0-818e-4d4250551bcf"]}],"mendeley":{"formattedCitation":"(1)","plainTextFormattedCitation":"(1)","previouslyFormattedCitation":"(1)"},"properties":{"noteIndex":0},"schema":"https://github.com/citation-style-language/schema/raw/master/csl-citation.json"}</w:instrText>
      </w:r>
      <w:r w:rsidR="00DF7DF0" w:rsidRPr="000F0A89">
        <w:fldChar w:fldCharType="separate"/>
      </w:r>
      <w:r w:rsidR="00DF7DF0" w:rsidRPr="000F0A89">
        <w:rPr>
          <w:noProof/>
        </w:rPr>
        <w:t>(1)</w:t>
      </w:r>
      <w:r w:rsidR="00DF7DF0" w:rsidRPr="000F0A89">
        <w:fldChar w:fldCharType="end"/>
      </w:r>
      <w:r w:rsidR="00643841" w:rsidRPr="000F0A89">
        <w:t xml:space="preserve">. </w:t>
      </w:r>
      <w:r w:rsidR="00994A1E" w:rsidRPr="000F0A89">
        <w:t>This is particularly the case for interventions destined for community settings</w:t>
      </w:r>
      <w:r w:rsidR="00753D16" w:rsidRPr="000F0A89">
        <w:t>. Interventions designed specifically to engage hard</w:t>
      </w:r>
      <w:r w:rsidR="00994A1E" w:rsidRPr="000F0A89">
        <w:t xml:space="preserve"> </w:t>
      </w:r>
      <w:r w:rsidR="00753D16" w:rsidRPr="000F0A89">
        <w:t>to reach groups are often</w:t>
      </w:r>
      <w:r w:rsidR="00994A1E" w:rsidRPr="000F0A89">
        <w:t xml:space="preserve"> reliant on </w:t>
      </w:r>
      <w:r w:rsidR="00753D16" w:rsidRPr="000F0A89">
        <w:t>organisations and informal settings which have</w:t>
      </w:r>
      <w:r w:rsidR="0039029B" w:rsidRPr="000F0A89">
        <w:t xml:space="preserve"> the</w:t>
      </w:r>
      <w:r w:rsidR="00753D16" w:rsidRPr="000F0A89">
        <w:t xml:space="preserve"> least capacity to deliver. </w:t>
      </w:r>
      <w:r w:rsidR="004367A6" w:rsidRPr="000F0A89">
        <w:t xml:space="preserve"> Planning f</w:t>
      </w:r>
      <w:r w:rsidR="00753D16" w:rsidRPr="000F0A89">
        <w:t xml:space="preserve">or implementation in </w:t>
      </w:r>
      <w:r w:rsidR="00C64F70" w:rsidRPr="000F0A89">
        <w:t>community</w:t>
      </w:r>
      <w:r w:rsidR="00BA50E1" w:rsidRPr="000F0A89">
        <w:t>, voluntary and social enterprise (CVSEs)</w:t>
      </w:r>
      <w:r w:rsidR="00C64F70" w:rsidRPr="000F0A89">
        <w:t xml:space="preserve"> </w:t>
      </w:r>
      <w:r w:rsidR="00994A1E" w:rsidRPr="000F0A89">
        <w:t>organisations</w:t>
      </w:r>
      <w:r w:rsidR="00753D16" w:rsidRPr="000F0A89">
        <w:t xml:space="preserve"> requires knowledge of </w:t>
      </w:r>
      <w:r w:rsidR="000B2572" w:rsidRPr="000F0A89">
        <w:t xml:space="preserve">organisational </w:t>
      </w:r>
      <w:r w:rsidR="00753D16" w:rsidRPr="000F0A89">
        <w:t xml:space="preserve">capacity and </w:t>
      </w:r>
      <w:r w:rsidR="002A278D" w:rsidRPr="000F0A89">
        <w:t>structure</w:t>
      </w:r>
      <w:r w:rsidR="00C64F70" w:rsidRPr="000F0A89">
        <w:t xml:space="preserve">. These are </w:t>
      </w:r>
      <w:r w:rsidR="00753D16" w:rsidRPr="000F0A89">
        <w:t>frequently more hidden and less formulaic than those of the formal health care system</w:t>
      </w:r>
      <w:r w:rsidR="00C64F70" w:rsidRPr="000F0A89">
        <w:t xml:space="preserve">, and therefore </w:t>
      </w:r>
      <w:r w:rsidR="00C64F70" w:rsidRPr="000F0A89">
        <w:rPr>
          <w:color w:val="000000" w:themeColor="text1"/>
        </w:rPr>
        <w:t>t</w:t>
      </w:r>
      <w:r w:rsidR="0007578F" w:rsidRPr="000F0A89">
        <w:rPr>
          <w:color w:val="000000" w:themeColor="text1"/>
        </w:rPr>
        <w:t>his necessitates the need for p</w:t>
      </w:r>
      <w:r w:rsidR="001A44C0" w:rsidRPr="000F0A89">
        <w:rPr>
          <w:color w:val="000000" w:themeColor="text1"/>
        </w:rPr>
        <w:t>re-implementation work</w:t>
      </w:r>
      <w:r w:rsidR="00C64F70" w:rsidRPr="000F0A89">
        <w:rPr>
          <w:color w:val="000000" w:themeColor="text1"/>
        </w:rPr>
        <w:t xml:space="preserve">. </w:t>
      </w:r>
      <w:r w:rsidR="006365B8" w:rsidRPr="000F0A89">
        <w:rPr>
          <w:color w:val="000000" w:themeColor="text1"/>
        </w:rPr>
        <w:t xml:space="preserve">The purpose of </w:t>
      </w:r>
      <w:r w:rsidR="00787801" w:rsidRPr="000F0A89">
        <w:rPr>
          <w:color w:val="000000" w:themeColor="text1"/>
        </w:rPr>
        <w:t>pre-implementation</w:t>
      </w:r>
      <w:r w:rsidR="00FC45EB" w:rsidRPr="000F0A89">
        <w:rPr>
          <w:color w:val="000000" w:themeColor="text1"/>
        </w:rPr>
        <w:t xml:space="preserve"> work is to </w:t>
      </w:r>
      <w:r w:rsidR="00753D16" w:rsidRPr="000F0A89">
        <w:rPr>
          <w:color w:val="000000" w:themeColor="text1"/>
        </w:rPr>
        <w:t xml:space="preserve">identify the nature of </w:t>
      </w:r>
      <w:r w:rsidR="0074593B" w:rsidRPr="000F0A89">
        <w:rPr>
          <w:color w:val="000000" w:themeColor="text1"/>
        </w:rPr>
        <w:t xml:space="preserve">the </w:t>
      </w:r>
      <w:r w:rsidR="00853ACF" w:rsidRPr="000F0A89">
        <w:rPr>
          <w:color w:val="000000" w:themeColor="text1"/>
        </w:rPr>
        <w:t>settings</w:t>
      </w:r>
      <w:r w:rsidR="00753D16" w:rsidRPr="000F0A89">
        <w:rPr>
          <w:color w:val="000000" w:themeColor="text1"/>
        </w:rPr>
        <w:t xml:space="preserve"> and </w:t>
      </w:r>
      <w:r w:rsidR="00FC45EB" w:rsidRPr="000F0A89">
        <w:rPr>
          <w:color w:val="000000" w:themeColor="text1"/>
        </w:rPr>
        <w:t xml:space="preserve">to </w:t>
      </w:r>
      <w:r w:rsidR="00753D16" w:rsidRPr="000F0A89">
        <w:rPr>
          <w:color w:val="000000" w:themeColor="text1"/>
        </w:rPr>
        <w:t xml:space="preserve">understand the fit between the intervention and </w:t>
      </w:r>
      <w:r w:rsidR="00B548C4" w:rsidRPr="000F0A89">
        <w:rPr>
          <w:color w:val="000000" w:themeColor="text1"/>
        </w:rPr>
        <w:t xml:space="preserve">the </w:t>
      </w:r>
      <w:r w:rsidR="00853ACF" w:rsidRPr="000F0A89">
        <w:rPr>
          <w:color w:val="000000" w:themeColor="text1"/>
        </w:rPr>
        <w:t>settings</w:t>
      </w:r>
      <w:r w:rsidR="0074593B" w:rsidRPr="000F0A89">
        <w:rPr>
          <w:color w:val="000000" w:themeColor="text1"/>
        </w:rPr>
        <w:t>’</w:t>
      </w:r>
      <w:r w:rsidR="00853ACF" w:rsidRPr="000F0A89">
        <w:rPr>
          <w:color w:val="000000" w:themeColor="text1"/>
        </w:rPr>
        <w:t xml:space="preserve"> </w:t>
      </w:r>
      <w:r w:rsidR="00753D16" w:rsidRPr="000F0A89">
        <w:rPr>
          <w:color w:val="000000" w:themeColor="text1"/>
        </w:rPr>
        <w:t xml:space="preserve">capacity to deliver in </w:t>
      </w:r>
      <w:r w:rsidR="00500229" w:rsidRPr="000F0A89">
        <w:rPr>
          <w:color w:val="000000" w:themeColor="text1"/>
        </w:rPr>
        <w:t xml:space="preserve">terms of reach, </w:t>
      </w:r>
      <w:r w:rsidR="00FC45EB" w:rsidRPr="000F0A89">
        <w:rPr>
          <w:color w:val="000000" w:themeColor="text1"/>
        </w:rPr>
        <w:t>engagement and</w:t>
      </w:r>
      <w:r w:rsidR="00152490" w:rsidRPr="000F0A89">
        <w:rPr>
          <w:color w:val="000000" w:themeColor="text1"/>
        </w:rPr>
        <w:t xml:space="preserve"> </w:t>
      </w:r>
      <w:r w:rsidR="006365B8" w:rsidRPr="000F0A89">
        <w:rPr>
          <w:color w:val="000000" w:themeColor="text1"/>
        </w:rPr>
        <w:t xml:space="preserve">other </w:t>
      </w:r>
      <w:r w:rsidR="00500229" w:rsidRPr="000F0A89">
        <w:rPr>
          <w:color w:val="000000" w:themeColor="text1"/>
        </w:rPr>
        <w:t xml:space="preserve">markers </w:t>
      </w:r>
      <w:r w:rsidR="00FC45EB" w:rsidRPr="000F0A89">
        <w:rPr>
          <w:color w:val="000000" w:themeColor="text1"/>
        </w:rPr>
        <w:t>of</w:t>
      </w:r>
      <w:r w:rsidR="00500229" w:rsidRPr="000F0A89">
        <w:rPr>
          <w:color w:val="000000" w:themeColor="text1"/>
        </w:rPr>
        <w:t xml:space="preserve"> readiness</w:t>
      </w:r>
      <w:r w:rsidR="0007578F" w:rsidRPr="000F0A89">
        <w:rPr>
          <w:color w:val="000000" w:themeColor="text1"/>
        </w:rPr>
        <w:t>. R</w:t>
      </w:r>
      <w:r w:rsidR="00141586" w:rsidRPr="000F0A89">
        <w:rPr>
          <w:color w:val="000000" w:themeColor="text1"/>
        </w:rPr>
        <w:t>eadiness is a concept</w:t>
      </w:r>
      <w:r w:rsidR="00B548C4" w:rsidRPr="000F0A89">
        <w:rPr>
          <w:color w:val="000000" w:themeColor="text1"/>
        </w:rPr>
        <w:t xml:space="preserve"> that </w:t>
      </w:r>
      <w:r w:rsidR="00141586" w:rsidRPr="000F0A89">
        <w:rPr>
          <w:color w:val="000000" w:themeColor="text1"/>
        </w:rPr>
        <w:t xml:space="preserve">refers to </w:t>
      </w:r>
      <w:r w:rsidR="00141586" w:rsidRPr="000F0A89">
        <w:rPr>
          <w:rFonts w:eastAsia="Times New Roman"/>
          <w:color w:val="000000" w:themeColor="text1"/>
          <w:shd w:val="clear" w:color="auto" w:fill="FFFFFF"/>
        </w:rPr>
        <w:t xml:space="preserve">the extent to which those </w:t>
      </w:r>
      <w:r w:rsidR="00931DA2" w:rsidRPr="000F0A89">
        <w:rPr>
          <w:rFonts w:eastAsia="Times New Roman"/>
          <w:color w:val="000000" w:themeColor="text1"/>
          <w:shd w:val="clear" w:color="auto" w:fill="FFFFFF"/>
        </w:rPr>
        <w:t xml:space="preserve">individuals </w:t>
      </w:r>
      <w:r w:rsidR="00141586" w:rsidRPr="000F0A89">
        <w:rPr>
          <w:rFonts w:eastAsia="Times New Roman"/>
          <w:color w:val="000000" w:themeColor="text1"/>
          <w:shd w:val="clear" w:color="auto" w:fill="FFFFFF"/>
        </w:rPr>
        <w:t>who are likely to be involved</w:t>
      </w:r>
      <w:r w:rsidR="00931DA2" w:rsidRPr="000F0A89">
        <w:rPr>
          <w:rFonts w:eastAsia="Times New Roman"/>
          <w:color w:val="000000" w:themeColor="text1"/>
          <w:shd w:val="clear" w:color="auto" w:fill="FFFFFF"/>
        </w:rPr>
        <w:t xml:space="preserve"> in implementation</w:t>
      </w:r>
      <w:r w:rsidR="00141586" w:rsidRPr="000F0A89">
        <w:rPr>
          <w:rFonts w:eastAsia="Times New Roman"/>
          <w:color w:val="000000" w:themeColor="text1"/>
          <w:shd w:val="clear" w:color="auto" w:fill="FFFFFF"/>
        </w:rPr>
        <w:t xml:space="preserve"> can individually and collectively </w:t>
      </w:r>
      <w:r w:rsidR="00931DA2" w:rsidRPr="000F0A89">
        <w:rPr>
          <w:rFonts w:eastAsia="Times New Roman"/>
          <w:color w:val="000000" w:themeColor="text1"/>
          <w:shd w:val="clear" w:color="auto" w:fill="FFFFFF"/>
        </w:rPr>
        <w:t xml:space="preserve">be </w:t>
      </w:r>
      <w:r w:rsidR="00141586" w:rsidRPr="000F0A89">
        <w:rPr>
          <w:rFonts w:eastAsia="Times New Roman"/>
          <w:color w:val="000000" w:themeColor="text1"/>
          <w:shd w:val="clear" w:color="auto" w:fill="FFFFFF"/>
        </w:rPr>
        <w:t>primed</w:t>
      </w:r>
      <w:r w:rsidR="00931DA2" w:rsidRPr="000F0A89">
        <w:rPr>
          <w:rFonts w:eastAsia="Times New Roman"/>
          <w:color w:val="000000" w:themeColor="text1"/>
          <w:shd w:val="clear" w:color="auto" w:fill="FFFFFF"/>
        </w:rPr>
        <w:t xml:space="preserve"> and</w:t>
      </w:r>
      <w:r w:rsidR="00141586" w:rsidRPr="000F0A89">
        <w:rPr>
          <w:rFonts w:eastAsia="Times New Roman"/>
          <w:color w:val="000000" w:themeColor="text1"/>
          <w:shd w:val="clear" w:color="auto" w:fill="FFFFFF"/>
        </w:rPr>
        <w:t xml:space="preserve"> motivated</w:t>
      </w:r>
      <w:r w:rsidR="00931DA2" w:rsidRPr="000F0A89">
        <w:rPr>
          <w:rFonts w:eastAsia="Times New Roman"/>
          <w:color w:val="000000" w:themeColor="text1"/>
          <w:shd w:val="clear" w:color="auto" w:fill="FFFFFF"/>
        </w:rPr>
        <w:t xml:space="preserve">. </w:t>
      </w:r>
      <w:r w:rsidR="00B548C4" w:rsidRPr="000F0A89">
        <w:rPr>
          <w:rFonts w:eastAsia="Times New Roman"/>
          <w:color w:val="000000" w:themeColor="text1"/>
          <w:shd w:val="clear" w:color="auto" w:fill="FFFFFF"/>
        </w:rPr>
        <w:t>It</w:t>
      </w:r>
      <w:r w:rsidR="00931DA2" w:rsidRPr="000F0A89">
        <w:rPr>
          <w:rFonts w:eastAsia="Times New Roman"/>
          <w:color w:val="000000" w:themeColor="text1"/>
          <w:shd w:val="clear" w:color="auto" w:fill="FFFFFF"/>
        </w:rPr>
        <w:t xml:space="preserve"> refers to their </w:t>
      </w:r>
      <w:r w:rsidR="00141586" w:rsidRPr="000F0A89">
        <w:rPr>
          <w:rFonts w:eastAsia="Times New Roman"/>
          <w:color w:val="000000" w:themeColor="text1"/>
          <w:shd w:val="clear" w:color="auto" w:fill="FFFFFF"/>
        </w:rPr>
        <w:t xml:space="preserve">capacity and </w:t>
      </w:r>
      <w:r w:rsidR="00104E86" w:rsidRPr="000F0A89">
        <w:rPr>
          <w:rFonts w:eastAsia="Times New Roman"/>
          <w:color w:val="000000" w:themeColor="text1"/>
          <w:shd w:val="clear" w:color="auto" w:fill="FFFFFF"/>
        </w:rPr>
        <w:t>capability</w:t>
      </w:r>
      <w:r w:rsidR="00141586" w:rsidRPr="000F0A89">
        <w:rPr>
          <w:rFonts w:eastAsia="Times New Roman"/>
          <w:color w:val="000000" w:themeColor="text1"/>
          <w:shd w:val="clear" w:color="auto" w:fill="FFFFFF"/>
        </w:rPr>
        <w:t xml:space="preserve"> of making change</w:t>
      </w:r>
      <w:r w:rsidR="00141586" w:rsidRPr="000F0A89">
        <w:rPr>
          <w:color w:val="000000" w:themeColor="text1"/>
          <w:shd w:val="clear" w:color="auto" w:fill="FFFFFF"/>
        </w:rPr>
        <w:t xml:space="preserve"> in a way which </w:t>
      </w:r>
      <w:r w:rsidR="00141586" w:rsidRPr="000F0A89">
        <w:rPr>
          <w:rFonts w:eastAsia="Times New Roman"/>
          <w:color w:val="000000" w:themeColor="text1"/>
          <w:shd w:val="clear" w:color="auto" w:fill="FFFFFF"/>
        </w:rPr>
        <w:t>enhance</w:t>
      </w:r>
      <w:r w:rsidR="00EE6789" w:rsidRPr="000F0A89">
        <w:rPr>
          <w:rFonts w:eastAsia="Times New Roman"/>
          <w:color w:val="000000" w:themeColor="text1"/>
          <w:shd w:val="clear" w:color="auto" w:fill="FFFFFF"/>
        </w:rPr>
        <w:t>s</w:t>
      </w:r>
      <w:r w:rsidR="00141586" w:rsidRPr="000F0A89">
        <w:rPr>
          <w:rFonts w:eastAsia="Times New Roman"/>
          <w:color w:val="000000" w:themeColor="text1"/>
          <w:shd w:val="clear" w:color="auto" w:fill="FFFFFF"/>
        </w:rPr>
        <w:t xml:space="preserve"> or negates the implementation </w:t>
      </w:r>
      <w:r w:rsidR="0074593B" w:rsidRPr="000F0A89">
        <w:rPr>
          <w:rFonts w:eastAsia="Times New Roman"/>
          <w:color w:val="000000" w:themeColor="text1"/>
          <w:shd w:val="clear" w:color="auto" w:fill="FFFFFF"/>
        </w:rPr>
        <w:t>process</w:t>
      </w:r>
      <w:r w:rsidR="00DF7DF0" w:rsidRPr="000F0A89">
        <w:rPr>
          <w:rFonts w:eastAsia="Times New Roman"/>
          <w:color w:val="000000" w:themeColor="text1"/>
          <w:shd w:val="clear" w:color="auto" w:fill="FFFFFF"/>
        </w:rPr>
        <w:t xml:space="preserve"> </w:t>
      </w:r>
      <w:r w:rsidR="00DF7DF0" w:rsidRPr="000F0A89">
        <w:rPr>
          <w:rFonts w:eastAsia="Times New Roman"/>
          <w:color w:val="000000" w:themeColor="text1"/>
          <w:shd w:val="clear" w:color="auto" w:fill="FFFFFF"/>
        </w:rPr>
        <w:fldChar w:fldCharType="begin" w:fldLock="1"/>
      </w:r>
      <w:r w:rsidR="003A3831" w:rsidRPr="000F0A89">
        <w:rPr>
          <w:rFonts w:eastAsia="Times New Roman"/>
          <w:color w:val="000000" w:themeColor="text1"/>
          <w:shd w:val="clear" w:color="auto" w:fill="FFFFFF"/>
        </w:rPr>
        <w:instrText>ADDIN CSL_CITATION {"citationItems":[{"id":"ITEM-1","itemData":{"DOI":"10.1007/s11606-009-1112-8","ISSN":"08848734","abstract":"One important factor influencing the successful implementation of system-wide change is initial readiness. Readiness is defined as the degree to which those involved are individually and collectively primed, motivated, and technically capable of executing the change. We present a conceptual framework that highlights three broad areas to be considered if health-care professionals are to comprehensively evaluate readiness that includes psychological factors (i.e., characteristics of those being asked to change), structural factors (i.e., circumstances under which the change is occurring) as well as the level of analysis (i.e., individual and organizational levels). We also describe more specific dimensions within each of these broad categories that have both empirical and theoretical support, presenting several valid and reliable survey instruments that measure key dimensions of readiness quantitatively.","author":[{"dropping-particle":"","family":"Holt","given":"Daniel T.","non-dropping-particle":"","parse-names":false,"suffix":""},{"dropping-particle":"","family":"Helfrich","given":"Christian D.","non-dropping-particle":"","parse-names":false,"suffix":""},{"dropping-particle":"","family":"Hall","given":"Carmen G.","non-dropping-particle":"","parse-names":false,"suffix":""},{"dropping-particle":"","family":"Weiner","given":"Bryan J.","non-dropping-particle":"","parse-names":false,"suffix":""}],"container-title":"Journal of General Internal Medicine","id":"ITEM-1","issue":"SUPPL. 1","issued":{"date-parts":[["2010"]]},"page":"50-55","title":"Are you ready? How health professionals can comprehensively conceptualize readiness for change","type":"article-journal","volume":"25"},"uris":["http://www.mendeley.com/documents/?uuid=9a47ffa9-187b-4d68-8ce9-0d1a298373b5"]},{"id":"ITEM-2","itemData":{"DOI":"10.1186/1748-5908-4-50","ISSN":"17485908","abstract":"BACKGROUND: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Science","id":"ITEM-2","issue":"1","issued":{"date-parts":[["2009"]]},"page":"1-15","title":"Fostering implementation of health services research findings into practice: A consolidated framework for advancing implementation science","type":"article-journal","volume":"4"},"uris":["http://www.mendeley.com/documents/?uuid=ae84dc09-2c20-48b5-b69a-8b763f2037a9"]},{"id":"ITEM-3","itemData":{"DOI":"10.1111/j.0887-378X.2004.00325.x","ISSN":"0887378X","abstract":"This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author":[{"dropping-particle":"","family":"Greenhalgh","given":"Trisha","non-dropping-particle":"","parse-names":false,"suffix":""},{"dropping-particle":"","family":"Robert","given":"Glenn","non-dropping-particle":"","parse-names":false,"suffix":""},{"dropping-particle":"","family":"Macfarlane","given":"Fraser","non-dropping-particle":"","parse-names":false,"suffix":""},{"dropping-particle":"","family":"Bate","given":"Paul","non-dropping-particle":"","parse-names":false,"suffix":""},{"dropping-particle":"","family":"Kyriakidou","given":"Olivia","non-dropping-particle":"","parse-names":false,"suffix":""}],"container-title":"Milbank Quarterly","id":"ITEM-3","issue":"4","issued":{"date-parts":[["2004"]]},"page":"581-629","title":"Diffusion of innovations in service organizations: Systematic review and recommendations","type":"article-journal","volume":"82"},"uris":["http://www.mendeley.com/documents/?uuid=ad92c250-9daa-48b5-bbff-f374336b454e"]},{"id":"ITEM-4","itemData":{"DOI":"10.1007/s10464-012-9522-x","ISSN":"00910562","abstract":"Implementation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implementation.","author":[{"dropping-particle":"","family":"Meyers","given":"Duncan C.","non-dropping-particle":"","parse-names":false,"suffix":""},{"dropping-particle":"","family":"Durlak","given":"Joseph A.","non-dropping-particle":"","parse-names":false,"suffix":""},{"dropping-particle":"","family":"Wandersman","given":"Abraham","non-dropping-particle":"","parse-names":false,"suffix":""}],"container-title":"American Journal of Community Psychology","id":"ITEM-4","issue":"3-4","issued":{"date-parts":[["2012"]]},"page":"462-480","title":"The Quality Implementation Framework: A Synthesis of Critical Steps in the Implementation Process","type":"article-journal","volume":"50"},"uris":["http://www.mendeley.com/documents/?uuid=e773d94b-1bb6-4087-a595-7d11b571f1dc"]}],"mendeley":{"formattedCitation":"(2–5)","plainTextFormattedCitation":"(2–5)","previouslyFormattedCitation":"(2–5)"},"properties":{"noteIndex":0},"schema":"https://github.com/citation-style-language/schema/raw/master/csl-citation.json"}</w:instrText>
      </w:r>
      <w:r w:rsidR="00DF7DF0" w:rsidRPr="000F0A89">
        <w:rPr>
          <w:rFonts w:eastAsia="Times New Roman"/>
          <w:color w:val="000000" w:themeColor="text1"/>
          <w:shd w:val="clear" w:color="auto" w:fill="FFFFFF"/>
        </w:rPr>
        <w:fldChar w:fldCharType="separate"/>
      </w:r>
      <w:r w:rsidR="00B548C4" w:rsidRPr="000F0A89">
        <w:rPr>
          <w:rFonts w:eastAsia="Times New Roman"/>
          <w:noProof/>
          <w:color w:val="000000" w:themeColor="text1"/>
          <w:shd w:val="clear" w:color="auto" w:fill="FFFFFF"/>
        </w:rPr>
        <w:t>(2–5)</w:t>
      </w:r>
      <w:r w:rsidR="00DF7DF0" w:rsidRPr="000F0A89">
        <w:rPr>
          <w:rFonts w:eastAsia="Times New Roman"/>
          <w:color w:val="000000" w:themeColor="text1"/>
          <w:shd w:val="clear" w:color="auto" w:fill="FFFFFF"/>
        </w:rPr>
        <w:fldChar w:fldCharType="end"/>
      </w:r>
      <w:r w:rsidR="00F31CF9" w:rsidRPr="000F0A89">
        <w:rPr>
          <w:rFonts w:eastAsia="Times New Roman"/>
          <w:color w:val="000000" w:themeColor="text1"/>
          <w:shd w:val="clear" w:color="auto" w:fill="FFFFFF"/>
        </w:rPr>
        <w:t xml:space="preserve">. </w:t>
      </w:r>
      <w:r w:rsidR="00141586" w:rsidRPr="000F0A89">
        <w:rPr>
          <w:rFonts w:eastAsia="Times New Roman"/>
          <w:color w:val="000000" w:themeColor="text1"/>
          <w:shd w:val="clear" w:color="auto" w:fill="FFFFFF"/>
        </w:rPr>
        <w:t xml:space="preserve"> </w:t>
      </w:r>
    </w:p>
    <w:p w14:paraId="2ABF0E2D" w14:textId="1F482FFB" w:rsidR="005C0325" w:rsidRPr="000F0A89" w:rsidRDefault="00A145AE" w:rsidP="00104E86">
      <w:pPr>
        <w:spacing w:line="276" w:lineRule="auto"/>
        <w:ind w:firstLine="720"/>
        <w:jc w:val="both"/>
        <w:rPr>
          <w:color w:val="000000" w:themeColor="text1"/>
        </w:rPr>
      </w:pPr>
      <w:r w:rsidRPr="000F0A89">
        <w:t xml:space="preserve">Initial readiness </w:t>
      </w:r>
      <w:r w:rsidR="00DC6BCA" w:rsidRPr="000F0A89">
        <w:t xml:space="preserve">becomes more important the more open the context. </w:t>
      </w:r>
      <w:r w:rsidR="00F032C8" w:rsidRPr="000F0A89">
        <w:t xml:space="preserve">Open-systems such as community </w:t>
      </w:r>
      <w:r w:rsidR="0097315A" w:rsidRPr="000F0A89">
        <w:t>settings</w:t>
      </w:r>
      <w:r w:rsidR="00F032C8" w:rsidRPr="000F0A89">
        <w:t xml:space="preserve"> are more </w:t>
      </w:r>
      <w:r w:rsidR="007E3818" w:rsidRPr="000F0A89">
        <w:t>entangled</w:t>
      </w:r>
      <w:r w:rsidR="00F032C8" w:rsidRPr="000F0A89">
        <w:t xml:space="preserve"> and messier than closed-systems where entities and processes are independent from one </w:t>
      </w:r>
      <w:r w:rsidR="00534963" w:rsidRPr="000F0A89">
        <w:t>another</w:t>
      </w:r>
      <w:r w:rsidR="007E3818" w:rsidRPr="000F0A89">
        <w:t xml:space="preserve"> </w:t>
      </w:r>
      <w:r w:rsidR="007E3818" w:rsidRPr="000F0A89">
        <w:fldChar w:fldCharType="begin" w:fldLock="1"/>
      </w:r>
      <w:r w:rsidR="007E3818" w:rsidRPr="000F0A89">
        <w:instrText>ADDIN CSL_CITATION {"citationItems":[{"id":"ITEM-1","itemData":{"author":[{"dropping-particle":"","family":"Bhaskar","given":"Roy","non-dropping-particle":"","parse-names":false,"suffix":""}],"id":"ITEM-1","issued":{"date-parts":[["1975"]]},"publisher":"Leeds Books","publisher-place":"Leeds","title":"A Realist Theory of Science","type":"book"},"uris":["http://www.mendeley.com/documents/?uuid=9882bd0e-b17b-46b5-b6ac-bef9d914bd8d"]}],"mendeley":{"formattedCitation":"(6)","plainTextFormattedCitation":"(6)"},"properties":{"noteIndex":0},"schema":"https://github.com/citation-style-language/schema/raw/master/csl-citation.json"}</w:instrText>
      </w:r>
      <w:r w:rsidR="007E3818" w:rsidRPr="000F0A89">
        <w:fldChar w:fldCharType="separate"/>
      </w:r>
      <w:r w:rsidR="007E3818" w:rsidRPr="000F0A89">
        <w:rPr>
          <w:noProof/>
        </w:rPr>
        <w:t>(6)</w:t>
      </w:r>
      <w:r w:rsidR="007E3818" w:rsidRPr="000F0A89">
        <w:fldChar w:fldCharType="end"/>
      </w:r>
      <w:r w:rsidR="00F032C8" w:rsidRPr="000F0A89">
        <w:t xml:space="preserve">. </w:t>
      </w:r>
      <w:r w:rsidR="0007578F" w:rsidRPr="000F0A89">
        <w:rPr>
          <w:rFonts w:eastAsia="Times New Roman"/>
          <w:color w:val="333333"/>
          <w:shd w:val="clear" w:color="auto" w:fill="FFFFFF"/>
        </w:rPr>
        <w:t>I</w:t>
      </w:r>
      <w:r w:rsidR="0007578F" w:rsidRPr="000F0A89">
        <w:t>nterventions in</w:t>
      </w:r>
      <w:r w:rsidR="0074593B" w:rsidRPr="000F0A89">
        <w:t xml:space="preserve"> the</w:t>
      </w:r>
      <w:r w:rsidR="0007578F" w:rsidRPr="000F0A89">
        <w:t xml:space="preserve"> </w:t>
      </w:r>
      <w:r w:rsidR="00104E86" w:rsidRPr="000F0A89">
        <w:t>‘real</w:t>
      </w:r>
      <w:r w:rsidR="0007578F" w:rsidRPr="000F0A89">
        <w:t xml:space="preserve"> world</w:t>
      </w:r>
      <w:r w:rsidR="00104E86" w:rsidRPr="000F0A89">
        <w:t>’</w:t>
      </w:r>
      <w:r w:rsidR="0007578F" w:rsidRPr="000F0A89">
        <w:t xml:space="preserve"> </w:t>
      </w:r>
      <w:r w:rsidR="006365B8" w:rsidRPr="000F0A89">
        <w:rPr>
          <w:color w:val="000000" w:themeColor="text1"/>
        </w:rPr>
        <w:lastRenderedPageBreak/>
        <w:t xml:space="preserve">settings </w:t>
      </w:r>
      <w:r w:rsidR="00F919A8" w:rsidRPr="000F0A89">
        <w:rPr>
          <w:color w:val="000000" w:themeColor="text1"/>
        </w:rPr>
        <w:t>like</w:t>
      </w:r>
      <w:r w:rsidR="006365B8" w:rsidRPr="000F0A89">
        <w:rPr>
          <w:color w:val="000000" w:themeColor="text1"/>
        </w:rPr>
        <w:t xml:space="preserve"> </w:t>
      </w:r>
      <w:r w:rsidR="00F032C8" w:rsidRPr="000F0A89">
        <w:rPr>
          <w:color w:val="000000" w:themeColor="text1"/>
        </w:rPr>
        <w:t>community settings</w:t>
      </w:r>
      <w:r w:rsidR="00104E86" w:rsidRPr="000F0A89">
        <w:rPr>
          <w:color w:val="000000" w:themeColor="text1"/>
        </w:rPr>
        <w:t xml:space="preserve"> are</w:t>
      </w:r>
      <w:r w:rsidR="0007578F" w:rsidRPr="000F0A89">
        <w:rPr>
          <w:color w:val="000000" w:themeColor="text1"/>
        </w:rPr>
        <w:t xml:space="preserve"> characterised by ‘dynamic complexity’ of non-linear relationships </w:t>
      </w:r>
      <w:r w:rsidR="00104E86" w:rsidRPr="000F0A89">
        <w:rPr>
          <w:color w:val="000000" w:themeColor="text1"/>
        </w:rPr>
        <w:t>between system</w:t>
      </w:r>
      <w:r w:rsidR="0007578F" w:rsidRPr="000F0A89">
        <w:rPr>
          <w:color w:val="000000" w:themeColor="text1"/>
        </w:rPr>
        <w:t xml:space="preserve"> elements</w:t>
      </w:r>
      <w:r w:rsidR="00DF7DF0" w:rsidRPr="000F0A89">
        <w:rPr>
          <w:color w:val="000000" w:themeColor="text1"/>
        </w:rPr>
        <w:t xml:space="preserve"> </w:t>
      </w:r>
      <w:r w:rsidR="00DF7DF0" w:rsidRPr="000F0A89">
        <w:rPr>
          <w:color w:val="000000" w:themeColor="text1"/>
        </w:rPr>
        <w:fldChar w:fldCharType="begin" w:fldLock="1"/>
      </w:r>
      <w:r w:rsidR="007E3818" w:rsidRPr="000F0A89">
        <w:rPr>
          <w:color w:val="000000" w:themeColor="text1"/>
        </w:rPr>
        <w:instrText>ADDIN CSL_CITATION {"citationItems":[{"id":"ITEM-1","itemData":{"DOI":"10.1093/heapol/czl031","ISSN":"02681080","abstract":"Most transition countries in Central and Eastern Europe and Central Asia are engaged in health reform initiatives aimed at introducing primary health care (PHC) centred on family medicine to enhance performance of their health systems. But, in these countries the introduction of PHC reforms has been particularly challenging; while some have managed to introduce pilots, many have failed to these scale up. Using an innovation lens, we examine the introduction and diffusion of family-medicine-centred PHC reforms in Bosnia and Herzegovina (BiH), which experienced bitter ethnic conflicts that destroyed much of the health systems infrastructure. The study was conducted in 2004-05 over a 18-month period and involved both qualitative and quantitative methods of inquiry. In this study we report the findings of the qualitative research, which involved in-depth interviews in three stages with key informants that were purposively sampled. In our research, we applied a proprietary analytical framework which enables simultaneous and holistic analysis of the context, the innovation, the adopters and the interactions between them over time. While many transition countries have struggled with the introduction of family-medicine-centred PHC reforms, in spite of considerable resource constraints and a challenging post-war context, within a few years, BiH has managed to scale up multifaceted reforms to cover over 25% of the country. Our analysis reveals a complex setting and bidirectional interaction between the innovation, adopters and the context, which have collectively influenced the diffusion process. Family-medicine-centred PHC reform is a complex innovation - involving organizational, financial, clinical and relational changes - within a complex adaptive system. An important factor influencing the adoption of this complex innovation in BiH was the perceived benefits of the innovation: benefits which accrue to the users, family physicians, nurses and policy makers. In the case of BiH, policies or the innovation are not simply disseminated, but rather assimilated into the health system. The assimilation and implementation of the new PHC model relied on the consensus of a diverse group of adopters; the changes brought by the reforms were aligned with the expectations of the adopters: this created a 'receptive context' for adoption and diffusion of the innovation. The new family-medicine-centred PHC service model had a major impact on professional identity, inter-profes…","author":[{"dropping-particle":"","family":"Atun","given":"Rifat A.","non-dropping-particle":"","parse-names":false,"suffix":""},{"dropping-particle":"","family":"Kyratsis","given":"Ioannis","non-dropping-particle":"","parse-names":false,"suffix":""},{"dropping-particle":"","family":"Jelic","given":"Gordan","non-dropping-particle":"","parse-names":false,"suffix":""},{"dropping-particle":"","family":"Rados-Malicbegovic","given":"Drazenka","non-dropping-particle":"","parse-names":false,"suffix":""},{"dropping-particle":"","family":"Gurol-Urganci","given":"Ipek","non-dropping-particle":"","parse-names":false,"suffix":""}],"container-title":"Health Policy and Planning","id":"ITEM-1","issue":"1","issued":{"date-parts":[["2007"]]},"page":"28-39","title":"Diffusion of complex health innovations - Implementation of primary health care reforms in Bosnia and Herzegovina","type":"article-journal","volume":"22"},"uris":["http://www.mendeley.com/documents/?uuid=a250eb17-f244-443b-9731-dbb1369979e3"]}],"mendeley":{"formattedCitation":"(7)","plainTextFormattedCitation":"(7)","previouslyFormattedCitation":"(6)"},"properties":{"noteIndex":0},"schema":"https://github.com/citation-style-language/schema/raw/master/csl-citation.json"}</w:instrText>
      </w:r>
      <w:r w:rsidR="00DF7DF0" w:rsidRPr="000F0A89">
        <w:rPr>
          <w:color w:val="000000" w:themeColor="text1"/>
        </w:rPr>
        <w:fldChar w:fldCharType="separate"/>
      </w:r>
      <w:r w:rsidR="007E3818" w:rsidRPr="000F0A89">
        <w:rPr>
          <w:noProof/>
          <w:color w:val="000000" w:themeColor="text1"/>
        </w:rPr>
        <w:t>(7)</w:t>
      </w:r>
      <w:r w:rsidR="00DF7DF0" w:rsidRPr="000F0A89">
        <w:rPr>
          <w:color w:val="000000" w:themeColor="text1"/>
        </w:rPr>
        <w:fldChar w:fldCharType="end"/>
      </w:r>
      <w:r w:rsidR="00104E86" w:rsidRPr="000F0A89">
        <w:rPr>
          <w:color w:val="000000" w:themeColor="text1"/>
        </w:rPr>
        <w:t xml:space="preserve">. This </w:t>
      </w:r>
      <w:r w:rsidR="0007578F" w:rsidRPr="000F0A89">
        <w:rPr>
          <w:color w:val="000000" w:themeColor="text1"/>
        </w:rPr>
        <w:t>pose</w:t>
      </w:r>
      <w:r w:rsidR="00104E86" w:rsidRPr="000F0A89">
        <w:rPr>
          <w:color w:val="000000" w:themeColor="text1"/>
        </w:rPr>
        <w:t>s</w:t>
      </w:r>
      <w:r w:rsidR="0007578F" w:rsidRPr="000F0A89">
        <w:rPr>
          <w:color w:val="000000" w:themeColor="text1"/>
        </w:rPr>
        <w:t xml:space="preserve"> challenges for mapping the landscape and for the pre-implementation work that </w:t>
      </w:r>
      <w:r w:rsidR="0074593B" w:rsidRPr="000F0A89">
        <w:rPr>
          <w:color w:val="000000" w:themeColor="text1"/>
        </w:rPr>
        <w:t>is required</w:t>
      </w:r>
      <w:r w:rsidR="0007578F" w:rsidRPr="000F0A89">
        <w:rPr>
          <w:rFonts w:eastAsia="Times New Roman"/>
          <w:color w:val="000000" w:themeColor="text1"/>
          <w:shd w:val="clear" w:color="auto" w:fill="FFFFFF"/>
        </w:rPr>
        <w:t>. </w:t>
      </w:r>
      <w:r w:rsidR="00DC6BCA" w:rsidRPr="000F0A89">
        <w:rPr>
          <w:color w:val="000000" w:themeColor="text1"/>
        </w:rPr>
        <w:t xml:space="preserve"> In a review of</w:t>
      </w:r>
      <w:r w:rsidR="0039029B" w:rsidRPr="000F0A89">
        <w:rPr>
          <w:color w:val="000000" w:themeColor="text1"/>
        </w:rPr>
        <w:t xml:space="preserve"> the</w:t>
      </w:r>
      <w:r w:rsidR="00DC6BCA" w:rsidRPr="000F0A89">
        <w:rPr>
          <w:color w:val="000000" w:themeColor="text1"/>
        </w:rPr>
        <w:t xml:space="preserve"> </w:t>
      </w:r>
      <w:r w:rsidR="00DC3A60" w:rsidRPr="000F0A89">
        <w:rPr>
          <w:rFonts w:eastAsia="Times New Roman"/>
          <w:color w:val="000000" w:themeColor="text1"/>
          <w:shd w:val="clear" w:color="auto" w:fill="FFFFFF"/>
        </w:rPr>
        <w:t>evidence-to-</w:t>
      </w:r>
      <w:r w:rsidR="00DC6BCA" w:rsidRPr="000F0A89">
        <w:rPr>
          <w:rFonts w:eastAsia="Times New Roman"/>
          <w:color w:val="000000" w:themeColor="text1"/>
          <w:shd w:val="clear" w:color="auto" w:fill="FFFFFF"/>
        </w:rPr>
        <w:t>practice gap for complex interventions in primary care</w:t>
      </w:r>
      <w:r w:rsidR="0039029B" w:rsidRPr="000F0A89">
        <w:rPr>
          <w:rFonts w:eastAsia="Times New Roman"/>
          <w:color w:val="000000" w:themeColor="text1"/>
          <w:shd w:val="clear" w:color="auto" w:fill="FFFFFF"/>
        </w:rPr>
        <w:t>,</w:t>
      </w:r>
      <w:r w:rsidR="004A5C15" w:rsidRPr="000F0A89">
        <w:rPr>
          <w:rFonts w:eastAsia="Times New Roman"/>
          <w:color w:val="000000" w:themeColor="text1"/>
          <w:shd w:val="clear" w:color="auto" w:fill="FFFFFF"/>
        </w:rPr>
        <w:t xml:space="preserve"> the degree of preparation prior to implementation </w:t>
      </w:r>
      <w:r w:rsidR="0007578F" w:rsidRPr="000F0A89">
        <w:rPr>
          <w:rFonts w:eastAsia="Times New Roman"/>
          <w:color w:val="000000" w:themeColor="text1"/>
          <w:shd w:val="clear" w:color="auto" w:fill="FFFFFF"/>
        </w:rPr>
        <w:t>was identified as a key element of successful implementation</w:t>
      </w:r>
      <w:r w:rsidR="00104E86" w:rsidRPr="000F0A89">
        <w:rPr>
          <w:rFonts w:eastAsia="Times New Roman"/>
          <w:color w:val="000000" w:themeColor="text1"/>
          <w:shd w:val="clear" w:color="auto" w:fill="FFFFFF"/>
        </w:rPr>
        <w:t xml:space="preserve"> </w:t>
      </w:r>
      <w:r w:rsidR="00DF7DF0" w:rsidRPr="000F0A89">
        <w:rPr>
          <w:rFonts w:eastAsia="Times New Roman"/>
          <w:color w:val="000000" w:themeColor="text1"/>
          <w:shd w:val="clear" w:color="auto" w:fill="FFFFFF"/>
        </w:rPr>
        <w:fldChar w:fldCharType="begin" w:fldLock="1"/>
      </w:r>
      <w:r w:rsidR="007E3818" w:rsidRPr="000F0A89">
        <w:rPr>
          <w:rFonts w:eastAsia="Times New Roman"/>
          <w:color w:val="000000" w:themeColor="text1"/>
          <w:shd w:val="clear" w:color="auto" w:fill="FFFFFF"/>
        </w:rPr>
        <w:instrText>ADDIN CSL_CITATION {"citationItems":[{"id":"ITEM-1","itemData":{"DOI":"10.1007/s11121-016-0692-x","ISSN":"13894986","abstract":"© 2016, Society for Prevention Research. The Environmental Intervention in Children’s Homes (ENRICH) study was the first published physical activity intervention undertaken in residential children’s homes (RCHs). The study revealed differences in implementation across the homes, which may be a key factor that affects program effectiveness. The purpose of this study was to examine the direct and indirect effects of organizational capacity, provider characteristics, and quality of prevention support system on level of implementation of the ENRICH intervention. This study analyzed the ENRICH process evaluation data collected from 24 RCHs. Bayesian Path analysis was used to examine the direct and indirect effects of organizational capacity, provider characteristics, and quality of prevention support system on level of implementation. Level of implementation across RCHs was variable, ranging from 38 to 97 % (M = 68.3, SD = 14.45). Results revealed that organizational capacity and provider characteristics had significant direct associations with level of implementation. Neither direct nor indirect associations between quality of prevention support system and level of implementation reached statistical significance. Conducting formative assessments on organizational capacity and provider characteristics and incorporating such information in implementation planning may increase the likelihood of achieving higher levels of implementation in future studies.","author":[{"dropping-particle":"","family":"Lau","given":"Erica Y.","non-dropping-particle":"","parse-names":false,"suffix":""},{"dropping-particle":"","family":"Saunders","given":"Ruth P.","non-dropping-particle":"","parse-names":false,"suffix":""},{"dropping-particle":"","family":"Pate","given":"Russell R.","non-dropping-particle":"","parse-names":false,"suffix":""}],"container-title":"Prevention Science","id":"ITEM-1","issue":"8","issued":{"date-parts":[["2016"]]},"page":"1002-1011","publisher":"Prevention Science","title":"Factors Influencing Implementation of a Physical Activity Intervention in Residential Children’s Homes","type":"article-journal","volume":"17"},"uris":["http://www.mendeley.com/documents/?uuid=ce8ac60e-262d-4e14-9651-3d177b1e4013"]}],"mendeley":{"formattedCitation":"(8)","plainTextFormattedCitation":"(8)","previouslyFormattedCitation":"(7)"},"properties":{"noteIndex":0},"schema":"https://github.com/citation-style-language/schema/raw/master/csl-citation.json"}</w:instrText>
      </w:r>
      <w:r w:rsidR="00DF7DF0" w:rsidRPr="000F0A89">
        <w:rPr>
          <w:rFonts w:eastAsia="Times New Roman"/>
          <w:color w:val="000000" w:themeColor="text1"/>
          <w:shd w:val="clear" w:color="auto" w:fill="FFFFFF"/>
        </w:rPr>
        <w:fldChar w:fldCharType="separate"/>
      </w:r>
      <w:r w:rsidR="007E3818" w:rsidRPr="000F0A89">
        <w:rPr>
          <w:rFonts w:eastAsia="Times New Roman"/>
          <w:noProof/>
          <w:color w:val="000000" w:themeColor="text1"/>
          <w:shd w:val="clear" w:color="auto" w:fill="FFFFFF"/>
        </w:rPr>
        <w:t>(8)</w:t>
      </w:r>
      <w:r w:rsidR="00DF7DF0" w:rsidRPr="000F0A89">
        <w:rPr>
          <w:rFonts w:eastAsia="Times New Roman"/>
          <w:color w:val="000000" w:themeColor="text1"/>
          <w:shd w:val="clear" w:color="auto" w:fill="FFFFFF"/>
        </w:rPr>
        <w:fldChar w:fldCharType="end"/>
      </w:r>
      <w:r w:rsidR="0007578F" w:rsidRPr="000F0A89">
        <w:rPr>
          <w:rFonts w:eastAsia="Times New Roman"/>
          <w:color w:val="000000" w:themeColor="text1"/>
          <w:shd w:val="clear" w:color="auto" w:fill="FFFFFF"/>
        </w:rPr>
        <w:t>. Similarly</w:t>
      </w:r>
      <w:r w:rsidR="00EE6789" w:rsidRPr="000F0A89">
        <w:rPr>
          <w:rFonts w:eastAsia="Times New Roman"/>
          <w:color w:val="000000" w:themeColor="text1"/>
          <w:shd w:val="clear" w:color="auto" w:fill="FFFFFF"/>
        </w:rPr>
        <w:t>,</w:t>
      </w:r>
      <w:r w:rsidR="0007578F" w:rsidRPr="000F0A89">
        <w:rPr>
          <w:color w:val="000000" w:themeColor="text1"/>
        </w:rPr>
        <w:t xml:space="preserve"> </w:t>
      </w:r>
      <w:r w:rsidR="0007578F" w:rsidRPr="000F0A89">
        <w:rPr>
          <w:rFonts w:eastAsia="Times New Roman"/>
          <w:iCs/>
          <w:color w:val="000000" w:themeColor="text1"/>
        </w:rPr>
        <w:t>t</w:t>
      </w:r>
      <w:r w:rsidR="001166F1" w:rsidRPr="000F0A89">
        <w:rPr>
          <w:rFonts w:eastAsia="Times New Roman"/>
          <w:iCs/>
          <w:color w:val="000000" w:themeColor="text1"/>
        </w:rPr>
        <w:t>he earl</w:t>
      </w:r>
      <w:r w:rsidR="0074593B" w:rsidRPr="000F0A89">
        <w:rPr>
          <w:rFonts w:eastAsia="Times New Roman"/>
          <w:iCs/>
          <w:color w:val="000000" w:themeColor="text1"/>
        </w:rPr>
        <w:t xml:space="preserve">y </w:t>
      </w:r>
      <w:r w:rsidR="001166F1" w:rsidRPr="000F0A89">
        <w:rPr>
          <w:rFonts w:eastAsia="Times New Roman"/>
          <w:iCs/>
          <w:color w:val="000000" w:themeColor="text1"/>
        </w:rPr>
        <w:t xml:space="preserve">phase </w:t>
      </w:r>
      <w:r w:rsidR="00104E86" w:rsidRPr="000F0A89">
        <w:rPr>
          <w:rFonts w:eastAsia="Times New Roman"/>
          <w:iCs/>
          <w:color w:val="000000" w:themeColor="text1"/>
        </w:rPr>
        <w:t xml:space="preserve">of </w:t>
      </w:r>
      <w:r w:rsidR="001166F1" w:rsidRPr="000F0A89">
        <w:rPr>
          <w:rFonts w:eastAsia="Times New Roman"/>
          <w:color w:val="000000" w:themeColor="text1"/>
          <w:shd w:val="clear" w:color="auto" w:fill="FFFFFF"/>
        </w:rPr>
        <w:t>prepar</w:t>
      </w:r>
      <w:r w:rsidR="00906A46" w:rsidRPr="000F0A89">
        <w:rPr>
          <w:rFonts w:eastAsia="Times New Roman"/>
          <w:color w:val="000000" w:themeColor="text1"/>
          <w:shd w:val="clear" w:color="auto" w:fill="FFFFFF"/>
        </w:rPr>
        <w:t>ing</w:t>
      </w:r>
      <w:r w:rsidR="001166F1" w:rsidRPr="000F0A89">
        <w:rPr>
          <w:rFonts w:eastAsia="Times New Roman"/>
          <w:color w:val="000000" w:themeColor="text1"/>
          <w:shd w:val="clear" w:color="auto" w:fill="FFFFFF"/>
        </w:rPr>
        <w:t xml:space="preserve"> the ground for introduction and testing of </w:t>
      </w:r>
      <w:r w:rsidR="00834AB3" w:rsidRPr="000F0A89">
        <w:rPr>
          <w:rFonts w:eastAsia="Times New Roman"/>
          <w:color w:val="000000" w:themeColor="text1"/>
          <w:shd w:val="clear" w:color="auto" w:fill="FFFFFF"/>
        </w:rPr>
        <w:t xml:space="preserve">public </w:t>
      </w:r>
      <w:r w:rsidR="0089268E" w:rsidRPr="000F0A89">
        <w:rPr>
          <w:rFonts w:eastAsia="Times New Roman"/>
          <w:color w:val="000000" w:themeColor="text1"/>
          <w:shd w:val="clear" w:color="auto" w:fill="FFFFFF"/>
        </w:rPr>
        <w:t>health interventions</w:t>
      </w:r>
      <w:r w:rsidR="001166F1" w:rsidRPr="000F0A89">
        <w:rPr>
          <w:rFonts w:eastAsia="Times New Roman"/>
          <w:color w:val="000000" w:themeColor="text1"/>
          <w:shd w:val="clear" w:color="auto" w:fill="FFFFFF"/>
        </w:rPr>
        <w:t xml:space="preserve"> </w:t>
      </w:r>
      <w:r w:rsidR="00906A46" w:rsidRPr="000F0A89">
        <w:rPr>
          <w:rFonts w:eastAsia="Times New Roman"/>
          <w:color w:val="000000" w:themeColor="text1"/>
          <w:shd w:val="clear" w:color="auto" w:fill="FFFFFF"/>
        </w:rPr>
        <w:t xml:space="preserve">has been demonstrated </w:t>
      </w:r>
      <w:r w:rsidR="0074593B" w:rsidRPr="000F0A89">
        <w:rPr>
          <w:rFonts w:eastAsia="Times New Roman"/>
          <w:color w:val="000000" w:themeColor="text1"/>
          <w:shd w:val="clear" w:color="auto" w:fill="FFFFFF"/>
        </w:rPr>
        <w:t>as</w:t>
      </w:r>
      <w:r w:rsidR="00906A46" w:rsidRPr="000F0A89">
        <w:rPr>
          <w:rFonts w:eastAsia="Times New Roman"/>
          <w:color w:val="000000" w:themeColor="text1"/>
          <w:shd w:val="clear" w:color="auto" w:fill="FFFFFF"/>
        </w:rPr>
        <w:t xml:space="preserve"> a key facet </w:t>
      </w:r>
      <w:r w:rsidR="005B573F" w:rsidRPr="000F0A89">
        <w:rPr>
          <w:rFonts w:eastAsia="Times New Roman"/>
          <w:color w:val="000000" w:themeColor="text1"/>
          <w:shd w:val="clear" w:color="auto" w:fill="FFFFFF"/>
        </w:rPr>
        <w:t xml:space="preserve">of </w:t>
      </w:r>
      <w:r w:rsidR="0089268E" w:rsidRPr="000F0A89">
        <w:rPr>
          <w:rFonts w:eastAsia="Times New Roman"/>
          <w:color w:val="000000" w:themeColor="text1"/>
          <w:shd w:val="clear" w:color="auto" w:fill="FFFFFF"/>
        </w:rPr>
        <w:t>large-scale</w:t>
      </w:r>
      <w:r w:rsidR="005B573F" w:rsidRPr="000F0A89">
        <w:rPr>
          <w:rFonts w:eastAsia="Times New Roman"/>
          <w:color w:val="000000" w:themeColor="text1"/>
          <w:shd w:val="clear" w:color="auto" w:fill="FFFFFF"/>
        </w:rPr>
        <w:t xml:space="preserve"> improvement</w:t>
      </w:r>
      <w:r w:rsidR="00DF7DF0" w:rsidRPr="000F0A89">
        <w:rPr>
          <w:rFonts w:eastAsia="Times New Roman"/>
          <w:color w:val="000000" w:themeColor="text1"/>
          <w:shd w:val="clear" w:color="auto" w:fill="FFFFFF"/>
        </w:rPr>
        <w:t xml:space="preserve"> </w:t>
      </w:r>
      <w:r w:rsidR="00DF7DF0" w:rsidRPr="000F0A89">
        <w:rPr>
          <w:rFonts w:eastAsia="Times New Roman"/>
          <w:color w:val="000000" w:themeColor="text1"/>
          <w:shd w:val="clear" w:color="auto" w:fill="FFFFFF"/>
        </w:rPr>
        <w:fldChar w:fldCharType="begin" w:fldLock="1"/>
      </w:r>
      <w:r w:rsidR="007E3818" w:rsidRPr="000F0A89">
        <w:rPr>
          <w:rFonts w:eastAsia="Times New Roman"/>
          <w:color w:val="000000" w:themeColor="text1"/>
          <w:shd w:val="clear" w:color="auto" w:fill="FFFFFF"/>
        </w:rPr>
        <w:instrText>ADDIN CSL_CITATION {"citationItems":[{"id":"ITEM-1","itemData":{"DOI":"10.1186/s13012-016-0374-x","ISSN":"17485908","abstract":"BACKGROUND: Scaling up complex health interventions to large populations is not a straightforward task. Without intentional, guided efforts to scale up, it can take many years for a new evidence-based intervention to be broadly implemented. For the past decade, researchers and implementers have developed models of scale-up that move beyond earlier paradigms that assumed ideas and practices would successfully spread through a combination of publication, policy, training, and example. Drawing from the previously reported frameworks for scaling up health interventions and our experience in the USA and abroad, we describe a framework for taking health interventions to full scale, and we use two large-scale improvement initiatives in Africa to illustrate the framework in action. We first identified other scale-up approaches for comparison and analysis of common constructs by searching for systematic reviews of scale-up in health care, reviewing those bibliographies, speaking with experts, and reviewing common research databases (PubMed, Google Scholar) for papers in English from peer-reviewed and \"gray\" sources that discussed models, frameworks, or theories for scale-up from 2000 to 2014. We then analyzed the results of this external review in the context of the models and frameworks developed over the past 20 years by Associates in Process Improvement (API) and the Institute for Healthcare improvement (IHI). Finally, we reflected on two national-scale improvement initiatives that IHI had undertaken in Ghana and South Africa that were testing grounds for early iterations of the framework presented in this paper.\\n\\nRESULTS: The framework describes three core components: a sequence of activities that are required to get a program of work to full scale, the mechanisms that are required to facilitate the adoption of interventions, and the underlying factors and support systems required for successful scale-up. The four steps in the sequence include (1) Set-up, which prepares the ground for introduction and testing of the intervention that will be taken to full scale; (2) Develop the Scalable Unit, which is an early testing phase; (3) Test of Scale-up, which then tests the intervention in a variety of settings that are likely to represent different contexts that will be encountered at full scale; and (4) Go to Full Scale, which unfolds rapidly to enable a larger number of sites or divisions to adopt and/or replicate the intervention.\\n\\nCONCLUSIONS: Our framewor…","author":[{"dropping-particle":"","family":"Barker","given":"Pierre M.","non-dropping-particle":"","parse-names":false,"suffix":""},{"dropping-particle":"","family":"Reid","given":"Amy","non-dropping-particle":"","parse-names":false,"suffix":""},{"dropping-particle":"","family":"Schall","given":"Marie W.","non-dropping-particle":"","parse-names":false,"suffix":""}],"container-title":"Implementation Science","id":"ITEM-1","issue":"1","issued":{"date-parts":[["2016"]]},"page":"1-11","publisher":"Implementation Science","title":"A framework for scaling up health interventions: Lessons from large-scale improvement initiatives in Africa","type":"article-journal","volume":"11"},"uris":["http://www.mendeley.com/documents/?uuid=51e63540-12c2-4a2c-81b4-dd94475e32f2"]}],"mendeley":{"formattedCitation":"(9)","plainTextFormattedCitation":"(9)","previouslyFormattedCitation":"(8)"},"properties":{"noteIndex":0},"schema":"https://github.com/citation-style-language/schema/raw/master/csl-citation.json"}</w:instrText>
      </w:r>
      <w:r w:rsidR="00DF7DF0" w:rsidRPr="000F0A89">
        <w:rPr>
          <w:rFonts w:eastAsia="Times New Roman"/>
          <w:color w:val="000000" w:themeColor="text1"/>
          <w:shd w:val="clear" w:color="auto" w:fill="FFFFFF"/>
        </w:rPr>
        <w:fldChar w:fldCharType="separate"/>
      </w:r>
      <w:r w:rsidR="007E3818" w:rsidRPr="000F0A89">
        <w:rPr>
          <w:rFonts w:eastAsia="Times New Roman"/>
          <w:noProof/>
          <w:color w:val="000000" w:themeColor="text1"/>
          <w:shd w:val="clear" w:color="auto" w:fill="FFFFFF"/>
        </w:rPr>
        <w:t>(9)</w:t>
      </w:r>
      <w:r w:rsidR="00DF7DF0" w:rsidRPr="000F0A89">
        <w:rPr>
          <w:rFonts w:eastAsia="Times New Roman"/>
          <w:color w:val="000000" w:themeColor="text1"/>
          <w:shd w:val="clear" w:color="auto" w:fill="FFFFFF"/>
        </w:rPr>
        <w:fldChar w:fldCharType="end"/>
      </w:r>
      <w:r w:rsidR="00DC246F" w:rsidRPr="000F0A89">
        <w:rPr>
          <w:rFonts w:eastAsia="Times New Roman"/>
          <w:color w:val="000000" w:themeColor="text1"/>
          <w:shd w:val="clear" w:color="auto" w:fill="FFFFFF"/>
        </w:rPr>
        <w:t>.</w:t>
      </w:r>
      <w:r w:rsidR="0041690F" w:rsidRPr="000F0A89">
        <w:rPr>
          <w:rFonts w:eastAsia="Times New Roman"/>
          <w:color w:val="000000" w:themeColor="text1"/>
          <w:shd w:val="clear" w:color="auto" w:fill="FFFFFF"/>
        </w:rPr>
        <w:t xml:space="preserve">  </w:t>
      </w:r>
      <w:r w:rsidR="00D1690C" w:rsidRPr="000F0A89">
        <w:rPr>
          <w:color w:val="000000" w:themeColor="text1"/>
        </w:rPr>
        <w:t xml:space="preserve"> </w:t>
      </w:r>
    </w:p>
    <w:p w14:paraId="6E303E4C" w14:textId="1718B69D" w:rsidR="008D5D7E" w:rsidRPr="000F0A89" w:rsidRDefault="005C0325" w:rsidP="00931DA2">
      <w:pPr>
        <w:spacing w:line="276" w:lineRule="auto"/>
        <w:ind w:firstLine="720"/>
        <w:jc w:val="both"/>
        <w:rPr>
          <w:color w:val="000000" w:themeColor="text1"/>
        </w:rPr>
      </w:pPr>
      <w:r w:rsidRPr="000F0A89">
        <w:rPr>
          <w:color w:val="000000" w:themeColor="text1"/>
        </w:rPr>
        <w:t>There is</w:t>
      </w:r>
      <w:r w:rsidR="00D1690C" w:rsidRPr="000F0A89">
        <w:rPr>
          <w:color w:val="000000" w:themeColor="text1"/>
        </w:rPr>
        <w:t xml:space="preserve"> an increasing focus on </w:t>
      </w:r>
      <w:r w:rsidR="0089268E" w:rsidRPr="000F0A89">
        <w:rPr>
          <w:color w:val="000000" w:themeColor="text1"/>
        </w:rPr>
        <w:t>examining</w:t>
      </w:r>
      <w:r w:rsidRPr="000F0A89">
        <w:rPr>
          <w:color w:val="000000" w:themeColor="text1"/>
        </w:rPr>
        <w:t xml:space="preserve"> </w:t>
      </w:r>
      <w:r w:rsidR="0089268E" w:rsidRPr="000F0A89">
        <w:rPr>
          <w:color w:val="000000" w:themeColor="text1"/>
        </w:rPr>
        <w:t>how interventions</w:t>
      </w:r>
      <w:r w:rsidR="00D1690C" w:rsidRPr="000F0A89">
        <w:rPr>
          <w:color w:val="000000" w:themeColor="text1"/>
        </w:rPr>
        <w:t xml:space="preserve"> interact with </w:t>
      </w:r>
      <w:r w:rsidR="00FF2155" w:rsidRPr="000F0A89">
        <w:rPr>
          <w:color w:val="000000" w:themeColor="text1"/>
        </w:rPr>
        <w:t xml:space="preserve">the flux of </w:t>
      </w:r>
      <w:r w:rsidR="00FF2155" w:rsidRPr="000F0A89">
        <w:rPr>
          <w:iCs/>
          <w:color w:val="000000" w:themeColor="text1"/>
          <w:shd w:val="clear" w:color="auto" w:fill="FFFFFF"/>
        </w:rPr>
        <w:t>changing</w:t>
      </w:r>
      <w:r w:rsidR="00D1690C" w:rsidRPr="000F0A89">
        <w:rPr>
          <w:iCs/>
          <w:color w:val="000000" w:themeColor="text1"/>
          <w:shd w:val="clear" w:color="auto" w:fill="FFFFFF"/>
        </w:rPr>
        <w:t xml:space="preserve"> context</w:t>
      </w:r>
      <w:r w:rsidR="00FF2155" w:rsidRPr="000F0A89">
        <w:rPr>
          <w:iCs/>
          <w:color w:val="000000" w:themeColor="text1"/>
          <w:shd w:val="clear" w:color="auto" w:fill="FFFFFF"/>
        </w:rPr>
        <w:t>s</w:t>
      </w:r>
      <w:r w:rsidR="00DF7DF0" w:rsidRPr="000F0A89">
        <w:rPr>
          <w:iCs/>
          <w:color w:val="000000" w:themeColor="text1"/>
          <w:shd w:val="clear" w:color="auto" w:fill="FFFFFF"/>
        </w:rPr>
        <w:t xml:space="preserve"> </w:t>
      </w:r>
      <w:r w:rsidR="00DF7DF0" w:rsidRPr="000F0A89">
        <w:rPr>
          <w:iCs/>
          <w:color w:val="000000" w:themeColor="text1"/>
          <w:shd w:val="clear" w:color="auto" w:fill="FFFFFF"/>
        </w:rPr>
        <w:fldChar w:fldCharType="begin" w:fldLock="1"/>
      </w:r>
      <w:r w:rsidR="007E3818" w:rsidRPr="000F0A89">
        <w:rPr>
          <w:iCs/>
          <w:color w:val="000000" w:themeColor="text1"/>
          <w:shd w:val="clear" w:color="auto" w:fill="FFFFFF"/>
        </w:rPr>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science","type":"article-journal","volume":"4"},"uris":["http://www.mendeley.com/documents/?uuid=ae84dc09-2c20-48b5-b69a-8b763f2037a9"]},{"id":"ITEM-2","itemData":{"DOI":"10.1186/s12916-018-1089-4","ISBN":"1291601810894","ISSN":"17417015","abstract":"Complexity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author":[{"dropping-particle":"","family":"Greenhalgh","given":"Trisha","non-dropping-particle":"","parse-names":false,"suffix":""},{"dropping-particle":"","family":"Papoutsi","given":"Chrysanthi","non-dropping-particle":"","parse-names":false,"suffix":""}],"container-title":"BMC Medicine","id":"ITEM-2","issue":"1","issued":{"date-parts":[["2018"]]},"page":"4-9","publisher":"BMC Medicine","title":"Studying complexity in health services research: Desperately seeking an overdue paradigm shift","type":"article-journal","volume":"16"},"uris":["http://www.mendeley.com/documents/?uuid=4bb3e0e9-44ec-4bc0-818e-4d4250551bcf"]},{"id":"ITEM-3","itemData":{"DOI":"10.1186/1748-5908-8-96","ISSN":"17485908","abstract":"Background: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 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 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 © 2013 Cl…","author":[{"dropping-particle":"","family":"Clarke","given":"David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Science","id":"ITEM-3","issue":"1","issued":{"date-parts":[["2013"]]},"page":"1-15","publisher":"Implementation Science","title":"Implementing a training intervention to support caregivers after stroke: A process evaluation examining the initiation and embedding of programme change","type":"article-journal","volume":"8"},"uris":["http://www.mendeley.com/documents/?uuid=09f976ef-b371-4148-bc9a-f12ae0977015"]}],"mendeley":{"formattedCitation":"(1,3,10)","plainTextFormattedCitation":"(1,3,10)","previouslyFormattedCitation":"(1,3,9)"},"properties":{"noteIndex":0},"schema":"https://github.com/citation-style-language/schema/raw/master/csl-citation.json"}</w:instrText>
      </w:r>
      <w:r w:rsidR="00DF7DF0" w:rsidRPr="000F0A89">
        <w:rPr>
          <w:iCs/>
          <w:color w:val="000000" w:themeColor="text1"/>
          <w:shd w:val="clear" w:color="auto" w:fill="FFFFFF"/>
        </w:rPr>
        <w:fldChar w:fldCharType="separate"/>
      </w:r>
      <w:r w:rsidR="007E3818" w:rsidRPr="000F0A89">
        <w:rPr>
          <w:iCs/>
          <w:noProof/>
          <w:color w:val="000000" w:themeColor="text1"/>
          <w:shd w:val="clear" w:color="auto" w:fill="FFFFFF"/>
        </w:rPr>
        <w:t>(1,3,10)</w:t>
      </w:r>
      <w:r w:rsidR="00DF7DF0" w:rsidRPr="000F0A89">
        <w:rPr>
          <w:iCs/>
          <w:color w:val="000000" w:themeColor="text1"/>
          <w:shd w:val="clear" w:color="auto" w:fill="FFFFFF"/>
        </w:rPr>
        <w:fldChar w:fldCharType="end"/>
      </w:r>
      <w:r w:rsidR="0003667F" w:rsidRPr="000F0A89">
        <w:rPr>
          <w:iCs/>
          <w:color w:val="000000" w:themeColor="text1"/>
          <w:shd w:val="clear" w:color="auto" w:fill="FFFFFF"/>
        </w:rPr>
        <w:t>.</w:t>
      </w:r>
      <w:r w:rsidR="0003667F" w:rsidRPr="000F0A89">
        <w:rPr>
          <w:color w:val="000000" w:themeColor="text1"/>
        </w:rPr>
        <w:t xml:space="preserve"> </w:t>
      </w:r>
      <w:r w:rsidR="00DC2C73" w:rsidRPr="000F0A89">
        <w:rPr>
          <w:color w:val="000000" w:themeColor="text1"/>
        </w:rPr>
        <w:t xml:space="preserve"> </w:t>
      </w:r>
      <w:r w:rsidR="0036470B" w:rsidRPr="000F0A89">
        <w:rPr>
          <w:color w:val="000000" w:themeColor="text1"/>
        </w:rPr>
        <w:t xml:space="preserve">Pfadenhauer et al </w:t>
      </w:r>
      <w:r w:rsidR="00DF7DF0" w:rsidRPr="000F0A89">
        <w:rPr>
          <w:color w:val="000000" w:themeColor="text1"/>
        </w:rPr>
        <w:fldChar w:fldCharType="begin" w:fldLock="1"/>
      </w:r>
      <w:r w:rsidR="007E3818" w:rsidRPr="000F0A89">
        <w:rPr>
          <w:color w:val="000000" w:themeColor="text1"/>
        </w:rPr>
        <w:instrText>ADDIN CSL_CITATION {"citationItems":[{"id":"ITEM-1","itemData":{"DOI":"10.1186/s13012-017-0552-5","ISSN":"17485908","abstract":"© 2017 The Author(s). Background: 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 Methods: The Context and Implementation of Complex Interventions (CICI) framework was developed in an iterative manner and underwent extensive application. An initial framework based on a scoping review was tested in rapid assessments, revealing inconsistencies with respect to the underlying concepts. Thus, pragmatic utility concept analysis was undertaken to advance the concepts of context and implementation. Based on these findings, the framework was revised and applied in several systematic reviews, one health technology assessment (HTA) and one applicability assessment of very different complex interventions. Lessons learnt from these applications and from peer review were incorporated, resulting in the CICI framework. Results: The CICI framework comprises three dimensions-context, implementation and setting-which interact with one another and with the intervention dimension. Context comprises seven domains (i.e., geographical, epidemiological, socio-cultural, socio-economic, ethical, legal, political); implementation consists of five domains (i.e., implementation theory, process, strategies, agents and outcomes); setting refers to the specific physical location, in which the intervention is put into practise. The intervention and the way it is implemented in a given setting and context can occur on a micro, meso and macro level. Tools to operationalise the framework comprise a checklist, data extraction tools for qualitative and quantitative reviews and a consultation guide for applicability assessments. Conclusions: The CICI framework addresses and graphically presents context, implementation and setting in an integrated way. It aims at simplifying and structuring complexity in order to advance our understanding of whether and how interventions work. The framework can be applied in systematic reviews and HTA as well as primary research and facilitate comm…","author":[{"dropping-particle":"","family":"Pfadenhauer","given":"Lisa M.","non-dropping-particle":"","parse-names":false,"suffix":""},{"dropping-particle":"","family":"Gerhardus","given":"Ansgar","non-dropping-particle":"","parse-names":false,"suffix":""},{"dropping-particle":"","family":"Mozygemba","given":"Kati","non-dropping-particle":"","parse-names":false,"suffix":""},{"dropping-particle":"","family":"Lysdahl","given":"Kristin Bakke","non-dropping-particle":"","parse-names":false,"suffix":""},{"dropping-particle":"","family":"Booth","given":"Andrew","non-dropping-particle":"","parse-names":false,"suffix":""},{"dropping-particle":"","family":"Hofmann","given":"Bjørn","non-dropping-particle":"","parse-names":false,"suffix":""},{"dropping-particle":"","family":"Wahlster","given":"Philip","non-dropping-particle":"","parse-names":false,"suffix":""},{"dropping-particle":"","family":"Polus","given":"Stephanie","non-dropping-particle":"","parse-names":false,"suffix":""},{"dropping-particle":"","family":"Burns","given":"Jacob","non-dropping-particle":"","parse-names":false,"suffix":""},{"dropping-particle":"","family":"Brereton","given":"Louise","non-dropping-particle":"","parse-names":false,"suffix":""},{"dropping-particle":"","family":"Rehfuess","given":"Eva","non-dropping-particle":"","parse-names":false,"suffix":""}],"container-title":"Implementation Science","id":"ITEM-1","issue":"1","issued":{"date-parts":[["2017"]]},"page":"1-17","publisher":"Implementation Science","title":"Making sense of complexity in context and implementation: The Context and Implementation of Complex Interventions (CICI) framework","type":"article-journal","volume":"12"},"uris":["http://www.mendeley.com/documents/?uuid=3a99bc20-2274-44f5-ba49-69ff7c94ded6"]}],"mendeley":{"formattedCitation":"(11)","plainTextFormattedCitation":"(11)","previouslyFormattedCitation":"(10)"},"properties":{"noteIndex":0},"schema":"https://github.com/citation-style-language/schema/raw/master/csl-citation.json"}</w:instrText>
      </w:r>
      <w:r w:rsidR="00DF7DF0" w:rsidRPr="000F0A89">
        <w:rPr>
          <w:color w:val="000000" w:themeColor="text1"/>
        </w:rPr>
        <w:fldChar w:fldCharType="separate"/>
      </w:r>
      <w:r w:rsidR="007E3818" w:rsidRPr="000F0A89">
        <w:rPr>
          <w:noProof/>
          <w:color w:val="000000" w:themeColor="text1"/>
        </w:rPr>
        <w:t>(11)</w:t>
      </w:r>
      <w:r w:rsidR="00DF7DF0" w:rsidRPr="000F0A89">
        <w:rPr>
          <w:color w:val="000000" w:themeColor="text1"/>
        </w:rPr>
        <w:fldChar w:fldCharType="end"/>
      </w:r>
      <w:r w:rsidR="00DF7DF0" w:rsidRPr="000F0A89">
        <w:rPr>
          <w:color w:val="000000" w:themeColor="text1"/>
        </w:rPr>
        <w:t xml:space="preserve"> </w:t>
      </w:r>
      <w:r w:rsidR="0089268E" w:rsidRPr="000F0A89">
        <w:rPr>
          <w:color w:val="000000" w:themeColor="text1"/>
        </w:rPr>
        <w:t>view</w:t>
      </w:r>
      <w:r w:rsidR="002F03EC" w:rsidRPr="000F0A89">
        <w:rPr>
          <w:color w:val="000000" w:themeColor="text1"/>
        </w:rPr>
        <w:t xml:space="preserve"> </w:t>
      </w:r>
      <w:r w:rsidR="0089268E" w:rsidRPr="000F0A89">
        <w:rPr>
          <w:color w:val="000000" w:themeColor="text1"/>
        </w:rPr>
        <w:t>co</w:t>
      </w:r>
      <w:r w:rsidR="002F03EC" w:rsidRPr="000F0A89">
        <w:rPr>
          <w:color w:val="000000" w:themeColor="text1"/>
        </w:rPr>
        <w:t xml:space="preserve">ntext as </w:t>
      </w:r>
      <w:r w:rsidR="0039029B" w:rsidRPr="000F0A89">
        <w:rPr>
          <w:color w:val="000000" w:themeColor="text1"/>
        </w:rPr>
        <w:t xml:space="preserve">the </w:t>
      </w:r>
      <w:r w:rsidR="0039029B" w:rsidRPr="000F0A89">
        <w:rPr>
          <w:iCs/>
          <w:color w:val="000000" w:themeColor="text1"/>
        </w:rPr>
        <w:t>set of active unique characteristics and circumstances surrounding implementation</w:t>
      </w:r>
      <w:r w:rsidR="0074593B" w:rsidRPr="000F0A89">
        <w:rPr>
          <w:iCs/>
          <w:color w:val="000000" w:themeColor="text1"/>
        </w:rPr>
        <w:t xml:space="preserve"> </w:t>
      </w:r>
      <w:r w:rsidR="0089268E" w:rsidRPr="000F0A89">
        <w:rPr>
          <w:iCs/>
          <w:color w:val="000000" w:themeColor="text1"/>
        </w:rPr>
        <w:t xml:space="preserve">that </w:t>
      </w:r>
      <w:r w:rsidR="002F03EC" w:rsidRPr="000F0A89">
        <w:rPr>
          <w:iCs/>
          <w:color w:val="000000" w:themeColor="text1"/>
        </w:rPr>
        <w:t>hold the capacity to modify</w:t>
      </w:r>
      <w:r w:rsidR="006365B8" w:rsidRPr="000F0A89">
        <w:rPr>
          <w:iCs/>
          <w:color w:val="000000" w:themeColor="text1"/>
        </w:rPr>
        <w:t>,</w:t>
      </w:r>
      <w:r w:rsidR="002F03EC" w:rsidRPr="000F0A89">
        <w:rPr>
          <w:iCs/>
          <w:color w:val="000000" w:themeColor="text1"/>
        </w:rPr>
        <w:t xml:space="preserve"> facilitate or inhibit the implementation of an intervention</w:t>
      </w:r>
      <w:r w:rsidR="002F03EC" w:rsidRPr="000F0A89">
        <w:rPr>
          <w:i/>
          <w:iCs/>
          <w:color w:val="000000" w:themeColor="text1"/>
        </w:rPr>
        <w:t>.</w:t>
      </w:r>
      <w:r w:rsidR="00931DA2" w:rsidRPr="000F0A89">
        <w:rPr>
          <w:i/>
          <w:iCs/>
          <w:color w:val="000000" w:themeColor="text1"/>
        </w:rPr>
        <w:t xml:space="preserve"> </w:t>
      </w:r>
      <w:r w:rsidR="000407B8" w:rsidRPr="000F0A89">
        <w:rPr>
          <w:color w:val="000000" w:themeColor="text1"/>
        </w:rPr>
        <w:t>Complex systems as in the case of open syst</w:t>
      </w:r>
      <w:r w:rsidR="000407B8" w:rsidRPr="000F0A89">
        <w:rPr>
          <w:rFonts w:cstheme="minorHAnsi"/>
          <w:color w:val="000000" w:themeColor="text1"/>
        </w:rPr>
        <w:t xml:space="preserve">ems are </w:t>
      </w:r>
      <w:r w:rsidR="00F032C8" w:rsidRPr="000F0A89">
        <w:rPr>
          <w:rFonts w:cstheme="minorHAnsi"/>
          <w:color w:val="000000" w:themeColor="text1"/>
        </w:rPr>
        <w:t xml:space="preserve">characteristically </w:t>
      </w:r>
      <w:r w:rsidR="000407B8" w:rsidRPr="000F0A89">
        <w:rPr>
          <w:rFonts w:cstheme="minorHAnsi"/>
          <w:color w:val="000000" w:themeColor="text1"/>
        </w:rPr>
        <w:t>unpredictable, unstable and constantly unfolding</w:t>
      </w:r>
      <w:r w:rsidR="00DF7DF0" w:rsidRPr="000F0A89">
        <w:rPr>
          <w:rFonts w:cstheme="minorHAnsi"/>
          <w:color w:val="000000" w:themeColor="text1"/>
        </w:rPr>
        <w:t xml:space="preserve"> </w:t>
      </w:r>
      <w:r w:rsidR="003A3831" w:rsidRPr="000F0A89">
        <w:rPr>
          <w:rFonts w:cstheme="minorHAnsi"/>
          <w:color w:val="000000" w:themeColor="text1"/>
        </w:rPr>
        <w:fldChar w:fldCharType="begin" w:fldLock="1"/>
      </w:r>
      <w:r w:rsidR="007E3818" w:rsidRPr="000F0A89">
        <w:rPr>
          <w:rFonts w:cstheme="minorHAnsi"/>
          <w:color w:val="000000" w:themeColor="text1"/>
        </w:rPr>
        <w:instrText>ADDIN CSL_CITATION {"citationItems":[{"id":"ITEM-1","itemData":{"author":[{"dropping-particle":"","family":"Cohn","given":"S.","non-dropping-particle":"","parse-names":false,"suffix":""},{"dropping-particle":"","family":"Clinch","given":"M","non-dropping-particle":"","parse-names":false,"suffix":""},{"dropping-particle":"","family":"Bunn","given":"C","non-dropping-particle":"","parse-names":false,"suffix":""},{"dropping-particle":"","family":"Stronge","given":"P","non-dropping-particle":"","parse-names":false,"suffix":""}],"container-title":"Journal of Health Services Research &amp; Policy,","id":"ITEM-1","issue":"1","issued":{"date-parts":[["2013"]]},"page":"40-43","title":"Entangled complexity: Why complex interventions are just not complicated enough.","type":"article-journal","volume":"18"},"uris":["http://www.mendeley.com/documents/?uuid=09062491-1321-4d29-b309-c2952c2cf6fe"]}],"mendeley":{"formattedCitation":"(12)","plainTextFormattedCitation":"(12)","previouslyFormattedCitation":"(11)"},"properties":{"noteIndex":0},"schema":"https://github.com/citation-style-language/schema/raw/master/csl-citation.json"}</w:instrText>
      </w:r>
      <w:r w:rsidR="003A3831" w:rsidRPr="000F0A89">
        <w:rPr>
          <w:rFonts w:cstheme="minorHAnsi"/>
          <w:color w:val="000000" w:themeColor="text1"/>
        </w:rPr>
        <w:fldChar w:fldCharType="separate"/>
      </w:r>
      <w:r w:rsidR="007E3818" w:rsidRPr="000F0A89">
        <w:rPr>
          <w:rFonts w:cstheme="minorHAnsi"/>
          <w:noProof/>
          <w:color w:val="000000" w:themeColor="text1"/>
        </w:rPr>
        <w:t>(12)</w:t>
      </w:r>
      <w:r w:rsidR="003A3831" w:rsidRPr="000F0A89">
        <w:rPr>
          <w:rFonts w:cstheme="minorHAnsi"/>
          <w:color w:val="000000" w:themeColor="text1"/>
        </w:rPr>
        <w:fldChar w:fldCharType="end"/>
      </w:r>
      <w:r w:rsidR="000407B8" w:rsidRPr="000F0A89">
        <w:rPr>
          <w:rFonts w:cstheme="minorHAnsi"/>
          <w:color w:val="000000" w:themeColor="text1"/>
          <w:shd w:val="clear" w:color="auto" w:fill="FFFFFF"/>
        </w:rPr>
        <w:t>, and they adapt, interact and co-evolve with other local systems</w:t>
      </w:r>
      <w:r w:rsidR="00DF7DF0" w:rsidRPr="000F0A89">
        <w:rPr>
          <w:rFonts w:cstheme="minorHAnsi"/>
          <w:color w:val="000000" w:themeColor="text1"/>
          <w:shd w:val="clear" w:color="auto" w:fill="FFFFFF"/>
        </w:rPr>
        <w:t xml:space="preserve"> </w:t>
      </w:r>
      <w:r w:rsidR="00DF7DF0" w:rsidRPr="000F0A89">
        <w:rPr>
          <w:rFonts w:cstheme="minorHAnsi"/>
          <w:color w:val="000000" w:themeColor="text1"/>
          <w:shd w:val="clear" w:color="auto" w:fill="FFFFFF"/>
        </w:rPr>
        <w:fldChar w:fldCharType="begin" w:fldLock="1"/>
      </w:r>
      <w:r w:rsidR="003068DF" w:rsidRPr="000F0A89">
        <w:rPr>
          <w:rFonts w:cstheme="minorHAnsi"/>
          <w:color w:val="000000" w:themeColor="text1"/>
          <w:shd w:val="clear" w:color="auto" w:fill="FFFFFF"/>
        </w:rPr>
        <w:instrText>ADDIN CSL_CITATION {"citationItems":[{"id":"ITEM-1","itemData":{"DOI":"10.1186/s12916-018-1089-4","ISBN":"1291601810894","ISSN":"17417015","abstract":"Complexity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author":[{"dropping-particle":"","family":"Greenhalgh","given":"Trisha","non-dropping-particle":"","parse-names":false,"suffix":""},{"dropping-particle":"","family":"Papoutsi","given":"Chrysanthi","non-dropping-particle":"","parse-names":false,"suffix":""}],"container-title":"BMC Medicine","id":"ITEM-1","issue":"1","issued":{"date-parts":[["2018"]]},"page":"4-9","publisher":"BMC Medicine","title":"Studying complexity in health services research: Desperately seeking an overdue paradigm shift","type":"article-journal","volume":"16"},"uris":["http://www.mendeley.com/documents/?uuid=4bb3e0e9-44ec-4bc0-818e-4d4250551bcf"]}],"mendeley":{"formattedCitation":"(1)","plainTextFormattedCitation":"(1)","previouslyFormattedCitation":"(1)"},"properties":{"noteIndex":0},"schema":"https://github.com/citation-style-language/schema/raw/master/csl-citation.json"}</w:instrText>
      </w:r>
      <w:r w:rsidR="00DF7DF0" w:rsidRPr="000F0A89">
        <w:rPr>
          <w:rFonts w:cstheme="minorHAnsi"/>
          <w:color w:val="000000" w:themeColor="text1"/>
          <w:shd w:val="clear" w:color="auto" w:fill="FFFFFF"/>
        </w:rPr>
        <w:fldChar w:fldCharType="separate"/>
      </w:r>
      <w:r w:rsidR="00DF7DF0" w:rsidRPr="000F0A89">
        <w:rPr>
          <w:rFonts w:cstheme="minorHAnsi"/>
          <w:noProof/>
          <w:color w:val="000000" w:themeColor="text1"/>
          <w:shd w:val="clear" w:color="auto" w:fill="FFFFFF"/>
        </w:rPr>
        <w:t>(1)</w:t>
      </w:r>
      <w:r w:rsidR="00DF7DF0" w:rsidRPr="000F0A89">
        <w:rPr>
          <w:rFonts w:cstheme="minorHAnsi"/>
          <w:color w:val="000000" w:themeColor="text1"/>
          <w:shd w:val="clear" w:color="auto" w:fill="FFFFFF"/>
        </w:rPr>
        <w:fldChar w:fldCharType="end"/>
      </w:r>
      <w:r w:rsidR="000407B8" w:rsidRPr="000F0A89">
        <w:rPr>
          <w:color w:val="000000" w:themeColor="text1"/>
          <w:shd w:val="clear" w:color="auto" w:fill="FFFFFF"/>
        </w:rPr>
        <w:t xml:space="preserve">. </w:t>
      </w:r>
      <w:r w:rsidR="002F03EC" w:rsidRPr="000F0A89">
        <w:rPr>
          <w:color w:val="000000" w:themeColor="text1"/>
        </w:rPr>
        <w:t xml:space="preserve">Viewing </w:t>
      </w:r>
      <w:r w:rsidR="002F03EC" w:rsidRPr="000F0A89">
        <w:rPr>
          <w:rFonts w:eastAsia="Times New Roman"/>
          <w:color w:val="000000" w:themeColor="text1"/>
          <w:shd w:val="clear" w:color="auto" w:fill="FFFFFF"/>
        </w:rPr>
        <w:t>c</w:t>
      </w:r>
      <w:r w:rsidR="00DC6E32" w:rsidRPr="000F0A89">
        <w:rPr>
          <w:rFonts w:eastAsia="Times New Roman"/>
          <w:color w:val="000000" w:themeColor="text1"/>
          <w:shd w:val="clear" w:color="auto" w:fill="FFFFFF"/>
        </w:rPr>
        <w:t>ontext and implementation</w:t>
      </w:r>
      <w:r w:rsidR="002F03EC" w:rsidRPr="000F0A89">
        <w:rPr>
          <w:rFonts w:eastAsia="Times New Roman"/>
          <w:color w:val="000000" w:themeColor="text1"/>
          <w:shd w:val="clear" w:color="auto" w:fill="FFFFFF"/>
        </w:rPr>
        <w:t xml:space="preserve"> in an </w:t>
      </w:r>
      <w:r w:rsidR="00DC6E32" w:rsidRPr="000F0A89">
        <w:rPr>
          <w:rFonts w:eastAsia="Times New Roman"/>
          <w:color w:val="000000" w:themeColor="text1"/>
          <w:shd w:val="clear" w:color="auto" w:fill="FFFFFF"/>
        </w:rPr>
        <w:t>integrat</w:t>
      </w:r>
      <w:r w:rsidR="002F03EC" w:rsidRPr="000F0A89">
        <w:rPr>
          <w:rFonts w:eastAsia="Times New Roman"/>
          <w:color w:val="000000" w:themeColor="text1"/>
          <w:shd w:val="clear" w:color="auto" w:fill="FFFFFF"/>
        </w:rPr>
        <w:t>ive</w:t>
      </w:r>
      <w:r w:rsidR="00DC6E32" w:rsidRPr="000F0A89">
        <w:rPr>
          <w:rFonts w:eastAsia="Times New Roman"/>
          <w:color w:val="000000" w:themeColor="text1"/>
          <w:shd w:val="clear" w:color="auto" w:fill="FFFFFF"/>
        </w:rPr>
        <w:t xml:space="preserve"> way</w:t>
      </w:r>
      <w:r w:rsidR="006365B8" w:rsidRPr="000F0A89">
        <w:rPr>
          <w:rFonts w:eastAsia="Times New Roman"/>
          <w:color w:val="000000" w:themeColor="text1"/>
          <w:shd w:val="clear" w:color="auto" w:fill="FFFFFF"/>
        </w:rPr>
        <w:t> coalesces</w:t>
      </w:r>
      <w:r w:rsidR="002F03EC" w:rsidRPr="000F0A89">
        <w:rPr>
          <w:rFonts w:eastAsia="Times New Roman"/>
          <w:color w:val="000000" w:themeColor="text1"/>
          <w:shd w:val="clear" w:color="auto" w:fill="FFFFFF"/>
        </w:rPr>
        <w:t xml:space="preserve"> with the notion that </w:t>
      </w:r>
      <w:r w:rsidR="002F03EC" w:rsidRPr="000F0A89">
        <w:rPr>
          <w:iCs/>
          <w:color w:val="000000" w:themeColor="text1"/>
        </w:rPr>
        <w:t>fl</w:t>
      </w:r>
      <w:r w:rsidR="005D028D" w:rsidRPr="000F0A89">
        <w:rPr>
          <w:color w:val="000000" w:themeColor="text1"/>
        </w:rPr>
        <w:t>exibility</w:t>
      </w:r>
      <w:r w:rsidR="00931DA2" w:rsidRPr="000F0A89">
        <w:rPr>
          <w:color w:val="000000" w:themeColor="text1"/>
        </w:rPr>
        <w:t xml:space="preserve"> </w:t>
      </w:r>
      <w:r w:rsidR="005D028D" w:rsidRPr="000F0A89">
        <w:rPr>
          <w:color w:val="000000" w:themeColor="text1"/>
        </w:rPr>
        <w:t>is required to support implementation</w:t>
      </w:r>
      <w:r w:rsidR="006365B8" w:rsidRPr="000F0A89">
        <w:rPr>
          <w:color w:val="000000" w:themeColor="text1"/>
        </w:rPr>
        <w:t>,</w:t>
      </w:r>
      <w:r w:rsidR="00DE175A" w:rsidRPr="000F0A89">
        <w:rPr>
          <w:color w:val="000000" w:themeColor="text1"/>
        </w:rPr>
        <w:t xml:space="preserve"> and that alignment between context and intervention</w:t>
      </w:r>
      <w:r w:rsidR="006365B8" w:rsidRPr="000F0A89">
        <w:rPr>
          <w:color w:val="000000" w:themeColor="text1"/>
        </w:rPr>
        <w:t xml:space="preserve"> is achieved</w:t>
      </w:r>
      <w:r w:rsidR="007F63A1" w:rsidRPr="000F0A89">
        <w:rPr>
          <w:color w:val="000000" w:themeColor="text1"/>
        </w:rPr>
        <w:t xml:space="preserve"> with</w:t>
      </w:r>
      <w:r w:rsidR="00DE175A" w:rsidRPr="000F0A89">
        <w:t xml:space="preserve"> flexibility within each component</w:t>
      </w:r>
      <w:r w:rsidR="003068DF" w:rsidRPr="000F0A89">
        <w:t xml:space="preserve"> </w:t>
      </w:r>
      <w:r w:rsidR="003068DF" w:rsidRPr="000F0A89">
        <w:fldChar w:fldCharType="begin" w:fldLock="1"/>
      </w:r>
      <w:r w:rsidR="007E3818" w:rsidRPr="000F0A89">
        <w:instrText>ADDIN CSL_CITATION {"citationItems":[{"id":"ITEM-1","itemData":{"DOI":"10.1186/1748-5908-8-117","ISSN":"17485908","abstract":"BACKGROUND: Despite growth in implementation research, limited scientific attention has focused on understanding and improving sustainability of health interventions. Models of sustainability have been evolving to reflect challenges in the fit between intervention and context.\\n\\nDISCUSSION: We examine the development of concepts of sustainability, and respond to two frequent assumptions -'voltage drop,' whereby interventions are expected to yield lower benefits as they move from efficacy to effectiveness to implementation and sustainability, and 'program drift,' whereby deviation from manualized protocols is assumed to decrease benefit. We posit that these assumptions limit opportunities to improve care, and instead argue for understanding the changing context of healthcare to continuously refine and improve interventions as they are sustained. Sustainability has evolved from being considered as the endgame of a translational research process to a suggested 'adaptation phase' that integrates and institutionalizes interventions within local organizational and cultural contexts. These recent approaches locate sustainability in the implementation phase of knowledge transfer, but still do not address intervention improvement as a central theme. We propose a Dynamic Sustainability Framework that involves: continued learning and problem solving, ongoing adaptation of interventions with a primary focus on fit between interventions and multi-level contexts, and expectations for ongoing improvement as opposed to diminishing outcomes over time.\\n\\nSUMMARY: A Dynamic Sustainability Framework provides a foundation for research, policy and practice that supports development and testing of falsifiable hypotheses and continued learning to advance the implementation, transportability and impact of health services research.","author":[{"dropping-particle":"","family":"Chambers","given":"David A.","non-dropping-particle":"","parse-names":false,"suffix":""},{"dropping-particle":"","family":"Glasgow","given":"Russell E.","non-dropping-particle":"","parse-names":false,"suffix":""},{"dropping-particle":"","family":"Stange","given":"Kurt C.","non-dropping-particle":"","parse-names":false,"suffix":""}],"container-title":"Implementation Science","id":"ITEM-1","issue":"1","issued":{"date-parts":[["2013"]]},"page":"1-11","title":"The dynamic sustainability framework: Addressing the paradox of sustainment amid ongoing change","type":"article-journal","volume":"8"},"uris":["http://www.mendeley.com/documents/?uuid=df380dfc-5b83-45a8-9b99-ebfb7e776222"]}],"mendeley":{"formattedCitation":"(13)","plainTextFormattedCitation":"(13)","previouslyFormattedCitation":"(12)"},"properties":{"noteIndex":0},"schema":"https://github.com/citation-style-language/schema/raw/master/csl-citation.json"}</w:instrText>
      </w:r>
      <w:r w:rsidR="003068DF" w:rsidRPr="000F0A89">
        <w:fldChar w:fldCharType="separate"/>
      </w:r>
      <w:r w:rsidR="007E3818" w:rsidRPr="000F0A89">
        <w:rPr>
          <w:noProof/>
        </w:rPr>
        <w:t>(13)</w:t>
      </w:r>
      <w:r w:rsidR="003068DF" w:rsidRPr="000F0A89">
        <w:fldChar w:fldCharType="end"/>
      </w:r>
      <w:r w:rsidR="005D028D" w:rsidRPr="000F0A89">
        <w:t>.</w:t>
      </w:r>
      <w:r w:rsidR="00DE175A" w:rsidRPr="000F0A89">
        <w:t xml:space="preserve"> </w:t>
      </w:r>
    </w:p>
    <w:p w14:paraId="086FAD10" w14:textId="5A8F0E53" w:rsidR="009C7B15" w:rsidRPr="000F0A89" w:rsidRDefault="001A44C0" w:rsidP="00C64F70">
      <w:pPr>
        <w:spacing w:line="276" w:lineRule="auto"/>
        <w:jc w:val="both"/>
        <w:rPr>
          <w:color w:val="000000" w:themeColor="text1"/>
        </w:rPr>
      </w:pPr>
      <w:r w:rsidRPr="000F0A89">
        <w:t xml:space="preserve"> </w:t>
      </w:r>
      <w:r w:rsidR="00931DA2" w:rsidRPr="000F0A89">
        <w:tab/>
      </w:r>
      <w:r w:rsidR="0039029B" w:rsidRPr="000F0A89">
        <w:t>Engaging</w:t>
      </w:r>
      <w:r w:rsidR="0089268E" w:rsidRPr="000F0A89">
        <w:t xml:space="preserve"> </w:t>
      </w:r>
      <w:r w:rsidR="00D1690C" w:rsidRPr="000F0A89">
        <w:t xml:space="preserve">in </w:t>
      </w:r>
      <w:r w:rsidRPr="000F0A89">
        <w:t xml:space="preserve">pre-implementation work </w:t>
      </w:r>
      <w:r w:rsidR="00AC3CD1" w:rsidRPr="000F0A89">
        <w:t>offers</w:t>
      </w:r>
      <w:r w:rsidR="0089268E" w:rsidRPr="000F0A89">
        <w:t xml:space="preserve"> </w:t>
      </w:r>
      <w:r w:rsidR="00AC3CD1" w:rsidRPr="000F0A89">
        <w:t>opportunit</w:t>
      </w:r>
      <w:r w:rsidR="00DE175A" w:rsidRPr="000F0A89">
        <w:t>ies</w:t>
      </w:r>
      <w:r w:rsidR="00AC3CD1" w:rsidRPr="000F0A89">
        <w:t xml:space="preserve"> for</w:t>
      </w:r>
      <w:r w:rsidRPr="000F0A89">
        <w:t xml:space="preserve"> </w:t>
      </w:r>
      <w:r w:rsidR="008D5D7E" w:rsidRPr="000F0A89">
        <w:t xml:space="preserve">tracking </w:t>
      </w:r>
      <w:r w:rsidR="00931DA2" w:rsidRPr="000F0A89">
        <w:t>this</w:t>
      </w:r>
      <w:r w:rsidR="008D5D7E" w:rsidRPr="000F0A89">
        <w:t xml:space="preserve"> </w:t>
      </w:r>
      <w:r w:rsidR="006365B8" w:rsidRPr="000F0A89">
        <w:t>evolution</w:t>
      </w:r>
      <w:r w:rsidR="00931DA2" w:rsidRPr="000F0A89">
        <w:t>,</w:t>
      </w:r>
      <w:r w:rsidR="006365B8" w:rsidRPr="000F0A89">
        <w:t xml:space="preserve"> </w:t>
      </w:r>
      <w:r w:rsidR="00931DA2" w:rsidRPr="000F0A89">
        <w:t xml:space="preserve">the results of which </w:t>
      </w:r>
      <w:r w:rsidR="008D5D7E" w:rsidRPr="000F0A89">
        <w:t xml:space="preserve">can be an aid </w:t>
      </w:r>
      <w:r w:rsidR="00931DA2" w:rsidRPr="000F0A89">
        <w:t>to encourag</w:t>
      </w:r>
      <w:r w:rsidR="00B651FD" w:rsidRPr="000F0A89">
        <w:t>e</w:t>
      </w:r>
      <w:r w:rsidR="008D5D7E" w:rsidRPr="000F0A89">
        <w:t xml:space="preserve"> </w:t>
      </w:r>
      <w:r w:rsidRPr="000F0A89">
        <w:t>successful implementation</w:t>
      </w:r>
      <w:r w:rsidR="00D1690C" w:rsidRPr="000F0A89">
        <w:t xml:space="preserve"> and </w:t>
      </w:r>
      <w:r w:rsidRPr="000F0A89">
        <w:t>sustainability</w:t>
      </w:r>
      <w:r w:rsidR="00C05CD1" w:rsidRPr="000F0A89">
        <w:t xml:space="preserve"> </w:t>
      </w:r>
      <w:r w:rsidR="00C05CD1" w:rsidRPr="000F0A89">
        <w:fldChar w:fldCharType="begin" w:fldLock="1"/>
      </w:r>
      <w:r w:rsidR="007E3818" w:rsidRPr="000F0A89">
        <w:instrText>ADDIN CSL_CITATION {"citationItems":[{"id":"ITEM-1","itemData":{"DOI":"10.1186/1748-5908-8-117","ISSN":"17485908","abstract":"BACKGROUND: Despite growth in implementation research, limited scientific attention has focused on understanding and improving sustainability of health interventions. Models of sustainability have been evolving to reflect challenges in the fit between intervention and context.\\n\\nDISCUSSION: We examine the development of concepts of sustainability, and respond to two frequent assumptions -'voltage drop,' whereby interventions are expected to yield lower benefits as they move from efficacy to effectiveness to implementation and sustainability, and 'program drift,' whereby deviation from manualized protocols is assumed to decrease benefit. We posit that these assumptions limit opportunities to improve care, and instead argue for understanding the changing context of healthcare to continuously refine and improve interventions as they are sustained. Sustainability has evolved from being considered as the endgame of a translational research process to a suggested 'adaptation phase' that integrates and institutionalizes interventions within local organizational and cultural contexts. These recent approaches locate sustainability in the implementation phase of knowledge transfer, but still do not address intervention improvement as a central theme. We propose a Dynamic Sustainability Framework that involves: continued learning and problem solving, ongoing adaptation of interventions with a primary focus on fit between interventions and multi-level contexts, and expectations for ongoing improvement as opposed to diminishing outcomes over time.\\n\\nSUMMARY: A Dynamic Sustainability Framework provides a foundation for research, policy and practice that supports development and testing of falsifiable hypotheses and continued learning to advance the implementation, transportability and impact of health services research.","author":[{"dropping-particle":"","family":"Chambers","given":"David A.","non-dropping-particle":"","parse-names":false,"suffix":""},{"dropping-particle":"","family":"Glasgow","given":"Russell E.","non-dropping-particle":"","parse-names":false,"suffix":""},{"dropping-particle":"","family":"Stange","given":"Kurt C.","non-dropping-particle":"","parse-names":false,"suffix":""}],"container-title":"Implementation Science","id":"ITEM-1","issue":"1","issued":{"date-parts":[["2013"]]},"page":"1-11","title":"The dynamic sustainability framework: Addressing the paradox of sustainment amid ongoing change","type":"article-journal","volume":"8"},"uris":["http://www.mendeley.com/documents/?uuid=df380dfc-5b83-45a8-9b99-ebfb7e776222"]}],"mendeley":{"formattedCitation":"(13)","plainTextFormattedCitation":"(13)","previouslyFormattedCitation":"(12)"},"properties":{"noteIndex":0},"schema":"https://github.com/citation-style-language/schema/raw/master/csl-citation.json"}</w:instrText>
      </w:r>
      <w:r w:rsidR="00C05CD1" w:rsidRPr="000F0A89">
        <w:fldChar w:fldCharType="separate"/>
      </w:r>
      <w:r w:rsidR="007E3818" w:rsidRPr="000F0A89">
        <w:rPr>
          <w:noProof/>
        </w:rPr>
        <w:t>(13)</w:t>
      </w:r>
      <w:r w:rsidR="00C05CD1" w:rsidRPr="000F0A89">
        <w:fldChar w:fldCharType="end"/>
      </w:r>
      <w:r w:rsidRPr="000F0A89">
        <w:rPr>
          <w:color w:val="000000" w:themeColor="text1"/>
        </w:rPr>
        <w:t xml:space="preserve">. </w:t>
      </w:r>
      <w:r w:rsidR="00DE175A" w:rsidRPr="000F0A89">
        <w:rPr>
          <w:color w:val="000000" w:themeColor="text1"/>
        </w:rPr>
        <w:t>O</w:t>
      </w:r>
      <w:r w:rsidR="005D028D" w:rsidRPr="000F0A89">
        <w:rPr>
          <w:color w:val="000000" w:themeColor="text1"/>
        </w:rPr>
        <w:t>ur focus</w:t>
      </w:r>
      <w:r w:rsidR="00A43942" w:rsidRPr="000F0A89">
        <w:rPr>
          <w:color w:val="000000" w:themeColor="text1"/>
        </w:rPr>
        <w:t xml:space="preserve"> here</w:t>
      </w:r>
      <w:r w:rsidR="005D028D" w:rsidRPr="000F0A89">
        <w:rPr>
          <w:color w:val="000000" w:themeColor="text1"/>
        </w:rPr>
        <w:t xml:space="preserve"> is </w:t>
      </w:r>
      <w:r w:rsidR="00DE175A" w:rsidRPr="000F0A89">
        <w:rPr>
          <w:color w:val="000000" w:themeColor="text1"/>
        </w:rPr>
        <w:t>on</w:t>
      </w:r>
      <w:r w:rsidR="00EA1927" w:rsidRPr="000F0A89">
        <w:rPr>
          <w:color w:val="000000" w:themeColor="text1"/>
        </w:rPr>
        <w:t xml:space="preserve"> better understand</w:t>
      </w:r>
      <w:r w:rsidR="00DE175A" w:rsidRPr="000F0A89">
        <w:rPr>
          <w:color w:val="000000" w:themeColor="text1"/>
        </w:rPr>
        <w:t>ing</w:t>
      </w:r>
      <w:r w:rsidR="00DC3A60" w:rsidRPr="000F0A89">
        <w:rPr>
          <w:color w:val="000000" w:themeColor="text1"/>
        </w:rPr>
        <w:t xml:space="preserve"> of</w:t>
      </w:r>
      <w:r w:rsidR="00EA1927" w:rsidRPr="000F0A89">
        <w:rPr>
          <w:color w:val="000000" w:themeColor="text1"/>
        </w:rPr>
        <w:t xml:space="preserve"> the </w:t>
      </w:r>
      <w:r w:rsidR="00C42586" w:rsidRPr="000F0A89">
        <w:rPr>
          <w:color w:val="000000" w:themeColor="text1"/>
        </w:rPr>
        <w:t xml:space="preserve">organisational </w:t>
      </w:r>
      <w:r w:rsidR="00931DA2" w:rsidRPr="000F0A89">
        <w:rPr>
          <w:color w:val="000000" w:themeColor="text1"/>
        </w:rPr>
        <w:t>arrangements and work</w:t>
      </w:r>
      <w:r w:rsidR="00EA1927" w:rsidRPr="000F0A89">
        <w:rPr>
          <w:color w:val="000000" w:themeColor="text1"/>
        </w:rPr>
        <w:t xml:space="preserve"> </w:t>
      </w:r>
      <w:r w:rsidR="00BA50E1" w:rsidRPr="000F0A89">
        <w:rPr>
          <w:color w:val="000000" w:themeColor="text1"/>
        </w:rPr>
        <w:t>required prior</w:t>
      </w:r>
      <w:r w:rsidR="009C7B15" w:rsidRPr="000F0A89">
        <w:rPr>
          <w:color w:val="000000" w:themeColor="text1"/>
        </w:rPr>
        <w:t xml:space="preserve"> to</w:t>
      </w:r>
      <w:r w:rsidR="00EA1927" w:rsidRPr="000F0A89">
        <w:rPr>
          <w:color w:val="000000" w:themeColor="text1"/>
        </w:rPr>
        <w:t xml:space="preserve"> </w:t>
      </w:r>
      <w:r w:rsidR="00A9493D" w:rsidRPr="000F0A89">
        <w:rPr>
          <w:color w:val="000000" w:themeColor="text1"/>
        </w:rPr>
        <w:t xml:space="preserve">the </w:t>
      </w:r>
      <w:r w:rsidR="00EA1927" w:rsidRPr="000F0A89">
        <w:rPr>
          <w:color w:val="000000" w:themeColor="text1"/>
        </w:rPr>
        <w:t>implementation</w:t>
      </w:r>
      <w:r w:rsidR="00C42586" w:rsidRPr="000F0A89">
        <w:rPr>
          <w:color w:val="000000" w:themeColor="text1"/>
        </w:rPr>
        <w:t xml:space="preserve"> of an intervention</w:t>
      </w:r>
      <w:r w:rsidR="00931DA2" w:rsidRPr="000F0A89">
        <w:rPr>
          <w:color w:val="000000" w:themeColor="text1"/>
        </w:rPr>
        <w:t xml:space="preserve">. </w:t>
      </w:r>
      <w:r w:rsidR="009C7B15" w:rsidRPr="000F0A89">
        <w:rPr>
          <w:color w:val="000000" w:themeColor="text1"/>
        </w:rPr>
        <w:t>This is taking place in a landscape that is moving towards the</w:t>
      </w:r>
      <w:r w:rsidR="00BA50E1" w:rsidRPr="000F0A89">
        <w:rPr>
          <w:color w:val="000000" w:themeColor="text1"/>
        </w:rPr>
        <w:t xml:space="preserve"> </w:t>
      </w:r>
      <w:r w:rsidR="009C7B15" w:rsidRPr="000F0A89">
        <w:rPr>
          <w:color w:val="000000" w:themeColor="text1"/>
        </w:rPr>
        <w:t>CVSE sector playing a greater role in the health and social care strategy</w:t>
      </w:r>
      <w:r w:rsidR="00B651FD" w:rsidRPr="000F0A89">
        <w:rPr>
          <w:color w:val="000000" w:themeColor="text1"/>
        </w:rPr>
        <w:t xml:space="preserve"> </w:t>
      </w:r>
      <w:r w:rsidR="00B651FD" w:rsidRPr="000F0A89">
        <w:rPr>
          <w:color w:val="000000" w:themeColor="text1"/>
        </w:rPr>
        <w:fldChar w:fldCharType="begin" w:fldLock="1"/>
      </w:r>
      <w:r w:rsidR="007E3818" w:rsidRPr="000F0A89">
        <w:rPr>
          <w:color w:val="000000" w:themeColor="text1"/>
        </w:rPr>
        <w:instrText>ADDIN CSL_CITATION {"citationItems":[{"id":"ITEM-1","itemData":{"abstract":"What the NHS Long Term Plan will deliver for patients These are just some of the ways that we want to improve care for patients over the next ten years: Making sure everyone gets the best start in life • reducing stillbirths and mother and child deaths during birth by 50% • ensuring most women can benefit from continuity of carer through and beyond their pregnancy, targeted towards those who will benefit most • providing extra support for expectant mothers at risk of premature birth • expanding support for perinatal mental health conditions • taking further action on childhood obesity • increasing funding for children and young people's mental health • bringing down waiting times for autism assessments • providing the right care for children with a learning disability • delivering the best treatments available for children with cancer, including CART and proton beam therapy. Delivering world-class care for major health problems • preventing 150,000 heart attacks, strokes and dementia cases • providing education and exercise programmes to tens of thousands more patients with heart problems, preventing up to 14,000 premature deaths • saving 55,000 more lives a year by diagnosing more cancers early • investing in spotting and treating lung conditions early to prevent 80,000 stays in hospital • spending at least £2.3bn more a year on mental health care • helping 380,000 more people get therapy for depression and anxiety by 2023/24 • delivering community-based physical and mental care for 370,000 people with severe mental illness a year by 2023/24. Supporting people to age well • increasing funding for primary and community care by at least £4.5bn • bringing together different professionals to coordinate care better • helping more people to live independently at home for longer • developing more rapid community response teams to prevent unnecessary hospital spells, and speed up discharges home. • upgrading NHS staff support to people living in care homes. • improving the recognition of carers and support they receive • making further progress on care for people with dementia • giving more people more say about the care they receive and where they receive it, particularly towards the end of their lives.","author":[{"dropping-particle":"","family":"NHS England","given":"","non-dropping-particle":"","parse-names":false,"suffix":""}],"id":"ITEM-1","issued":{"date-parts":[["2019"]]},"page":"2","title":"The NHS Long Term Plan – a summary","type":"article-journal"},"uris":["http://www.mendeley.com/documents/?uuid=9105617b-3847-47c7-a532-1f08ac17a56e"]}],"mendeley":{"formattedCitation":"(15)","plainTextFormattedCitation":"(15)","previouslyFormattedCitation":"(14)"},"properties":{"noteIndex":0},"schema":"https://github.com/citation-style-language/schema/raw/master/csl-citation.json"}</w:instrText>
      </w:r>
      <w:r w:rsidR="00B651FD" w:rsidRPr="000F0A89">
        <w:rPr>
          <w:color w:val="000000" w:themeColor="text1"/>
        </w:rPr>
        <w:fldChar w:fldCharType="separate"/>
      </w:r>
      <w:r w:rsidR="007E3818" w:rsidRPr="000F0A89">
        <w:rPr>
          <w:noProof/>
          <w:color w:val="000000" w:themeColor="text1"/>
        </w:rPr>
        <w:t>(15)</w:t>
      </w:r>
      <w:r w:rsidR="00B651FD" w:rsidRPr="000F0A89">
        <w:rPr>
          <w:color w:val="000000" w:themeColor="text1"/>
        </w:rPr>
        <w:fldChar w:fldCharType="end"/>
      </w:r>
      <w:r w:rsidR="009C7B15" w:rsidRPr="000F0A89">
        <w:rPr>
          <w:color w:val="000000" w:themeColor="text1"/>
        </w:rPr>
        <w:t>, which interface with yet another layer of complexity. That is, the complexity arising from the context needs at the intersection with the</w:t>
      </w:r>
      <w:r w:rsidR="009C7B15" w:rsidRPr="000F0A89">
        <w:rPr>
          <w:rFonts w:eastAsia="Times New Roman"/>
          <w:color w:val="000000" w:themeColor="text1"/>
          <w:shd w:val="clear" w:color="auto" w:fill="FFFFFF"/>
        </w:rPr>
        <w:t xml:space="preserve"> resources and networks operating in peoples' everyday lives</w:t>
      </w:r>
      <w:r w:rsidR="00C05CD1" w:rsidRPr="000F0A89">
        <w:rPr>
          <w:rFonts w:eastAsia="Times New Roman"/>
          <w:color w:val="000000" w:themeColor="text1"/>
          <w:shd w:val="clear" w:color="auto" w:fill="FFFFFF"/>
        </w:rPr>
        <w:t xml:space="preserve"> </w:t>
      </w:r>
      <w:r w:rsidR="00C05CD1" w:rsidRPr="000F0A89">
        <w:rPr>
          <w:rFonts w:eastAsia="Times New Roman"/>
          <w:color w:val="000000" w:themeColor="text1"/>
          <w:shd w:val="clear" w:color="auto" w:fill="FFFFFF"/>
        </w:rPr>
        <w:fldChar w:fldCharType="begin" w:fldLock="1"/>
      </w:r>
      <w:r w:rsidR="007E3818" w:rsidRPr="000F0A89">
        <w:rPr>
          <w:rFonts w:eastAsia="Times New Roman"/>
          <w:color w:val="000000" w:themeColor="text1"/>
          <w:shd w:val="clear" w:color="auto" w:fill="FFFFFF"/>
        </w:rPr>
        <w:instrText>ADDIN CSL_CITATION {"citationItems":[{"id":"ITEM-1","itemData":{"DOI":"10.1186/1748-5908-6-56","ISSN":"17485908","abstract":"Background Increasing the effective targeting and promotion of self-care support for long-term conditions requires more of a focus on patient contexts and networks. The aim of this paper is to describe how within a programme of research and implementation, social networks are viewed as being centrally involved in the mobilisation and deployment of resources in the management of a chronic condition. This forms the basis of a novel approach to understanding, designing, and implementing new forms of self-management support.Methods: Drawing on evidence syntheses about social networks and capital and the role of information in self-management, we build on four conceptual approaches to inform the design of our research on the implementation of self-care support for people with long-term conditions. Our approach takes into consideration the form and content of social networks, notions of chronic illness work, normalisation process theory (NPT), and the whole systems informing self-management engagement (WISE) approach to self-care support.Discussion: The translation and implementation of a self-care agenda in contemporary health and social context needs to acknowledge and incorporate the resources and networks operating in patients' domestic and social environments and everyday lives. The latter compliments the focus on healthcare settings for developing and delivering self-care support by viewing communities and networks, as well as people suffering from long-term conditions, as a key means of support for managing long-term conditions. By focusing on patient work and social-network provision, our aim is to open up a second frontier in implementation research, to translate knowledge into better chronic illness management, and to shift the emphasis towards support that takes place outside formal health services. © 2011 Rogers et al; licensee BioMed Central Ltd.","author":[{"dropping-particle":"","family":"Rogers","given":"Anne","non-dropping-particle":"","parse-names":false,"suffix":""},{"dropping-particle":"","family":"Vassilev","given":"Ivaylo","non-dropping-particle":"","parse-names":false,"suffix":""},{"dropping-particle":"","family":"Sanders","given":"Caroline","non-dropping-particle":"","parse-names":false,"suffix":""},{"dropping-particle":"","family":"Kirk","given":"Susan","non-dropping-particle":"","parse-names":false,"suffix":""},{"dropping-particle":"","family":"Chew-Graham","given":"Carolyn","non-dropping-particle":"","parse-names":false,"suffix":""},{"dropping-particle":"","family":"Kennedy","given":"Anne","non-dropping-particle":"","parse-names":false,"suffix":""},{"dropping-particle":"","family":"Protheroe","given":"Joanne","non-dropping-particle":"","parse-names":false,"suffix":""},{"dropping-particle":"","family":"Bower","given":"Peter","non-dropping-particle":"","parse-names":false,"suffix":""},{"dropping-particle":"","family":"Blickem","given":"Christian","non-dropping-particle":"","parse-names":false,"suffix":""},{"dropping-particle":"","family":"Reeves","given":"David","non-dropping-particle":"","parse-names":false,"suffix":""},{"dropping-particle":"","family":"Kapadia","given":"Dharmi","non-dropping-particle":"","parse-names":false,"suffix":""},{"dropping-particle":"","family":"Brooks","given":"Helen","non-dropping-particle":"","parse-names":false,"suffix":""},{"dropping-particle":"","family":"Fullwood","given":"Catherine","non-dropping-particle":"","parse-names":false,"suffix":""},{"dropping-particle":"","family":"Richardson","given":"Gerry","non-dropping-particle":"","parse-names":false,"suffix":""}],"container-title":"Implementation Science","id":"ITEM-1","issue":"1","issued":{"date-parts":[["2011"]]},"page":"1-7","title":"Social networks, work and network-based resources for the management of long-term conditions: A framework and study protocol for developing self-care support","type":"article-journal","volume":"6"},"uris":["http://www.mendeley.com/documents/?uuid=c72c4aed-2175-4b81-b9ef-4dba679cfb9a"]}],"mendeley":{"formattedCitation":"(16)","plainTextFormattedCitation":"(16)","previouslyFormattedCitation":"(15)"},"properties":{"noteIndex":0},"schema":"https://github.com/citation-style-language/schema/raw/master/csl-citation.json"}</w:instrText>
      </w:r>
      <w:r w:rsidR="00C05CD1" w:rsidRPr="000F0A89">
        <w:rPr>
          <w:rFonts w:eastAsia="Times New Roman"/>
          <w:color w:val="000000" w:themeColor="text1"/>
          <w:shd w:val="clear" w:color="auto" w:fill="FFFFFF"/>
        </w:rPr>
        <w:fldChar w:fldCharType="separate"/>
      </w:r>
      <w:r w:rsidR="007E3818" w:rsidRPr="000F0A89">
        <w:rPr>
          <w:rFonts w:eastAsia="Times New Roman"/>
          <w:noProof/>
          <w:color w:val="000000" w:themeColor="text1"/>
          <w:shd w:val="clear" w:color="auto" w:fill="FFFFFF"/>
        </w:rPr>
        <w:t>(16)</w:t>
      </w:r>
      <w:r w:rsidR="00C05CD1" w:rsidRPr="000F0A89">
        <w:rPr>
          <w:rFonts w:eastAsia="Times New Roman"/>
          <w:color w:val="000000" w:themeColor="text1"/>
          <w:shd w:val="clear" w:color="auto" w:fill="FFFFFF"/>
        </w:rPr>
        <w:fldChar w:fldCharType="end"/>
      </w:r>
      <w:r w:rsidR="00BA50E1" w:rsidRPr="000F0A89">
        <w:rPr>
          <w:rFonts w:eastAsia="Times New Roman"/>
          <w:color w:val="000000" w:themeColor="text1"/>
          <w:shd w:val="clear" w:color="auto" w:fill="FFFFFF"/>
        </w:rPr>
        <w:t>.</w:t>
      </w:r>
    </w:p>
    <w:p w14:paraId="27AC3360" w14:textId="60A0AE36" w:rsidR="0038722A" w:rsidRPr="000F0A89" w:rsidRDefault="00A439E4" w:rsidP="00BA50E1">
      <w:pPr>
        <w:spacing w:line="276" w:lineRule="auto"/>
        <w:jc w:val="both"/>
      </w:pPr>
      <w:r w:rsidRPr="000F0A89">
        <w:rPr>
          <w:color w:val="000000" w:themeColor="text1"/>
        </w:rPr>
        <w:t xml:space="preserve"> </w:t>
      </w:r>
      <w:r w:rsidR="00BA50E1" w:rsidRPr="000F0A89">
        <w:rPr>
          <w:color w:val="000000" w:themeColor="text1"/>
        </w:rPr>
        <w:tab/>
      </w:r>
      <w:r w:rsidR="00DE175A" w:rsidRPr="000F0A89">
        <w:rPr>
          <w:color w:val="000000" w:themeColor="text1"/>
        </w:rPr>
        <w:t>T</w:t>
      </w:r>
      <w:r w:rsidR="00BC5F63" w:rsidRPr="000F0A89">
        <w:rPr>
          <w:color w:val="000000" w:themeColor="text1"/>
        </w:rPr>
        <w:t>he</w:t>
      </w:r>
      <w:r w:rsidR="006365B8" w:rsidRPr="000F0A89">
        <w:rPr>
          <w:color w:val="000000" w:themeColor="text1"/>
        </w:rPr>
        <w:t xml:space="preserve"> specific</w:t>
      </w:r>
      <w:r w:rsidR="006E4C45" w:rsidRPr="000F0A89">
        <w:rPr>
          <w:color w:val="000000" w:themeColor="text1"/>
        </w:rPr>
        <w:t xml:space="preserve"> </w:t>
      </w:r>
      <w:r w:rsidR="00A52EE1" w:rsidRPr="000F0A89">
        <w:rPr>
          <w:color w:val="000000" w:themeColor="text1"/>
        </w:rPr>
        <w:t>example</w:t>
      </w:r>
      <w:r w:rsidR="005D028D" w:rsidRPr="000F0A89">
        <w:rPr>
          <w:color w:val="000000" w:themeColor="text1"/>
        </w:rPr>
        <w:t xml:space="preserve"> </w:t>
      </w:r>
      <w:r w:rsidR="00BC5F63" w:rsidRPr="000F0A89">
        <w:rPr>
          <w:color w:val="000000" w:themeColor="text1"/>
        </w:rPr>
        <w:t>we are concerned with here</w:t>
      </w:r>
      <w:r w:rsidR="005D028D" w:rsidRPr="000F0A89">
        <w:rPr>
          <w:color w:val="000000" w:themeColor="text1"/>
        </w:rPr>
        <w:t xml:space="preserve"> </w:t>
      </w:r>
      <w:r w:rsidR="003409F9" w:rsidRPr="000F0A89">
        <w:rPr>
          <w:color w:val="000000" w:themeColor="text1"/>
        </w:rPr>
        <w:t>is</w:t>
      </w:r>
      <w:r w:rsidR="001C4D19" w:rsidRPr="000F0A89">
        <w:rPr>
          <w:color w:val="000000" w:themeColor="text1"/>
        </w:rPr>
        <w:t xml:space="preserve"> </w:t>
      </w:r>
      <w:r w:rsidR="005D028D" w:rsidRPr="000F0A89">
        <w:rPr>
          <w:color w:val="000000" w:themeColor="text1"/>
        </w:rPr>
        <w:t xml:space="preserve">the implementation </w:t>
      </w:r>
      <w:r w:rsidR="005D028D" w:rsidRPr="000F0A89">
        <w:t>of a social network intervention designed to tackle</w:t>
      </w:r>
      <w:r w:rsidR="00A52EE1" w:rsidRPr="000F0A89">
        <w:t xml:space="preserve"> social isolation</w:t>
      </w:r>
      <w:r w:rsidR="00F5216B" w:rsidRPr="000F0A89">
        <w:t xml:space="preserve"> and loneliness</w:t>
      </w:r>
      <w:r w:rsidR="009C7B15" w:rsidRPr="000F0A89">
        <w:t xml:space="preserve"> by connecting </w:t>
      </w:r>
      <w:r w:rsidR="009C7B15" w:rsidRPr="000F0A89">
        <w:rPr>
          <w:color w:val="000000" w:themeColor="text1"/>
        </w:rPr>
        <w:t>people to the resources in their community allowing them to take part in activities or utilise support</w:t>
      </w:r>
      <w:r w:rsidR="00A52EE1" w:rsidRPr="000F0A89">
        <w:t xml:space="preserve">. </w:t>
      </w:r>
      <w:r w:rsidR="00BA50E1" w:rsidRPr="000F0A89">
        <w:t xml:space="preserve">In the UK </w:t>
      </w:r>
      <w:r w:rsidR="00F5216B" w:rsidRPr="000F0A89">
        <w:t>30% of the adult population experienc</w:t>
      </w:r>
      <w:r w:rsidR="005D028D" w:rsidRPr="000F0A89">
        <w:t>e</w:t>
      </w:r>
      <w:r w:rsidR="0038722A" w:rsidRPr="000F0A89">
        <w:t xml:space="preserve"> </w:t>
      </w:r>
      <w:r w:rsidR="00F5216B" w:rsidRPr="000F0A89">
        <w:t>social isolation or loneliness</w:t>
      </w:r>
      <w:r w:rsidR="00B651FD" w:rsidRPr="000F0A89">
        <w:t xml:space="preserve"> </w:t>
      </w:r>
      <w:r w:rsidR="00B651FD" w:rsidRPr="000F0A89">
        <w:fldChar w:fldCharType="begin" w:fldLock="1"/>
      </w:r>
      <w:r w:rsidR="007E3818" w:rsidRPr="000F0A89">
        <w:instrText>ADDIN CSL_CITATION {"citationItems":[{"id":"ITEM-1","itemData":{"DOI":"10.1080/00223980.2011.613875","ISSN":"00223980","abstract":"Within contemporary Western (post) modern societies, loneliness is seen as a problem that is particularly associated with old age. Much less attention has been given to examining variations in loneliness across age groups. We examine patterns of loneliness across adults aged 15 years and older in the United Kingdom using data from the European Social Survey. We first consider the prevalence of loneliness among the adult population; then the relationship between loneliness and a range of key risk factors, and finally the relationship with age for each of our risk factors. Loneliness demonstrates a nonlinear U-shaped distribution, with those aged under 25 years and those aged over 65 years demonstrating the highest levels of loneliness. Depression is associated with loneliness for all age groups. Poor physical health is associated with loneliness in young adult and midlife but not later life. For those in mid and later life, the quality of social engagement is protective against loneliness, while for young adults it is the quantity of social engagement. This indicates that different factors may endow vulnerability (or protect) against loneliness at different stages of life and suggests that preventative strategies or interventions that reflect these variations need to be developed.","author":[{"dropping-particle":"","family":"Victor","given":"Christina R.","non-dropping-particle":"","parse-names":false,"suffix":""},{"dropping-particle":"","family":"Yang","given":"Keming","non-dropping-particle":"","parse-names":false,"suffix":""}],"container-title":"Journal of Psychology: Interdisciplinary and Applied","id":"ITEM-1","issue":"1-2","issued":{"date-parts":[["2012"]]},"page":"85-104","title":"The prevalence of loneliness among adults: A case study of the United Kingdom","type":"article-journal","volume":"146"},"uris":["http://www.mendeley.com/documents/?uuid=30aa16a0-f9d7-4c15-b440-e4ac3304a48a"]}],"mendeley":{"formattedCitation":"(17)","plainTextFormattedCitation":"(17)","previouslyFormattedCitation":"(16)"},"properties":{"noteIndex":0},"schema":"https://github.com/citation-style-language/schema/raw/master/csl-citation.json"}</w:instrText>
      </w:r>
      <w:r w:rsidR="00B651FD" w:rsidRPr="000F0A89">
        <w:fldChar w:fldCharType="separate"/>
      </w:r>
      <w:r w:rsidR="007E3818" w:rsidRPr="000F0A89">
        <w:rPr>
          <w:noProof/>
        </w:rPr>
        <w:t>(17)</w:t>
      </w:r>
      <w:r w:rsidR="00B651FD" w:rsidRPr="000F0A89">
        <w:fldChar w:fldCharType="end"/>
      </w:r>
      <w:r w:rsidR="0038722A" w:rsidRPr="000F0A89">
        <w:t xml:space="preserve">. </w:t>
      </w:r>
      <w:r w:rsidR="005D028D" w:rsidRPr="000F0A89">
        <w:t>W</w:t>
      </w:r>
      <w:r w:rsidR="000F4F22" w:rsidRPr="000F0A89">
        <w:t xml:space="preserve">ith studies reporting </w:t>
      </w:r>
      <w:r w:rsidR="00A657CF" w:rsidRPr="000F0A89">
        <w:t xml:space="preserve">a </w:t>
      </w:r>
      <w:r w:rsidR="000F4F22" w:rsidRPr="000F0A89">
        <w:t xml:space="preserve">negative impact on physical and </w:t>
      </w:r>
      <w:r w:rsidR="00114C87" w:rsidRPr="000F0A89">
        <w:t xml:space="preserve">mental </w:t>
      </w:r>
      <w:r w:rsidR="000F4F22" w:rsidRPr="000F0A89">
        <w:t>health outcomes</w:t>
      </w:r>
      <w:r w:rsidR="00B651FD" w:rsidRPr="000F0A89">
        <w:t xml:space="preserve"> </w:t>
      </w:r>
      <w:r w:rsidR="00B651FD" w:rsidRPr="000F0A89">
        <w:fldChar w:fldCharType="begin" w:fldLock="1"/>
      </w:r>
      <w:r w:rsidR="007E3818" w:rsidRPr="000F0A89">
        <w:instrText>ADDIN CSL_CITATION {"citationItems":[{"id":"ITEM-1","itemData":{"DOI":"10.1177/0898264312460275","ISSN":"08982643","abstract":"Objective: To examine the relationship of social isolation, loneliness and health outcomes among older adults. Methods: Using data from the Leave Behind Questionnaire of the Health and Retirement Study (2006 and 2008), (n = 11,825) several indicators of social isolation were scaled and the Hughes 3-Item Loneliness Scale was used. Two measures of health (self-rated health and mental health conditions) were examined using logistic regression. Results: Loneliness and social isolation were not highly correlated with one another (r = 0.201, p = 0.000). Loneliness was associated with higher odds of having a mental health problem (OR: 1.17; CI: [1.13, 1.21], p = 0.000); and isolation was associated with higher odds of reporting one's health as being fair/poor (OR:1.39; CI: [1.21, 1.59], p = 0.000). Discussion: The results suggest that global measures of isolation, that fail to distinguish between social isolation and feelings of loneliness, may not detect the impact on physical and mental health in older adults.","author":[{"dropping-particle":"","family":"Coyle","given":"Caitlin E.","non-dropping-particle":"","parse-names":false,"suffix":""},{"dropping-particle":"","family":"Dugan","given":"Elizabeth","non-dropping-particle":"","parse-names":false,"suffix":""}],"container-title":"Journal of Aging and Health","id":"ITEM-1","issue":"8","issued":{"date-parts":[["2012"]]},"page":"1346-1363","title":"Social isolation, loneliness and health among older adults","type":"article-journal","volume":"24"},"uris":["http://www.mendeley.com/documents/?uuid=dc4b36db-acad-4a9f-98c0-ea2218bef14a"]}],"mendeley":{"formattedCitation":"(18)","plainTextFormattedCitation":"(18)","previouslyFormattedCitation":"(17)"},"properties":{"noteIndex":0},"schema":"https://github.com/citation-style-language/schema/raw/master/csl-citation.json"}</w:instrText>
      </w:r>
      <w:r w:rsidR="00B651FD" w:rsidRPr="000F0A89">
        <w:fldChar w:fldCharType="separate"/>
      </w:r>
      <w:r w:rsidR="007E3818" w:rsidRPr="000F0A89">
        <w:rPr>
          <w:noProof/>
        </w:rPr>
        <w:t>(18)</w:t>
      </w:r>
      <w:r w:rsidR="00B651FD" w:rsidRPr="000F0A89">
        <w:fldChar w:fldCharType="end"/>
      </w:r>
      <w:r w:rsidR="00CC2684" w:rsidRPr="000F0A89">
        <w:t xml:space="preserve">. </w:t>
      </w:r>
      <w:r w:rsidR="00C50600" w:rsidRPr="000F0A89">
        <w:t>Studies have highlighted how con</w:t>
      </w:r>
      <w:r w:rsidR="00484710" w:rsidRPr="000F0A89">
        <w:t xml:space="preserve">necting to community resources can help protect against loneliness </w:t>
      </w:r>
      <w:r w:rsidR="00B651FD" w:rsidRPr="000F0A89">
        <w:fldChar w:fldCharType="begin" w:fldLock="1"/>
      </w:r>
      <w:r w:rsidR="007E3818" w:rsidRPr="000F0A89">
        <w:instrText>ADDIN CSL_CITATION {"citationItems":[{"id":"ITEM-1","itemData":{"DOI":"10.1016/j.ypmed.2016.07.016","ISSN":"10960260","abstract":"Objective 1. Examine the relationship between household wealth, social participation and loneliness among older people across Europe. 2. Investigate whether relationships vary by type of social participation (charity/volunteer work, sports/social clubs, educational/training course, and political/community organisations) and gender. 3. Examine whether social participation moderates the association between wealth and loneliness. Methods Data (N = 29,795) were taken from the fifth wave of the Survey of Health, Ageing and Retirement in Europe (SHARE), which was collected during 2013 from 14 European countries. Loneliness was measured using the short version of the Revised-University of California, Los Angeles (R-UCLA) Loneliness Scale. We used multilevel logistic models stratified by gender to examine the relationships between variables, with individuals nested within countries. Results The risk of loneliness was highest in the least wealthy groups and lowest in the wealthiest groups. Frequent social participation was associated with a lower risk of loneliness and moderated the association between household wealth and loneliness, particularly among men. Compared to the wealthiest men who often took part in formal social activities, the least wealthy men who did not participate had greater risk of loneliness (OR = 1.91, 95% CI: 1.44 to 2.51). This increased risk was not observed among the least wealthy men who reported frequent participation in formal social activities (OR = 1.12, 95% CI: 0.76 to 1.67). Conclusion Participation in external social activities may help to reduce loneliness among older adults and potentially acts as a buffer against the adverse effects of socioeconomic disadvantage.","author":[{"dropping-particle":"","family":"Niedzwiedz","given":"Claire L.","non-dropping-particle":"","parse-names":false,"suffix":""},{"dropping-particle":"","family":"Richardson","given":"Elizabeth A.","non-dropping-particle":"","parse-names":false,"suffix":""},{"dropping-particle":"","family":"Tunstall","given":"Helena","non-dropping-particle":"","parse-names":false,"suffix":""},{"dropping-particle":"","family":"Shortt","given":"Niamh K.","non-dropping-particle":"","parse-names":false,"suffix":""},{"dropping-particle":"","family":"Mitchell","given":"Richard J.","non-dropping-particle":"","parse-names":false,"suffix":""},{"dropping-particle":"","family":"Pearce","given":"Jamie R.","non-dropping-particle":"","parse-names":false,"suffix":""}],"container-title":"Preventive Medicine","id":"ITEM-1","issued":{"date-parts":[["2016"]]},"page":"24-31","publisher":"Elsevier Inc.","title":"The relationship between wealth and loneliness among older people across Europe: Is social participation protective?","type":"article-journal","volume":"91"},"uris":["http://www.mendeley.com/documents/?uuid=2322449d-d14e-4f44-93a7-830e4cae1b29"]}],"mendeley":{"formattedCitation":"(19)","plainTextFormattedCitation":"(19)","previouslyFormattedCitation":"(18)"},"properties":{"noteIndex":0},"schema":"https://github.com/citation-style-language/schema/raw/master/csl-citation.json"}</w:instrText>
      </w:r>
      <w:r w:rsidR="00B651FD" w:rsidRPr="000F0A89">
        <w:fldChar w:fldCharType="separate"/>
      </w:r>
      <w:r w:rsidR="007E3818" w:rsidRPr="000F0A89">
        <w:rPr>
          <w:noProof/>
        </w:rPr>
        <w:t>(19)</w:t>
      </w:r>
      <w:r w:rsidR="00B651FD" w:rsidRPr="000F0A89">
        <w:fldChar w:fldCharType="end"/>
      </w:r>
      <w:r w:rsidR="00484710" w:rsidRPr="000F0A89">
        <w:t>, and that improving the quality of existing relationships as well as increasing participation in activities may help tackle the impact of loneliness and social isolat</w:t>
      </w:r>
      <w:r w:rsidR="001B2502" w:rsidRPr="000F0A89">
        <w:t>ion</w:t>
      </w:r>
      <w:r w:rsidR="006E4C45" w:rsidRPr="000F0A89">
        <w:t xml:space="preserve"> </w:t>
      </w:r>
      <w:r w:rsidR="009B405B" w:rsidRPr="000F0A89">
        <w:fldChar w:fldCharType="begin" w:fldLock="1"/>
      </w:r>
      <w:r w:rsidR="007E3818" w:rsidRPr="000F0A89">
        <w:instrText>ADDIN CSL_CITATION {"citationItems":[{"id":"ITEM-1","itemData":{"DOI":"10.7748/nop.29.2.11.s11","ISSN":"14720795","abstract":"Essential facts The National Institute for Health and Care Excellence (NICE) has issued a quality standard to help improve mental well-being and independence for older people.","author":[{"dropping-particle":"","family":"NICE","given":"","non-dropping-particle":"","parse-names":false,"suffix":""}],"container-title":"Department of Health","id":"ITEM-1","issue":"2","issued":{"date-parts":[["2016"]]},"number-of-pages":"11","title":"Mental well-being and independence for older people","type":"report","volume":"29"},"uris":["http://www.mendeley.com/documents/?uuid=6a825c77-9a7e-4983-8b20-74956c7493ce"]}],"mendeley":{"formattedCitation":"(20)","plainTextFormattedCitation":"(20)","previouslyFormattedCitation":"(19)"},"properties":{"noteIndex":0},"schema":"https://github.com/citation-style-language/schema/raw/master/csl-citation.json"}</w:instrText>
      </w:r>
      <w:r w:rsidR="009B405B" w:rsidRPr="000F0A89">
        <w:fldChar w:fldCharType="separate"/>
      </w:r>
      <w:r w:rsidR="007E3818" w:rsidRPr="000F0A89">
        <w:rPr>
          <w:noProof/>
        </w:rPr>
        <w:t>(20)</w:t>
      </w:r>
      <w:r w:rsidR="009B405B" w:rsidRPr="000F0A89">
        <w:fldChar w:fldCharType="end"/>
      </w:r>
      <w:r w:rsidR="001B2502" w:rsidRPr="000F0A89">
        <w:t>.</w:t>
      </w:r>
      <w:r w:rsidR="00F57C17" w:rsidRPr="000F0A89">
        <w:t xml:space="preserve"> Thus, it follows that implementing a social network intervention in </w:t>
      </w:r>
      <w:r w:rsidR="00DB5E71" w:rsidRPr="000F0A89">
        <w:t xml:space="preserve">the </w:t>
      </w:r>
      <w:r w:rsidR="00F57C17" w:rsidRPr="000F0A89">
        <w:t xml:space="preserve">CVSE </w:t>
      </w:r>
      <w:r w:rsidR="00295BCA" w:rsidRPr="000F0A89">
        <w:t>sector</w:t>
      </w:r>
      <w:r w:rsidR="00F57C17" w:rsidRPr="000F0A89">
        <w:t xml:space="preserve"> to connect people who are at risk of social isolation or loneliness could help address th</w:t>
      </w:r>
      <w:r w:rsidR="00520537" w:rsidRPr="000F0A89">
        <w:t xml:space="preserve">is public health </w:t>
      </w:r>
      <w:r w:rsidR="00AB2CEE" w:rsidRPr="000F0A89">
        <w:t>concern</w:t>
      </w:r>
      <w:r w:rsidR="00520537" w:rsidRPr="000F0A89">
        <w:t>.</w:t>
      </w:r>
      <w:r w:rsidR="0012115D" w:rsidRPr="000F0A89">
        <w:t xml:space="preserve"> </w:t>
      </w:r>
    </w:p>
    <w:p w14:paraId="57A1E443" w14:textId="47EFED16" w:rsidR="00A52EE1" w:rsidRPr="000F0A89" w:rsidRDefault="0098449A" w:rsidP="0038722A">
      <w:pPr>
        <w:spacing w:line="276" w:lineRule="auto"/>
        <w:ind w:firstLine="720"/>
        <w:jc w:val="both"/>
      </w:pPr>
      <w:r w:rsidRPr="000F0A89">
        <w:t xml:space="preserve">The Project About Loneliness and Social </w:t>
      </w:r>
      <w:r w:rsidR="00BA50E1" w:rsidRPr="000F0A89">
        <w:t>n</w:t>
      </w:r>
      <w:r w:rsidR="00A657CF" w:rsidRPr="000F0A89">
        <w:t xml:space="preserve">etworks </w:t>
      </w:r>
      <w:r w:rsidRPr="000F0A89">
        <w:t xml:space="preserve">(PALS) </w:t>
      </w:r>
      <w:r w:rsidR="004D66E4" w:rsidRPr="000F0A89">
        <w:t xml:space="preserve">is a </w:t>
      </w:r>
      <w:r w:rsidR="00874EFA" w:rsidRPr="000F0A89">
        <w:t xml:space="preserve">hybrid designed </w:t>
      </w:r>
      <w:r w:rsidR="00874EFA" w:rsidRPr="000F0A89">
        <w:fldChar w:fldCharType="begin" w:fldLock="1"/>
      </w:r>
      <w:r w:rsidR="007E3818" w:rsidRPr="000F0A89">
        <w:instrText>ADDIN CSL_CITATION {"citationItems":[{"id":"ITEM-1","itemData":{"DOI":"10.1097/MLR.0b013e3182408812","abstract":"Objectives—This study proposes methods for blending design components of clinical effectiveness and implementation research. Such blending can provide benefits over pursuing these lines of research independently; for example, more rapid translational gains, more effective implementation strategies, and more useful information for decision makers. This study proposes a “hybrid effectiveness-implementation” typology, describes a rationale for their use, outlines the design decisions that must be faced, and provides several real-world examples. Results—An effectiveness-implementation hybrid design is one that takes a dual focus a priori in assessing clinical effectiveness and implementation. We propose 3 hybrid types: (1) testing effects of a clinical intervention on relevant outcomes while observing and gathering information on implementation; (2) dual testing of clinical and implementation interventions/strategies; and (3) testing of an implementation strategy while observing and gathering information on the clinical intervention’s impact on relevant outcomes. Conclusions—The hybrid typology proposed herein must be considered a construct still in evolution. Although traditional clinical effectiveness and implementation trials are likely to remain the most common approach to moving a clinical intervention through from efficacy research to public health impact, judicious use of the proposed hybrid designs could speed the translation of research findings into routine practice. Keywords","author":[{"dropping-particle":"","family":"Curran","given":"G","non-dropping-particle":"","parse-names":false,"suffix":""},{"dropping-particle":"","family":"Bauer","given":"M","non-dropping-particle":"","parse-names":false,"suffix":""},{"dropping-particle":"","family":"Mittman","given":"B","non-dropping-particle":"","parse-names":false,"suffix":""},{"dropping-particle":"","family":"Payne","given":"J","non-dropping-particle":"","parse-names":false,"suffix":""},{"dropping-particle":"","family":"Stetler","given":"C","non-dropping-particle":"","parse-names":false,"suffix":""}],"container-title":"Med Care","id":"ITEM-1","issue":"3","issued":{"date-parts":[["2012"]]},"page":"217-226","title":"Effectiveness-implementation Hybrid Designs: Combining Elements of Clinical Effectiveness and Implementation Research to Enhance Public Health Impact","type":"article-journal","volume":"50"},"uris":["http://www.mendeley.com/documents/?uuid=28f01398-4e50-4e25-9938-afc9c5b7fee4"]}],"mendeley":{"formattedCitation":"(21)","plainTextFormattedCitation":"(21)","previouslyFormattedCitation":"(20)"},"properties":{"noteIndex":0},"schema":"https://github.com/citation-style-language/schema/raw/master/csl-citation.json"}</w:instrText>
      </w:r>
      <w:r w:rsidR="00874EFA" w:rsidRPr="000F0A89">
        <w:fldChar w:fldCharType="separate"/>
      </w:r>
      <w:r w:rsidR="007E3818" w:rsidRPr="000F0A89">
        <w:rPr>
          <w:noProof/>
        </w:rPr>
        <w:t>(21)</w:t>
      </w:r>
      <w:r w:rsidR="00874EFA" w:rsidRPr="000F0A89">
        <w:fldChar w:fldCharType="end"/>
      </w:r>
      <w:r w:rsidR="00874EFA" w:rsidRPr="000F0A89">
        <w:t xml:space="preserve"> </w:t>
      </w:r>
      <w:r w:rsidR="004D66E4" w:rsidRPr="000F0A89">
        <w:t>pragmatic</w:t>
      </w:r>
      <w:r w:rsidR="00151CC8" w:rsidRPr="000F0A89">
        <w:t xml:space="preserve"> randomised control</w:t>
      </w:r>
      <w:r w:rsidR="00A657CF" w:rsidRPr="000F0A89">
        <w:t>led</w:t>
      </w:r>
      <w:r w:rsidR="00151CC8" w:rsidRPr="000F0A89">
        <w:t xml:space="preserve"> trial (</w:t>
      </w:r>
      <w:r w:rsidR="004D66E4" w:rsidRPr="000F0A89">
        <w:t>RCT</w:t>
      </w:r>
      <w:r w:rsidR="00151CC8" w:rsidRPr="000F0A89">
        <w:t>)</w:t>
      </w:r>
      <w:r w:rsidR="00717A7C" w:rsidRPr="000F0A89">
        <w:t xml:space="preserve"> (the study protocol is </w:t>
      </w:r>
      <w:r w:rsidR="00736A1D" w:rsidRPr="000F0A89">
        <w:t>available</w:t>
      </w:r>
      <w:r w:rsidR="00717A7C" w:rsidRPr="000F0A89">
        <w:t xml:space="preserve"> </w:t>
      </w:r>
      <w:r w:rsidR="00717A7C" w:rsidRPr="000F0A89">
        <w:fldChar w:fldCharType="begin" w:fldLock="1"/>
      </w:r>
      <w:r w:rsidR="007E3818" w:rsidRPr="000F0A89">
        <w:instrText>ADDIN CSL_CITATION {"citationItems":[{"id":"ITEM-1","itemData":{"DOI":"10.1136/bmjopen-2018-028718","ISSN":"20446055","abstract":"© 2019 Author(s). Introduction Loneliness and social isolation have been identified as significant public health concerns, but improving relationships and increasing social participation may improve health outcomes and quality of life. The aim of the Project About Loneliness and Social networks (PALS) study is to assess the effectiveness and cost-effectiveness of a guided social network intervention within a community setting among individuals experiencing loneliness and isolation and to understand implementation of Generating Engagement in Network Involvement (Genie) in the context of different organisations. Methods and analysis The PALS trial will be a pragmatic, randomised controlled trial comparing participants receiving the Genie intervention to a wait-list control group. Eligible participants will be recruited from organisations working within a community setting: Any adult identified as socially isolated or at-risk of loneliness and living in the community will be eligible. Genie will be delivered by trained facilitators recruited from community organisations. The primary outcome will be the difference in the SF-12 Mental Health composite scale score at 6-month follow-up between the intervention and control group using a mixed effects model (accounting for clustering within facilitators and organisation). Secondary outcomes will be loneliness, social isolation, well-being, physical health and engagement with new activities. The economic evaluation will use a cost-utility approach, and adopt a public sector perspective to include health-related resource use and costs incurred by other public services. Exploratory analysis will use a societal perspective, and explore broader measures of benefit (capability well-being). A qualitative process evaluation will explore organisational and environmental arrangements, as well as stakeholder and participant experiences of the study to understand the factors likely to influence future sustainability, implementation and scalability of using a social network intervention within this context. Ethics and dissemination This study has received NHS ethical approval (REC reference: 18/SC/0245). The findings from PALS will be disseminated widely through peer-reviewed publications, conferences and workshops in collaboration with our community partners.","author":[{"dropping-particle":"","family":"Band","given":"R.","non-dropping-particle":"","parse-names":false,"suffix":""},{"dropping-particle":"","family":"Ewings","given":"S.","non-dropping-particle":"","parse-names":false,"suffix":""},{"dropping-particle":"","family":"Cheetham-Blake","given":"T.","non-dropping-particle":"","parse-names":false,"suffix":""},{"dropping-particle":"","family":"Ellis","given":"J.","non-dropping-particle":"","parse-names":false,"suffix":""},{"dropping-particle":"","family":"Breheny","given":"K.","non-dropping-particle":"","parse-names":false,"suffix":""},{"dropping-particle":"","family":"Vassilev","given":"I.","non-dropping-particle":"","parse-names":false,"suffix":""},{"dropping-particle":"","family":"Portillo","given":"M.C.","non-dropping-particle":"","parse-names":false,"suffix":""},{"dropping-particle":"","family":"Yardley","given":"L.","non-dropping-particle":"","parse-names":false,"suffix":""},{"dropping-particle":"","family":"Blickem","given":"C.","non-dropping-particle":"","parse-names":false,"suffix":""},{"dropping-particle":"","family":"Kandiyali","given":"R.","non-dropping-particle":"","parse-names":false,"suffix":""},{"dropping-particle":"","family":"Culliford","given":"D.","non-dropping-particle":"","parse-names":false,"suffix":""},{"dropping-particle":"","family":"Rogers","given":"A.","non-dropping-particle":"","parse-names":false,"suffix":""}],"container-title":"BMJ Open","id":"ITEM-1","issue":"8","issued":{"date-parts":[["2019"]]},"title":"Study protocol for 'The Project about Loneliness and Social networks (PALS)': A pragmatic, randomised trial comparing a facilitated social network intervention (Genie) with a wait-list control for lonely and socially isolated people","type":"article-journal","volume":"9"},"uris":["http://www.mendeley.com/documents/?uuid=022fd3f1-4a75-33cb-aa7e-80c9a9de3932"]}],"mendeley":{"formattedCitation":"(22)","plainTextFormattedCitation":"(22)","previouslyFormattedCitation":"(21)"},"properties":{"noteIndex":0},"schema":"https://github.com/citation-style-language/schema/raw/master/csl-citation.json"}</w:instrText>
      </w:r>
      <w:r w:rsidR="00717A7C" w:rsidRPr="000F0A89">
        <w:fldChar w:fldCharType="separate"/>
      </w:r>
      <w:r w:rsidR="007E3818" w:rsidRPr="000F0A89">
        <w:rPr>
          <w:noProof/>
        </w:rPr>
        <w:t>(22)</w:t>
      </w:r>
      <w:r w:rsidR="00717A7C" w:rsidRPr="000F0A89">
        <w:fldChar w:fldCharType="end"/>
      </w:r>
      <w:r w:rsidR="005C095A" w:rsidRPr="000F0A89">
        <w:t>)</w:t>
      </w:r>
      <w:r w:rsidR="00717A7C" w:rsidRPr="000F0A89">
        <w:t xml:space="preserve"> </w:t>
      </w:r>
      <w:r w:rsidR="00874EFA" w:rsidRPr="000F0A89">
        <w:t xml:space="preserve">. The hybrid design simultaneously </w:t>
      </w:r>
      <w:r w:rsidR="000211B8" w:rsidRPr="000F0A89">
        <w:t>assesses</w:t>
      </w:r>
      <w:r w:rsidR="004D66E4" w:rsidRPr="000F0A89">
        <w:t xml:space="preserve"> the </w:t>
      </w:r>
      <w:r w:rsidR="0038722A" w:rsidRPr="000F0A89">
        <w:t>effectiveness and cost-effectiveness</w:t>
      </w:r>
      <w:r w:rsidR="003409F9" w:rsidRPr="000F0A89">
        <w:t xml:space="preserve"> </w:t>
      </w:r>
      <w:r w:rsidR="004D66E4" w:rsidRPr="000F0A89">
        <w:t>of a</w:t>
      </w:r>
      <w:r w:rsidR="008F62A3" w:rsidRPr="000F0A89">
        <w:t xml:space="preserve"> </w:t>
      </w:r>
      <w:r w:rsidR="00A22126" w:rsidRPr="000F0A89">
        <w:t>facilitated</w:t>
      </w:r>
      <w:r w:rsidR="004D66E4" w:rsidRPr="000F0A89">
        <w:t xml:space="preserve"> social network intervention (G</w:t>
      </w:r>
      <w:r w:rsidR="00CE44FB" w:rsidRPr="000F0A89">
        <w:t>enie</w:t>
      </w:r>
      <w:r w:rsidR="00454EDC" w:rsidRPr="000F0A89">
        <w:t xml:space="preserve"> intervention</w:t>
      </w:r>
      <w:r w:rsidR="004D66E4" w:rsidRPr="000F0A89">
        <w:t>)</w:t>
      </w:r>
      <w:r w:rsidR="00874EFA" w:rsidRPr="000F0A89">
        <w:t xml:space="preserve">, as well as the implementation of this in </w:t>
      </w:r>
      <w:r w:rsidR="00654471" w:rsidRPr="000F0A89">
        <w:t>a community setting</w:t>
      </w:r>
      <w:r w:rsidR="004D66E4" w:rsidRPr="000F0A89">
        <w:t xml:space="preserve"> </w:t>
      </w:r>
      <w:r w:rsidR="003A4802" w:rsidRPr="000F0A89">
        <w:t xml:space="preserve">through an embedded process evaluation. </w:t>
      </w:r>
      <w:r w:rsidR="008F62A3" w:rsidRPr="000F0A89">
        <w:t xml:space="preserve">The intervention has been developed and tested in the context of managing long-term health conditions </w:t>
      </w:r>
      <w:r w:rsidR="005C4A7D" w:rsidRPr="000F0A89">
        <w:fldChar w:fldCharType="begin" w:fldLock="1"/>
      </w:r>
      <w:r w:rsidR="007E3818" w:rsidRPr="000F0A89">
        <w:instrText>ADDIN CSL_CITATION {"citationItems":[{"id":"ITEM-1","itemData":{"DOI":"10.1371/journal.pone.0109135","ISSN":"19326203","abstract":"BACKGROUND: Implementation of self-management support in traditional primary care settings has proved difficult, encouraging the development of alternative models which actively link to community resources. Chronic kidney disease (CKD) is a common condition usually diagnosed in the presence of other co-morbidities. This trial aimed to determine the effectiveness of an intervention to provide information and telephone-guided access to community support versus usual care for patients with stage 3 CKD.\\n\\nMETHODS AND FINDINGS: In a pragmatic, two-arm, patient level randomised controlled trial 436 patients with a diagnosis of stage 3 CKD were recruited from 24 general practices in Greater Manchester. Patients were randomised to intervention (215) or usual care (221). Primary outcome measures were health related quality of life (EQ-5D health questionnaire), blood pressure control, and positive and active engagement in life (heiQ) at 6 months. At 6 months, mean health related quality of life was significantly higher for the intervention group (adjusted mean difference = 0.05; 95% CI = 0.01, 0.08) and blood pressure was controlled for a significantly greater proportion of patients in the intervention group (adjusted odds-ratio = 1.85; 95% CI = 1.25, 2.72). Patients did not differ significantly in positive and active engagement in life. The intervention group reported a reduction in costs compared with control.\\n\\nCONCLUSIONS: An intervention to provide tailored information and telephone-guided access to community resources was associated with modest but significant improvements in health related quality of life and better maintenance of blood pressure control for patients with stage 3 CKD compared with usual care. However, further research is required to identify the mechanisms of action of the intervention.\\n\\nTRIAL REGISTRATION: Controlled-Trials.com ISRCTN45433299.","author":[{"dropping-particle":"","family":"Blakeman","given":"Tom","non-dropping-particle":"","parse-names":false,"suffix":""},{"dropping-particle":"","family":"Blickem","given":"Christian","non-dropping-particle":"","parse-names":false,"suffix":""},{"dropping-particle":"","family":"Kennedy","given":"Anne","non-dropping-particle":"","parse-names":false,"suffix":""},{"dropping-particle":"","family":"Reeves","given":"David","non-dropping-particle":"","parse-names":false,"suffix":""},{"dropping-particle":"","family":"Bower","given":"Peter","non-dropping-particle":"","parse-names":false,"suffix":""},{"dropping-particle":"","family":"Gaffney","given":"Hannah","non-dropping-particle":"","parse-names":false,"suffix":""},{"dropping-particle":"","family":"Gardner","given":"Caroline","non-dropping-particle":"","parse-names":false,"suffix":""},{"dropping-particle":"","family":"Lee","given":"Victoria","non-dropping-particle":"","parse-names":false,"suffix":""},{"dropping-particle":"","family":"Jariwala","given":"Praksha","non-dropping-particle":"","parse-names":false,"suffix":""},{"dropping-particle":"","family":"Dawson","given":"Shoba","non-dropping-particle":"","parse-names":false,"suffix":""},{"dropping-particle":"","family":"Mossabir","given":"Rahena","non-dropping-particle":"","parse-names":false,"suffix":""},{"dropping-particle":"","family":"Brooks","given":"Helen","non-dropping-particle":"","parse-names":false,"suffix":""},{"dropping-particle":"","family":"Richardson","given":"Gerry","non-dropping-particle":"","parse-names":false,"suffix":""},{"dropping-particle":"","family":"Spackman","given":"Eldon","non-dropping-particle":"","parse-names":false,"suffix":""},{"dropping-particle":"","family":"Vassilev","given":"Ivaylo","non-dropping-particle":"","parse-names":false,"suffix":""},{"dropping-particle":"","family":"Chew-Graham","given":"Carolyn","non-dropping-particle":"","parse-names":false,"suffix":""},{"dropping-particle":"","family":"Rogers","given":"Anne","non-dropping-particle":"","parse-names":false,"suffix":""}],"container-title":"PLoS ONE","id":"ITEM-1","issue":"10","issued":{"date-parts":[["2014"]]},"title":"Effect of information and telephone-guided access to community support for people with chronic kidney disease: Randomised controlled trial","type":"article-journal","volume":"9"},"uris":["http://www.mendeley.com/documents/?uuid=dc60dc99-1a47-4a68-afaf-cb234d39548c"]},{"id":"ITEM-2","itemData":{"DOI":"10.1371/journal.pone.0098340","ISSN":"19326203","abstract":"Evidence for the effectiveness of patient education programmes in changing individual self-management behaviour is equivocal. More distal elements of personal social relationships and the availability of social capital at the community level may be key to the mobilisation of resources needed for long-term condition self-management to be effective. Aim: To determine how the social networks of people with long-term conditions (diabetes and heart disease) are associated with health-related outcomes and changes in outcomes over time. Methods: Patients with chronic heart disease (CHD) or diabetes (n = 300) randomly selected from the disease registers of 19 GP practices in the North West of England. Data on personal social networks collected using a postal questionnaire, alongside face-to-face interviewing. Follow-up at 12 months via postal questionnaire using a self-report grid for network members identified at baseline. Analysis: Multiple regression analysis of relationships between health status, self-management and health-economics outcomes, and characteristics of patients' social networks. Results: Findings indicated that: (1) social involvement with a wider variety of people and groups supports personal self-management and physical and mental well-being; (2) support work undertaken by personal networks expands in accordance with health needs helping people to cope with their condition; (3) network support substitutes for formal care and can produce substantial saving in traditional health service utilisation costs. Health service costs were significantly (p &lt; 0.01) reduced for patients receiving greater levels of illness work through their networks. Conclusions: Support for self-management which achieves desirable policy outcomes should be construed less as an individualised set of actions and behaviour and more as a social network phenomenon. This study shows the need for a greater focus on harnessing and sustaining the capacity of networks and the importance of social involvement with community groups and resources for producing a more desirable and cost-effective way of supporting long term illness management. © 2014 Reeves et al.","author":[{"dropping-particle":"","family":"Reeves","given":"David","non-dropping-particle":"","parse-names":false,"suffix":""},{"dropping-particle":"","family":"Blickem","given":"Christian","non-dropping-particle":"","parse-names":false,"suffix":""},{"dropping-particle":"","family":"Vassilev","given":"Ivaylo","non-dropping-particle":"","parse-names":false,"suffix":""},{"dropping-particle":"","family":"Brooks","given":"Helen","non-dropping-particle":"","parse-names":false,"suffix":""},{"dropping-particle":"","family":"Kennedy","given":"Anne","non-dropping-particle":"","parse-names":false,"suffix":""},{"dropping-particle":"","family":"Richardson","given":"Gerry","non-dropping-particle":"","parse-names":false,"suffix":""},{"dropping-particle":"","family":"Rogers","given":"Anne","non-dropping-particle":"","parse-names":false,"suffix":""}],"container-title":"PLoS ONE","id":"ITEM-2","issue":"6","issued":{"date-parts":[["2014"]]},"title":"The contribution of social networks to the health and self-management of patients with long-term conditions: A longitudinal study","type":"article-journal","volume":"9"},"uris":["http://www.mendeley.com/documents/?uuid=0251f5b9-936a-48c3-ad19-b49c7f9ca740"]},{"id":"ITEM-3","itemData":{"DOI":"10.1186/s13012-016-0384-8","ISSN":"17485908","abstract":"BACKGROUND: For people with long-term conditions, social networks provide a potentially central means of mobilising, mediating and accessing support for health and well-being. Few interventions address the implementation of improving engagement with and through social networks. This paper describes the development and implementation of a web-based tool which comprises: network mapping, user-centred preference elicitation and need assessment and facilitated engagement with resources. The study aimed to determine whether the intervention was acceptable, implementable and acted to enhance support and to add to theory concerning social networks and engagement with resources and activities.\\n\\nMETHODS: A longitudinal design with 15 case studies used ethnographic methods comprising video, non-participant observation of intervention delivery and qualitative interviews (baseline, 6 and 12 months). Participants were people with type 2 diabetes living in a marginalised island community. Facilitators were local health trainers and care navigators. Analysis applied concepts concerning implementation of technology for self-management support to explain how new practices of work were operationalised and how the technology impacted on relationships fit with everyday life and allowed for visual feedback.\\n\\nRESULTS: Most participants reported identifying and taking up new activities as a result of using the tool. Thematic analysis suggested that workability of the tool was predicated on disruption and reconstruction of networks, challenging/supportive facilitation and change and reflection over time concerning network support. Visualisation of the network enabled people to mobilise support and engage in new activities. The tool aligned synergistically with the facilitators' role of linking people to local resources.\\n\\nCONCLUSIONS: The social network tool works through a process of initiating positive disruption of established self-management practice through mapping and reflection on personal network membership and support. This opens up possibilities for reconstructing self-management differently from current practice. Key facets of successful implementation were: the visual maps of networks and support options; facilitation characterised by a perceived lack of status difference which assisted engagement and constructive discussion of support and preferences for activities; and background work (a reliable database, tailored preferences, option reduction) for facilita…","author":[{"dropping-particle":"","family":"Kennedy","given":"Anne","non-dropping-particle":"","parse-names":false,"suffix":""},{"dropping-particle":"","family":"Vassilev","given":"Ivaylo","non-dropping-particle":"","parse-names":false,"suffix":""},{"dropping-particle":"","family":"James","given":"Elizabeth","non-dropping-particle":"","parse-names":false,"suffix":""},{"dropping-particle":"","family":"Rogers","given":"Anne","non-dropping-particle":"","parse-names":false,"suffix":""}],"container-title":"Implementation Science","id":"ITEM-3","issue":"1","issued":{"date-parts":[["2016"]]},"page":"1-15","publisher":"Implementation Science","title":"Implementing a social network intervention designed to enhance and diversify support for people with long-term conditions. A qualitative study","type":"article-journal","volume":"11"},"uris":["http://www.mendeley.com/documents/?uuid=2f3a3423-3252-4859-a4eb-df84aa2082e5"]}],"mendeley":{"formattedCitation":"(23–25)","plainTextFormattedCitation":"(23–25)","previouslyFormattedCitation":"(22–24)"},"properties":{"noteIndex":0},"schema":"https://github.com/citation-style-language/schema/raw/master/csl-citation.json"}</w:instrText>
      </w:r>
      <w:r w:rsidR="005C4A7D" w:rsidRPr="000F0A89">
        <w:fldChar w:fldCharType="separate"/>
      </w:r>
      <w:r w:rsidR="007E3818" w:rsidRPr="000F0A89">
        <w:rPr>
          <w:noProof/>
        </w:rPr>
        <w:t>(23–25)</w:t>
      </w:r>
      <w:r w:rsidR="005C4A7D" w:rsidRPr="000F0A89">
        <w:fldChar w:fldCharType="end"/>
      </w:r>
      <w:r w:rsidR="008F62A3" w:rsidRPr="000F0A89">
        <w:t xml:space="preserve">. However, the intervention has yet to be tested in relation to addressing loneliness, and it has </w:t>
      </w:r>
      <w:r w:rsidR="008F62A3" w:rsidRPr="000F0A89">
        <w:lastRenderedPageBreak/>
        <w:t xml:space="preserve">yet to be implemented in CVSE environments. </w:t>
      </w:r>
      <w:r w:rsidR="005D6543" w:rsidRPr="000F0A89">
        <w:t>Thus, i</w:t>
      </w:r>
      <w:r w:rsidR="007931B4" w:rsidRPr="000F0A89">
        <w:t xml:space="preserve">n order to </w:t>
      </w:r>
      <w:r w:rsidR="00BC5F63" w:rsidRPr="000F0A89">
        <w:t xml:space="preserve">maximise </w:t>
      </w:r>
      <w:r w:rsidR="007931B4" w:rsidRPr="000F0A89">
        <w:t>successful implementation</w:t>
      </w:r>
      <w:r w:rsidR="0016286C" w:rsidRPr="000F0A89">
        <w:t xml:space="preserve">, </w:t>
      </w:r>
      <w:r w:rsidR="007931B4" w:rsidRPr="000F0A89">
        <w:t>and ultimately sustainability of the intervention</w:t>
      </w:r>
      <w:r w:rsidR="0016286C" w:rsidRPr="000F0A89">
        <w:t xml:space="preserve"> </w:t>
      </w:r>
      <w:r w:rsidR="00A55792" w:rsidRPr="000F0A89">
        <w:t xml:space="preserve">in an </w:t>
      </w:r>
      <w:r w:rsidR="0097315A" w:rsidRPr="000F0A89">
        <w:t>open system</w:t>
      </w:r>
      <w:r w:rsidR="0016286C" w:rsidRPr="000F0A89">
        <w:t>,</w:t>
      </w:r>
      <w:r w:rsidR="007931B4" w:rsidRPr="000F0A89">
        <w:t xml:space="preserve"> the logic and complexity of the CVSE environments within which </w:t>
      </w:r>
      <w:r w:rsidR="006365B8" w:rsidRPr="000F0A89">
        <w:t xml:space="preserve">the implementation team </w:t>
      </w:r>
      <w:r w:rsidR="0016286C" w:rsidRPr="000F0A89">
        <w:t xml:space="preserve">are </w:t>
      </w:r>
      <w:r w:rsidR="007931B4" w:rsidRPr="000F0A89">
        <w:t>work</w:t>
      </w:r>
      <w:r w:rsidR="005D028D" w:rsidRPr="000F0A89">
        <w:t>ing</w:t>
      </w:r>
      <w:r w:rsidR="007931B4" w:rsidRPr="000F0A89">
        <w:t xml:space="preserve"> needs to be understood. </w:t>
      </w:r>
      <w:r w:rsidR="00732DF7" w:rsidRPr="000F0A89">
        <w:t xml:space="preserve">Through the above acting as a case in example, this </w:t>
      </w:r>
      <w:r w:rsidR="00904170" w:rsidRPr="000F0A89">
        <w:t xml:space="preserve">paper </w:t>
      </w:r>
      <w:r w:rsidR="00FA2E45" w:rsidRPr="000F0A89">
        <w:t>will</w:t>
      </w:r>
      <w:r w:rsidR="00732DF7" w:rsidRPr="000F0A89">
        <w:t xml:space="preserve"> </w:t>
      </w:r>
      <w:r w:rsidR="00301508" w:rsidRPr="000F0A89">
        <w:t xml:space="preserve">explore the nature of community settings. </w:t>
      </w:r>
    </w:p>
    <w:p w14:paraId="341C42ED" w14:textId="77777777" w:rsidR="009C7B15" w:rsidRPr="000F0A89" w:rsidRDefault="009C7B15" w:rsidP="009C7B15">
      <w:pPr>
        <w:pStyle w:val="Heading2"/>
      </w:pPr>
    </w:p>
    <w:p w14:paraId="3721E7EB" w14:textId="207B453F" w:rsidR="009C7B15" w:rsidRPr="000F0A89" w:rsidRDefault="009C7B15" w:rsidP="009C7B15">
      <w:pPr>
        <w:pStyle w:val="Heading2"/>
      </w:pPr>
      <w:r w:rsidRPr="000F0A89">
        <w:t>Aim</w:t>
      </w:r>
    </w:p>
    <w:p w14:paraId="2ACB0249" w14:textId="77777777" w:rsidR="009C7B15" w:rsidRPr="000F0A89" w:rsidRDefault="009C7B15" w:rsidP="009C7B15">
      <w:pPr>
        <w:spacing w:line="276" w:lineRule="auto"/>
        <w:jc w:val="both"/>
      </w:pPr>
    </w:p>
    <w:p w14:paraId="492361D1" w14:textId="6C06E75A" w:rsidR="009C7B15" w:rsidRPr="000F0A89" w:rsidRDefault="009C7B15" w:rsidP="009C7B15">
      <w:pPr>
        <w:spacing w:line="276" w:lineRule="auto"/>
        <w:jc w:val="both"/>
      </w:pPr>
      <w:r w:rsidRPr="000F0A89">
        <w:t xml:space="preserve">This study examines the </w:t>
      </w:r>
      <w:r w:rsidR="00C354FC" w:rsidRPr="000F0A89">
        <w:t xml:space="preserve">factors contributing towards the creation of the </w:t>
      </w:r>
      <w:r w:rsidRPr="000F0A89">
        <w:t xml:space="preserve">optimal pre-implementation context. The study also examines the extent to which CVSE environments and people within it need to adapt to allow space for introducing the intervention (elasticity), and extent to which the intervention elements be moulded to accommodate the context (pliability).  </w:t>
      </w:r>
    </w:p>
    <w:p w14:paraId="78BED59F" w14:textId="77777777" w:rsidR="001926EC" w:rsidRPr="000F0A89" w:rsidRDefault="001926EC" w:rsidP="00C64F70">
      <w:pPr>
        <w:spacing w:line="276" w:lineRule="auto"/>
        <w:jc w:val="both"/>
      </w:pPr>
    </w:p>
    <w:p w14:paraId="4C163B8F" w14:textId="5CC413DD" w:rsidR="001926EC" w:rsidRPr="000F0A89" w:rsidRDefault="00620C6F" w:rsidP="007632DB">
      <w:pPr>
        <w:pStyle w:val="Heading1"/>
      </w:pPr>
      <w:r w:rsidRPr="000F0A89">
        <w:t xml:space="preserve">Design </w:t>
      </w:r>
    </w:p>
    <w:p w14:paraId="693AF334" w14:textId="1590FDA4" w:rsidR="00620C6F" w:rsidRPr="000F0A89" w:rsidRDefault="00620C6F" w:rsidP="00620C6F">
      <w:pPr>
        <w:spacing w:line="276" w:lineRule="auto"/>
      </w:pPr>
    </w:p>
    <w:p w14:paraId="62074597" w14:textId="34FE1533" w:rsidR="00620C6F" w:rsidRPr="000F0A89" w:rsidRDefault="00620C6F" w:rsidP="00620C6F">
      <w:pPr>
        <w:spacing w:line="276" w:lineRule="auto"/>
        <w:jc w:val="both"/>
        <w:rPr>
          <w:rFonts w:eastAsia="Calibri" w:cs="Calibri"/>
          <w:lang w:val="en-US"/>
        </w:rPr>
      </w:pPr>
      <w:r w:rsidRPr="000F0A89">
        <w:t xml:space="preserve">A quasi-ethnographic approach was used because it affords opportunities for different and hidden aspects of the settings to be revealed </w:t>
      </w:r>
      <w:r w:rsidRPr="000F0A89">
        <w:fldChar w:fldCharType="begin" w:fldLock="1"/>
      </w:r>
      <w:r w:rsidR="007E3818" w:rsidRPr="000F0A89">
        <w:instrText>ADDIN CSL_CITATION {"citationItems":[{"id":"ITEM-1","itemData":{"author":[{"dropping-particle":"","family":"Ackroyd","given":"S.","non-dropping-particle":"","parse-names":false,"suffix":""},{"dropping-particle":"","family":"Hughes","given":"J. A.","non-dropping-particle":"","parse-names":false,"suffix":""}],"edition":"2nd","id":"ITEM-1","issued":{"date-parts":[["1992"]]},"publisher":"Longman","publisher-place":"London","title":"Data collection in context, Aspects of modern sociology. Social research","type":"book"},"uris":["http://www.mendeley.com/documents/?uuid=58acc77e-d202-4404-a629-0fe82169c77f"]}],"mendeley":{"formattedCitation":"(26)","plainTextFormattedCitation":"(26)","previouslyFormattedCitation":"(25)"},"properties":{"noteIndex":0},"schema":"https://github.com/citation-style-language/schema/raw/master/csl-citation.json"}</w:instrText>
      </w:r>
      <w:r w:rsidRPr="000F0A89">
        <w:fldChar w:fldCharType="separate"/>
      </w:r>
      <w:r w:rsidR="007E3818" w:rsidRPr="000F0A89">
        <w:rPr>
          <w:noProof/>
        </w:rPr>
        <w:t>(26)</w:t>
      </w:r>
      <w:r w:rsidRPr="000F0A89">
        <w:fldChar w:fldCharType="end"/>
      </w:r>
      <w:r w:rsidRPr="000F0A89">
        <w:t>. Data collection occurred from May 2018 and continues throughout the duration of PALS</w:t>
      </w:r>
      <w:r w:rsidR="00752305" w:rsidRPr="000F0A89">
        <w:t xml:space="preserve"> (end March 2021)</w:t>
      </w:r>
      <w:r w:rsidRPr="000F0A89">
        <w:t xml:space="preserve">. </w:t>
      </w:r>
      <w:r w:rsidRPr="000F0A89">
        <w:rPr>
          <w:rFonts w:eastAsia="Calibri" w:cs="Calibri"/>
          <w:lang w:val="en-US"/>
        </w:rPr>
        <w:t xml:space="preserve">Ethical approval was granted by South Central Berkshire Health Research Authority and the University of Southampton Research and Governance Ethics Committee prior to data collection. </w:t>
      </w:r>
    </w:p>
    <w:p w14:paraId="0BF7AE1A" w14:textId="77777777" w:rsidR="00066288" w:rsidRPr="000F0A89" w:rsidRDefault="00066288" w:rsidP="001A44C0">
      <w:pPr>
        <w:spacing w:line="276" w:lineRule="auto"/>
        <w:jc w:val="both"/>
        <w:rPr>
          <w:b/>
          <w:bCs/>
        </w:rPr>
      </w:pPr>
    </w:p>
    <w:p w14:paraId="049300AE" w14:textId="77777777" w:rsidR="00C523C8" w:rsidRPr="000F0A89" w:rsidRDefault="00C523C8" w:rsidP="00C523C8">
      <w:pPr>
        <w:pStyle w:val="Heading2"/>
      </w:pPr>
      <w:r w:rsidRPr="000F0A89">
        <w:t xml:space="preserve">Study Setting </w:t>
      </w:r>
    </w:p>
    <w:p w14:paraId="168DD7D9" w14:textId="77777777" w:rsidR="00C523C8" w:rsidRPr="000F0A89" w:rsidRDefault="00C523C8" w:rsidP="00C523C8">
      <w:pPr>
        <w:spacing w:line="276" w:lineRule="auto"/>
        <w:jc w:val="both"/>
        <w:rPr>
          <w:i/>
          <w:iCs/>
        </w:rPr>
      </w:pPr>
    </w:p>
    <w:p w14:paraId="5A9E61FE" w14:textId="61D82259" w:rsidR="00C523C8" w:rsidRPr="000F0A89" w:rsidRDefault="00C523C8" w:rsidP="00C523C8">
      <w:pPr>
        <w:spacing w:line="276" w:lineRule="auto"/>
        <w:jc w:val="both"/>
      </w:pPr>
      <w:r w:rsidRPr="000F0A89">
        <w:t xml:space="preserve">PALS is being delivered in </w:t>
      </w:r>
      <w:r w:rsidR="00A657CF" w:rsidRPr="000F0A89">
        <w:t xml:space="preserve">collaboration </w:t>
      </w:r>
      <w:r w:rsidRPr="000F0A89">
        <w:t xml:space="preserve">with </w:t>
      </w:r>
      <w:r w:rsidR="000055D3" w:rsidRPr="000F0A89">
        <w:t xml:space="preserve">community partners </w:t>
      </w:r>
      <w:r w:rsidRPr="000F0A89">
        <w:t>in Southampton and Liverpool</w:t>
      </w:r>
      <w:r w:rsidR="00D212C3" w:rsidRPr="000F0A89">
        <w:t>, UK</w:t>
      </w:r>
      <w:r w:rsidRPr="000F0A89">
        <w:t xml:space="preserve">. </w:t>
      </w:r>
      <w:r w:rsidR="00806D64" w:rsidRPr="000F0A89">
        <w:t>P</w:t>
      </w:r>
      <w:r w:rsidRPr="000F0A89">
        <w:t>artnerships were sought with any</w:t>
      </w:r>
      <w:r w:rsidR="00767E1F" w:rsidRPr="000F0A89">
        <w:t xml:space="preserve"> organisation or group who work in the community</w:t>
      </w:r>
      <w:r w:rsidRPr="000F0A89">
        <w:t xml:space="preserve"> </w:t>
      </w:r>
      <w:r w:rsidR="00DB5E71" w:rsidRPr="000F0A89">
        <w:t xml:space="preserve">with </w:t>
      </w:r>
      <w:r w:rsidRPr="000F0A89">
        <w:t>the potential to identify or access individuals at risk of social isolation or loneliness</w:t>
      </w:r>
      <w:r w:rsidR="00A13DB0" w:rsidRPr="000F0A89">
        <w:t xml:space="preserve"> </w:t>
      </w:r>
      <w:r w:rsidR="00A13DB0" w:rsidRPr="000F0A89">
        <w:fldChar w:fldCharType="begin" w:fldLock="1"/>
      </w:r>
      <w:r w:rsidR="007E3818" w:rsidRPr="000F0A89">
        <w:instrText>ADDIN CSL_CITATION {"citationItems":[{"id":"ITEM-1","itemData":{"DOI":"10.1136/bmjopen-2018-028718","ISSN":"20446055","abstract":"© 2019 Author(s). Introduction Loneliness and social isolation have been identified as significant public health concerns, but improving relationships and increasing social participation may improve health outcomes and quality of life. The aim of the Project About Loneliness and Social networks (PALS) study is to assess the effectiveness and cost-effectiveness of a guided social network intervention within a community setting among individuals experiencing loneliness and isolation and to understand implementation of Generating Engagement in Network Involvement (Genie) in the context of different organisations. Methods and analysis The PALS trial will be a pragmatic, randomised controlled trial comparing participants receiving the Genie intervention to a wait-list control group. Eligible participants will be recruited from organisations working within a community setting: Any adult identified as socially isolated or at-risk of loneliness and living in the community will be eligible. Genie will be delivered by trained facilitators recruited from community organisations. The primary outcome will be the difference in the SF-12 Mental Health composite scale score at 6-month follow-up between the intervention and control group using a mixed effects model (accounting for clustering within facilitators and organisation). Secondary outcomes will be loneliness, social isolation, well-being, physical health and engagement with new activities. The economic evaluation will use a cost-utility approach, and adopt a public sector perspective to include health-related resource use and costs incurred by other public services. Exploratory analysis will use a societal perspective, and explore broader measures of benefit (capability well-being). A qualitative process evaluation will explore organisational and environmental arrangements, as well as stakeholder and participant experiences of the study to understand the factors likely to influence future sustainability, implementation and scalability of using a social network intervention within this context. Ethics and dissemination This study has received NHS ethical approval (REC reference: 18/SC/0245). The findings from PALS will be disseminated widely through peer-reviewed publications, conferences and workshops in collaboration with our community partners.","author":[{"dropping-particle":"","family":"Band","given":"R.","non-dropping-particle":"","parse-names":false,"suffix":""},{"dropping-particle":"","family":"Ewings","given":"S.","non-dropping-particle":"","parse-names":false,"suffix":""},{"dropping-particle":"","family":"Cheetham-Blake","given":"T.","non-dropping-particle":"","parse-names":false,"suffix":""},{"dropping-particle":"","family":"Ellis","given":"J.","non-dropping-particle":"","parse-names":false,"suffix":""},{"dropping-particle":"","family":"Breheny","given":"K.","non-dropping-particle":"","parse-names":false,"suffix":""},{"dropping-particle":"","family":"Vassilev","given":"I.","non-dropping-particle":"","parse-names":false,"suffix":""},{"dropping-particle":"","family":"Portillo","given":"M.C.","non-dropping-particle":"","parse-names":false,"suffix":""},{"dropping-particle":"","family":"Yardley","given":"L.","non-dropping-particle":"","parse-names":false,"suffix":""},{"dropping-particle":"","family":"Blickem","given":"C.","non-dropping-particle":"","parse-names":false,"suffix":""},{"dropping-particle":"","family":"Kandiyali","given":"R.","non-dropping-particle":"","parse-names":false,"suffix":""},{"dropping-particle":"","family":"Culliford","given":"D.","non-dropping-particle":"","parse-names":false,"suffix":""},{"dropping-particle":"","family":"Rogers","given":"A.","non-dropping-particle":"","parse-names":false,"suffix":""}],"container-title":"BMJ Open","id":"ITEM-1","issue":"8","issued":{"date-parts":[["2019"]]},"title":"Study protocol for 'The Project about Loneliness and Social networks (PALS)': A pragmatic, randomised trial comparing a facilitated social network intervention (Genie) with a wait-list control for lonely and socially isolated people","type":"article-journal","volume":"9"},"uris":["http://www.mendeley.com/documents/?uuid=022fd3f1-4a75-33cb-aa7e-80c9a9de3932"]}],"mendeley":{"formattedCitation":"(22)","plainTextFormattedCitation":"(22)","previouslyFormattedCitation":"(21)"},"properties":{"noteIndex":0},"schema":"https://github.com/citation-style-language/schema/raw/master/csl-citation.json"}</w:instrText>
      </w:r>
      <w:r w:rsidR="00A13DB0" w:rsidRPr="000F0A89">
        <w:fldChar w:fldCharType="separate"/>
      </w:r>
      <w:r w:rsidR="007E3818" w:rsidRPr="000F0A89">
        <w:rPr>
          <w:noProof/>
        </w:rPr>
        <w:t>(22)</w:t>
      </w:r>
      <w:r w:rsidR="00A13DB0" w:rsidRPr="000F0A89">
        <w:fldChar w:fldCharType="end"/>
      </w:r>
      <w:r w:rsidRPr="000F0A89">
        <w:t>.</w:t>
      </w:r>
      <w:r w:rsidR="006365B8" w:rsidRPr="000F0A89">
        <w:t xml:space="preserve"> Potential partners were either purposively contacted by the implementation team or were referred in by a process of snowballing. </w:t>
      </w:r>
      <w:r w:rsidRPr="000F0A89">
        <w:t xml:space="preserve"> A total of 22 partners </w:t>
      </w:r>
      <w:r w:rsidR="00D212C3" w:rsidRPr="000F0A89">
        <w:t>were</w:t>
      </w:r>
      <w:r w:rsidRPr="000F0A89">
        <w:t xml:space="preserve"> recruited</w:t>
      </w:r>
      <w:r w:rsidR="002D15B7" w:rsidRPr="000F0A89">
        <w:t xml:space="preserve"> (</w:t>
      </w:r>
      <w:r w:rsidR="00BA50E1" w:rsidRPr="000F0A89">
        <w:t>T</w:t>
      </w:r>
      <w:r w:rsidRPr="000F0A89">
        <w:t>able 2</w:t>
      </w:r>
      <w:r w:rsidR="002D15B7" w:rsidRPr="000F0A89">
        <w:t>)</w:t>
      </w:r>
      <w:r w:rsidR="00DC3A60" w:rsidRPr="000F0A89">
        <w:t>.</w:t>
      </w:r>
      <w:r w:rsidRPr="000F0A89">
        <w:t xml:space="preserve"> The partners </w:t>
      </w:r>
      <w:r w:rsidR="00071771" w:rsidRPr="000F0A89">
        <w:t xml:space="preserve">fall on a continuum from </w:t>
      </w:r>
      <w:r w:rsidRPr="000F0A89">
        <w:t>statutory service providers</w:t>
      </w:r>
      <w:r w:rsidR="00071771" w:rsidRPr="000F0A89">
        <w:t xml:space="preserve"> (services required by law i.e. police, fire brigade, ambulance) </w:t>
      </w:r>
      <w:r w:rsidRPr="000F0A89">
        <w:t xml:space="preserve"> to places of religious worship, and</w:t>
      </w:r>
      <w:r w:rsidR="00530000" w:rsidRPr="000F0A89">
        <w:t xml:space="preserve"> </w:t>
      </w:r>
      <w:r w:rsidRPr="000F0A89">
        <w:t>health centres, branches of national charities, local social enterprise start-ups and community associations</w:t>
      </w:r>
      <w:r w:rsidR="00530000" w:rsidRPr="000F0A89">
        <w:t xml:space="preserve"> that fall in between</w:t>
      </w:r>
      <w:r w:rsidRPr="000F0A89">
        <w:t>.</w:t>
      </w:r>
    </w:p>
    <w:p w14:paraId="09223607" w14:textId="697FB219" w:rsidR="00C523C8" w:rsidRPr="000F0A89" w:rsidRDefault="0065643A" w:rsidP="00C523C8">
      <w:pPr>
        <w:spacing w:line="276" w:lineRule="auto"/>
        <w:ind w:firstLine="720"/>
        <w:jc w:val="both"/>
      </w:pPr>
      <w:r w:rsidRPr="000F0A89">
        <w:t>Each partner</w:t>
      </w:r>
      <w:r w:rsidR="00C523C8" w:rsidRPr="000F0A89">
        <w:t xml:space="preserve"> represent</w:t>
      </w:r>
      <w:r w:rsidRPr="000F0A89">
        <w:t>s</w:t>
      </w:r>
      <w:r w:rsidR="00C523C8" w:rsidRPr="000F0A89">
        <w:t xml:space="preserve"> an implementation site; a study setting. </w:t>
      </w:r>
      <w:r w:rsidRPr="000F0A89">
        <w:t xml:space="preserve">The implementation team and the partners worked to deliver the RCT, and the division of labour is illustrated in figure 1. </w:t>
      </w:r>
    </w:p>
    <w:p w14:paraId="007F5B7A" w14:textId="77777777" w:rsidR="00C523C8" w:rsidRPr="000F0A89" w:rsidRDefault="00C523C8" w:rsidP="00C523C8">
      <w:pPr>
        <w:spacing w:line="276" w:lineRule="auto"/>
        <w:jc w:val="both"/>
      </w:pPr>
    </w:p>
    <w:p w14:paraId="30E4FBE3" w14:textId="0D05253A" w:rsidR="00C523C8" w:rsidRPr="000F0A89" w:rsidRDefault="00C523C8" w:rsidP="00C523C8">
      <w:pPr>
        <w:spacing w:line="276" w:lineRule="auto"/>
        <w:jc w:val="both"/>
        <w:rPr>
          <w:b/>
          <w:bCs/>
        </w:rPr>
      </w:pPr>
      <w:r w:rsidRPr="000F0A89">
        <w:rPr>
          <w:b/>
          <w:bCs/>
        </w:rPr>
        <w:t xml:space="preserve">Figure 1: </w:t>
      </w:r>
      <w:r w:rsidR="0097315A" w:rsidRPr="000F0A89">
        <w:rPr>
          <w:b/>
          <w:bCs/>
        </w:rPr>
        <w:t>Workflow</w:t>
      </w:r>
      <w:r w:rsidRPr="000F0A89">
        <w:rPr>
          <w:b/>
          <w:bCs/>
        </w:rPr>
        <w:t xml:space="preserve"> </w:t>
      </w:r>
    </w:p>
    <w:p w14:paraId="241A5E4F" w14:textId="2AE75EE5" w:rsidR="00C523C8" w:rsidRPr="000F0A89" w:rsidRDefault="00C523C8" w:rsidP="00C523C8">
      <w:pPr>
        <w:spacing w:line="276" w:lineRule="auto"/>
        <w:jc w:val="both"/>
        <w:rPr>
          <w:b/>
          <w:bCs/>
        </w:rPr>
      </w:pPr>
    </w:p>
    <w:p w14:paraId="22A0B559" w14:textId="2B10E27C" w:rsidR="00C523C8" w:rsidRDefault="000E6C1D" w:rsidP="00C523C8">
      <w:pPr>
        <w:spacing w:line="276" w:lineRule="auto"/>
        <w:jc w:val="both"/>
      </w:pPr>
      <w:r w:rsidRPr="00F2714B">
        <w:rPr>
          <w:b/>
          <w:bCs/>
          <w:noProof/>
          <w:lang w:eastAsia="en-GB"/>
        </w:rPr>
        <w:lastRenderedPageBreak/>
        <w:drawing>
          <wp:inline distT="0" distB="0" distL="0" distR="0" wp14:anchorId="11F617CE" wp14:editId="28FBF3D5">
            <wp:extent cx="3769873" cy="1841916"/>
            <wp:effectExtent l="0" t="0" r="254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4046" cy="1858613"/>
                    </a:xfrm>
                    <a:prstGeom prst="rect">
                      <a:avLst/>
                    </a:prstGeom>
                  </pic:spPr>
                </pic:pic>
              </a:graphicData>
            </a:graphic>
          </wp:inline>
        </w:drawing>
      </w:r>
    </w:p>
    <w:p w14:paraId="41CD7EFF" w14:textId="77777777" w:rsidR="000E6C1D" w:rsidRPr="000F0A89" w:rsidRDefault="000E6C1D" w:rsidP="00C523C8">
      <w:pPr>
        <w:spacing w:line="276" w:lineRule="auto"/>
        <w:jc w:val="both"/>
      </w:pPr>
    </w:p>
    <w:p w14:paraId="1117ED01" w14:textId="29D902C7" w:rsidR="00C523C8" w:rsidRPr="000F0A89" w:rsidRDefault="00C523C8" w:rsidP="00C523C8">
      <w:pPr>
        <w:spacing w:line="276" w:lineRule="auto"/>
        <w:jc w:val="both"/>
      </w:pPr>
      <w:r w:rsidRPr="000F0A89">
        <w:t xml:space="preserve">The </w:t>
      </w:r>
      <w:r w:rsidR="0065643A" w:rsidRPr="000F0A89">
        <w:t>partners were responsible for</w:t>
      </w:r>
      <w:r w:rsidRPr="000F0A89">
        <w:t xml:space="preserve">; identification of intervention facilitators </w:t>
      </w:r>
      <w:r w:rsidR="005779D5" w:rsidRPr="000F0A89">
        <w:t>to</w:t>
      </w:r>
      <w:r w:rsidRPr="000F0A89">
        <w:t xml:space="preserve"> receive training </w:t>
      </w:r>
      <w:r w:rsidR="003E5DD6" w:rsidRPr="000F0A89">
        <w:t>in delivering G</w:t>
      </w:r>
      <w:r w:rsidR="00CE44FB" w:rsidRPr="000F0A89">
        <w:t>enie</w:t>
      </w:r>
      <w:r w:rsidR="003E5DD6" w:rsidRPr="000F0A89">
        <w:t>,</w:t>
      </w:r>
      <w:r w:rsidRPr="000F0A89">
        <w:t xml:space="preserve"> the identification and recruitment of participants, the delivery of G</w:t>
      </w:r>
      <w:r w:rsidR="00CE44FB" w:rsidRPr="000F0A89">
        <w:t>enie</w:t>
      </w:r>
      <w:r w:rsidRPr="000F0A89">
        <w:t xml:space="preserve"> (to the intervention group: within two weeks following consent and the control group: following 6-month questionnaire) as well as a follow up 3-month social network mapping exercise (intervention group only). The ‘work done’ by the implementation team include</w:t>
      </w:r>
      <w:r w:rsidR="00DE3121" w:rsidRPr="000F0A89">
        <w:t>d</w:t>
      </w:r>
      <w:r w:rsidRPr="000F0A89">
        <w:t xml:space="preserve">; </w:t>
      </w:r>
      <w:r w:rsidR="005A4C7A" w:rsidRPr="000F0A89">
        <w:t xml:space="preserve">facilitator training, </w:t>
      </w:r>
      <w:r w:rsidRPr="000F0A89">
        <w:t>taking participant consent, baseline data collection</w:t>
      </w:r>
      <w:r w:rsidR="00A657CF" w:rsidRPr="000F0A89">
        <w:t>,</w:t>
      </w:r>
      <w:r w:rsidRPr="000F0A89">
        <w:t xml:space="preserve"> </w:t>
      </w:r>
      <w:r w:rsidR="00A657CF" w:rsidRPr="000F0A89">
        <w:t>3</w:t>
      </w:r>
      <w:r w:rsidR="00BA50E1" w:rsidRPr="000F0A89">
        <w:t xml:space="preserve"> </w:t>
      </w:r>
      <w:r w:rsidRPr="000F0A89">
        <w:t xml:space="preserve">and 6-month follow up data collection. </w:t>
      </w:r>
    </w:p>
    <w:p w14:paraId="38730703" w14:textId="77777777" w:rsidR="00402D0D" w:rsidRPr="000F0A89" w:rsidRDefault="00402D0D" w:rsidP="007632DB">
      <w:pPr>
        <w:pStyle w:val="Heading2"/>
      </w:pPr>
    </w:p>
    <w:p w14:paraId="14E234DE" w14:textId="4C583C7A" w:rsidR="001926EC" w:rsidRPr="000F0A89" w:rsidRDefault="00620C6F" w:rsidP="007632DB">
      <w:pPr>
        <w:pStyle w:val="Heading2"/>
      </w:pPr>
      <w:r w:rsidRPr="000F0A89">
        <w:t>Methods</w:t>
      </w:r>
    </w:p>
    <w:p w14:paraId="76B131BB" w14:textId="77777777" w:rsidR="006F142D" w:rsidRPr="000F0A89" w:rsidRDefault="006F142D" w:rsidP="006F142D">
      <w:pPr>
        <w:spacing w:line="276" w:lineRule="auto"/>
        <w:jc w:val="both"/>
      </w:pPr>
    </w:p>
    <w:p w14:paraId="233FAA55" w14:textId="6E60B9AE" w:rsidR="005550F2" w:rsidRPr="000F0A89" w:rsidRDefault="0056354A" w:rsidP="006F142D">
      <w:pPr>
        <w:spacing w:line="276" w:lineRule="auto"/>
        <w:jc w:val="both"/>
      </w:pPr>
      <w:r w:rsidRPr="000F0A89">
        <w:t xml:space="preserve">The </w:t>
      </w:r>
      <w:r w:rsidR="00CE1F0C" w:rsidRPr="000F0A89">
        <w:t>quasi-</w:t>
      </w:r>
      <w:r w:rsidRPr="000F0A89">
        <w:t xml:space="preserve">ethnographic approach allowed for </w:t>
      </w:r>
      <w:r w:rsidR="00BA50E1" w:rsidRPr="000F0A89">
        <w:t>im</w:t>
      </w:r>
      <w:r w:rsidRPr="000F0A89">
        <w:t xml:space="preserve">mersion and for an iterative approach to data collection. </w:t>
      </w:r>
      <w:r w:rsidR="005550F2" w:rsidRPr="000F0A89">
        <w:t xml:space="preserve">Firstly, documents were gathered from the outset of the study. This included the study protocol and training material to better understand the implementation team’s desires. To help understand the </w:t>
      </w:r>
      <w:r w:rsidR="0097315A" w:rsidRPr="000F0A89">
        <w:t>broad political</w:t>
      </w:r>
      <w:r w:rsidR="005550F2" w:rsidRPr="000F0A89">
        <w:t xml:space="preserve"> landscape local authority health and wellbeing reports and strategies were </w:t>
      </w:r>
      <w:r w:rsidR="0097315A" w:rsidRPr="000F0A89">
        <w:t>collected</w:t>
      </w:r>
      <w:r w:rsidR="005550F2" w:rsidRPr="000F0A89">
        <w:t xml:space="preserve">. These were </w:t>
      </w:r>
      <w:r w:rsidR="0097315A" w:rsidRPr="000F0A89">
        <w:t>publicly</w:t>
      </w:r>
      <w:r w:rsidR="005550F2" w:rsidRPr="000F0A89">
        <w:t xml:space="preserve"> available from the local </w:t>
      </w:r>
      <w:r w:rsidR="0097315A" w:rsidRPr="000F0A89">
        <w:t>authorities’</w:t>
      </w:r>
      <w:r w:rsidR="005550F2" w:rsidRPr="000F0A89">
        <w:t xml:space="preserve"> websites. </w:t>
      </w:r>
      <w:r w:rsidR="002773BD" w:rsidRPr="000F0A89">
        <w:t>As well</w:t>
      </w:r>
      <w:r w:rsidR="00DC3A60" w:rsidRPr="000F0A89">
        <w:t xml:space="preserve"> as</w:t>
      </w:r>
      <w:r w:rsidR="002773BD" w:rsidRPr="000F0A89">
        <w:t xml:space="preserve"> </w:t>
      </w:r>
      <w:r w:rsidR="0097315A" w:rsidRPr="000F0A89">
        <w:t>leaflets</w:t>
      </w:r>
      <w:r w:rsidR="002773BD" w:rsidRPr="000F0A89">
        <w:t xml:space="preserve"> and materials produced by partners to help understand their context. </w:t>
      </w:r>
    </w:p>
    <w:p w14:paraId="40E9E0FE" w14:textId="2823AEE4" w:rsidR="0056354A" w:rsidRPr="000F0A89" w:rsidRDefault="00151B82" w:rsidP="006F142D">
      <w:pPr>
        <w:spacing w:line="276" w:lineRule="auto"/>
        <w:jc w:val="both"/>
      </w:pPr>
      <w:r w:rsidRPr="000F0A89">
        <w:tab/>
        <w:t>Secondly, occurring continually throughout</w:t>
      </w:r>
      <w:r w:rsidR="00651303" w:rsidRPr="000F0A89">
        <w:t xml:space="preserve"> and contributing towards the bulk of the data,</w:t>
      </w:r>
      <w:r w:rsidRPr="000F0A89">
        <w:t xml:space="preserve"> observations were made by JE. Assuming the dual position of team member and researcher JE was able to observe the implementation team in a way not afforded to an outsider. </w:t>
      </w:r>
      <w:r w:rsidR="004A2DB1" w:rsidRPr="000F0A89">
        <w:t>Observations were made on implementation team’s internal meetings and email communication to understand the team’s position and reaction to the implementation endeavours. To understand partners’ contexts and the potential impact of the study on the contexts, the meetings between the implementation team and part</w:t>
      </w:r>
      <w:r w:rsidR="00D8222A" w:rsidRPr="000F0A89">
        <w:t>n</w:t>
      </w:r>
      <w:r w:rsidR="004A2DB1" w:rsidRPr="000F0A89">
        <w:t xml:space="preserve">ers were observed. All </w:t>
      </w:r>
      <w:r w:rsidR="00806184" w:rsidRPr="000F0A89">
        <w:t>notes were made in situ on</w:t>
      </w:r>
      <w:r w:rsidR="00800314" w:rsidRPr="000F0A89">
        <w:t xml:space="preserve"> matters around organisational features, readiness and intervention fit</w:t>
      </w:r>
      <w:r w:rsidR="00180B1A" w:rsidRPr="000F0A89">
        <w:t>, as well as pliability of the intervention</w:t>
      </w:r>
      <w:r w:rsidR="00800314" w:rsidRPr="000F0A89">
        <w:t xml:space="preserve">. </w:t>
      </w:r>
    </w:p>
    <w:p w14:paraId="676950B4" w14:textId="591345B3" w:rsidR="0056354A" w:rsidRPr="000F0A89" w:rsidRDefault="004A2DB1" w:rsidP="0056354A">
      <w:pPr>
        <w:spacing w:line="276" w:lineRule="auto"/>
        <w:ind w:firstLine="720"/>
        <w:jc w:val="both"/>
      </w:pPr>
      <w:r w:rsidRPr="000F0A89">
        <w:t>Thirdly, occurring simultaneously, i</w:t>
      </w:r>
      <w:r w:rsidR="0056354A" w:rsidRPr="000F0A89">
        <w:t xml:space="preserve">nterviews were carried out with representatives from the </w:t>
      </w:r>
      <w:r w:rsidR="00180B1A" w:rsidRPr="000F0A89">
        <w:t>partners</w:t>
      </w:r>
      <w:r w:rsidR="00D6557D" w:rsidRPr="000F0A89">
        <w:t xml:space="preserve"> </w:t>
      </w:r>
      <w:r w:rsidR="00180B1A" w:rsidRPr="000F0A89">
        <w:t xml:space="preserve">and were between 30-60 minutes in length. </w:t>
      </w:r>
      <w:r w:rsidR="00474CDC" w:rsidRPr="000F0A89">
        <w:t xml:space="preserve">All organisations were approached and invited to interview via email / call, and in total </w:t>
      </w:r>
      <w:r w:rsidR="00663AD9" w:rsidRPr="000F0A89">
        <w:t xml:space="preserve">14 interviews were conducted across 11 partners and included managers and employees </w:t>
      </w:r>
      <w:r w:rsidR="00C35ECF" w:rsidRPr="000F0A89">
        <w:t>(potential</w:t>
      </w:r>
      <w:r w:rsidR="00663AD9" w:rsidRPr="000F0A89">
        <w:t xml:space="preserve"> Genie facilitators</w:t>
      </w:r>
      <w:r w:rsidR="00C35ECF" w:rsidRPr="000F0A89">
        <w:t>)</w:t>
      </w:r>
      <w:r w:rsidR="00663AD9" w:rsidRPr="000F0A89">
        <w:t xml:space="preserve">.  </w:t>
      </w:r>
      <w:r w:rsidR="0056354A" w:rsidRPr="000F0A89">
        <w:t xml:space="preserve">An interview guide was developed in conjunction with the framework (described below) and </w:t>
      </w:r>
      <w:r w:rsidR="0056354A" w:rsidRPr="000F0A89">
        <w:lastRenderedPageBreak/>
        <w:t xml:space="preserve">discussions with the </w:t>
      </w:r>
      <w:r w:rsidR="00806184" w:rsidRPr="000F0A89">
        <w:t>implementation</w:t>
      </w:r>
      <w:r w:rsidR="0056354A" w:rsidRPr="000F0A89">
        <w:t xml:space="preserve"> team</w:t>
      </w:r>
      <w:r w:rsidR="00544079" w:rsidRPr="000F0A89">
        <w:t xml:space="preserve"> (additional material)</w:t>
      </w:r>
      <w:r w:rsidR="00806184" w:rsidRPr="000F0A89">
        <w:t xml:space="preserve">. </w:t>
      </w:r>
      <w:r w:rsidR="003867C1" w:rsidRPr="000F0A89">
        <w:t>I</w:t>
      </w:r>
      <w:r w:rsidR="0056354A" w:rsidRPr="000F0A89">
        <w:t>n keeping with the ethnographic approach</w:t>
      </w:r>
      <w:r w:rsidR="00FA2291" w:rsidRPr="000F0A89">
        <w:t>,</w:t>
      </w:r>
      <w:r w:rsidR="0056354A" w:rsidRPr="000F0A89">
        <w:t xml:space="preserve"> this was used </w:t>
      </w:r>
      <w:r w:rsidR="00E139F1" w:rsidRPr="000F0A89">
        <w:t>flexibly,</w:t>
      </w:r>
      <w:r w:rsidR="0056354A" w:rsidRPr="000F0A89">
        <w:t xml:space="preserve"> and topics varied as points of interest arose. Interviews</w:t>
      </w:r>
      <w:r w:rsidR="00800314" w:rsidRPr="000F0A89">
        <w:t xml:space="preserve"> </w:t>
      </w:r>
      <w:r w:rsidR="0056354A" w:rsidRPr="000F0A89">
        <w:t xml:space="preserve">were carried out in </w:t>
      </w:r>
      <w:r w:rsidR="00147793" w:rsidRPr="000F0A89">
        <w:t>person or by phone by JE,</w:t>
      </w:r>
      <w:r w:rsidR="0056354A" w:rsidRPr="000F0A89">
        <w:t xml:space="preserve"> KK</w:t>
      </w:r>
      <w:r w:rsidR="00147793" w:rsidRPr="000F0A89">
        <w:t xml:space="preserve"> or TCB</w:t>
      </w:r>
      <w:r w:rsidR="0056354A" w:rsidRPr="000F0A89">
        <w:t xml:space="preserve"> and were audio-recorded and transcribed verbatim.</w:t>
      </w:r>
      <w:r w:rsidR="00147793" w:rsidRPr="000F0A89">
        <w:t xml:space="preserve"> Reflective notes were made after each interview</w:t>
      </w:r>
      <w:r w:rsidR="00663AD9" w:rsidRPr="000F0A89">
        <w:t xml:space="preserve"> to capture non-verbal elements</w:t>
      </w:r>
      <w:r w:rsidR="00147793" w:rsidRPr="000F0A89">
        <w:t xml:space="preserve">. </w:t>
      </w:r>
    </w:p>
    <w:p w14:paraId="5C97DB20" w14:textId="77777777" w:rsidR="003D22C9" w:rsidRPr="000F0A89" w:rsidRDefault="003D22C9" w:rsidP="001A44C0">
      <w:pPr>
        <w:spacing w:line="276" w:lineRule="auto"/>
        <w:jc w:val="both"/>
      </w:pPr>
    </w:p>
    <w:p w14:paraId="5EA0146A" w14:textId="421DCFF3" w:rsidR="00A0193B" w:rsidRPr="000F0A89" w:rsidRDefault="00A0193B" w:rsidP="007632DB">
      <w:pPr>
        <w:pStyle w:val="Heading2"/>
      </w:pPr>
      <w:r w:rsidRPr="000F0A89">
        <w:t>Data Analysis</w:t>
      </w:r>
    </w:p>
    <w:p w14:paraId="3E3BFE06" w14:textId="3A8E0A31" w:rsidR="00A0193B" w:rsidRPr="000F0A89" w:rsidRDefault="00A0193B" w:rsidP="00A0193B">
      <w:pPr>
        <w:spacing w:line="276" w:lineRule="auto"/>
        <w:jc w:val="both"/>
      </w:pPr>
    </w:p>
    <w:p w14:paraId="420C0079" w14:textId="2F323F43" w:rsidR="00C40093" w:rsidRPr="000F0A89" w:rsidRDefault="00037477" w:rsidP="000C63FA">
      <w:pPr>
        <w:spacing w:line="276" w:lineRule="auto"/>
        <w:jc w:val="both"/>
      </w:pPr>
      <w:r w:rsidRPr="000F0A89">
        <w:rPr>
          <w:rFonts w:eastAsia="Calibri" w:cs="Calibri"/>
          <w:lang w:val="en-US"/>
        </w:rPr>
        <w:t>Data analysis was i</w:t>
      </w:r>
      <w:r w:rsidR="00045EE4" w:rsidRPr="000F0A89">
        <w:rPr>
          <w:rFonts w:eastAsia="Calibri" w:cs="Calibri"/>
          <w:lang w:val="en-US"/>
        </w:rPr>
        <w:t xml:space="preserve">nformed </w:t>
      </w:r>
      <w:r w:rsidRPr="000F0A89">
        <w:rPr>
          <w:rFonts w:eastAsia="Calibri" w:cs="Calibri"/>
          <w:lang w:val="en-US"/>
        </w:rPr>
        <w:t xml:space="preserve">by Ladyer’s </w:t>
      </w:r>
      <w:r w:rsidR="00DD02CD" w:rsidRPr="000F0A89">
        <w:rPr>
          <w:rFonts w:eastAsia="Calibri" w:cs="Calibri"/>
          <w:lang w:val="en-US"/>
        </w:rPr>
        <w:fldChar w:fldCharType="begin" w:fldLock="1"/>
      </w:r>
      <w:r w:rsidR="007E3818" w:rsidRPr="000F0A89">
        <w:rPr>
          <w:rFonts w:eastAsia="Calibri" w:cs="Calibri"/>
          <w:lang w:val="en-US"/>
        </w:rPr>
        <w:instrText>ADDIN CSL_CITATION {"citationItems":[{"id":"ITEM-1","itemData":{"author":[{"dropping-particle":"","family":"Layder","given":"Derek","non-dropping-particle":"","parse-names":false,"suffix":""}],"id":"ITEM-1","issued":{"date-parts":[["1998"]]},"publisher":"SAGE Publications","publisher-place":"London","title":"Sociological Practice: Linking Theory and Social Reserach","type":"book"},"uris":["http://www.mendeley.com/documents/?uuid=342c6302-d614-4d41-a759-f2e47eecc300"]}],"mendeley":{"formattedCitation":"(27)","plainTextFormattedCitation":"(27)","previouslyFormattedCitation":"(26)"},"properties":{"noteIndex":0},"schema":"https://github.com/citation-style-language/schema/raw/master/csl-citation.json"}</w:instrText>
      </w:r>
      <w:r w:rsidR="00DD02CD" w:rsidRPr="000F0A89">
        <w:rPr>
          <w:rFonts w:eastAsia="Calibri" w:cs="Calibri"/>
          <w:lang w:val="en-US"/>
        </w:rPr>
        <w:fldChar w:fldCharType="separate"/>
      </w:r>
      <w:r w:rsidR="007E3818" w:rsidRPr="000F0A89">
        <w:rPr>
          <w:rFonts w:eastAsia="Calibri" w:cs="Calibri"/>
          <w:noProof/>
          <w:lang w:val="en-US"/>
        </w:rPr>
        <w:t>(27)</w:t>
      </w:r>
      <w:r w:rsidR="00DD02CD" w:rsidRPr="000F0A89">
        <w:rPr>
          <w:rFonts w:eastAsia="Calibri" w:cs="Calibri"/>
          <w:lang w:val="en-US"/>
        </w:rPr>
        <w:fldChar w:fldCharType="end"/>
      </w:r>
      <w:r w:rsidRPr="000F0A89">
        <w:rPr>
          <w:rFonts w:eastAsia="Calibri" w:cs="Calibri"/>
          <w:lang w:val="en-US"/>
        </w:rPr>
        <w:t xml:space="preserve"> adaptive theory, this allowed for an iterative approach to data analysis</w:t>
      </w:r>
      <w:r w:rsidR="00745B59" w:rsidRPr="000F0A89">
        <w:rPr>
          <w:rFonts w:eastAsia="Calibri" w:cs="Calibri"/>
          <w:lang w:val="en-US"/>
        </w:rPr>
        <w:t xml:space="preserve">. The process of familiarization, coding (inductively and deductively) and interpretation continued throughout to help ground onward data collection. </w:t>
      </w:r>
      <w:r w:rsidR="00745B59" w:rsidRPr="000F0A89">
        <w:t>JE performed these tasks, reporting back to the team regularly to sense check, before working collaboratively with AR to interpret the findings.</w:t>
      </w:r>
      <w:r w:rsidR="000E2C2F" w:rsidRPr="000F0A89">
        <w:t xml:space="preserve"> </w:t>
      </w:r>
      <w:r w:rsidR="00E915E5" w:rsidRPr="000F0A89">
        <w:rPr>
          <w:rFonts w:eastAsia="Calibri" w:cs="Calibri"/>
          <w:lang w:val="en-US"/>
        </w:rPr>
        <w:t>C</w:t>
      </w:r>
      <w:r w:rsidR="00E915E5" w:rsidRPr="000F0A89">
        <w:t>oding</w:t>
      </w:r>
      <w:r w:rsidRPr="000F0A89">
        <w:t xml:space="preserve"> deductively </w:t>
      </w:r>
      <w:r w:rsidR="00E915E5" w:rsidRPr="000F0A89">
        <w:t>drew</w:t>
      </w:r>
      <w:r w:rsidRPr="000F0A89">
        <w:t xml:space="preserve"> upon the Consolidated Framework for Implementation Research (CFIR)</w:t>
      </w:r>
      <w:r w:rsidR="007B6EC9" w:rsidRPr="000F0A89">
        <w:t xml:space="preserve"> </w:t>
      </w:r>
      <w:r w:rsidR="007B6EC9" w:rsidRPr="000F0A89">
        <w:fldChar w:fldCharType="begin" w:fldLock="1"/>
      </w:r>
      <w:r w:rsidR="007B6EC9" w:rsidRPr="000F0A89">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mendeley":{"formattedCitation":"(3)","plainTextFormattedCitation":"(3)","previouslyFormattedCitation":"(3)"},"properties":{"noteIndex":0},"schema":"https://github.com/citation-style-language/schema/raw/master/csl-citation.json"}</w:instrText>
      </w:r>
      <w:r w:rsidR="007B6EC9" w:rsidRPr="000F0A89">
        <w:fldChar w:fldCharType="separate"/>
      </w:r>
      <w:r w:rsidR="007B6EC9" w:rsidRPr="000F0A89">
        <w:rPr>
          <w:noProof/>
        </w:rPr>
        <w:t>(3)</w:t>
      </w:r>
      <w:r w:rsidR="007B6EC9" w:rsidRPr="000F0A89">
        <w:fldChar w:fldCharType="end"/>
      </w:r>
      <w:r w:rsidR="00745B59" w:rsidRPr="000F0A89">
        <w:t xml:space="preserve"> and through</w:t>
      </w:r>
      <w:r w:rsidR="002D4988" w:rsidRPr="000F0A89">
        <w:t xml:space="preserve"> a process of</w:t>
      </w:r>
      <w:r w:rsidR="00745B59" w:rsidRPr="000F0A89">
        <w:t xml:space="preserve"> inductive coding Buckingham’s typology of third sector organisations was used</w:t>
      </w:r>
      <w:r w:rsidR="002D4988" w:rsidRPr="000F0A89">
        <w:t xml:space="preserve"> to interpret the findings. </w:t>
      </w:r>
      <w:r w:rsidR="007B2B19" w:rsidRPr="000F0A89">
        <w:t xml:space="preserve"> </w:t>
      </w:r>
    </w:p>
    <w:p w14:paraId="6B757FB3" w14:textId="7DFA9AED" w:rsidR="00C301E8" w:rsidRPr="000F0A89" w:rsidRDefault="00E57576" w:rsidP="00D365D7">
      <w:pPr>
        <w:spacing w:line="276" w:lineRule="auto"/>
        <w:ind w:firstLine="720"/>
        <w:jc w:val="both"/>
      </w:pPr>
      <w:r w:rsidRPr="000F0A89">
        <w:t xml:space="preserve">The CFIR outlines five key domains that interact to influence implementation. The five domains have 37 sub-domains combined and are listed in table 1. The CFIR was a suitable framework as it </w:t>
      </w:r>
      <w:r w:rsidR="00524622" w:rsidRPr="000F0A89">
        <w:t xml:space="preserve">was useful in </w:t>
      </w:r>
      <w:r w:rsidR="00147793" w:rsidRPr="000F0A89">
        <w:t>helping to</w:t>
      </w:r>
      <w:r w:rsidR="00524622" w:rsidRPr="000F0A89">
        <w:t xml:space="preserve"> </w:t>
      </w:r>
      <w:r w:rsidR="00045EE4" w:rsidRPr="000F0A89">
        <w:t xml:space="preserve">understand the </w:t>
      </w:r>
      <w:r w:rsidR="004A5719" w:rsidRPr="000F0A89">
        <w:t xml:space="preserve">factors important to </w:t>
      </w:r>
      <w:r w:rsidR="00045EE4" w:rsidRPr="000F0A89">
        <w:t>pre-implementation work</w:t>
      </w:r>
      <w:r w:rsidR="00E666F2" w:rsidRPr="000F0A89">
        <w:t xml:space="preserve">. </w:t>
      </w:r>
    </w:p>
    <w:p w14:paraId="19A61820" w14:textId="77777777" w:rsidR="00E36CA9" w:rsidRPr="000F0A89" w:rsidRDefault="00E36CA9" w:rsidP="00D365D7">
      <w:pPr>
        <w:spacing w:line="276" w:lineRule="auto"/>
        <w:jc w:val="both"/>
      </w:pPr>
    </w:p>
    <w:p w14:paraId="6F3E9714" w14:textId="5AC1040C" w:rsidR="00D365D7" w:rsidRPr="000F0A89" w:rsidRDefault="00D365D7" w:rsidP="00D365D7">
      <w:pPr>
        <w:spacing w:line="276" w:lineRule="auto"/>
        <w:jc w:val="both"/>
        <w:rPr>
          <w:b/>
          <w:bCs/>
          <w:u w:val="single"/>
        </w:rPr>
      </w:pPr>
      <w:r w:rsidRPr="000F0A89">
        <w:rPr>
          <w:b/>
          <w:bCs/>
          <w:u w:val="single"/>
        </w:rPr>
        <w:t>Table 1 CFIR</w:t>
      </w:r>
    </w:p>
    <w:p w14:paraId="4FDD95F6" w14:textId="43C91300" w:rsidR="00D365D7" w:rsidRDefault="00D365D7" w:rsidP="000E6C1D">
      <w:pPr>
        <w:spacing w:line="276" w:lineRule="auto"/>
        <w:jc w:val="both"/>
      </w:pPr>
    </w:p>
    <w:tbl>
      <w:tblPr>
        <w:tblStyle w:val="TableGrid"/>
        <w:tblW w:w="9067" w:type="dxa"/>
        <w:tblLook w:val="04A0" w:firstRow="1" w:lastRow="0" w:firstColumn="1" w:lastColumn="0" w:noHBand="0" w:noVBand="1"/>
      </w:tblPr>
      <w:tblGrid>
        <w:gridCol w:w="2972"/>
        <w:gridCol w:w="6095"/>
      </w:tblGrid>
      <w:tr w:rsidR="000E6C1D" w14:paraId="78ADE14C" w14:textId="77777777" w:rsidTr="000552E5">
        <w:tc>
          <w:tcPr>
            <w:tcW w:w="2972" w:type="dxa"/>
          </w:tcPr>
          <w:p w14:paraId="7F1F7D93" w14:textId="77777777" w:rsidR="000E6C1D" w:rsidRPr="009C0A3F" w:rsidRDefault="000E6C1D" w:rsidP="000552E5">
            <w:pPr>
              <w:spacing w:line="276" w:lineRule="auto"/>
              <w:jc w:val="center"/>
              <w:rPr>
                <w:b/>
                <w:bCs/>
              </w:rPr>
            </w:pPr>
            <w:r w:rsidRPr="009C0A3F">
              <w:rPr>
                <w:b/>
                <w:bCs/>
              </w:rPr>
              <w:t>CFIR Domain</w:t>
            </w:r>
          </w:p>
        </w:tc>
        <w:tc>
          <w:tcPr>
            <w:tcW w:w="6095" w:type="dxa"/>
          </w:tcPr>
          <w:p w14:paraId="76215B06" w14:textId="77777777" w:rsidR="000E6C1D" w:rsidRPr="009C0A3F" w:rsidRDefault="000E6C1D" w:rsidP="000552E5">
            <w:pPr>
              <w:spacing w:line="276" w:lineRule="auto"/>
              <w:jc w:val="center"/>
              <w:rPr>
                <w:b/>
                <w:bCs/>
              </w:rPr>
            </w:pPr>
            <w:r w:rsidRPr="009C0A3F">
              <w:rPr>
                <w:b/>
                <w:bCs/>
              </w:rPr>
              <w:t>Sub-concept</w:t>
            </w:r>
          </w:p>
        </w:tc>
      </w:tr>
      <w:tr w:rsidR="000E6C1D" w14:paraId="36FC7D4F" w14:textId="77777777" w:rsidTr="000552E5">
        <w:tc>
          <w:tcPr>
            <w:tcW w:w="2972" w:type="dxa"/>
          </w:tcPr>
          <w:p w14:paraId="41A92502" w14:textId="77777777" w:rsidR="000E6C1D" w:rsidRDefault="000E6C1D" w:rsidP="000552E5">
            <w:pPr>
              <w:spacing w:line="276" w:lineRule="auto"/>
              <w:jc w:val="both"/>
            </w:pPr>
            <w:r>
              <w:t xml:space="preserve">Intervention characteristics </w:t>
            </w:r>
          </w:p>
        </w:tc>
        <w:tc>
          <w:tcPr>
            <w:tcW w:w="6095" w:type="dxa"/>
          </w:tcPr>
          <w:p w14:paraId="10FD9612" w14:textId="77777777" w:rsidR="000E6C1D" w:rsidRDefault="000E6C1D" w:rsidP="000552E5">
            <w:pPr>
              <w:spacing w:line="276" w:lineRule="auto"/>
              <w:jc w:val="both"/>
            </w:pPr>
            <w:r>
              <w:t>Intervention Source</w:t>
            </w:r>
          </w:p>
          <w:p w14:paraId="6B72E9EF" w14:textId="77777777" w:rsidR="000E6C1D" w:rsidRDefault="000E6C1D" w:rsidP="000552E5">
            <w:pPr>
              <w:spacing w:line="276" w:lineRule="auto"/>
              <w:jc w:val="both"/>
            </w:pPr>
            <w:r>
              <w:t xml:space="preserve">Evidence strength and quality </w:t>
            </w:r>
          </w:p>
          <w:p w14:paraId="328554E9" w14:textId="77777777" w:rsidR="000E6C1D" w:rsidRDefault="000E6C1D" w:rsidP="000552E5">
            <w:pPr>
              <w:spacing w:line="276" w:lineRule="auto"/>
              <w:jc w:val="both"/>
            </w:pPr>
            <w:r>
              <w:t>Relative advantage</w:t>
            </w:r>
          </w:p>
          <w:p w14:paraId="40173574" w14:textId="77777777" w:rsidR="000E6C1D" w:rsidRDefault="000E6C1D" w:rsidP="000552E5">
            <w:pPr>
              <w:spacing w:line="276" w:lineRule="auto"/>
              <w:jc w:val="both"/>
            </w:pPr>
            <w:r>
              <w:t xml:space="preserve">Adaptability </w:t>
            </w:r>
          </w:p>
          <w:p w14:paraId="556A6F91" w14:textId="77777777" w:rsidR="000E6C1D" w:rsidRDefault="000E6C1D" w:rsidP="000552E5">
            <w:pPr>
              <w:spacing w:line="276" w:lineRule="auto"/>
              <w:jc w:val="both"/>
            </w:pPr>
            <w:r>
              <w:t xml:space="preserve">Trialability </w:t>
            </w:r>
          </w:p>
          <w:p w14:paraId="6F46F201" w14:textId="77777777" w:rsidR="000E6C1D" w:rsidRDefault="000E6C1D" w:rsidP="000552E5">
            <w:pPr>
              <w:spacing w:line="276" w:lineRule="auto"/>
              <w:jc w:val="both"/>
            </w:pPr>
            <w:r>
              <w:t xml:space="preserve">Complexity </w:t>
            </w:r>
          </w:p>
          <w:p w14:paraId="0FBEF286" w14:textId="77777777" w:rsidR="000E6C1D" w:rsidRDefault="000E6C1D" w:rsidP="000552E5">
            <w:pPr>
              <w:spacing w:line="276" w:lineRule="auto"/>
              <w:jc w:val="both"/>
            </w:pPr>
            <w:r>
              <w:t>Design quality and packaging</w:t>
            </w:r>
          </w:p>
          <w:p w14:paraId="2B6AB05C" w14:textId="77777777" w:rsidR="000E6C1D" w:rsidRDefault="000E6C1D" w:rsidP="000552E5">
            <w:pPr>
              <w:spacing w:line="276" w:lineRule="auto"/>
              <w:jc w:val="both"/>
            </w:pPr>
            <w:r>
              <w:t>Cost</w:t>
            </w:r>
          </w:p>
        </w:tc>
      </w:tr>
      <w:tr w:rsidR="000E6C1D" w14:paraId="5105EB27" w14:textId="77777777" w:rsidTr="000552E5">
        <w:tc>
          <w:tcPr>
            <w:tcW w:w="2972" w:type="dxa"/>
          </w:tcPr>
          <w:p w14:paraId="0F6008E8" w14:textId="77777777" w:rsidR="000E6C1D" w:rsidRPr="009C605A" w:rsidRDefault="000E6C1D" w:rsidP="000552E5">
            <w:pPr>
              <w:spacing w:line="276" w:lineRule="auto"/>
              <w:jc w:val="both"/>
            </w:pPr>
            <w:r>
              <w:t xml:space="preserve">Outer setting </w:t>
            </w:r>
          </w:p>
          <w:p w14:paraId="72427183" w14:textId="77777777" w:rsidR="000E6C1D" w:rsidRPr="009C605A" w:rsidRDefault="000E6C1D" w:rsidP="000552E5"/>
          <w:p w14:paraId="7A09A87F" w14:textId="77777777" w:rsidR="000E6C1D" w:rsidRPr="009C605A" w:rsidRDefault="000E6C1D" w:rsidP="000552E5"/>
          <w:p w14:paraId="5F91FE5B" w14:textId="77777777" w:rsidR="000E6C1D" w:rsidRPr="009C605A" w:rsidRDefault="000E6C1D" w:rsidP="000552E5"/>
        </w:tc>
        <w:tc>
          <w:tcPr>
            <w:tcW w:w="6095" w:type="dxa"/>
          </w:tcPr>
          <w:p w14:paraId="7ED7CA63" w14:textId="77777777" w:rsidR="000E6C1D" w:rsidRDefault="000E6C1D" w:rsidP="000552E5">
            <w:pPr>
              <w:spacing w:line="276" w:lineRule="auto"/>
              <w:jc w:val="both"/>
            </w:pPr>
            <w:r>
              <w:t>Patient needs and resources</w:t>
            </w:r>
          </w:p>
          <w:p w14:paraId="377C364B" w14:textId="77777777" w:rsidR="000E6C1D" w:rsidRDefault="000E6C1D" w:rsidP="000552E5">
            <w:pPr>
              <w:spacing w:line="276" w:lineRule="auto"/>
              <w:jc w:val="both"/>
            </w:pPr>
            <w:r>
              <w:t>Cosmopolitanism</w:t>
            </w:r>
          </w:p>
          <w:p w14:paraId="333BBEAD" w14:textId="77777777" w:rsidR="000E6C1D" w:rsidRDefault="000E6C1D" w:rsidP="000552E5">
            <w:pPr>
              <w:spacing w:line="276" w:lineRule="auto"/>
              <w:jc w:val="both"/>
            </w:pPr>
            <w:r>
              <w:t>Peer Pressure</w:t>
            </w:r>
          </w:p>
          <w:p w14:paraId="160ECE1D" w14:textId="77777777" w:rsidR="000E6C1D" w:rsidRDefault="000E6C1D" w:rsidP="000552E5">
            <w:pPr>
              <w:spacing w:line="276" w:lineRule="auto"/>
              <w:jc w:val="both"/>
            </w:pPr>
            <w:r>
              <w:t xml:space="preserve">External policies and incentives </w:t>
            </w:r>
          </w:p>
        </w:tc>
      </w:tr>
      <w:tr w:rsidR="000E6C1D" w14:paraId="1C365CF1" w14:textId="77777777" w:rsidTr="000552E5">
        <w:tc>
          <w:tcPr>
            <w:tcW w:w="2972" w:type="dxa"/>
          </w:tcPr>
          <w:p w14:paraId="6B1B0EFB" w14:textId="77777777" w:rsidR="000E6C1D" w:rsidRDefault="000E6C1D" w:rsidP="000552E5">
            <w:pPr>
              <w:spacing w:line="276" w:lineRule="auto"/>
              <w:jc w:val="both"/>
            </w:pPr>
            <w:r>
              <w:t>Inner setting</w:t>
            </w:r>
          </w:p>
        </w:tc>
        <w:tc>
          <w:tcPr>
            <w:tcW w:w="6095" w:type="dxa"/>
          </w:tcPr>
          <w:p w14:paraId="081AAEE5" w14:textId="77777777" w:rsidR="000E6C1D" w:rsidRDefault="000E6C1D" w:rsidP="000552E5">
            <w:pPr>
              <w:spacing w:line="276" w:lineRule="auto"/>
              <w:jc w:val="both"/>
            </w:pPr>
            <w:r>
              <w:t xml:space="preserve">Structural characteristics </w:t>
            </w:r>
          </w:p>
          <w:p w14:paraId="02B4367A" w14:textId="77777777" w:rsidR="000E6C1D" w:rsidRDefault="000E6C1D" w:rsidP="000552E5">
            <w:pPr>
              <w:spacing w:line="276" w:lineRule="auto"/>
              <w:jc w:val="both"/>
            </w:pPr>
            <w:r>
              <w:t>Networks and communications</w:t>
            </w:r>
          </w:p>
          <w:p w14:paraId="569A8B09" w14:textId="77777777" w:rsidR="000E6C1D" w:rsidRDefault="000E6C1D" w:rsidP="000552E5">
            <w:pPr>
              <w:spacing w:line="276" w:lineRule="auto"/>
              <w:jc w:val="both"/>
            </w:pPr>
            <w:r>
              <w:t>Culture</w:t>
            </w:r>
          </w:p>
          <w:p w14:paraId="01D4B244" w14:textId="77777777" w:rsidR="000E6C1D" w:rsidRDefault="000E6C1D" w:rsidP="000552E5">
            <w:pPr>
              <w:spacing w:line="276" w:lineRule="auto"/>
              <w:jc w:val="both"/>
            </w:pPr>
            <w:r>
              <w:lastRenderedPageBreak/>
              <w:t>Implementation Climate (relative priority, organisational incentives and rewards, goals and feedback, learning climate)</w:t>
            </w:r>
          </w:p>
          <w:p w14:paraId="57C78496" w14:textId="77777777" w:rsidR="000E6C1D" w:rsidRDefault="000E6C1D" w:rsidP="000552E5">
            <w:pPr>
              <w:spacing w:line="276" w:lineRule="auto"/>
              <w:jc w:val="both"/>
            </w:pPr>
            <w:r>
              <w:t xml:space="preserve">Readiness for implementation (leadership engagement, available resources, accessible information and knowledge)  </w:t>
            </w:r>
          </w:p>
        </w:tc>
      </w:tr>
      <w:tr w:rsidR="000E6C1D" w14:paraId="74906004" w14:textId="77777777" w:rsidTr="000552E5">
        <w:tc>
          <w:tcPr>
            <w:tcW w:w="2972" w:type="dxa"/>
          </w:tcPr>
          <w:p w14:paraId="6C9849FD" w14:textId="77777777" w:rsidR="000E6C1D" w:rsidRDefault="000E6C1D" w:rsidP="000552E5">
            <w:pPr>
              <w:spacing w:line="276" w:lineRule="auto"/>
              <w:jc w:val="both"/>
            </w:pPr>
            <w:r>
              <w:lastRenderedPageBreak/>
              <w:t>Individual characteristics</w:t>
            </w:r>
          </w:p>
        </w:tc>
        <w:tc>
          <w:tcPr>
            <w:tcW w:w="6095" w:type="dxa"/>
          </w:tcPr>
          <w:p w14:paraId="295B50D8" w14:textId="77777777" w:rsidR="000E6C1D" w:rsidRDefault="000E6C1D" w:rsidP="000552E5">
            <w:pPr>
              <w:spacing w:line="276" w:lineRule="auto"/>
              <w:jc w:val="both"/>
            </w:pPr>
            <w:r>
              <w:t xml:space="preserve">Knowledge and beliefs about the intervention </w:t>
            </w:r>
          </w:p>
          <w:p w14:paraId="2F393188" w14:textId="77777777" w:rsidR="000E6C1D" w:rsidRDefault="000E6C1D" w:rsidP="000552E5">
            <w:pPr>
              <w:spacing w:line="276" w:lineRule="auto"/>
              <w:jc w:val="both"/>
            </w:pPr>
            <w:r>
              <w:t xml:space="preserve">Self-efficacy </w:t>
            </w:r>
          </w:p>
          <w:p w14:paraId="402DF7B0" w14:textId="77777777" w:rsidR="000E6C1D" w:rsidRDefault="000E6C1D" w:rsidP="000552E5">
            <w:pPr>
              <w:spacing w:line="276" w:lineRule="auto"/>
              <w:jc w:val="both"/>
            </w:pPr>
            <w:r>
              <w:t xml:space="preserve">Individual stage of change </w:t>
            </w:r>
          </w:p>
          <w:p w14:paraId="3E83E724" w14:textId="77777777" w:rsidR="000E6C1D" w:rsidRDefault="000E6C1D" w:rsidP="000552E5">
            <w:pPr>
              <w:spacing w:line="276" w:lineRule="auto"/>
              <w:jc w:val="both"/>
            </w:pPr>
            <w:r>
              <w:t xml:space="preserve">Individual identification with organisation </w:t>
            </w:r>
          </w:p>
          <w:p w14:paraId="65471F80" w14:textId="77777777" w:rsidR="000E6C1D" w:rsidRDefault="000E6C1D" w:rsidP="000552E5">
            <w:pPr>
              <w:spacing w:line="276" w:lineRule="auto"/>
              <w:jc w:val="both"/>
            </w:pPr>
            <w:r>
              <w:t>Other personal attributes</w:t>
            </w:r>
          </w:p>
        </w:tc>
      </w:tr>
      <w:tr w:rsidR="000E6C1D" w14:paraId="02F4ED1D" w14:textId="77777777" w:rsidTr="000552E5">
        <w:tc>
          <w:tcPr>
            <w:tcW w:w="2972" w:type="dxa"/>
          </w:tcPr>
          <w:p w14:paraId="61C07695" w14:textId="77777777" w:rsidR="000E6C1D" w:rsidRDefault="000E6C1D" w:rsidP="000552E5">
            <w:pPr>
              <w:spacing w:line="276" w:lineRule="auto"/>
              <w:jc w:val="both"/>
            </w:pPr>
            <w:r>
              <w:t xml:space="preserve">Process of implementation </w:t>
            </w:r>
          </w:p>
        </w:tc>
        <w:tc>
          <w:tcPr>
            <w:tcW w:w="6095" w:type="dxa"/>
          </w:tcPr>
          <w:p w14:paraId="2F921928" w14:textId="77777777" w:rsidR="000E6C1D" w:rsidRDefault="000E6C1D" w:rsidP="000552E5">
            <w:pPr>
              <w:spacing w:line="276" w:lineRule="auto"/>
              <w:jc w:val="both"/>
            </w:pPr>
            <w:r>
              <w:t xml:space="preserve">Planning </w:t>
            </w:r>
          </w:p>
          <w:p w14:paraId="12DBE402" w14:textId="77777777" w:rsidR="000E6C1D" w:rsidRDefault="000E6C1D" w:rsidP="000552E5">
            <w:pPr>
              <w:spacing w:line="276" w:lineRule="auto"/>
              <w:jc w:val="both"/>
            </w:pPr>
            <w:r>
              <w:t>Engaging (opinion leaders, formally appointed internal implementation leaders, champions, external change agents)</w:t>
            </w:r>
          </w:p>
          <w:p w14:paraId="18C6D75A" w14:textId="77777777" w:rsidR="000E6C1D" w:rsidRDefault="000E6C1D" w:rsidP="000552E5">
            <w:pPr>
              <w:spacing w:line="276" w:lineRule="auto"/>
              <w:jc w:val="both"/>
            </w:pPr>
            <w:r>
              <w:t xml:space="preserve">Executing </w:t>
            </w:r>
          </w:p>
          <w:p w14:paraId="1F405B22" w14:textId="77777777" w:rsidR="000E6C1D" w:rsidRDefault="000E6C1D" w:rsidP="000552E5">
            <w:pPr>
              <w:spacing w:line="276" w:lineRule="auto"/>
              <w:jc w:val="both"/>
            </w:pPr>
            <w:r>
              <w:t xml:space="preserve">Reflecting and evaluating </w:t>
            </w:r>
          </w:p>
        </w:tc>
      </w:tr>
    </w:tbl>
    <w:p w14:paraId="13EAC2DD" w14:textId="6B847F88" w:rsidR="000E6C1D" w:rsidRDefault="000E6C1D" w:rsidP="000E6C1D">
      <w:pPr>
        <w:spacing w:line="276" w:lineRule="auto"/>
        <w:jc w:val="both"/>
      </w:pPr>
    </w:p>
    <w:p w14:paraId="551D67AF" w14:textId="77777777" w:rsidR="000E6C1D" w:rsidRPr="000F0A89" w:rsidRDefault="000E6C1D" w:rsidP="000E6C1D">
      <w:pPr>
        <w:spacing w:line="276" w:lineRule="auto"/>
        <w:jc w:val="both"/>
      </w:pPr>
    </w:p>
    <w:p w14:paraId="1E8D0C04" w14:textId="2FEC58CF" w:rsidR="0034158C" w:rsidRPr="000F0A89" w:rsidRDefault="00147793" w:rsidP="00E139F1">
      <w:pPr>
        <w:spacing w:line="276" w:lineRule="auto"/>
        <w:jc w:val="both"/>
      </w:pPr>
      <w:r w:rsidRPr="000F0A89">
        <w:t xml:space="preserve">Buckingham’s </w:t>
      </w:r>
      <w:r w:rsidR="007B6EC9" w:rsidRPr="000F0A89">
        <w:fldChar w:fldCharType="begin" w:fldLock="1"/>
      </w:r>
      <w:r w:rsidR="007E3818" w:rsidRPr="000F0A89">
        <w:instrText>ADDIN CSL_CITATION {"citationItems":[{"id":"ITEM-1","itemData":{"DOI":"10.1017/S0047279412000086","ISSN":"00472794","abstract":"The impacts of government contracting on third sector organisations (TSOs) have attracted much discussion; however, the diversity of the organisations that comprise the third sector means that these impacts in fact vary considerably between TSOs. In order to better understand this complexity and to analyse and articulate TSOs’ experiences more effectively, it is useful to think about different response types. Based on empirical evidence from a study of homelessness TSOs in two South East England local authorities, this paper presents a typology of organisational responses to contracting. The four types identified are: Comfortable Contractors, Compliant Contractors, Cautious Contractors, and Community-Based Non-Contractors. The varied experiences of these different types of organisation with regard to contracting are described in the paper and point to the need for greater precision and differentiation within academic debates, and in the formulation of social policy relating to the third sector.","author":[{"dropping-particle":"","family":"Buckingham","given":"Heather","non-dropping-particle":"","parse-names":false,"suffix":""}],"container-title":"Journal of Social Policy","id":"ITEM-1","issue":"3","issued":{"date-parts":[["2012"]]},"page":"569-589","title":"Capturing diversity: A typology of third sector organisations' responses to contracting based on empirical evidence from homelessness services","type":"article-journal","volume":"41"},"uris":["http://www.mendeley.com/documents/?uuid=63b78931-4b69-4887-a42a-beda34cc6ce5"]}],"mendeley":{"formattedCitation":"(28)","plainTextFormattedCitation":"(28)","previouslyFormattedCitation":"(27)"},"properties":{"noteIndex":0},"schema":"https://github.com/citation-style-language/schema/raw/master/csl-citation.json"}</w:instrText>
      </w:r>
      <w:r w:rsidR="007B6EC9" w:rsidRPr="000F0A89">
        <w:fldChar w:fldCharType="separate"/>
      </w:r>
      <w:r w:rsidR="007E3818" w:rsidRPr="000F0A89">
        <w:rPr>
          <w:noProof/>
        </w:rPr>
        <w:t>(28)</w:t>
      </w:r>
      <w:r w:rsidR="007B6EC9" w:rsidRPr="000F0A89">
        <w:fldChar w:fldCharType="end"/>
      </w:r>
      <w:r w:rsidR="000C63FA" w:rsidRPr="000F0A89">
        <w:t xml:space="preserve"> </w:t>
      </w:r>
      <w:r w:rsidR="000A4CD1" w:rsidRPr="000F0A89">
        <w:t>typolog</w:t>
      </w:r>
      <w:r w:rsidRPr="000F0A89">
        <w:t xml:space="preserve">y of third sector organisations </w:t>
      </w:r>
      <w:r w:rsidR="00104BEB" w:rsidRPr="000F0A89">
        <w:t>w</w:t>
      </w:r>
      <w:r w:rsidR="000A4CD1" w:rsidRPr="000F0A89">
        <w:t xml:space="preserve">as </w:t>
      </w:r>
      <w:r w:rsidR="00CE77D9" w:rsidRPr="000F0A89">
        <w:t>used</w:t>
      </w:r>
      <w:r w:rsidR="003E5DD6" w:rsidRPr="000F0A89">
        <w:t xml:space="preserve"> </w:t>
      </w:r>
      <w:r w:rsidR="004909A3" w:rsidRPr="000F0A89">
        <w:t xml:space="preserve">to inform the interpretive section and </w:t>
      </w:r>
      <w:r w:rsidR="003E5DD6" w:rsidRPr="000F0A89">
        <w:t>to guide understanding of the nature of partner</w:t>
      </w:r>
      <w:r w:rsidR="0064184C" w:rsidRPr="000F0A89">
        <w:t>’s</w:t>
      </w:r>
      <w:r w:rsidR="003E5DD6" w:rsidRPr="000F0A89">
        <w:t xml:space="preserve"> settings</w:t>
      </w:r>
      <w:r w:rsidR="004909A3" w:rsidRPr="000F0A89">
        <w:t xml:space="preserve">. </w:t>
      </w:r>
      <w:r w:rsidR="000A4CD1" w:rsidRPr="000F0A89">
        <w:t xml:space="preserve">The four typologies </w:t>
      </w:r>
      <w:r w:rsidR="000903A8" w:rsidRPr="000F0A89">
        <w:t>included</w:t>
      </w:r>
      <w:r w:rsidR="000A4CD1" w:rsidRPr="000F0A89">
        <w:t>; comfortable cont</w:t>
      </w:r>
      <w:r w:rsidR="00E139F1" w:rsidRPr="000F0A89">
        <w:t>r</w:t>
      </w:r>
      <w:r w:rsidR="000A4CD1" w:rsidRPr="000F0A89">
        <w:t xml:space="preserve">actors </w:t>
      </w:r>
      <w:r w:rsidR="006F5D83" w:rsidRPr="000F0A89">
        <w:t xml:space="preserve">who </w:t>
      </w:r>
      <w:r w:rsidR="000A4CD1" w:rsidRPr="000F0A89">
        <w:t>operate at national and regional scale, are involved in government contracts and have no volunteers or voluntary income; compliant contractors are regional level providers w</w:t>
      </w:r>
      <w:r w:rsidR="00496E02" w:rsidRPr="000F0A89">
        <w:t>ho are heavily dependent on government contracts and have little volunteer involvement and income, t</w:t>
      </w:r>
      <w:r w:rsidR="00907CAF" w:rsidRPr="000F0A89">
        <w:t>hey</w:t>
      </w:r>
      <w:r w:rsidR="00496E02" w:rsidRPr="000F0A89">
        <w:t xml:space="preserve"> are described as charities that have become professionalised; cautious contractors have </w:t>
      </w:r>
      <w:r w:rsidR="00907CAF" w:rsidRPr="000F0A89">
        <w:t xml:space="preserve">some </w:t>
      </w:r>
      <w:r w:rsidR="00496E02" w:rsidRPr="000F0A89">
        <w:t xml:space="preserve">involvement in government contracts but for whom the voluntary income is significant </w:t>
      </w:r>
      <w:r w:rsidR="0064184C" w:rsidRPr="000F0A89">
        <w:t>and</w:t>
      </w:r>
      <w:r w:rsidR="00496E02" w:rsidRPr="000F0A89">
        <w:t xml:space="preserve"> have a workforce of paid staff and volunteers; community-based non-contractors are not involved in government contracts </w:t>
      </w:r>
      <w:r w:rsidR="00907CAF" w:rsidRPr="000F0A89">
        <w:t>and are dependent on voluntary income</w:t>
      </w:r>
      <w:r w:rsidR="0064184C" w:rsidRPr="000F0A89">
        <w:t xml:space="preserve">, </w:t>
      </w:r>
      <w:r w:rsidR="00CE1F0C" w:rsidRPr="000F0A89">
        <w:t>are</w:t>
      </w:r>
      <w:r w:rsidR="00496E02" w:rsidRPr="000F0A89">
        <w:t xml:space="preserve"> </w:t>
      </w:r>
      <w:r w:rsidR="00104BEB" w:rsidRPr="000F0A89">
        <w:t>embedded</w:t>
      </w:r>
      <w:r w:rsidR="00496E02" w:rsidRPr="000F0A89">
        <w:t xml:space="preserve"> in the local community and </w:t>
      </w:r>
      <w:r w:rsidR="000903A8" w:rsidRPr="000F0A89">
        <w:t xml:space="preserve">reliant on </w:t>
      </w:r>
      <w:r w:rsidR="00496E02" w:rsidRPr="000F0A89">
        <w:t xml:space="preserve">volunteers. </w:t>
      </w:r>
    </w:p>
    <w:p w14:paraId="7CBC0F0D" w14:textId="68F82675" w:rsidR="00AE2529" w:rsidRPr="000F0A89" w:rsidRDefault="00AE2529" w:rsidP="001A44C0">
      <w:pPr>
        <w:spacing w:line="276" w:lineRule="auto"/>
        <w:jc w:val="both"/>
      </w:pPr>
    </w:p>
    <w:p w14:paraId="559A51EB" w14:textId="77777777" w:rsidR="00C24867" w:rsidRPr="000F0A89" w:rsidRDefault="008B7AC0" w:rsidP="007632DB">
      <w:pPr>
        <w:pStyle w:val="Heading1"/>
      </w:pPr>
      <w:r w:rsidRPr="000F0A89">
        <w:t xml:space="preserve">Results </w:t>
      </w:r>
    </w:p>
    <w:p w14:paraId="1C45894D" w14:textId="58C39F77" w:rsidR="008B7AC0" w:rsidRPr="000F0A89" w:rsidRDefault="008B7AC0" w:rsidP="001A44C0">
      <w:pPr>
        <w:spacing w:line="276" w:lineRule="auto"/>
        <w:jc w:val="both"/>
      </w:pPr>
    </w:p>
    <w:p w14:paraId="0D13489A" w14:textId="77F30E13" w:rsidR="008059E0" w:rsidRPr="000F0A89" w:rsidRDefault="00CA6D6D" w:rsidP="001A44C0">
      <w:pPr>
        <w:spacing w:line="276" w:lineRule="auto"/>
        <w:jc w:val="both"/>
      </w:pPr>
      <w:r w:rsidRPr="000F0A89">
        <w:t xml:space="preserve">The nature of the </w:t>
      </w:r>
      <w:r w:rsidR="00147793" w:rsidRPr="000F0A89">
        <w:t>community partner’s</w:t>
      </w:r>
      <w:r w:rsidR="0012115D" w:rsidRPr="000F0A89">
        <w:t xml:space="preserve"> context</w:t>
      </w:r>
      <w:r w:rsidRPr="000F0A89">
        <w:t xml:space="preserve"> was</w:t>
      </w:r>
      <w:r w:rsidR="00147793" w:rsidRPr="000F0A89">
        <w:t xml:space="preserve"> </w:t>
      </w:r>
      <w:r w:rsidRPr="000F0A89">
        <w:t>found to influence the pre-implementation work</w:t>
      </w:r>
      <w:r w:rsidR="00136A03" w:rsidRPr="000F0A89">
        <w:t xml:space="preserve"> required</w:t>
      </w:r>
      <w:r w:rsidRPr="000F0A89">
        <w:t xml:space="preserve">. Buckingham’s </w:t>
      </w:r>
      <w:r w:rsidR="007B6EC9" w:rsidRPr="000F0A89">
        <w:fldChar w:fldCharType="begin" w:fldLock="1"/>
      </w:r>
      <w:r w:rsidR="007E3818" w:rsidRPr="000F0A89">
        <w:instrText>ADDIN CSL_CITATION {"citationItems":[{"id":"ITEM-1","itemData":{"DOI":"10.1017/S0047279412000086","ISSN":"00472794","abstract":"The impacts of government contracting on third sector organisations (TSOs) have attracted much discussion; however, the diversity of the organisations that comprise the third sector means that these impacts in fact vary considerably between TSOs. In order to better understand this complexity and to analyse and articulate TSOs’ experiences more effectively, it is useful to think about different response types. Based on empirical evidence from a study of homelessness TSOs in two South East England local authorities, this paper presents a typology of organisational responses to contracting. The four types identified are: Comfortable Contractors, Compliant Contractors, Cautious Contractors, and Community-Based Non-Contractors. The varied experiences of these different types of organisation with regard to contracting are described in the paper and point to the need for greater precision and differentiation within academic debates, and in the formulation of social policy relating to the third sector.","author":[{"dropping-particle":"","family":"Buckingham","given":"Heather","non-dropping-particle":"","parse-names":false,"suffix":""}],"container-title":"Journal of Social Policy","id":"ITEM-1","issue":"3","issued":{"date-parts":[["2012"]]},"page":"569-589","title":"Capturing diversity: A typology of third sector organisations' responses to contracting based on empirical evidence from homelessness services","type":"article-journal","volume":"41"},"uris":["http://www.mendeley.com/documents/?uuid=63b78931-4b69-4887-a42a-beda34cc6ce5"]}],"mendeley":{"formattedCitation":"(28)","plainTextFormattedCitation":"(28)","previouslyFormattedCitation":"(27)"},"properties":{"noteIndex":0},"schema":"https://github.com/citation-style-language/schema/raw/master/csl-citation.json"}</w:instrText>
      </w:r>
      <w:r w:rsidR="007B6EC9" w:rsidRPr="000F0A89">
        <w:fldChar w:fldCharType="separate"/>
      </w:r>
      <w:r w:rsidR="007E3818" w:rsidRPr="000F0A89">
        <w:rPr>
          <w:noProof/>
        </w:rPr>
        <w:t>(28)</w:t>
      </w:r>
      <w:r w:rsidR="007B6EC9" w:rsidRPr="000F0A89">
        <w:fldChar w:fldCharType="end"/>
      </w:r>
      <w:r w:rsidR="007B6EC9" w:rsidRPr="000F0A89">
        <w:t xml:space="preserve"> </w:t>
      </w:r>
      <w:r w:rsidRPr="000F0A89">
        <w:t xml:space="preserve">typology was a useful </w:t>
      </w:r>
      <w:r w:rsidR="000903A8" w:rsidRPr="000F0A89">
        <w:t>starting p</w:t>
      </w:r>
      <w:r w:rsidR="00804FA3" w:rsidRPr="000F0A89">
        <w:t>o</w:t>
      </w:r>
      <w:r w:rsidR="000903A8" w:rsidRPr="000F0A89">
        <w:t xml:space="preserve">int </w:t>
      </w:r>
      <w:r w:rsidRPr="000F0A89">
        <w:t>for</w:t>
      </w:r>
      <w:r w:rsidR="00804FA3" w:rsidRPr="000F0A89">
        <w:t xml:space="preserve"> </w:t>
      </w:r>
      <w:r w:rsidRPr="000F0A89">
        <w:t xml:space="preserve">better understanding the range of </w:t>
      </w:r>
      <w:r w:rsidR="0012115D" w:rsidRPr="000F0A89">
        <w:t xml:space="preserve">contexts of operation. </w:t>
      </w:r>
      <w:r w:rsidRPr="000F0A89">
        <w:t xml:space="preserve"> </w:t>
      </w:r>
      <w:r w:rsidR="00804FA3" w:rsidRPr="000F0A89">
        <w:t>The partners were categorised from information they had provided in the interviews</w:t>
      </w:r>
      <w:r w:rsidR="00CB269C" w:rsidRPr="000F0A89">
        <w:t xml:space="preserve"> and from documents gathered.</w:t>
      </w:r>
      <w:r w:rsidR="00804FA3" w:rsidRPr="000F0A89">
        <w:t xml:space="preserve"> </w:t>
      </w:r>
      <w:r w:rsidR="00B9217D" w:rsidRPr="000F0A89">
        <w:t xml:space="preserve">What was found is that </w:t>
      </w:r>
      <w:r w:rsidRPr="000F0A89">
        <w:t xml:space="preserve">the </w:t>
      </w:r>
      <w:r w:rsidR="00147793" w:rsidRPr="000F0A89">
        <w:t xml:space="preserve">community partners </w:t>
      </w:r>
      <w:r w:rsidRPr="000F0A89">
        <w:t>did not fall discreetly into a typology. Rather</w:t>
      </w:r>
      <w:r w:rsidR="00FA2291" w:rsidRPr="000F0A89">
        <w:t>,</w:t>
      </w:r>
      <w:r w:rsidRPr="000F0A89">
        <w:t xml:space="preserve"> what was found to exist was a continuum of </w:t>
      </w:r>
      <w:r w:rsidR="00147793" w:rsidRPr="000F0A89">
        <w:t xml:space="preserve">contexts </w:t>
      </w:r>
      <w:r w:rsidRPr="000F0A89">
        <w:t>blending</w:t>
      </w:r>
      <w:r w:rsidR="00B9217D" w:rsidRPr="000F0A89">
        <w:t xml:space="preserve"> more </w:t>
      </w:r>
      <w:r w:rsidR="0097315A" w:rsidRPr="000F0A89">
        <w:t>smoothly</w:t>
      </w:r>
      <w:r w:rsidRPr="000F0A89">
        <w:t xml:space="preserve"> from</w:t>
      </w:r>
      <w:r w:rsidR="00254195" w:rsidRPr="000F0A89">
        <w:t xml:space="preserve"> </w:t>
      </w:r>
      <w:r w:rsidR="00170DC5" w:rsidRPr="000F0A89">
        <w:t xml:space="preserve">being </w:t>
      </w:r>
      <w:r w:rsidR="00254195" w:rsidRPr="000F0A89">
        <w:t xml:space="preserve">more </w:t>
      </w:r>
      <w:r w:rsidRPr="000F0A89">
        <w:t>comfortable</w:t>
      </w:r>
      <w:r w:rsidR="00170DC5" w:rsidRPr="000F0A89">
        <w:t>,</w:t>
      </w:r>
      <w:r w:rsidRPr="000F0A89">
        <w:t xml:space="preserve"> into </w:t>
      </w:r>
      <w:r w:rsidR="00170DC5" w:rsidRPr="000F0A89">
        <w:t xml:space="preserve">more </w:t>
      </w:r>
      <w:r w:rsidRPr="000F0A89">
        <w:t>compliant</w:t>
      </w:r>
      <w:r w:rsidR="00170DC5" w:rsidRPr="000F0A89">
        <w:t>,</w:t>
      </w:r>
      <w:r w:rsidRPr="000F0A89">
        <w:t xml:space="preserve"> into</w:t>
      </w:r>
      <w:r w:rsidR="00170DC5" w:rsidRPr="000F0A89">
        <w:t xml:space="preserve"> more</w:t>
      </w:r>
      <w:r w:rsidRPr="000F0A89">
        <w:t xml:space="preserve"> cautious contractors</w:t>
      </w:r>
      <w:r w:rsidR="00170DC5" w:rsidRPr="000F0A89">
        <w:t>,</w:t>
      </w:r>
      <w:r w:rsidR="00254195" w:rsidRPr="000F0A89">
        <w:t xml:space="preserve"> into more </w:t>
      </w:r>
      <w:r w:rsidRPr="000F0A89">
        <w:t xml:space="preserve">community-based non-contractors. Few </w:t>
      </w:r>
      <w:r w:rsidR="00E43896" w:rsidRPr="000F0A89">
        <w:t>partners</w:t>
      </w:r>
      <w:r w:rsidRPr="000F0A89">
        <w:t xml:space="preserve"> fell wholly into a typology, and where this did occur it </w:t>
      </w:r>
      <w:r w:rsidRPr="000F0A89">
        <w:lastRenderedPageBreak/>
        <w:t xml:space="preserve">was often at the extreme ends; comfortable contractors </w:t>
      </w:r>
      <w:r w:rsidR="00136A03" w:rsidRPr="000F0A89">
        <w:t xml:space="preserve">(i.e. statutory service providers) </w:t>
      </w:r>
      <w:r w:rsidRPr="000F0A89">
        <w:t>and community-based non-contractors</w:t>
      </w:r>
      <w:r w:rsidR="00136A03" w:rsidRPr="000F0A89">
        <w:t xml:space="preserve"> (i.e. places of worship)</w:t>
      </w:r>
      <w:r w:rsidRPr="000F0A89">
        <w:t xml:space="preserve">. Many </w:t>
      </w:r>
      <w:r w:rsidR="00E43896" w:rsidRPr="000F0A89">
        <w:t>partner contexts</w:t>
      </w:r>
      <w:r w:rsidRPr="000F0A89">
        <w:t xml:space="preserve"> displa</w:t>
      </w:r>
      <w:r w:rsidR="00136A03" w:rsidRPr="000F0A89">
        <w:t xml:space="preserve">yed </w:t>
      </w:r>
      <w:r w:rsidRPr="000F0A89">
        <w:t>elements of two typologies</w:t>
      </w:r>
      <w:r w:rsidR="000903A8" w:rsidRPr="000F0A89">
        <w:t xml:space="preserve">, and so to reflect this continuum three categories have been </w:t>
      </w:r>
      <w:r w:rsidR="00B9217D" w:rsidRPr="000F0A89">
        <w:t>defined to reflect the clusters of partners falling on the continuum of typologies, as well as being useful to account for the complexities in settings.</w:t>
      </w:r>
      <w:r w:rsidR="008059E0" w:rsidRPr="000F0A89">
        <w:t xml:space="preserve"> </w:t>
      </w:r>
      <w:r w:rsidR="007C22AE" w:rsidRPr="000F0A89">
        <w:t xml:space="preserve">Table </w:t>
      </w:r>
      <w:r w:rsidR="00C301E8" w:rsidRPr="000F0A89">
        <w:t>2</w:t>
      </w:r>
      <w:r w:rsidR="007C22AE" w:rsidRPr="000F0A89">
        <w:t xml:space="preserve"> describes the </w:t>
      </w:r>
      <w:r w:rsidR="00E43896" w:rsidRPr="000F0A89">
        <w:t>partners</w:t>
      </w:r>
      <w:r w:rsidR="00B9217D" w:rsidRPr="000F0A89">
        <w:t>,</w:t>
      </w:r>
      <w:r w:rsidR="00136A03" w:rsidRPr="000F0A89">
        <w:t xml:space="preserve"> places them </w:t>
      </w:r>
      <w:r w:rsidR="007C22AE" w:rsidRPr="000F0A89">
        <w:t>on the</w:t>
      </w:r>
      <w:r w:rsidR="00C2015B" w:rsidRPr="000F0A89">
        <w:t xml:space="preserve"> </w:t>
      </w:r>
      <w:r w:rsidR="007C22AE" w:rsidRPr="000F0A89">
        <w:t>continuum</w:t>
      </w:r>
      <w:r w:rsidR="00B9217D" w:rsidRPr="000F0A89">
        <w:t xml:space="preserve"> and illustrates where the three new categories overlap with Buckingham’s typology</w:t>
      </w:r>
      <w:r w:rsidR="007C22AE" w:rsidRPr="000F0A89">
        <w:t xml:space="preserve">. </w:t>
      </w:r>
    </w:p>
    <w:p w14:paraId="0F060217" w14:textId="748AE8AB" w:rsidR="007C22AE" w:rsidRPr="000F0A89" w:rsidRDefault="007C22AE" w:rsidP="001A44C0">
      <w:pPr>
        <w:spacing w:line="276" w:lineRule="auto"/>
        <w:jc w:val="both"/>
      </w:pPr>
    </w:p>
    <w:p w14:paraId="5B7E5B36" w14:textId="4DA452D0" w:rsidR="007C22AE" w:rsidRPr="000F0A89" w:rsidRDefault="007C22AE" w:rsidP="007C22AE">
      <w:pPr>
        <w:rPr>
          <w:b/>
          <w:bCs/>
          <w:u w:val="single"/>
        </w:rPr>
      </w:pPr>
      <w:r w:rsidRPr="000F0A89">
        <w:rPr>
          <w:b/>
          <w:bCs/>
          <w:u w:val="single"/>
        </w:rPr>
        <w:t xml:space="preserve">Table </w:t>
      </w:r>
      <w:r w:rsidR="00C301E8" w:rsidRPr="000F0A89">
        <w:rPr>
          <w:b/>
          <w:bCs/>
          <w:u w:val="single"/>
        </w:rPr>
        <w:t>2</w:t>
      </w:r>
      <w:r w:rsidR="00907CAF" w:rsidRPr="000F0A89">
        <w:rPr>
          <w:b/>
          <w:bCs/>
          <w:u w:val="single"/>
        </w:rPr>
        <w:t xml:space="preserve"> Community Partner Continuum </w:t>
      </w:r>
    </w:p>
    <w:p w14:paraId="197DFAB0" w14:textId="5A683E3D" w:rsidR="007C22AE" w:rsidRPr="000F0A89" w:rsidRDefault="007C22AE" w:rsidP="007C22AE"/>
    <w:tbl>
      <w:tblPr>
        <w:tblStyle w:val="TableGrid"/>
        <w:tblW w:w="9051" w:type="dxa"/>
        <w:tblLook w:val="04A0" w:firstRow="1" w:lastRow="0" w:firstColumn="1" w:lastColumn="0" w:noHBand="0" w:noVBand="1"/>
      </w:tblPr>
      <w:tblGrid>
        <w:gridCol w:w="2033"/>
        <w:gridCol w:w="1034"/>
        <w:gridCol w:w="3541"/>
        <w:gridCol w:w="2443"/>
      </w:tblGrid>
      <w:tr w:rsidR="000E6C1D" w14:paraId="726198AD" w14:textId="77777777" w:rsidTr="000552E5">
        <w:tc>
          <w:tcPr>
            <w:tcW w:w="2033" w:type="dxa"/>
            <w:tcBorders>
              <w:bottom w:val="single" w:sz="4" w:space="0" w:color="auto"/>
            </w:tcBorders>
          </w:tcPr>
          <w:p w14:paraId="06DA06E0" w14:textId="77777777" w:rsidR="000E6C1D" w:rsidRPr="00071E00" w:rsidRDefault="000E6C1D" w:rsidP="000552E5">
            <w:pPr>
              <w:spacing w:line="276" w:lineRule="auto"/>
              <w:jc w:val="right"/>
              <w:rPr>
                <w:b/>
                <w:bCs/>
              </w:rPr>
            </w:pPr>
            <w:r>
              <w:rPr>
                <w:b/>
                <w:bCs/>
              </w:rPr>
              <w:t xml:space="preserve">Typology </w:t>
            </w:r>
          </w:p>
        </w:tc>
        <w:tc>
          <w:tcPr>
            <w:tcW w:w="1034" w:type="dxa"/>
            <w:tcBorders>
              <w:bottom w:val="single" w:sz="4" w:space="0" w:color="auto"/>
            </w:tcBorders>
          </w:tcPr>
          <w:p w14:paraId="754666A2" w14:textId="77777777" w:rsidR="000E6C1D" w:rsidRDefault="000E6C1D" w:rsidP="000552E5">
            <w:pPr>
              <w:spacing w:line="276" w:lineRule="auto"/>
              <w:jc w:val="center"/>
              <w:rPr>
                <w:b/>
                <w:bCs/>
              </w:rPr>
            </w:pPr>
            <w:r>
              <w:rPr>
                <w:b/>
                <w:bCs/>
              </w:rPr>
              <w:t xml:space="preserve">Number </w:t>
            </w:r>
          </w:p>
        </w:tc>
        <w:tc>
          <w:tcPr>
            <w:tcW w:w="3541" w:type="dxa"/>
            <w:tcBorders>
              <w:bottom w:val="single" w:sz="4" w:space="0" w:color="auto"/>
            </w:tcBorders>
          </w:tcPr>
          <w:p w14:paraId="28DC5BF3" w14:textId="77777777" w:rsidR="000E6C1D" w:rsidRPr="00071E00" w:rsidRDefault="000E6C1D" w:rsidP="000552E5">
            <w:pPr>
              <w:spacing w:line="276" w:lineRule="auto"/>
              <w:rPr>
                <w:b/>
                <w:bCs/>
              </w:rPr>
            </w:pPr>
            <w:r>
              <w:rPr>
                <w:b/>
                <w:bCs/>
              </w:rPr>
              <w:t xml:space="preserve">Community Partner description </w:t>
            </w:r>
          </w:p>
        </w:tc>
        <w:tc>
          <w:tcPr>
            <w:tcW w:w="2443" w:type="dxa"/>
            <w:tcBorders>
              <w:bottom w:val="single" w:sz="4" w:space="0" w:color="auto"/>
            </w:tcBorders>
          </w:tcPr>
          <w:p w14:paraId="28C03FF0" w14:textId="77777777" w:rsidR="000E6C1D" w:rsidRDefault="000E6C1D" w:rsidP="000552E5">
            <w:pPr>
              <w:spacing w:line="276" w:lineRule="auto"/>
              <w:rPr>
                <w:b/>
                <w:bCs/>
              </w:rPr>
            </w:pPr>
            <w:r>
              <w:rPr>
                <w:b/>
                <w:bCs/>
              </w:rPr>
              <w:t xml:space="preserve">Category </w:t>
            </w:r>
          </w:p>
        </w:tc>
      </w:tr>
      <w:tr w:rsidR="000E6C1D" w14:paraId="555B498F" w14:textId="77777777" w:rsidTr="000552E5">
        <w:trPr>
          <w:trHeight w:val="711"/>
        </w:trPr>
        <w:tc>
          <w:tcPr>
            <w:tcW w:w="2033" w:type="dxa"/>
            <w:tcBorders>
              <w:bottom w:val="nil"/>
            </w:tcBorders>
          </w:tcPr>
          <w:p w14:paraId="252B116C" w14:textId="77777777" w:rsidR="000E6C1D" w:rsidRDefault="000E6C1D" w:rsidP="000552E5">
            <w:pPr>
              <w:spacing w:line="276" w:lineRule="auto"/>
              <w:jc w:val="right"/>
            </w:pPr>
            <w:r>
              <w:t>Comfortable Contractors</w:t>
            </w:r>
          </w:p>
        </w:tc>
        <w:tc>
          <w:tcPr>
            <w:tcW w:w="1034" w:type="dxa"/>
            <w:tcBorders>
              <w:bottom w:val="nil"/>
            </w:tcBorders>
          </w:tcPr>
          <w:p w14:paraId="0048175B" w14:textId="77777777" w:rsidR="000E6C1D" w:rsidRDefault="000E6C1D" w:rsidP="000552E5">
            <w:pPr>
              <w:spacing w:line="276" w:lineRule="auto"/>
              <w:jc w:val="center"/>
            </w:pPr>
            <w:r>
              <w:t>1</w:t>
            </w:r>
          </w:p>
          <w:p w14:paraId="68B4BD98" w14:textId="77777777" w:rsidR="000E6C1D" w:rsidRDefault="000E6C1D" w:rsidP="000552E5">
            <w:pPr>
              <w:spacing w:line="276" w:lineRule="auto"/>
              <w:jc w:val="center"/>
            </w:pPr>
            <w:r>
              <w:t>2</w:t>
            </w:r>
          </w:p>
          <w:p w14:paraId="78DA719E" w14:textId="77777777" w:rsidR="000E6C1D" w:rsidRDefault="000E6C1D" w:rsidP="000552E5">
            <w:pPr>
              <w:spacing w:line="276" w:lineRule="auto"/>
              <w:jc w:val="center"/>
            </w:pPr>
            <w:r>
              <w:t>3</w:t>
            </w:r>
          </w:p>
          <w:p w14:paraId="6F45BD38" w14:textId="77777777" w:rsidR="000E6C1D" w:rsidRDefault="000E6C1D" w:rsidP="000552E5">
            <w:pPr>
              <w:spacing w:line="276" w:lineRule="auto"/>
              <w:jc w:val="center"/>
            </w:pPr>
            <w:r>
              <w:t>4</w:t>
            </w:r>
          </w:p>
          <w:p w14:paraId="6179133D" w14:textId="77777777" w:rsidR="000E6C1D" w:rsidRDefault="000E6C1D" w:rsidP="000552E5">
            <w:pPr>
              <w:spacing w:line="276" w:lineRule="auto"/>
              <w:jc w:val="center"/>
            </w:pPr>
            <w:r>
              <w:t>5</w:t>
            </w:r>
          </w:p>
          <w:p w14:paraId="7CE3FBC6" w14:textId="77777777" w:rsidR="000E6C1D" w:rsidRDefault="000E6C1D" w:rsidP="000552E5">
            <w:pPr>
              <w:spacing w:line="276" w:lineRule="auto"/>
              <w:jc w:val="center"/>
            </w:pPr>
            <w:r>
              <w:t>6</w:t>
            </w:r>
          </w:p>
          <w:p w14:paraId="513EDB5B" w14:textId="77777777" w:rsidR="000E6C1D" w:rsidRDefault="000E6C1D" w:rsidP="000552E5">
            <w:pPr>
              <w:spacing w:line="276" w:lineRule="auto"/>
              <w:jc w:val="center"/>
            </w:pPr>
            <w:r>
              <w:t>7</w:t>
            </w:r>
          </w:p>
          <w:p w14:paraId="737218C8" w14:textId="77777777" w:rsidR="000E6C1D" w:rsidRDefault="000E6C1D" w:rsidP="000552E5">
            <w:pPr>
              <w:spacing w:line="276" w:lineRule="auto"/>
              <w:jc w:val="center"/>
            </w:pPr>
            <w:r>
              <w:t>8</w:t>
            </w:r>
          </w:p>
        </w:tc>
        <w:tc>
          <w:tcPr>
            <w:tcW w:w="3541" w:type="dxa"/>
            <w:tcBorders>
              <w:bottom w:val="nil"/>
            </w:tcBorders>
          </w:tcPr>
          <w:p w14:paraId="7B2DB1FB" w14:textId="77777777" w:rsidR="000E6C1D" w:rsidRDefault="000E6C1D" w:rsidP="000552E5">
            <w:pPr>
              <w:spacing w:line="276" w:lineRule="auto"/>
              <w:jc w:val="both"/>
            </w:pPr>
            <w:r>
              <w:t>Statutory service provider</w:t>
            </w:r>
          </w:p>
          <w:p w14:paraId="2311D7CE" w14:textId="77777777" w:rsidR="000E6C1D" w:rsidRDefault="000E6C1D" w:rsidP="000552E5">
            <w:pPr>
              <w:spacing w:line="276" w:lineRule="auto"/>
              <w:jc w:val="both"/>
            </w:pPr>
            <w:r>
              <w:t xml:space="preserve">Statutory service provider </w:t>
            </w:r>
          </w:p>
          <w:p w14:paraId="7E90C9C8" w14:textId="77777777" w:rsidR="000E6C1D" w:rsidRDefault="000E6C1D" w:rsidP="000552E5">
            <w:pPr>
              <w:spacing w:line="276" w:lineRule="auto"/>
              <w:jc w:val="both"/>
            </w:pPr>
            <w:r>
              <w:t xml:space="preserve">Collection of GP practices </w:t>
            </w:r>
          </w:p>
          <w:p w14:paraId="1399F698" w14:textId="77777777" w:rsidR="000E6C1D" w:rsidRDefault="000E6C1D" w:rsidP="000552E5">
            <w:pPr>
              <w:spacing w:line="276" w:lineRule="auto"/>
              <w:jc w:val="both"/>
            </w:pPr>
            <w:r>
              <w:t>Statutory service provider</w:t>
            </w:r>
          </w:p>
          <w:p w14:paraId="1495DF4B" w14:textId="77777777" w:rsidR="000E6C1D" w:rsidRDefault="000E6C1D" w:rsidP="000552E5">
            <w:pPr>
              <w:spacing w:line="276" w:lineRule="auto"/>
              <w:jc w:val="both"/>
            </w:pPr>
            <w:r>
              <w:t>Health Centre</w:t>
            </w:r>
          </w:p>
          <w:p w14:paraId="54A3EAF4" w14:textId="77777777" w:rsidR="000E6C1D" w:rsidRDefault="000E6C1D" w:rsidP="000552E5">
            <w:pPr>
              <w:spacing w:line="276" w:lineRule="auto"/>
              <w:jc w:val="both"/>
            </w:pPr>
            <w:r>
              <w:t>Community Interest Company</w:t>
            </w:r>
          </w:p>
          <w:p w14:paraId="2F798103" w14:textId="77777777" w:rsidR="000E6C1D" w:rsidRDefault="000E6C1D" w:rsidP="000552E5">
            <w:pPr>
              <w:spacing w:line="276" w:lineRule="auto"/>
              <w:jc w:val="both"/>
            </w:pPr>
            <w:r>
              <w:t>Research Centre</w:t>
            </w:r>
          </w:p>
          <w:p w14:paraId="635718EB" w14:textId="77777777" w:rsidR="000E6C1D" w:rsidRDefault="000E6C1D" w:rsidP="000552E5">
            <w:pPr>
              <w:spacing w:line="276" w:lineRule="auto"/>
              <w:jc w:val="both"/>
            </w:pPr>
            <w:r>
              <w:t xml:space="preserve">Housing Association </w:t>
            </w:r>
          </w:p>
        </w:tc>
        <w:tc>
          <w:tcPr>
            <w:tcW w:w="2443" w:type="dxa"/>
            <w:tcBorders>
              <w:bottom w:val="nil"/>
            </w:tcBorders>
          </w:tcPr>
          <w:p w14:paraId="1F63DE7E" w14:textId="77777777" w:rsidR="000E6C1D" w:rsidRDefault="000E6C1D" w:rsidP="000552E5">
            <w:pPr>
              <w:spacing w:line="276" w:lineRule="auto"/>
              <w:jc w:val="both"/>
            </w:pPr>
            <w:r>
              <w:t xml:space="preserve">Fully Professionalised Organisations </w:t>
            </w:r>
          </w:p>
        </w:tc>
      </w:tr>
      <w:tr w:rsidR="000E6C1D" w14:paraId="086EC1B9" w14:textId="77777777" w:rsidTr="000552E5">
        <w:trPr>
          <w:trHeight w:val="709"/>
        </w:trPr>
        <w:tc>
          <w:tcPr>
            <w:tcW w:w="2033" w:type="dxa"/>
            <w:tcBorders>
              <w:top w:val="nil"/>
              <w:bottom w:val="nil"/>
            </w:tcBorders>
          </w:tcPr>
          <w:p w14:paraId="2A21DF39" w14:textId="77777777" w:rsidR="000E6C1D" w:rsidRDefault="000E6C1D" w:rsidP="000552E5">
            <w:pPr>
              <w:spacing w:line="276" w:lineRule="auto"/>
              <w:jc w:val="right"/>
            </w:pPr>
          </w:p>
          <w:p w14:paraId="707D533D" w14:textId="77777777" w:rsidR="000E6C1D" w:rsidRDefault="000E6C1D" w:rsidP="000552E5">
            <w:pPr>
              <w:spacing w:line="276" w:lineRule="auto"/>
              <w:jc w:val="right"/>
            </w:pPr>
            <w:r>
              <w:t>Compliant Contractors</w:t>
            </w:r>
          </w:p>
        </w:tc>
        <w:tc>
          <w:tcPr>
            <w:tcW w:w="1034" w:type="dxa"/>
            <w:tcBorders>
              <w:top w:val="nil"/>
              <w:bottom w:val="nil"/>
            </w:tcBorders>
          </w:tcPr>
          <w:p w14:paraId="12EF3A95" w14:textId="77777777" w:rsidR="000E6C1D" w:rsidRDefault="000E6C1D" w:rsidP="000552E5">
            <w:pPr>
              <w:spacing w:line="276" w:lineRule="auto"/>
              <w:jc w:val="center"/>
            </w:pPr>
            <w:r>
              <w:t>9</w:t>
            </w:r>
          </w:p>
          <w:p w14:paraId="7EA71D7F" w14:textId="77777777" w:rsidR="000E6C1D" w:rsidRDefault="000E6C1D" w:rsidP="000552E5">
            <w:pPr>
              <w:spacing w:line="276" w:lineRule="auto"/>
              <w:jc w:val="center"/>
            </w:pPr>
            <w:r>
              <w:t>10</w:t>
            </w:r>
          </w:p>
          <w:p w14:paraId="6C239A41" w14:textId="77777777" w:rsidR="000E6C1D" w:rsidRDefault="000E6C1D" w:rsidP="000552E5">
            <w:pPr>
              <w:spacing w:line="276" w:lineRule="auto"/>
              <w:jc w:val="center"/>
            </w:pPr>
            <w:r>
              <w:t>11</w:t>
            </w:r>
          </w:p>
          <w:p w14:paraId="2CE1990A" w14:textId="77777777" w:rsidR="000E6C1D" w:rsidRDefault="000E6C1D" w:rsidP="000552E5">
            <w:pPr>
              <w:spacing w:line="276" w:lineRule="auto"/>
              <w:jc w:val="center"/>
            </w:pPr>
            <w:r>
              <w:t>12</w:t>
            </w:r>
          </w:p>
        </w:tc>
        <w:tc>
          <w:tcPr>
            <w:tcW w:w="3541" w:type="dxa"/>
            <w:tcBorders>
              <w:top w:val="nil"/>
              <w:bottom w:val="nil"/>
            </w:tcBorders>
          </w:tcPr>
          <w:p w14:paraId="65B8DDFC" w14:textId="77777777" w:rsidR="000E6C1D" w:rsidRDefault="000E6C1D" w:rsidP="000552E5">
            <w:pPr>
              <w:spacing w:line="276" w:lineRule="auto"/>
              <w:jc w:val="both"/>
            </w:pPr>
            <w:r>
              <w:t>International charity – local branch</w:t>
            </w:r>
          </w:p>
          <w:p w14:paraId="00290616" w14:textId="77777777" w:rsidR="000E6C1D" w:rsidRDefault="000E6C1D" w:rsidP="000552E5">
            <w:pPr>
              <w:spacing w:line="276" w:lineRule="auto"/>
              <w:jc w:val="both"/>
            </w:pPr>
            <w:r>
              <w:t xml:space="preserve">Group of charitable Social Enterprises </w:t>
            </w:r>
          </w:p>
          <w:p w14:paraId="40DB1EEF" w14:textId="77777777" w:rsidR="000E6C1D" w:rsidRDefault="000E6C1D" w:rsidP="000552E5">
            <w:pPr>
              <w:spacing w:line="276" w:lineRule="auto"/>
              <w:jc w:val="both"/>
            </w:pPr>
            <w:r>
              <w:t xml:space="preserve">Group of charitable projects </w:t>
            </w:r>
          </w:p>
          <w:p w14:paraId="313E7F5C" w14:textId="77777777" w:rsidR="000E6C1D" w:rsidRDefault="000E6C1D" w:rsidP="000552E5">
            <w:pPr>
              <w:spacing w:line="276" w:lineRule="auto"/>
              <w:jc w:val="both"/>
            </w:pPr>
            <w:r>
              <w:t xml:space="preserve">Charity – city based  </w:t>
            </w:r>
          </w:p>
        </w:tc>
        <w:tc>
          <w:tcPr>
            <w:tcW w:w="2443" w:type="dxa"/>
            <w:tcBorders>
              <w:top w:val="nil"/>
              <w:bottom w:val="nil"/>
            </w:tcBorders>
          </w:tcPr>
          <w:p w14:paraId="45A8A7B1" w14:textId="77777777" w:rsidR="000E6C1D" w:rsidRDefault="000E6C1D" w:rsidP="000552E5">
            <w:pPr>
              <w:spacing w:line="276" w:lineRule="auto"/>
              <w:jc w:val="both"/>
            </w:pPr>
          </w:p>
          <w:p w14:paraId="7235FEC6" w14:textId="77777777" w:rsidR="000E6C1D" w:rsidRDefault="000E6C1D" w:rsidP="000552E5">
            <w:pPr>
              <w:spacing w:line="276" w:lineRule="auto"/>
              <w:jc w:val="both"/>
            </w:pPr>
          </w:p>
          <w:p w14:paraId="1C7BEB17" w14:textId="77777777" w:rsidR="000E6C1D" w:rsidRDefault="000E6C1D" w:rsidP="000552E5">
            <w:pPr>
              <w:spacing w:line="276" w:lineRule="auto"/>
              <w:jc w:val="both"/>
            </w:pPr>
          </w:p>
          <w:p w14:paraId="58F6A041" w14:textId="77777777" w:rsidR="000E6C1D" w:rsidRDefault="000E6C1D" w:rsidP="000552E5">
            <w:pPr>
              <w:spacing w:line="276" w:lineRule="auto"/>
              <w:jc w:val="both"/>
            </w:pPr>
            <w:r>
              <w:t xml:space="preserve">Aspirational, </w:t>
            </w:r>
          </w:p>
        </w:tc>
      </w:tr>
      <w:tr w:rsidR="000E6C1D" w14:paraId="3459A7CB" w14:textId="77777777" w:rsidTr="000552E5">
        <w:trPr>
          <w:trHeight w:val="709"/>
        </w:trPr>
        <w:tc>
          <w:tcPr>
            <w:tcW w:w="2033" w:type="dxa"/>
            <w:tcBorders>
              <w:top w:val="nil"/>
              <w:bottom w:val="nil"/>
            </w:tcBorders>
          </w:tcPr>
          <w:p w14:paraId="1C0A7D19" w14:textId="77777777" w:rsidR="000E6C1D" w:rsidRDefault="000E6C1D" w:rsidP="000552E5">
            <w:pPr>
              <w:spacing w:line="276" w:lineRule="auto"/>
              <w:jc w:val="right"/>
            </w:pPr>
          </w:p>
          <w:p w14:paraId="596DE5F9" w14:textId="77777777" w:rsidR="000E6C1D" w:rsidRDefault="000E6C1D" w:rsidP="000552E5">
            <w:pPr>
              <w:spacing w:line="276" w:lineRule="auto"/>
              <w:jc w:val="right"/>
            </w:pPr>
          </w:p>
          <w:p w14:paraId="681C5CA5" w14:textId="77777777" w:rsidR="000E6C1D" w:rsidRDefault="000E6C1D" w:rsidP="000552E5">
            <w:pPr>
              <w:spacing w:line="276" w:lineRule="auto"/>
              <w:jc w:val="right"/>
            </w:pPr>
          </w:p>
          <w:p w14:paraId="231B01F5" w14:textId="77777777" w:rsidR="000E6C1D" w:rsidRDefault="000E6C1D" w:rsidP="000552E5">
            <w:pPr>
              <w:spacing w:line="276" w:lineRule="auto"/>
              <w:jc w:val="right"/>
            </w:pPr>
            <w:r>
              <w:t>Cautious Contractors</w:t>
            </w:r>
          </w:p>
        </w:tc>
        <w:tc>
          <w:tcPr>
            <w:tcW w:w="1034" w:type="dxa"/>
            <w:tcBorders>
              <w:top w:val="nil"/>
              <w:bottom w:val="nil"/>
            </w:tcBorders>
          </w:tcPr>
          <w:p w14:paraId="5E26C993" w14:textId="77777777" w:rsidR="000E6C1D" w:rsidRDefault="000E6C1D" w:rsidP="000552E5">
            <w:pPr>
              <w:spacing w:line="276" w:lineRule="auto"/>
              <w:jc w:val="center"/>
            </w:pPr>
            <w:r>
              <w:t>13</w:t>
            </w:r>
          </w:p>
          <w:p w14:paraId="111007BD" w14:textId="77777777" w:rsidR="000E6C1D" w:rsidRDefault="000E6C1D" w:rsidP="000552E5">
            <w:pPr>
              <w:spacing w:line="276" w:lineRule="auto"/>
              <w:jc w:val="center"/>
            </w:pPr>
            <w:r>
              <w:t>14</w:t>
            </w:r>
          </w:p>
          <w:p w14:paraId="2F059063" w14:textId="77777777" w:rsidR="000E6C1D" w:rsidRDefault="000E6C1D" w:rsidP="000552E5">
            <w:pPr>
              <w:spacing w:line="276" w:lineRule="auto"/>
              <w:jc w:val="center"/>
            </w:pPr>
            <w:r>
              <w:t>15</w:t>
            </w:r>
          </w:p>
          <w:p w14:paraId="0380FEAF" w14:textId="77777777" w:rsidR="000E6C1D" w:rsidRDefault="000E6C1D" w:rsidP="000552E5">
            <w:pPr>
              <w:spacing w:line="276" w:lineRule="auto"/>
              <w:jc w:val="center"/>
            </w:pPr>
            <w:r>
              <w:t>16</w:t>
            </w:r>
          </w:p>
          <w:p w14:paraId="06B73574" w14:textId="77777777" w:rsidR="000E6C1D" w:rsidRDefault="000E6C1D" w:rsidP="000552E5">
            <w:pPr>
              <w:spacing w:line="276" w:lineRule="auto"/>
              <w:jc w:val="center"/>
            </w:pPr>
            <w:r>
              <w:t>17</w:t>
            </w:r>
          </w:p>
          <w:p w14:paraId="3D8A4742" w14:textId="77777777" w:rsidR="000E6C1D" w:rsidRDefault="000E6C1D" w:rsidP="000552E5">
            <w:pPr>
              <w:spacing w:line="276" w:lineRule="auto"/>
              <w:jc w:val="center"/>
            </w:pPr>
            <w:r>
              <w:t>18</w:t>
            </w:r>
          </w:p>
          <w:p w14:paraId="7CDC7794" w14:textId="77777777" w:rsidR="000E6C1D" w:rsidRDefault="000E6C1D" w:rsidP="000552E5">
            <w:pPr>
              <w:spacing w:line="276" w:lineRule="auto"/>
              <w:jc w:val="center"/>
            </w:pPr>
            <w:r>
              <w:t>19</w:t>
            </w:r>
          </w:p>
          <w:p w14:paraId="30E46958" w14:textId="77777777" w:rsidR="000E6C1D" w:rsidRDefault="000E6C1D" w:rsidP="000552E5">
            <w:pPr>
              <w:spacing w:line="276" w:lineRule="auto"/>
              <w:jc w:val="center"/>
            </w:pPr>
            <w:r>
              <w:t>20</w:t>
            </w:r>
          </w:p>
        </w:tc>
        <w:tc>
          <w:tcPr>
            <w:tcW w:w="3541" w:type="dxa"/>
            <w:tcBorders>
              <w:top w:val="nil"/>
              <w:bottom w:val="nil"/>
            </w:tcBorders>
          </w:tcPr>
          <w:p w14:paraId="45AA231E" w14:textId="77777777" w:rsidR="000E6C1D" w:rsidRDefault="000E6C1D" w:rsidP="000552E5">
            <w:pPr>
              <w:spacing w:line="276" w:lineRule="auto"/>
              <w:jc w:val="both"/>
            </w:pPr>
            <w:r>
              <w:t xml:space="preserve">National charity- local branch </w:t>
            </w:r>
          </w:p>
          <w:p w14:paraId="2B12210C" w14:textId="77777777" w:rsidR="000E6C1D" w:rsidRDefault="000E6C1D" w:rsidP="000552E5">
            <w:pPr>
              <w:spacing w:line="276" w:lineRule="auto"/>
              <w:jc w:val="both"/>
            </w:pPr>
            <w:r>
              <w:t xml:space="preserve">National charity- local branch </w:t>
            </w:r>
          </w:p>
          <w:p w14:paraId="718A9974" w14:textId="77777777" w:rsidR="000E6C1D" w:rsidRDefault="000E6C1D" w:rsidP="000552E5">
            <w:pPr>
              <w:spacing w:line="276" w:lineRule="auto"/>
              <w:jc w:val="both"/>
            </w:pPr>
            <w:r>
              <w:t>Charity- city based</w:t>
            </w:r>
          </w:p>
          <w:p w14:paraId="6D2DFE02" w14:textId="77777777" w:rsidR="000E6C1D" w:rsidRDefault="000E6C1D" w:rsidP="000552E5">
            <w:pPr>
              <w:spacing w:line="276" w:lineRule="auto"/>
              <w:jc w:val="both"/>
            </w:pPr>
            <w:r>
              <w:t xml:space="preserve">Charity- city based </w:t>
            </w:r>
          </w:p>
          <w:p w14:paraId="18769122" w14:textId="77777777" w:rsidR="000E6C1D" w:rsidRDefault="000E6C1D" w:rsidP="000552E5">
            <w:pPr>
              <w:spacing w:line="276" w:lineRule="auto"/>
              <w:jc w:val="both"/>
            </w:pPr>
            <w:r>
              <w:t xml:space="preserve">Charity (formed from merger) </w:t>
            </w:r>
          </w:p>
          <w:p w14:paraId="17AA8950" w14:textId="77777777" w:rsidR="000E6C1D" w:rsidRDefault="000E6C1D" w:rsidP="000552E5">
            <w:pPr>
              <w:spacing w:line="276" w:lineRule="auto"/>
              <w:jc w:val="both"/>
            </w:pPr>
            <w:r>
              <w:t>Charity (formally faith-based organisation)</w:t>
            </w:r>
          </w:p>
          <w:p w14:paraId="0462923D" w14:textId="77777777" w:rsidR="000E6C1D" w:rsidRDefault="000E6C1D" w:rsidP="000552E5">
            <w:pPr>
              <w:spacing w:line="276" w:lineRule="auto"/>
              <w:ind w:hanging="4"/>
              <w:jc w:val="both"/>
            </w:pPr>
            <w:r>
              <w:t>Community Association</w:t>
            </w:r>
          </w:p>
          <w:p w14:paraId="5490EF46" w14:textId="77777777" w:rsidR="000E6C1D" w:rsidRDefault="000E6C1D" w:rsidP="000552E5">
            <w:pPr>
              <w:spacing w:line="276" w:lineRule="auto"/>
              <w:jc w:val="both"/>
            </w:pPr>
            <w:r>
              <w:t xml:space="preserve">Community centre </w:t>
            </w:r>
          </w:p>
        </w:tc>
        <w:tc>
          <w:tcPr>
            <w:tcW w:w="2443" w:type="dxa"/>
            <w:tcBorders>
              <w:top w:val="nil"/>
              <w:bottom w:val="nil"/>
            </w:tcBorders>
          </w:tcPr>
          <w:p w14:paraId="57382459" w14:textId="77777777" w:rsidR="000E6C1D" w:rsidRDefault="000E6C1D" w:rsidP="000552E5">
            <w:pPr>
              <w:spacing w:line="276" w:lineRule="auto"/>
              <w:jc w:val="both"/>
            </w:pPr>
            <w:r>
              <w:t xml:space="preserve">Community, Voluntary Social Enterprise  </w:t>
            </w:r>
          </w:p>
          <w:p w14:paraId="1FD754F5" w14:textId="77777777" w:rsidR="000E6C1D" w:rsidRDefault="000E6C1D" w:rsidP="000552E5">
            <w:pPr>
              <w:spacing w:line="276" w:lineRule="auto"/>
              <w:jc w:val="both"/>
            </w:pPr>
          </w:p>
          <w:p w14:paraId="22E300B0" w14:textId="77777777" w:rsidR="000E6C1D" w:rsidRDefault="000E6C1D" w:rsidP="000552E5">
            <w:pPr>
              <w:spacing w:line="276" w:lineRule="auto"/>
              <w:jc w:val="both"/>
            </w:pPr>
          </w:p>
          <w:p w14:paraId="799E36ED" w14:textId="77777777" w:rsidR="000E6C1D" w:rsidRDefault="000E6C1D" w:rsidP="000552E5">
            <w:pPr>
              <w:spacing w:line="276" w:lineRule="auto"/>
              <w:jc w:val="both"/>
            </w:pPr>
          </w:p>
          <w:p w14:paraId="45AE1DE1" w14:textId="77777777" w:rsidR="000E6C1D" w:rsidRDefault="000E6C1D" w:rsidP="000552E5">
            <w:pPr>
              <w:spacing w:line="276" w:lineRule="auto"/>
              <w:jc w:val="both"/>
            </w:pPr>
          </w:p>
          <w:p w14:paraId="43BD1D46" w14:textId="77777777" w:rsidR="000E6C1D" w:rsidRDefault="000E6C1D" w:rsidP="000552E5">
            <w:pPr>
              <w:spacing w:line="276" w:lineRule="auto"/>
              <w:jc w:val="both"/>
            </w:pPr>
          </w:p>
          <w:p w14:paraId="4918ECC8" w14:textId="77777777" w:rsidR="000E6C1D" w:rsidRDefault="000E6C1D" w:rsidP="000552E5">
            <w:pPr>
              <w:spacing w:line="276" w:lineRule="auto"/>
              <w:jc w:val="both"/>
            </w:pPr>
          </w:p>
          <w:p w14:paraId="5C409324" w14:textId="77777777" w:rsidR="000E6C1D" w:rsidRDefault="000E6C1D" w:rsidP="000552E5">
            <w:pPr>
              <w:spacing w:line="276" w:lineRule="auto"/>
              <w:jc w:val="both"/>
            </w:pPr>
            <w:r>
              <w:t xml:space="preserve">Non-professionalised </w:t>
            </w:r>
          </w:p>
        </w:tc>
      </w:tr>
      <w:tr w:rsidR="000E6C1D" w14:paraId="2654B448" w14:textId="77777777" w:rsidTr="000552E5">
        <w:trPr>
          <w:trHeight w:val="709"/>
        </w:trPr>
        <w:tc>
          <w:tcPr>
            <w:tcW w:w="2033" w:type="dxa"/>
            <w:tcBorders>
              <w:top w:val="nil"/>
            </w:tcBorders>
          </w:tcPr>
          <w:p w14:paraId="6E86D6CF" w14:textId="77777777" w:rsidR="000E6C1D" w:rsidRDefault="000E6C1D" w:rsidP="000552E5">
            <w:pPr>
              <w:spacing w:line="276" w:lineRule="auto"/>
              <w:jc w:val="right"/>
            </w:pPr>
            <w:r>
              <w:t>Community-based non-contractors</w:t>
            </w:r>
          </w:p>
        </w:tc>
        <w:tc>
          <w:tcPr>
            <w:tcW w:w="1034" w:type="dxa"/>
            <w:tcBorders>
              <w:top w:val="nil"/>
            </w:tcBorders>
          </w:tcPr>
          <w:p w14:paraId="45EBA8A7" w14:textId="77777777" w:rsidR="000E6C1D" w:rsidRDefault="000E6C1D" w:rsidP="000552E5">
            <w:pPr>
              <w:spacing w:line="276" w:lineRule="auto"/>
              <w:jc w:val="center"/>
            </w:pPr>
            <w:r>
              <w:t>21</w:t>
            </w:r>
          </w:p>
          <w:p w14:paraId="7CB1E668" w14:textId="77777777" w:rsidR="000E6C1D" w:rsidRDefault="000E6C1D" w:rsidP="000552E5">
            <w:pPr>
              <w:spacing w:line="276" w:lineRule="auto"/>
              <w:jc w:val="center"/>
            </w:pPr>
            <w:r>
              <w:t>22</w:t>
            </w:r>
          </w:p>
        </w:tc>
        <w:tc>
          <w:tcPr>
            <w:tcW w:w="3541" w:type="dxa"/>
            <w:tcBorders>
              <w:top w:val="nil"/>
            </w:tcBorders>
          </w:tcPr>
          <w:p w14:paraId="4FE11885" w14:textId="77777777" w:rsidR="000E6C1D" w:rsidRDefault="000E6C1D" w:rsidP="000552E5">
            <w:pPr>
              <w:spacing w:line="276" w:lineRule="auto"/>
              <w:jc w:val="both"/>
            </w:pPr>
            <w:r>
              <w:t xml:space="preserve">Place of worship - Church </w:t>
            </w:r>
          </w:p>
          <w:p w14:paraId="09768029" w14:textId="77777777" w:rsidR="000E6C1D" w:rsidRDefault="000E6C1D" w:rsidP="000552E5">
            <w:pPr>
              <w:spacing w:line="276" w:lineRule="auto"/>
              <w:jc w:val="both"/>
            </w:pPr>
            <w:r>
              <w:t xml:space="preserve">Place of worship - Mosque </w:t>
            </w:r>
          </w:p>
        </w:tc>
        <w:tc>
          <w:tcPr>
            <w:tcW w:w="2443" w:type="dxa"/>
            <w:tcBorders>
              <w:top w:val="nil"/>
            </w:tcBorders>
          </w:tcPr>
          <w:p w14:paraId="221F5035" w14:textId="77777777" w:rsidR="000E6C1D" w:rsidRDefault="000E6C1D" w:rsidP="000552E5">
            <w:pPr>
              <w:spacing w:line="276" w:lineRule="auto"/>
              <w:jc w:val="both"/>
            </w:pPr>
            <w:r>
              <w:t>Community-based groups</w:t>
            </w:r>
          </w:p>
        </w:tc>
      </w:tr>
    </w:tbl>
    <w:p w14:paraId="1D10ACF6" w14:textId="63965493" w:rsidR="000E6C1D" w:rsidRDefault="000E6C1D" w:rsidP="001A44C0">
      <w:pPr>
        <w:spacing w:line="276" w:lineRule="auto"/>
        <w:jc w:val="both"/>
      </w:pPr>
    </w:p>
    <w:p w14:paraId="6809B29D" w14:textId="573A660A" w:rsidR="00A03CFF" w:rsidRPr="000F0A89" w:rsidRDefault="00DF63E6" w:rsidP="00730392">
      <w:pPr>
        <w:spacing w:line="276" w:lineRule="auto"/>
        <w:ind w:firstLine="720"/>
        <w:jc w:val="both"/>
      </w:pPr>
      <w:r w:rsidRPr="000F0A89">
        <w:t xml:space="preserve">To </w:t>
      </w:r>
      <w:r w:rsidR="00A9395D" w:rsidRPr="000F0A89">
        <w:t xml:space="preserve">unpick what contributes towards </w:t>
      </w:r>
      <w:r w:rsidR="000903A8" w:rsidRPr="000F0A89">
        <w:t>the optimal</w:t>
      </w:r>
      <w:r w:rsidR="003E7458" w:rsidRPr="000F0A89">
        <w:t xml:space="preserve"> pre-implementation</w:t>
      </w:r>
      <w:r w:rsidR="000903A8" w:rsidRPr="000F0A89">
        <w:t xml:space="preserve"> context,</w:t>
      </w:r>
      <w:r w:rsidR="003E7458" w:rsidRPr="000F0A89">
        <w:t xml:space="preserve"> and the nature of </w:t>
      </w:r>
      <w:r w:rsidRPr="000F0A89">
        <w:t xml:space="preserve">pre-implementation </w:t>
      </w:r>
      <w:r w:rsidR="003E7458" w:rsidRPr="000F0A89">
        <w:t>work</w:t>
      </w:r>
      <w:r w:rsidR="00B722A9" w:rsidRPr="000F0A89">
        <w:t xml:space="preserve"> the findings take the </w:t>
      </w:r>
      <w:r w:rsidR="0096353A" w:rsidRPr="000F0A89">
        <w:t xml:space="preserve">newly formed </w:t>
      </w:r>
      <w:r w:rsidR="00297C97" w:rsidRPr="000F0A89">
        <w:t>categories</w:t>
      </w:r>
      <w:r w:rsidR="00B722A9" w:rsidRPr="000F0A89">
        <w:t xml:space="preserve"> as the basis of structuring the discussion</w:t>
      </w:r>
      <w:r w:rsidR="000903A8" w:rsidRPr="000F0A89">
        <w:t>;</w:t>
      </w:r>
      <w:r w:rsidR="00376EF7" w:rsidRPr="000F0A89">
        <w:t xml:space="preserve"> </w:t>
      </w:r>
      <w:r w:rsidR="0017539B" w:rsidRPr="000F0A89">
        <w:t>F</w:t>
      </w:r>
      <w:r w:rsidR="00376EF7" w:rsidRPr="000F0A89">
        <w:t>ully</w:t>
      </w:r>
      <w:r w:rsidR="008E037A" w:rsidRPr="000F0A89">
        <w:t xml:space="preserve"> </w:t>
      </w:r>
      <w:r w:rsidR="0017539B" w:rsidRPr="000F0A89">
        <w:t>Pr</w:t>
      </w:r>
      <w:r w:rsidR="00667C9D" w:rsidRPr="000F0A89">
        <w:t>ofessionalised</w:t>
      </w:r>
      <w:r w:rsidR="00376EF7" w:rsidRPr="000F0A89">
        <w:t xml:space="preserve"> </w:t>
      </w:r>
      <w:r w:rsidR="0017539B" w:rsidRPr="000F0A89">
        <w:t>O</w:t>
      </w:r>
      <w:r w:rsidR="00271155" w:rsidRPr="000F0A89">
        <w:t>rganisations</w:t>
      </w:r>
      <w:r w:rsidR="00376EF7" w:rsidRPr="000F0A89">
        <w:t xml:space="preserve">; </w:t>
      </w:r>
      <w:r w:rsidR="0017539B" w:rsidRPr="000F0A89">
        <w:t xml:space="preserve">Aspirational </w:t>
      </w:r>
      <w:r w:rsidR="00271155" w:rsidRPr="000F0A89">
        <w:t>CVSEs</w:t>
      </w:r>
      <w:r w:rsidR="00376EF7" w:rsidRPr="000F0A89">
        <w:t xml:space="preserve"> and </w:t>
      </w:r>
      <w:r w:rsidR="0017539B" w:rsidRPr="000F0A89">
        <w:t>N</w:t>
      </w:r>
      <w:r w:rsidR="00376EF7" w:rsidRPr="000F0A89">
        <w:t>on-</w:t>
      </w:r>
      <w:r w:rsidR="0017539B" w:rsidRPr="000F0A89">
        <w:t>P</w:t>
      </w:r>
      <w:r w:rsidR="00376EF7" w:rsidRPr="000F0A89">
        <w:t xml:space="preserve">rofessionalised </w:t>
      </w:r>
      <w:r w:rsidR="0017539B" w:rsidRPr="000F0A89">
        <w:t>C</w:t>
      </w:r>
      <w:r w:rsidR="00376EF7" w:rsidRPr="000F0A89">
        <w:t>ommunity-</w:t>
      </w:r>
      <w:r w:rsidR="0017539B" w:rsidRPr="000F0A89">
        <w:t>B</w:t>
      </w:r>
      <w:r w:rsidR="00376EF7" w:rsidRPr="000F0A89">
        <w:t xml:space="preserve">ased </w:t>
      </w:r>
      <w:r w:rsidR="0017539B" w:rsidRPr="000F0A89">
        <w:t>G</w:t>
      </w:r>
      <w:r w:rsidR="00271155" w:rsidRPr="000F0A89">
        <w:t>roups</w:t>
      </w:r>
      <w:r w:rsidR="00376EF7" w:rsidRPr="000F0A89">
        <w:t xml:space="preserve">. </w:t>
      </w:r>
      <w:r w:rsidR="00413BB6" w:rsidRPr="000F0A89">
        <w:t>The letters I</w:t>
      </w:r>
      <w:r w:rsidR="00297C97" w:rsidRPr="000F0A89">
        <w:t>,</w:t>
      </w:r>
      <w:r w:rsidR="00413BB6" w:rsidRPr="000F0A89">
        <w:t xml:space="preserve"> O and D are used to </w:t>
      </w:r>
      <w:r w:rsidR="0097315A" w:rsidRPr="000F0A89">
        <w:t>label</w:t>
      </w:r>
      <w:r w:rsidR="00413BB6" w:rsidRPr="000F0A89">
        <w:t xml:space="preserve"> the </w:t>
      </w:r>
      <w:r w:rsidR="00413BB6" w:rsidRPr="000F0A89">
        <w:lastRenderedPageBreak/>
        <w:t xml:space="preserve">data excerpts from interviews, observations and documents respectively and the partner (P) numbered in </w:t>
      </w:r>
      <w:r w:rsidR="0097315A" w:rsidRPr="000F0A89">
        <w:t>correspondence</w:t>
      </w:r>
      <w:r w:rsidR="00413BB6" w:rsidRPr="000F0A89">
        <w:t xml:space="preserve"> to table 2. </w:t>
      </w:r>
    </w:p>
    <w:p w14:paraId="1CE754B0" w14:textId="77777777" w:rsidR="008059E0" w:rsidRPr="000F0A89" w:rsidRDefault="008059E0" w:rsidP="001A44C0">
      <w:pPr>
        <w:spacing w:line="276" w:lineRule="auto"/>
        <w:jc w:val="both"/>
      </w:pPr>
    </w:p>
    <w:p w14:paraId="7A0F3ED7" w14:textId="7EA47AD8" w:rsidR="00580AB7" w:rsidRPr="000F0A89" w:rsidRDefault="000E07CB" w:rsidP="00580AB7">
      <w:pPr>
        <w:pStyle w:val="Heading2"/>
      </w:pPr>
      <w:r w:rsidRPr="000F0A89">
        <w:t xml:space="preserve">Fully Professionalised Organisations </w:t>
      </w:r>
      <w:r w:rsidR="00580AB7" w:rsidRPr="000F0A89">
        <w:t xml:space="preserve"> </w:t>
      </w:r>
    </w:p>
    <w:p w14:paraId="7C279136" w14:textId="7EDE7A7D" w:rsidR="00580AB7" w:rsidRPr="000F0A89" w:rsidRDefault="00580AB7" w:rsidP="00580AB7"/>
    <w:p w14:paraId="4EEB18AD" w14:textId="0431FAAD" w:rsidR="009B59F3" w:rsidRPr="000F0A89" w:rsidRDefault="004910AA" w:rsidP="009B59F3">
      <w:pPr>
        <w:spacing w:line="276" w:lineRule="auto"/>
        <w:jc w:val="both"/>
      </w:pPr>
      <w:r w:rsidRPr="000F0A89">
        <w:t xml:space="preserve">Fully </w:t>
      </w:r>
      <w:r w:rsidR="00DB27A7" w:rsidRPr="000F0A89">
        <w:t>P</w:t>
      </w:r>
      <w:r w:rsidRPr="000F0A89">
        <w:t xml:space="preserve">rofessionalised </w:t>
      </w:r>
      <w:r w:rsidR="00DB27A7" w:rsidRPr="000F0A89">
        <w:t>O</w:t>
      </w:r>
      <w:r w:rsidRPr="000F0A89">
        <w:t xml:space="preserve">rganisations </w:t>
      </w:r>
      <w:r w:rsidR="008F2292" w:rsidRPr="000F0A89">
        <w:t xml:space="preserve">(FPOs) </w:t>
      </w:r>
      <w:r w:rsidRPr="000F0A89">
        <w:t>are</w:t>
      </w:r>
      <w:r w:rsidR="00C36E22" w:rsidRPr="000F0A89">
        <w:t xml:space="preserve"> </w:t>
      </w:r>
      <w:r w:rsidR="00473DBB" w:rsidRPr="000F0A89">
        <w:t>v</w:t>
      </w:r>
      <w:r w:rsidR="000134C5" w:rsidRPr="000F0A89">
        <w:t>ery business minded</w:t>
      </w:r>
      <w:r w:rsidR="00DC6D24" w:rsidRPr="000F0A89">
        <w:t>,</w:t>
      </w:r>
      <w:r w:rsidR="000134C5" w:rsidRPr="000F0A89">
        <w:t xml:space="preserve"> these highly </w:t>
      </w:r>
      <w:r w:rsidR="00C32FE3" w:rsidRPr="000F0A89">
        <w:t>professionalised settings</w:t>
      </w:r>
      <w:r w:rsidR="0080061B" w:rsidRPr="000F0A89">
        <w:t xml:space="preserve"> </w:t>
      </w:r>
      <w:r w:rsidR="000134C5" w:rsidRPr="000F0A89">
        <w:t xml:space="preserve">often deliver services over a </w:t>
      </w:r>
      <w:r w:rsidR="001C0578" w:rsidRPr="000F0A89">
        <w:t>large</w:t>
      </w:r>
      <w:r w:rsidR="000134C5" w:rsidRPr="000F0A89">
        <w:t xml:space="preserve"> geographical area</w:t>
      </w:r>
      <w:r w:rsidR="00435F97" w:rsidRPr="000F0A89">
        <w:t xml:space="preserve"> and may even o</w:t>
      </w:r>
      <w:r w:rsidR="000134C5" w:rsidRPr="000F0A89">
        <w:t>perate nationally with local</w:t>
      </w:r>
      <w:r w:rsidR="00435F97" w:rsidRPr="000F0A89">
        <w:t>ised</w:t>
      </w:r>
      <w:r w:rsidR="000134C5" w:rsidRPr="000F0A89">
        <w:t xml:space="preserve"> hubs</w:t>
      </w:r>
      <w:r w:rsidR="00435F97" w:rsidRPr="000F0A89">
        <w:t>. Importantly,</w:t>
      </w:r>
      <w:r w:rsidR="00C32FE3" w:rsidRPr="000F0A89">
        <w:t xml:space="preserve"> in</w:t>
      </w:r>
      <w:r w:rsidR="00435F97" w:rsidRPr="000F0A89">
        <w:t xml:space="preserve"> </w:t>
      </w:r>
      <w:r w:rsidR="008E037A" w:rsidRPr="000F0A89">
        <w:t>FPOs</w:t>
      </w:r>
      <w:r w:rsidR="00C32FE3" w:rsidRPr="000F0A89">
        <w:t xml:space="preserve"> there is a formal hierarchical structure and bureaucracy</w:t>
      </w:r>
      <w:r w:rsidR="008E037A" w:rsidRPr="000F0A89">
        <w:t xml:space="preserve">. Characteristically they have secure contracts with local </w:t>
      </w:r>
      <w:r w:rsidR="0097315A" w:rsidRPr="000F0A89">
        <w:t>authorities and</w:t>
      </w:r>
      <w:r w:rsidR="00A337EA" w:rsidRPr="000F0A89">
        <w:t xml:space="preserve"> </w:t>
      </w:r>
      <w:r w:rsidR="008E037A" w:rsidRPr="000F0A89">
        <w:t>are competitive and entrepreneurial in nature</w:t>
      </w:r>
      <w:r w:rsidR="00A337EA" w:rsidRPr="000F0A89">
        <w:t xml:space="preserve">. </w:t>
      </w:r>
    </w:p>
    <w:p w14:paraId="1698C72F" w14:textId="21C8D47A" w:rsidR="00F07EA3" w:rsidRPr="000F0A89" w:rsidRDefault="009B59F3" w:rsidP="007A065C">
      <w:pPr>
        <w:spacing w:line="276" w:lineRule="auto"/>
        <w:ind w:firstLine="720"/>
        <w:jc w:val="both"/>
      </w:pPr>
      <w:r w:rsidRPr="000F0A89">
        <w:t xml:space="preserve">These </w:t>
      </w:r>
      <w:r w:rsidR="007A065C" w:rsidRPr="000F0A89">
        <w:t>partners</w:t>
      </w:r>
      <w:r w:rsidRPr="000F0A89">
        <w:t xml:space="preserve"> </w:t>
      </w:r>
      <w:r w:rsidR="007A065C" w:rsidRPr="000F0A89">
        <w:t>were</w:t>
      </w:r>
      <w:r w:rsidRPr="000F0A89">
        <w:t xml:space="preserve"> heavily influenced </w:t>
      </w:r>
      <w:r w:rsidR="00C36E22" w:rsidRPr="000F0A89">
        <w:t xml:space="preserve">by </w:t>
      </w:r>
      <w:r w:rsidRPr="000F0A89">
        <w:t>th</w:t>
      </w:r>
      <w:r w:rsidR="00435F97" w:rsidRPr="000F0A89">
        <w:t>e political landscape</w:t>
      </w:r>
      <w:r w:rsidR="00C36E22" w:rsidRPr="000F0A89">
        <w:t xml:space="preserve"> </w:t>
      </w:r>
      <w:r w:rsidR="00B159C5" w:rsidRPr="000F0A89">
        <w:t xml:space="preserve">because they </w:t>
      </w:r>
      <w:r w:rsidR="007A065C" w:rsidRPr="000F0A89">
        <w:t>were</w:t>
      </w:r>
      <w:r w:rsidRPr="000F0A89">
        <w:t xml:space="preserve"> entangled with, embedded within and reliant upon government contracts. They themselves acknowledge they are ‘</w:t>
      </w:r>
      <w:r w:rsidRPr="000F0A89">
        <w:rPr>
          <w:i/>
          <w:iCs/>
        </w:rPr>
        <w:t>very politically swayed</w:t>
      </w:r>
      <w:r w:rsidRPr="000F0A89">
        <w:t xml:space="preserve">’ in the </w:t>
      </w:r>
      <w:r w:rsidR="00860DA6" w:rsidRPr="000F0A89">
        <w:t>design</w:t>
      </w:r>
      <w:r w:rsidRPr="000F0A89">
        <w:t xml:space="preserve"> of their ‘</w:t>
      </w:r>
      <w:r w:rsidRPr="000F0A89">
        <w:rPr>
          <w:i/>
          <w:iCs/>
        </w:rPr>
        <w:t>corporate strategy’</w:t>
      </w:r>
      <w:r w:rsidRPr="000F0A89">
        <w:t xml:space="preserve"> (</w:t>
      </w:r>
      <w:r w:rsidR="000511BB" w:rsidRPr="000F0A89">
        <w:t>I</w:t>
      </w:r>
      <w:r w:rsidR="003E275A" w:rsidRPr="000F0A89">
        <w:t>P</w:t>
      </w:r>
      <w:r w:rsidR="00E86B4B" w:rsidRPr="000F0A89">
        <w:t>8</w:t>
      </w:r>
      <w:r w:rsidRPr="000F0A89">
        <w:t>)</w:t>
      </w:r>
      <w:r w:rsidR="004C7357" w:rsidRPr="000F0A89">
        <w:t xml:space="preserve">. </w:t>
      </w:r>
      <w:r w:rsidR="00F07EA3" w:rsidRPr="000F0A89">
        <w:t xml:space="preserve">As such </w:t>
      </w:r>
      <w:r w:rsidR="007A065C" w:rsidRPr="000F0A89">
        <w:t>where</w:t>
      </w:r>
      <w:r w:rsidR="00ED7071" w:rsidRPr="000F0A89">
        <w:t xml:space="preserve"> there </w:t>
      </w:r>
      <w:r w:rsidR="007A065C" w:rsidRPr="000F0A89">
        <w:t>was</w:t>
      </w:r>
      <w:r w:rsidR="00ED7071" w:rsidRPr="000F0A89">
        <w:t xml:space="preserve"> close alignment between the intervention and the political agenda</w:t>
      </w:r>
      <w:r w:rsidR="00F07EA3" w:rsidRPr="000F0A89">
        <w:t xml:space="preserve">, captured by the CFIR sub-concept </w:t>
      </w:r>
      <w:r w:rsidR="000E0C7D" w:rsidRPr="000F0A89">
        <w:t>‘</w:t>
      </w:r>
      <w:r w:rsidR="00ED7071" w:rsidRPr="000F0A89">
        <w:t>external policies</w:t>
      </w:r>
      <w:r w:rsidR="000E0C7D" w:rsidRPr="000F0A89">
        <w:t>’</w:t>
      </w:r>
      <w:r w:rsidR="00F07EA3" w:rsidRPr="000F0A89">
        <w:t xml:space="preserve">, </w:t>
      </w:r>
      <w:r w:rsidR="00ED7071" w:rsidRPr="000F0A89">
        <w:t xml:space="preserve">this </w:t>
      </w:r>
      <w:r w:rsidR="007A065C" w:rsidRPr="000F0A89">
        <w:t>was</w:t>
      </w:r>
      <w:r w:rsidR="00ED7071" w:rsidRPr="000F0A89">
        <w:t xml:space="preserve"> influential in securing buy-in from </w:t>
      </w:r>
      <w:r w:rsidR="00F07EA3" w:rsidRPr="000F0A89">
        <w:t xml:space="preserve">the leadership </w:t>
      </w:r>
      <w:r w:rsidR="00020377" w:rsidRPr="000F0A89">
        <w:t xml:space="preserve">of </w:t>
      </w:r>
      <w:r w:rsidR="00781B4F" w:rsidRPr="000F0A89">
        <w:t>these partners</w:t>
      </w:r>
      <w:r w:rsidR="00ED7071" w:rsidRPr="000F0A89">
        <w:t xml:space="preserve">. In this </w:t>
      </w:r>
      <w:r w:rsidR="00F07EA3" w:rsidRPr="000F0A89">
        <w:t>example</w:t>
      </w:r>
      <w:r w:rsidR="00DC6D24" w:rsidRPr="000F0A89">
        <w:t>,</w:t>
      </w:r>
      <w:r w:rsidR="00ED7071" w:rsidRPr="000F0A89">
        <w:t xml:space="preserve"> </w:t>
      </w:r>
      <w:r w:rsidR="004537E4" w:rsidRPr="000F0A89">
        <w:t xml:space="preserve">loneliness </w:t>
      </w:r>
      <w:r w:rsidR="00F07EA3" w:rsidRPr="000F0A89">
        <w:t xml:space="preserve">had recently been </w:t>
      </w:r>
      <w:r w:rsidR="004537E4" w:rsidRPr="000F0A89">
        <w:t>declared a public health risk</w:t>
      </w:r>
      <w:r w:rsidR="0017399A" w:rsidRPr="000F0A89">
        <w:t xml:space="preserve"> </w:t>
      </w:r>
      <w:r w:rsidR="0017399A" w:rsidRPr="000F0A89">
        <w:fldChar w:fldCharType="begin" w:fldLock="1"/>
      </w:r>
      <w:r w:rsidR="007E3818" w:rsidRPr="000F0A89">
        <w:instrText>ADDIN CSL_CITATION {"citationItems":[{"id":"ITEM-1","itemData":{"author":[{"dropping-particle":"","family":"Department for Digital Culture Media and Sport","given":"","non-dropping-particle":"","parse-names":false,"suffix":""}],"id":"ITEM-1","issued":{"date-parts":[["2018"]]},"publisher-place":"London","title":"A connected society. A strategy for tackling loneliness-laying the foundations for change","type":"report"},"uris":["http://www.mendeley.com/documents/?uuid=2076515b-e0c8-46e3-a665-5d01d1ebc29e"]}],"mendeley":{"formattedCitation":"(29)","plainTextFormattedCitation":"(29)","previouslyFormattedCitation":"(28)"},"properties":{"noteIndex":0},"schema":"https://github.com/citation-style-language/schema/raw/master/csl-citation.json"}</w:instrText>
      </w:r>
      <w:r w:rsidR="0017399A" w:rsidRPr="000F0A89">
        <w:fldChar w:fldCharType="separate"/>
      </w:r>
      <w:r w:rsidR="007E3818" w:rsidRPr="000F0A89">
        <w:rPr>
          <w:noProof/>
        </w:rPr>
        <w:t>(29)</w:t>
      </w:r>
      <w:r w:rsidR="0017399A" w:rsidRPr="000F0A89">
        <w:fldChar w:fldCharType="end"/>
      </w:r>
      <w:r w:rsidR="004537E4" w:rsidRPr="000F0A89">
        <w:t xml:space="preserve">, </w:t>
      </w:r>
      <w:r w:rsidR="007A065C" w:rsidRPr="000F0A89">
        <w:t xml:space="preserve">nationally </w:t>
      </w:r>
      <w:r w:rsidR="004537E4" w:rsidRPr="000F0A89">
        <w:t xml:space="preserve">the NHS Long-Term Plan </w:t>
      </w:r>
      <w:r w:rsidR="009C51EB" w:rsidRPr="000F0A89">
        <w:fldChar w:fldCharType="begin" w:fldLock="1"/>
      </w:r>
      <w:r w:rsidR="007E3818" w:rsidRPr="000F0A89">
        <w:instrText>ADDIN CSL_CITATION {"citationItems":[{"id":"ITEM-1","itemData":{"abstract":"What the NHS Long Term Plan will deliver for patients These are just some of the ways that we want to improve care for patients over the next ten years: Making sure everyone gets the best start in life • reducing stillbirths and mother and child deaths during birth by 50% • ensuring most women can benefit from continuity of carer through and beyond their pregnancy, targeted towards those who will benefit most • providing extra support for expectant mothers at risk of premature birth • expanding support for perinatal mental health conditions • taking further action on childhood obesity • increasing funding for children and young people's mental health • bringing down waiting times for autism assessments • providing the right care for children with a learning disability • delivering the best treatments available for children with cancer, including CART and proton beam therapy. Delivering world-class care for major health problems • preventing 150,000 heart attacks, strokes and dementia cases • providing education and exercise programmes to tens of thousands more patients with heart problems, preventing up to 14,000 premature deaths • saving 55,000 more lives a year by diagnosing more cancers early • investing in spotting and treating lung conditions early to prevent 80,000 stays in hospital • spending at least £2.3bn more a year on mental health care • helping 380,000 more people get therapy for depression and anxiety by 2023/24 • delivering community-based physical and mental care for 370,000 people with severe mental illness a year by 2023/24. Supporting people to age well • increasing funding for primary and community care by at least £4.5bn • bringing together different professionals to coordinate care better • helping more people to live independently at home for longer • developing more rapid community response teams to prevent unnecessary hospital spells, and speed up discharges home. • upgrading NHS staff support to people living in care homes. • improving the recognition of carers and support they receive • making further progress on care for people with dementia • giving more people more say about the care they receive and where they receive it, particularly towards the end of their lives.","author":[{"dropping-particle":"","family":"NHS England","given":"","non-dropping-particle":"","parse-names":false,"suffix":""}],"id":"ITEM-1","issued":{"date-parts":[["2019"]]},"page":"2","title":"The NHS Long Term Plan – a summary","type":"article-journal"},"uris":["http://www.mendeley.com/documents/?uuid=9105617b-3847-47c7-a532-1f08ac17a56e"]}],"mendeley":{"formattedCitation":"(15)","plainTextFormattedCitation":"(15)","previouslyFormattedCitation":"(14)"},"properties":{"noteIndex":0},"schema":"https://github.com/citation-style-language/schema/raw/master/csl-citation.json"}</w:instrText>
      </w:r>
      <w:r w:rsidR="009C51EB" w:rsidRPr="000F0A89">
        <w:fldChar w:fldCharType="separate"/>
      </w:r>
      <w:r w:rsidR="007E3818" w:rsidRPr="000F0A89">
        <w:rPr>
          <w:noProof/>
        </w:rPr>
        <w:t>(15)</w:t>
      </w:r>
      <w:r w:rsidR="009C51EB" w:rsidRPr="000F0A89">
        <w:fldChar w:fldCharType="end"/>
      </w:r>
      <w:r w:rsidR="00D11F39" w:rsidRPr="000F0A89">
        <w:t xml:space="preserve"> </w:t>
      </w:r>
      <w:r w:rsidR="004537E4" w:rsidRPr="000F0A89">
        <w:t xml:space="preserve">outlined the importance of social prescribing and community </w:t>
      </w:r>
      <w:r w:rsidR="007C17B2" w:rsidRPr="000F0A89">
        <w:t>assets</w:t>
      </w:r>
      <w:r w:rsidR="004537E4" w:rsidRPr="000F0A89">
        <w:t xml:space="preserve"> in delivering universal personal care</w:t>
      </w:r>
      <w:r w:rsidR="00757495" w:rsidRPr="000F0A89">
        <w:t xml:space="preserve">. </w:t>
      </w:r>
      <w:r w:rsidR="00F07EA3" w:rsidRPr="000F0A89">
        <w:t xml:space="preserve">Thus, for managers of </w:t>
      </w:r>
      <w:r w:rsidR="008F2292" w:rsidRPr="000F0A89">
        <w:t>FPOs</w:t>
      </w:r>
      <w:r w:rsidR="00F07EA3" w:rsidRPr="000F0A89">
        <w:t xml:space="preserve"> the political climate was heavily influential in securing buy-in</w:t>
      </w:r>
      <w:r w:rsidR="00485547" w:rsidRPr="000F0A89">
        <w:t xml:space="preserve">, </w:t>
      </w:r>
      <w:r w:rsidR="00F07EA3" w:rsidRPr="000F0A89">
        <w:t xml:space="preserve">and therefore the sub-concept ‘external policies’ </w:t>
      </w:r>
      <w:r w:rsidR="007A065C" w:rsidRPr="000F0A89">
        <w:t>becomes</w:t>
      </w:r>
      <w:r w:rsidR="00F07EA3" w:rsidRPr="000F0A89">
        <w:t xml:space="preserve"> important in creating the optimal pre-implementation context. </w:t>
      </w:r>
      <w:r w:rsidR="0091673D" w:rsidRPr="000F0A89">
        <w:t xml:space="preserve">This was seen in the example of an early engagement meeting with representatives from several GP practices. </w:t>
      </w:r>
    </w:p>
    <w:p w14:paraId="7ECE01C9" w14:textId="77777777" w:rsidR="000B19DE" w:rsidRPr="000F0A89" w:rsidRDefault="000B19DE" w:rsidP="000B19DE">
      <w:pPr>
        <w:spacing w:line="276" w:lineRule="auto"/>
        <w:jc w:val="both"/>
      </w:pPr>
    </w:p>
    <w:p w14:paraId="2AF87A5F" w14:textId="3A39AE9F" w:rsidR="000B19DE" w:rsidRPr="000F0A89" w:rsidRDefault="000B19DE" w:rsidP="000B19DE">
      <w:pPr>
        <w:spacing w:line="276" w:lineRule="auto"/>
        <w:ind w:left="1134" w:right="1088"/>
        <w:jc w:val="both"/>
        <w:rPr>
          <w:i/>
          <w:iCs/>
        </w:rPr>
      </w:pPr>
      <w:r w:rsidRPr="000F0A89">
        <w:rPr>
          <w:i/>
          <w:iCs/>
        </w:rPr>
        <w:t xml:space="preserve">We were introduced to </w:t>
      </w:r>
      <w:r w:rsidR="00FB2CDA" w:rsidRPr="000F0A89">
        <w:rPr>
          <w:i/>
          <w:iCs/>
        </w:rPr>
        <w:t>t</w:t>
      </w:r>
      <w:r w:rsidRPr="000F0A89">
        <w:rPr>
          <w:i/>
          <w:iCs/>
        </w:rPr>
        <w:t xml:space="preserve">he room with some level of enthusiasm </w:t>
      </w:r>
      <w:r w:rsidR="00FB2CDA" w:rsidRPr="000F0A89">
        <w:rPr>
          <w:i/>
          <w:iCs/>
        </w:rPr>
        <w:t xml:space="preserve">saying </w:t>
      </w:r>
      <w:r w:rsidRPr="000F0A89">
        <w:rPr>
          <w:i/>
          <w:iCs/>
        </w:rPr>
        <w:t xml:space="preserve">we were </w:t>
      </w:r>
      <w:r w:rsidR="00FB2CDA" w:rsidRPr="000F0A89">
        <w:rPr>
          <w:i/>
          <w:iCs/>
        </w:rPr>
        <w:t xml:space="preserve">there </w:t>
      </w:r>
      <w:r w:rsidRPr="000F0A89">
        <w:rPr>
          <w:i/>
          <w:iCs/>
        </w:rPr>
        <w:t xml:space="preserve">to talk about linked </w:t>
      </w:r>
      <w:r w:rsidR="00EC514D" w:rsidRPr="000F0A89">
        <w:rPr>
          <w:i/>
          <w:iCs/>
        </w:rPr>
        <w:t>to the new commissioning brief and the push for increased social prescribing</w:t>
      </w:r>
      <w:r w:rsidRPr="000F0A89">
        <w:rPr>
          <w:i/>
          <w:iCs/>
        </w:rPr>
        <w:t xml:space="preserve"> that the navigators were to do </w:t>
      </w:r>
    </w:p>
    <w:p w14:paraId="535F0614" w14:textId="21CD5C96" w:rsidR="00EC514D" w:rsidRPr="000F0A89" w:rsidRDefault="003E275A" w:rsidP="003E275A">
      <w:pPr>
        <w:spacing w:line="276" w:lineRule="auto"/>
        <w:ind w:left="1134" w:right="1088"/>
        <w:jc w:val="right"/>
      </w:pPr>
      <w:r w:rsidRPr="000F0A89">
        <w:t>(O</w:t>
      </w:r>
      <w:r w:rsidR="005F1FD0" w:rsidRPr="000F0A89">
        <w:t>P</w:t>
      </w:r>
      <w:r w:rsidR="00E86B4B" w:rsidRPr="000F0A89">
        <w:t>3</w:t>
      </w:r>
      <w:r w:rsidR="000B19DE" w:rsidRPr="000F0A89">
        <w:t>)</w:t>
      </w:r>
      <w:r w:rsidR="00EC514D" w:rsidRPr="000F0A89">
        <w:t xml:space="preserve"> </w:t>
      </w:r>
    </w:p>
    <w:p w14:paraId="5FAB18A5" w14:textId="77777777" w:rsidR="00EC514D" w:rsidRPr="000F0A89" w:rsidRDefault="00EC514D" w:rsidP="009B59F3">
      <w:pPr>
        <w:spacing w:line="276" w:lineRule="auto"/>
        <w:ind w:firstLine="720"/>
        <w:jc w:val="both"/>
      </w:pPr>
    </w:p>
    <w:p w14:paraId="2231102C" w14:textId="398418B2" w:rsidR="001D4478" w:rsidRPr="000F0A89" w:rsidRDefault="001D4478" w:rsidP="004275C9">
      <w:pPr>
        <w:spacing w:line="276" w:lineRule="auto"/>
        <w:jc w:val="both"/>
      </w:pPr>
      <w:r w:rsidRPr="000F0A89">
        <w:tab/>
      </w:r>
      <w:r w:rsidR="008D6C79" w:rsidRPr="000F0A89">
        <w:t>In instance</w:t>
      </w:r>
      <w:r w:rsidR="007718B7" w:rsidRPr="000F0A89">
        <w:t>s</w:t>
      </w:r>
      <w:r w:rsidR="008D6C79" w:rsidRPr="000F0A89">
        <w:t xml:space="preserve"> where</w:t>
      </w:r>
      <w:r w:rsidR="00DC6D24" w:rsidRPr="000F0A89">
        <w:t xml:space="preserve"> the</w:t>
      </w:r>
      <w:r w:rsidR="008D6C79" w:rsidRPr="000F0A89">
        <w:t xml:space="preserve"> policy context and intervention aligned</w:t>
      </w:r>
      <w:r w:rsidR="00DC6D24" w:rsidRPr="000F0A89">
        <w:t>,</w:t>
      </w:r>
      <w:r w:rsidR="008D6C79" w:rsidRPr="000F0A89">
        <w:t xml:space="preserve"> managers saw the </w:t>
      </w:r>
      <w:r w:rsidR="000E0C7D" w:rsidRPr="000F0A89">
        <w:t>‘</w:t>
      </w:r>
      <w:r w:rsidR="007718B7" w:rsidRPr="000F0A89">
        <w:t>relative advantage</w:t>
      </w:r>
      <w:r w:rsidR="000E0C7D" w:rsidRPr="000F0A89">
        <w:t>’</w:t>
      </w:r>
      <w:r w:rsidR="007718B7" w:rsidRPr="000F0A89">
        <w:t xml:space="preserve"> of t</w:t>
      </w:r>
      <w:r w:rsidR="008D6C79" w:rsidRPr="000F0A89">
        <w:t xml:space="preserve">he opportunity to trial </w:t>
      </w:r>
      <w:r w:rsidR="00314253" w:rsidRPr="000F0A89">
        <w:t>the</w:t>
      </w:r>
      <w:r w:rsidR="008D6C79" w:rsidRPr="000F0A89">
        <w:t xml:space="preserve"> intervention</w:t>
      </w:r>
      <w:r w:rsidR="00F07EA3" w:rsidRPr="000F0A89">
        <w:t xml:space="preserve"> </w:t>
      </w:r>
      <w:r w:rsidR="00314253" w:rsidRPr="000F0A89">
        <w:t>t</w:t>
      </w:r>
      <w:r w:rsidR="008D6C79" w:rsidRPr="000F0A89">
        <w:t xml:space="preserve">hat could </w:t>
      </w:r>
      <w:r w:rsidR="00B609AC" w:rsidRPr="000F0A89">
        <w:t>help fulfil a</w:t>
      </w:r>
      <w:r w:rsidR="007718B7" w:rsidRPr="000F0A89">
        <w:t xml:space="preserve"> </w:t>
      </w:r>
      <w:r w:rsidR="00B609AC" w:rsidRPr="000F0A89">
        <w:t xml:space="preserve">strategic objective. </w:t>
      </w:r>
      <w:r w:rsidR="002D0EFE" w:rsidRPr="000F0A89">
        <w:t xml:space="preserve">The </w:t>
      </w:r>
      <w:r w:rsidR="00142C12" w:rsidRPr="000F0A89">
        <w:t>sub-</w:t>
      </w:r>
      <w:r w:rsidR="002D0EFE" w:rsidRPr="000F0A89">
        <w:t xml:space="preserve">concept </w:t>
      </w:r>
      <w:r w:rsidR="00BA2EFC" w:rsidRPr="000F0A89">
        <w:t>‘</w:t>
      </w:r>
      <w:r w:rsidR="002D0EFE" w:rsidRPr="000F0A89">
        <w:t>leadership engagemen</w:t>
      </w:r>
      <w:r w:rsidR="00BA2EFC" w:rsidRPr="000F0A89">
        <w:t>t’</w:t>
      </w:r>
      <w:r w:rsidR="002D0EFE" w:rsidRPr="000F0A89">
        <w:t xml:space="preserve"> </w:t>
      </w:r>
      <w:r w:rsidR="0019124E" w:rsidRPr="000F0A89">
        <w:t>was</w:t>
      </w:r>
      <w:r w:rsidR="002D0EFE" w:rsidRPr="000F0A89">
        <w:t xml:space="preserve"> also relevant </w:t>
      </w:r>
      <w:r w:rsidR="00DB4055" w:rsidRPr="000F0A89">
        <w:t>in this context across all partner contexts</w:t>
      </w:r>
      <w:r w:rsidR="0019124E" w:rsidRPr="000F0A89">
        <w:t>. By</w:t>
      </w:r>
      <w:r w:rsidR="002D0EFE" w:rsidRPr="000F0A89">
        <w:t xml:space="preserve"> securing </w:t>
      </w:r>
      <w:r w:rsidR="000E0C7D" w:rsidRPr="000F0A89">
        <w:t>‘</w:t>
      </w:r>
      <w:r w:rsidR="002D0EFE" w:rsidRPr="000F0A89">
        <w:t>leadership engagement</w:t>
      </w:r>
      <w:r w:rsidR="000E0C7D" w:rsidRPr="000F0A89">
        <w:t>’</w:t>
      </w:r>
      <w:r w:rsidR="0019124E" w:rsidRPr="000F0A89">
        <w:t xml:space="preserve"> and w</w:t>
      </w:r>
      <w:r w:rsidR="00DB4055" w:rsidRPr="000F0A89">
        <w:t>i</w:t>
      </w:r>
      <w:r w:rsidR="002D0EFE" w:rsidRPr="000F0A89">
        <w:t>th</w:t>
      </w:r>
      <w:r w:rsidR="008F2292" w:rsidRPr="000F0A89">
        <w:t xml:space="preserve"> the intervention offering </w:t>
      </w:r>
      <w:r w:rsidR="000E0C7D" w:rsidRPr="000F0A89">
        <w:t>‘</w:t>
      </w:r>
      <w:r w:rsidR="00DB4055" w:rsidRPr="000F0A89">
        <w:t>relative advantage</w:t>
      </w:r>
      <w:r w:rsidR="000E0C7D" w:rsidRPr="000F0A89">
        <w:t>’</w:t>
      </w:r>
      <w:r w:rsidR="00DB4055" w:rsidRPr="000F0A89">
        <w:t xml:space="preserve"> </w:t>
      </w:r>
      <w:r w:rsidR="008F2292" w:rsidRPr="000F0A89">
        <w:t xml:space="preserve">(i.e. </w:t>
      </w:r>
      <w:r w:rsidR="002D0EFE" w:rsidRPr="000F0A89">
        <w:t>fulfil</w:t>
      </w:r>
      <w:r w:rsidR="008F2292" w:rsidRPr="000F0A89">
        <w:t>ling</w:t>
      </w:r>
      <w:r w:rsidR="002D0EFE" w:rsidRPr="000F0A89">
        <w:t xml:space="preserve"> a strategic objective</w:t>
      </w:r>
      <w:r w:rsidR="008F2292" w:rsidRPr="000F0A89">
        <w:t>)</w:t>
      </w:r>
      <w:r w:rsidR="002D0EFE" w:rsidRPr="000F0A89">
        <w:t xml:space="preserve"> </w:t>
      </w:r>
      <w:r w:rsidR="000E0C7D" w:rsidRPr="000F0A89">
        <w:t>these partners</w:t>
      </w:r>
      <w:r w:rsidR="00B609AC" w:rsidRPr="000F0A89">
        <w:t xml:space="preserve"> were more willing and able to allocate resources to aid implementation. This </w:t>
      </w:r>
      <w:r w:rsidR="00C36E22" w:rsidRPr="000F0A89">
        <w:t>was</w:t>
      </w:r>
      <w:r w:rsidR="00B609AC" w:rsidRPr="000F0A89">
        <w:t xml:space="preserve"> particularly</w:t>
      </w:r>
      <w:r w:rsidR="00C36E22" w:rsidRPr="000F0A89">
        <w:t xml:space="preserve"> so</w:t>
      </w:r>
      <w:r w:rsidR="00B609AC" w:rsidRPr="000F0A89">
        <w:t xml:space="preserve"> in terms of human resources, in instances this was clear ‘</w:t>
      </w:r>
      <w:r w:rsidR="00B609AC" w:rsidRPr="000F0A89">
        <w:rPr>
          <w:i/>
          <w:iCs/>
        </w:rPr>
        <w:t xml:space="preserve">PALS was written into our job specifications, it is an objective for us’ </w:t>
      </w:r>
      <w:r w:rsidR="00B609AC" w:rsidRPr="000F0A89">
        <w:t>(</w:t>
      </w:r>
      <w:r w:rsidR="00EA7793" w:rsidRPr="000F0A89">
        <w:t>IP</w:t>
      </w:r>
      <w:r w:rsidR="00E86B4B" w:rsidRPr="000F0A89">
        <w:t>8</w:t>
      </w:r>
      <w:r w:rsidR="00B609AC" w:rsidRPr="000F0A89">
        <w:t>) and in other instances there was a clear commitment ‘</w:t>
      </w:r>
      <w:r w:rsidR="00B609AC" w:rsidRPr="000F0A89">
        <w:rPr>
          <w:i/>
          <w:iCs/>
        </w:rPr>
        <w:t>we’ll find ways for this to work because it does overlap with what we do normally</w:t>
      </w:r>
      <w:r w:rsidR="00B609AC" w:rsidRPr="000F0A89">
        <w:t>’ (</w:t>
      </w:r>
      <w:r w:rsidR="00E50E35" w:rsidRPr="000F0A89">
        <w:t>IP</w:t>
      </w:r>
      <w:r w:rsidR="00E86B4B" w:rsidRPr="000F0A89">
        <w:t>3</w:t>
      </w:r>
      <w:r w:rsidR="00B609AC" w:rsidRPr="000F0A89">
        <w:t xml:space="preserve">). </w:t>
      </w:r>
      <w:r w:rsidR="002D0EFE" w:rsidRPr="000F0A89">
        <w:t>This commitment help</w:t>
      </w:r>
      <w:r w:rsidR="0019124E" w:rsidRPr="000F0A89">
        <w:t>ed</w:t>
      </w:r>
      <w:r w:rsidR="002D0EFE" w:rsidRPr="000F0A89">
        <w:t xml:space="preserve"> to create a climate encouraging of implementation</w:t>
      </w:r>
      <w:r w:rsidR="004351B2" w:rsidRPr="000F0A89">
        <w:t xml:space="preserve">, </w:t>
      </w:r>
      <w:r w:rsidR="00105925" w:rsidRPr="000F0A89">
        <w:t xml:space="preserve">and one with sustainability potential </w:t>
      </w:r>
      <w:r w:rsidR="004F3B07" w:rsidRPr="000F0A89">
        <w:t xml:space="preserve">due to the </w:t>
      </w:r>
      <w:r w:rsidR="000E0C7D" w:rsidRPr="000F0A89">
        <w:t>‘</w:t>
      </w:r>
      <w:r w:rsidR="004F3B07" w:rsidRPr="000F0A89">
        <w:t>resources available</w:t>
      </w:r>
      <w:r w:rsidR="000E0C7D" w:rsidRPr="000F0A89">
        <w:t>’</w:t>
      </w:r>
      <w:r w:rsidR="0019124E" w:rsidRPr="000F0A89">
        <w:t>.</w:t>
      </w:r>
      <w:r w:rsidR="00105925" w:rsidRPr="000F0A89">
        <w:t xml:space="preserve"> </w:t>
      </w:r>
      <w:r w:rsidR="003238B2" w:rsidRPr="000F0A89">
        <w:t>T</w:t>
      </w:r>
      <w:r w:rsidR="00105925" w:rsidRPr="000F0A89">
        <w:t>he ability to replace intervention facilitators easily to ensure implementation continued</w:t>
      </w:r>
      <w:r w:rsidR="003238B2" w:rsidRPr="000F0A89">
        <w:t xml:space="preserve"> is an example</w:t>
      </w:r>
      <w:r w:rsidR="00105925" w:rsidRPr="000F0A89">
        <w:t xml:space="preserve">. </w:t>
      </w:r>
    </w:p>
    <w:p w14:paraId="2EE11AD1" w14:textId="77777777" w:rsidR="0036330A" w:rsidRPr="000F0A89" w:rsidRDefault="0036330A" w:rsidP="004275C9">
      <w:pPr>
        <w:spacing w:line="276" w:lineRule="auto"/>
        <w:ind w:left="1134" w:right="1088"/>
        <w:jc w:val="both"/>
        <w:rPr>
          <w:i/>
          <w:iCs/>
        </w:rPr>
      </w:pPr>
    </w:p>
    <w:p w14:paraId="0A412A13" w14:textId="3D31D24D" w:rsidR="00105925" w:rsidRPr="000F0A89" w:rsidRDefault="0036330A" w:rsidP="004275C9">
      <w:pPr>
        <w:spacing w:line="276" w:lineRule="auto"/>
        <w:ind w:left="1134" w:right="1088"/>
        <w:jc w:val="both"/>
        <w:rPr>
          <w:i/>
          <w:iCs/>
        </w:rPr>
      </w:pPr>
      <w:r w:rsidRPr="000F0A89">
        <w:rPr>
          <w:i/>
          <w:iCs/>
        </w:rPr>
        <w:lastRenderedPageBreak/>
        <w:t>[</w:t>
      </w:r>
      <w:r w:rsidR="00E11593" w:rsidRPr="000F0A89">
        <w:rPr>
          <w:i/>
          <w:iCs/>
        </w:rPr>
        <w:t>Female</w:t>
      </w:r>
      <w:r w:rsidRPr="000F0A89">
        <w:rPr>
          <w:i/>
          <w:iCs/>
        </w:rPr>
        <w:t>] going on MAT</w:t>
      </w:r>
      <w:r w:rsidR="00B87B47" w:rsidRPr="000F0A89">
        <w:rPr>
          <w:i/>
          <w:iCs/>
        </w:rPr>
        <w:t xml:space="preserve"> [maternity]</w:t>
      </w:r>
      <w:r w:rsidRPr="000F0A89">
        <w:rPr>
          <w:i/>
          <w:iCs/>
        </w:rPr>
        <w:t xml:space="preserve"> leave in June, but as we were leaving the office we were introduced to [</w:t>
      </w:r>
      <w:r w:rsidR="00E11593" w:rsidRPr="000F0A89">
        <w:rPr>
          <w:i/>
          <w:iCs/>
        </w:rPr>
        <w:t>Male</w:t>
      </w:r>
      <w:r w:rsidRPr="000F0A89">
        <w:rPr>
          <w:i/>
          <w:iCs/>
        </w:rPr>
        <w:t>] who will replace [</w:t>
      </w:r>
      <w:r w:rsidR="00E11593" w:rsidRPr="000F0A89">
        <w:rPr>
          <w:i/>
          <w:iCs/>
        </w:rPr>
        <w:t>Female</w:t>
      </w:r>
      <w:r w:rsidRPr="000F0A89">
        <w:rPr>
          <w:i/>
          <w:iCs/>
        </w:rPr>
        <w:t>] as the facilitator. PALS had already been written into his objective</w:t>
      </w:r>
      <w:r w:rsidR="00B43E6C" w:rsidRPr="000F0A89">
        <w:rPr>
          <w:i/>
          <w:iCs/>
        </w:rPr>
        <w:t>s</w:t>
      </w:r>
      <w:r w:rsidRPr="000F0A89">
        <w:rPr>
          <w:i/>
          <w:iCs/>
        </w:rPr>
        <w:t xml:space="preserve"> for the next quarter.  </w:t>
      </w:r>
    </w:p>
    <w:p w14:paraId="56C5AF38" w14:textId="1B32CD3A" w:rsidR="0036330A" w:rsidRPr="000F0A89" w:rsidRDefault="0036330A" w:rsidP="004275C9">
      <w:pPr>
        <w:spacing w:line="276" w:lineRule="auto"/>
        <w:ind w:left="1134" w:right="1088"/>
        <w:jc w:val="right"/>
      </w:pPr>
      <w:r w:rsidRPr="000F0A89">
        <w:t>(</w:t>
      </w:r>
      <w:r w:rsidR="005D4BDF" w:rsidRPr="000F0A89">
        <w:t>OP</w:t>
      </w:r>
      <w:r w:rsidR="00E86B4B" w:rsidRPr="000F0A89">
        <w:t>8</w:t>
      </w:r>
      <w:r w:rsidRPr="000F0A89">
        <w:t xml:space="preserve">) </w:t>
      </w:r>
    </w:p>
    <w:p w14:paraId="51307D2D" w14:textId="073C6068" w:rsidR="001D4478" w:rsidRPr="000F0A89" w:rsidRDefault="001D4478" w:rsidP="004275C9">
      <w:pPr>
        <w:spacing w:line="276" w:lineRule="auto"/>
      </w:pPr>
    </w:p>
    <w:p w14:paraId="324B3852" w14:textId="7FB55C07" w:rsidR="00B94031" w:rsidRPr="000F0A89" w:rsidRDefault="000E0C7D" w:rsidP="004275C9">
      <w:pPr>
        <w:spacing w:line="276" w:lineRule="auto"/>
        <w:jc w:val="both"/>
      </w:pPr>
      <w:r w:rsidRPr="000F0A89">
        <w:t>With the potential to create a climate encouraging of implementation</w:t>
      </w:r>
      <w:r w:rsidR="00663F8A" w:rsidRPr="000F0A89">
        <w:t>, the pre-implementation context</w:t>
      </w:r>
      <w:r w:rsidR="00C36E22" w:rsidRPr="000F0A89">
        <w:t xml:space="preserve"> </w:t>
      </w:r>
      <w:r w:rsidR="0019124E" w:rsidRPr="000F0A89">
        <w:t>was</w:t>
      </w:r>
      <w:r w:rsidR="00663F8A" w:rsidRPr="000F0A89">
        <w:t xml:space="preserve"> also contingent on factor</w:t>
      </w:r>
      <w:r w:rsidRPr="000F0A89">
        <w:t>s beyond ‘</w:t>
      </w:r>
      <w:r w:rsidR="00663F8A" w:rsidRPr="000F0A89">
        <w:t>political landscape</w:t>
      </w:r>
      <w:r w:rsidRPr="000F0A89">
        <w:t>’</w:t>
      </w:r>
      <w:r w:rsidR="00663F8A" w:rsidRPr="000F0A89">
        <w:t xml:space="preserve"> and </w:t>
      </w:r>
      <w:r w:rsidRPr="000F0A89">
        <w:t>‘</w:t>
      </w:r>
      <w:r w:rsidR="00663F8A" w:rsidRPr="000F0A89">
        <w:t>leadership engagement</w:t>
      </w:r>
      <w:r w:rsidRPr="000F0A89">
        <w:t xml:space="preserve">’. </w:t>
      </w:r>
    </w:p>
    <w:p w14:paraId="216194F0" w14:textId="19827BB7" w:rsidR="00524ADF" w:rsidRPr="000F0A89" w:rsidRDefault="00663F8A" w:rsidP="004275C9">
      <w:pPr>
        <w:spacing w:line="276" w:lineRule="auto"/>
        <w:jc w:val="both"/>
      </w:pPr>
      <w:r w:rsidRPr="000F0A89">
        <w:tab/>
      </w:r>
      <w:r w:rsidR="00B313D2" w:rsidRPr="000F0A89">
        <w:t>On</w:t>
      </w:r>
      <w:r w:rsidR="00D74487" w:rsidRPr="000F0A89">
        <w:t>e</w:t>
      </w:r>
      <w:r w:rsidR="00B313D2" w:rsidRPr="000F0A89">
        <w:t xml:space="preserve"> factor relates to the </w:t>
      </w:r>
      <w:r w:rsidR="00142C12" w:rsidRPr="000F0A89">
        <w:t>sub-</w:t>
      </w:r>
      <w:r w:rsidR="00B313D2" w:rsidRPr="000F0A89">
        <w:t xml:space="preserve">concept </w:t>
      </w:r>
      <w:r w:rsidR="00F42661" w:rsidRPr="000F0A89">
        <w:t>‘</w:t>
      </w:r>
      <w:r w:rsidR="00B313D2" w:rsidRPr="000F0A89">
        <w:t>patient needs</w:t>
      </w:r>
      <w:r w:rsidR="00F42661" w:rsidRPr="000F0A89">
        <w:t>’</w:t>
      </w:r>
      <w:r w:rsidR="00B313D2" w:rsidRPr="000F0A89">
        <w:t xml:space="preserve">. In many instances </w:t>
      </w:r>
      <w:r w:rsidR="008F2292" w:rsidRPr="000F0A89">
        <w:t>FPOs</w:t>
      </w:r>
      <w:r w:rsidR="00B313D2" w:rsidRPr="000F0A89">
        <w:t xml:space="preserve"> deliver services to individuals who are ‘</w:t>
      </w:r>
      <w:r w:rsidR="00B313D2" w:rsidRPr="000F0A89">
        <w:rPr>
          <w:i/>
          <w:iCs/>
        </w:rPr>
        <w:t xml:space="preserve">in crisis’ </w:t>
      </w:r>
      <w:r w:rsidR="00B313D2" w:rsidRPr="000F0A89">
        <w:t>(</w:t>
      </w:r>
      <w:r w:rsidR="00B76A35" w:rsidRPr="000F0A89">
        <w:t>OP</w:t>
      </w:r>
      <w:r w:rsidR="00E86B4B" w:rsidRPr="000F0A89">
        <w:t>3</w:t>
      </w:r>
      <w:r w:rsidR="00B313D2" w:rsidRPr="000F0A89">
        <w:t>) and who are ‘</w:t>
      </w:r>
      <w:r w:rsidR="00B313D2" w:rsidRPr="000F0A89">
        <w:rPr>
          <w:i/>
          <w:iCs/>
        </w:rPr>
        <w:t>dealing with the immediate</w:t>
      </w:r>
      <w:r w:rsidR="00B313D2" w:rsidRPr="000F0A89">
        <w:t xml:space="preserve">’ and often </w:t>
      </w:r>
      <w:r w:rsidR="00F07EA3" w:rsidRPr="000F0A89">
        <w:t xml:space="preserve">very </w:t>
      </w:r>
      <w:r w:rsidR="00B313D2" w:rsidRPr="000F0A89">
        <w:t>complex issues (</w:t>
      </w:r>
      <w:r w:rsidR="00B76A35" w:rsidRPr="000F0A89">
        <w:t>O</w:t>
      </w:r>
      <w:r w:rsidR="00B43E6C" w:rsidRPr="000F0A89">
        <w:t>P</w:t>
      </w:r>
      <w:r w:rsidR="00E86B4B" w:rsidRPr="000F0A89">
        <w:t>8</w:t>
      </w:r>
      <w:r w:rsidR="00B313D2" w:rsidRPr="000F0A89">
        <w:t>)</w:t>
      </w:r>
      <w:r w:rsidR="00524ADF" w:rsidRPr="000F0A89">
        <w:t xml:space="preserve">. Where individuals are dealing with profound problems </w:t>
      </w:r>
      <w:r w:rsidR="005D46BC" w:rsidRPr="000F0A89">
        <w:t xml:space="preserve">partners </w:t>
      </w:r>
      <w:r w:rsidR="00524ADF" w:rsidRPr="000F0A89">
        <w:t>also report</w:t>
      </w:r>
      <w:r w:rsidR="00C53776" w:rsidRPr="000F0A89">
        <w:t>ed</w:t>
      </w:r>
      <w:r w:rsidR="00524ADF" w:rsidRPr="000F0A89">
        <w:t xml:space="preserve"> the individual can become ‘</w:t>
      </w:r>
      <w:r w:rsidR="00F07EA3" w:rsidRPr="000F0A89">
        <w:rPr>
          <w:i/>
          <w:iCs/>
        </w:rPr>
        <w:t xml:space="preserve">easily </w:t>
      </w:r>
      <w:r w:rsidR="00524ADF" w:rsidRPr="000F0A89">
        <w:rPr>
          <w:i/>
          <w:iCs/>
        </w:rPr>
        <w:t>overwhelmed</w:t>
      </w:r>
      <w:r w:rsidR="00524ADF" w:rsidRPr="000F0A89">
        <w:t>’</w:t>
      </w:r>
      <w:r w:rsidR="00E11593" w:rsidRPr="000F0A89">
        <w:t xml:space="preserve"> (</w:t>
      </w:r>
      <w:r w:rsidR="00130260" w:rsidRPr="000F0A89">
        <w:t>IP</w:t>
      </w:r>
      <w:r w:rsidR="00E11593" w:rsidRPr="000F0A89">
        <w:t>4)</w:t>
      </w:r>
      <w:r w:rsidR="00524ADF" w:rsidRPr="000F0A89">
        <w:t>.</w:t>
      </w:r>
      <w:r w:rsidR="00FB2CDA" w:rsidRPr="000F0A89">
        <w:t xml:space="preserve"> T</w:t>
      </w:r>
      <w:r w:rsidR="00524ADF" w:rsidRPr="000F0A89">
        <w:t>his speaks to the suitability and timing of the intervention being implemented. In this example,</w:t>
      </w:r>
      <w:r w:rsidR="00EB37B9" w:rsidRPr="000F0A89">
        <w:t xml:space="preserve"> some of the </w:t>
      </w:r>
      <w:r w:rsidR="008610C6" w:rsidRPr="000F0A89">
        <w:t>‘patient needs’</w:t>
      </w:r>
      <w:r w:rsidR="00EB37B9" w:rsidRPr="000F0A89">
        <w:t xml:space="preserve"> were</w:t>
      </w:r>
      <w:r w:rsidR="00F42661" w:rsidRPr="000F0A89">
        <w:t xml:space="preserve"> perceived to be</w:t>
      </w:r>
      <w:r w:rsidR="00EB37B9" w:rsidRPr="000F0A89">
        <w:t xml:space="preserve"> too severe and complex</w:t>
      </w:r>
      <w:r w:rsidR="00F42661" w:rsidRPr="000F0A89">
        <w:t>,</w:t>
      </w:r>
      <w:r w:rsidR="00EB37B9" w:rsidRPr="000F0A89">
        <w:t xml:space="preserve"> </w:t>
      </w:r>
      <w:r w:rsidR="00F42661" w:rsidRPr="000F0A89">
        <w:t>which led</w:t>
      </w:r>
      <w:r w:rsidR="00EB37B9" w:rsidRPr="000F0A89">
        <w:t xml:space="preserve"> </w:t>
      </w:r>
      <w:r w:rsidR="000D2462" w:rsidRPr="000F0A89">
        <w:t>some partners</w:t>
      </w:r>
      <w:r w:rsidR="00EB37B9" w:rsidRPr="000F0A89">
        <w:t xml:space="preserve"> </w:t>
      </w:r>
      <w:r w:rsidR="00F42661" w:rsidRPr="000F0A89">
        <w:t xml:space="preserve">to view </w:t>
      </w:r>
      <w:r w:rsidR="008610C6" w:rsidRPr="000F0A89">
        <w:t>Genie</w:t>
      </w:r>
      <w:r w:rsidR="00F42661" w:rsidRPr="000F0A89">
        <w:t xml:space="preserve"> </w:t>
      </w:r>
      <w:r w:rsidR="00EB37B9" w:rsidRPr="000F0A89">
        <w:t xml:space="preserve">as being unsuitable for participants. </w:t>
      </w:r>
    </w:p>
    <w:p w14:paraId="5308DD6B" w14:textId="1E47F3F6" w:rsidR="00A50FCF" w:rsidRPr="000F0A89" w:rsidRDefault="00EB37B9" w:rsidP="004275C9">
      <w:pPr>
        <w:spacing w:line="276" w:lineRule="auto"/>
        <w:jc w:val="both"/>
      </w:pPr>
      <w:r w:rsidRPr="000F0A89">
        <w:tab/>
      </w:r>
      <w:r w:rsidR="00A50FCF" w:rsidRPr="000F0A89">
        <w:t xml:space="preserve">Although </w:t>
      </w:r>
      <w:r w:rsidR="00CE44FB" w:rsidRPr="000F0A89">
        <w:t>‘</w:t>
      </w:r>
      <w:r w:rsidR="00A50FCF" w:rsidRPr="000F0A89">
        <w:t>leadership engagement</w:t>
      </w:r>
      <w:r w:rsidR="00CE44FB" w:rsidRPr="000F0A89">
        <w:t>’</w:t>
      </w:r>
      <w:r w:rsidR="00A50FCF" w:rsidRPr="000F0A89">
        <w:t xml:space="preserve"> </w:t>
      </w:r>
      <w:r w:rsidR="00D74487" w:rsidRPr="000F0A89">
        <w:t>was</w:t>
      </w:r>
      <w:r w:rsidR="00A50FCF" w:rsidRPr="000F0A89">
        <w:t xml:space="preserve"> influential in the creation of the optimal pre-implementation climate and </w:t>
      </w:r>
      <w:r w:rsidR="00C36E22" w:rsidRPr="000F0A89">
        <w:t xml:space="preserve">also </w:t>
      </w:r>
      <w:r w:rsidR="00CE44FB" w:rsidRPr="000F0A89">
        <w:t>‘</w:t>
      </w:r>
      <w:r w:rsidR="00C36E22" w:rsidRPr="000F0A89">
        <w:t>implementation</w:t>
      </w:r>
      <w:r w:rsidR="00A50FCF" w:rsidRPr="000F0A89">
        <w:t xml:space="preserve"> readiness</w:t>
      </w:r>
      <w:r w:rsidR="00CE44FB" w:rsidRPr="000F0A89">
        <w:t>’</w:t>
      </w:r>
      <w:r w:rsidR="00A50FCF" w:rsidRPr="000F0A89">
        <w:t>, those responsible for delivering the intervention were</w:t>
      </w:r>
      <w:r w:rsidR="00D74487" w:rsidRPr="000F0A89">
        <w:t xml:space="preserve"> in the beginning</w:t>
      </w:r>
      <w:r w:rsidR="00A50FCF" w:rsidRPr="000F0A89">
        <w:t xml:space="preserve"> often excluded from engagement conversations, and yet were </w:t>
      </w:r>
      <w:r w:rsidR="00F07EA3" w:rsidRPr="000F0A89">
        <w:t>integral</w:t>
      </w:r>
      <w:r w:rsidR="00A50FCF" w:rsidRPr="000F0A89">
        <w:t xml:space="preserve"> to implementation.</w:t>
      </w:r>
      <w:r w:rsidR="00DB27A7" w:rsidRPr="000F0A89">
        <w:t xml:space="preserve"> </w:t>
      </w:r>
      <w:r w:rsidR="00A50FCF" w:rsidRPr="000F0A89">
        <w:t xml:space="preserve">In </w:t>
      </w:r>
      <w:r w:rsidR="0024218B" w:rsidRPr="000F0A89">
        <w:t>instances</w:t>
      </w:r>
      <w:r w:rsidR="00A50FCF" w:rsidRPr="000F0A89">
        <w:t xml:space="preserve"> where t</w:t>
      </w:r>
      <w:r w:rsidR="00BE31D4" w:rsidRPr="000F0A89">
        <w:t xml:space="preserve">here was </w:t>
      </w:r>
      <w:r w:rsidR="00CE44FB" w:rsidRPr="000F0A89">
        <w:t>‘</w:t>
      </w:r>
      <w:r w:rsidR="00BE31D4" w:rsidRPr="000F0A89">
        <w:t>leadership engagement</w:t>
      </w:r>
      <w:r w:rsidR="00CE44FB" w:rsidRPr="000F0A89">
        <w:t>’</w:t>
      </w:r>
      <w:r w:rsidR="00BE31D4" w:rsidRPr="000F0A89">
        <w:t xml:space="preserve"> </w:t>
      </w:r>
      <w:r w:rsidR="00A50FCF" w:rsidRPr="000F0A89">
        <w:t>the pre-implementation context was</w:t>
      </w:r>
      <w:r w:rsidR="002C0D70" w:rsidRPr="000F0A89">
        <w:t xml:space="preserve"> still</w:t>
      </w:r>
      <w:r w:rsidR="00A50FCF" w:rsidRPr="000F0A89">
        <w:t xml:space="preserve"> negatively affected where buy-in failed to be secured at all levels.</w:t>
      </w:r>
      <w:r w:rsidR="00D74487" w:rsidRPr="000F0A89">
        <w:t xml:space="preserve"> As illustrated i</w:t>
      </w:r>
      <w:r w:rsidR="00F07EA3" w:rsidRPr="000F0A89">
        <w:t xml:space="preserve">n this example, </w:t>
      </w:r>
      <w:r w:rsidR="003C3560" w:rsidRPr="000F0A89">
        <w:t xml:space="preserve">buy-in had been secured at senior management level but </w:t>
      </w:r>
      <w:r w:rsidR="00F07EA3" w:rsidRPr="000F0A89">
        <w:t>middle management</w:t>
      </w:r>
      <w:r w:rsidR="003C3560" w:rsidRPr="000F0A89">
        <w:t xml:space="preserve"> and those identified as potential facilitators</w:t>
      </w:r>
      <w:r w:rsidR="00F07EA3" w:rsidRPr="000F0A89">
        <w:t xml:space="preserve"> had not been consulted about the partnership. </w:t>
      </w:r>
    </w:p>
    <w:p w14:paraId="140AD4BE" w14:textId="7E903E22" w:rsidR="00A50FCF" w:rsidRPr="000F0A89" w:rsidRDefault="00A50FCF" w:rsidP="004275C9">
      <w:pPr>
        <w:spacing w:line="276" w:lineRule="auto"/>
        <w:jc w:val="both"/>
      </w:pPr>
    </w:p>
    <w:p w14:paraId="7EAC98A2" w14:textId="2D5A6326" w:rsidR="00A50FCF" w:rsidRPr="000F0A89" w:rsidRDefault="00A50FCF" w:rsidP="004275C9">
      <w:pPr>
        <w:spacing w:line="276" w:lineRule="auto"/>
        <w:ind w:left="1134" w:right="1088"/>
        <w:jc w:val="both"/>
        <w:rPr>
          <w:i/>
          <w:iCs/>
        </w:rPr>
      </w:pPr>
      <w:r w:rsidRPr="000F0A89">
        <w:rPr>
          <w:i/>
          <w:iCs/>
        </w:rPr>
        <w:t xml:space="preserve">This is benefiting the service, but they </w:t>
      </w:r>
      <w:r w:rsidR="003C3560" w:rsidRPr="000F0A89">
        <w:rPr>
          <w:i/>
          <w:iCs/>
        </w:rPr>
        <w:t xml:space="preserve">[the potential facilitators] </w:t>
      </w:r>
      <w:r w:rsidRPr="000F0A89">
        <w:rPr>
          <w:i/>
          <w:iCs/>
        </w:rPr>
        <w:t xml:space="preserve">see people with real difficult psychological problems who are in immediate threat, there’s safeguarding and real difficult stuff. Loneliness is important, and I’m not saying it isn’t, but is it of the same standard. Can I justify their time? </w:t>
      </w:r>
    </w:p>
    <w:p w14:paraId="4C7304C5" w14:textId="158E81C4" w:rsidR="00A50FCF" w:rsidRPr="000F0A89" w:rsidRDefault="00A50FCF" w:rsidP="004275C9">
      <w:pPr>
        <w:spacing w:line="276" w:lineRule="auto"/>
        <w:ind w:left="1134" w:right="1088"/>
        <w:jc w:val="right"/>
        <w:rPr>
          <w:i/>
          <w:iCs/>
        </w:rPr>
      </w:pPr>
      <w:r w:rsidRPr="000F0A89">
        <w:rPr>
          <w:i/>
          <w:iCs/>
        </w:rPr>
        <w:t>(</w:t>
      </w:r>
      <w:r w:rsidR="003A3885" w:rsidRPr="000F0A89">
        <w:rPr>
          <w:i/>
          <w:iCs/>
        </w:rPr>
        <w:t>OP</w:t>
      </w:r>
      <w:r w:rsidR="00E86B4B" w:rsidRPr="000F0A89">
        <w:rPr>
          <w:i/>
          <w:iCs/>
        </w:rPr>
        <w:t>4</w:t>
      </w:r>
      <w:r w:rsidRPr="000F0A89">
        <w:rPr>
          <w:i/>
          <w:iCs/>
        </w:rPr>
        <w:t xml:space="preserve">) </w:t>
      </w:r>
    </w:p>
    <w:p w14:paraId="5C3AE50B" w14:textId="5A71C092" w:rsidR="00A50FCF" w:rsidRPr="000F0A89" w:rsidRDefault="00A50FCF" w:rsidP="004275C9">
      <w:pPr>
        <w:spacing w:line="276" w:lineRule="auto"/>
        <w:jc w:val="both"/>
      </w:pPr>
    </w:p>
    <w:p w14:paraId="75045E2B" w14:textId="713D5ED8" w:rsidR="00663F8A" w:rsidRPr="000F0A89" w:rsidRDefault="00384C97" w:rsidP="004275C9">
      <w:pPr>
        <w:spacing w:line="276" w:lineRule="auto"/>
        <w:jc w:val="both"/>
      </w:pPr>
      <w:r w:rsidRPr="000F0A89">
        <w:t>Relating</w:t>
      </w:r>
      <w:r w:rsidR="00A50FCF" w:rsidRPr="000F0A89">
        <w:t xml:space="preserve"> to the </w:t>
      </w:r>
      <w:r w:rsidR="004A5F12" w:rsidRPr="000F0A89">
        <w:t>sub-</w:t>
      </w:r>
      <w:r w:rsidR="00A50FCF" w:rsidRPr="000F0A89">
        <w:t>concept</w:t>
      </w:r>
      <w:r w:rsidR="00C36E22" w:rsidRPr="000F0A89">
        <w:t xml:space="preserve"> </w:t>
      </w:r>
      <w:r w:rsidR="00CE44FB" w:rsidRPr="000F0A89">
        <w:t>‘</w:t>
      </w:r>
      <w:r w:rsidR="00A50FCF" w:rsidRPr="000F0A89">
        <w:t>knowledge and belief about interventio</w:t>
      </w:r>
      <w:r w:rsidRPr="000F0A89">
        <w:t>n</w:t>
      </w:r>
      <w:r w:rsidR="00CE44FB" w:rsidRPr="000F0A89">
        <w:t>’</w:t>
      </w:r>
      <w:r w:rsidRPr="000F0A89">
        <w:t>, f</w:t>
      </w:r>
      <w:r w:rsidR="00A50FCF" w:rsidRPr="000F0A89">
        <w:t xml:space="preserve">ailure to acquire the insights </w:t>
      </w:r>
      <w:r w:rsidRPr="000F0A89">
        <w:t>across the</w:t>
      </w:r>
      <w:r w:rsidR="007D6398" w:rsidRPr="000F0A89">
        <w:t xml:space="preserve"> workforce</w:t>
      </w:r>
      <w:r w:rsidRPr="000F0A89">
        <w:t xml:space="preserve"> hierarch</w:t>
      </w:r>
      <w:r w:rsidR="007D6398" w:rsidRPr="000F0A89">
        <w:t>y</w:t>
      </w:r>
      <w:r w:rsidRPr="000F0A89">
        <w:t xml:space="preserve"> </w:t>
      </w:r>
      <w:r w:rsidR="00A50FCF" w:rsidRPr="000F0A89">
        <w:t>led to the need to troubleshoot further down the line</w:t>
      </w:r>
      <w:r w:rsidR="00131250" w:rsidRPr="000F0A89">
        <w:t>, which also</w:t>
      </w:r>
      <w:r w:rsidR="004E1369" w:rsidRPr="000F0A89">
        <w:t xml:space="preserve"> illustrat</w:t>
      </w:r>
      <w:r w:rsidR="00131250" w:rsidRPr="000F0A89">
        <w:t>es</w:t>
      </w:r>
      <w:r w:rsidR="004E1369" w:rsidRPr="000F0A89">
        <w:t xml:space="preserve"> the need for </w:t>
      </w:r>
      <w:r w:rsidR="00D63587" w:rsidRPr="000F0A89">
        <w:t>pliability</w:t>
      </w:r>
      <w:r w:rsidR="00BA53CB" w:rsidRPr="000F0A89">
        <w:t xml:space="preserve"> (as the intervention team worked flexibly within the protocol to tailor the division of labour to each partner)</w:t>
      </w:r>
      <w:r w:rsidR="004E1369" w:rsidRPr="000F0A89">
        <w:t>. Through a process of monitoring and reflection</w:t>
      </w:r>
      <w:r w:rsidR="00131250" w:rsidRPr="000F0A89">
        <w:t>,</w:t>
      </w:r>
      <w:r w:rsidR="004E1369" w:rsidRPr="000F0A89">
        <w:t xml:space="preserve"> the need to secure multi-level buy-in (rather than assume organisations would internally secure this) </w:t>
      </w:r>
      <w:r w:rsidRPr="000F0A89">
        <w:t xml:space="preserve">became a priority and was solved by the introduction of </w:t>
      </w:r>
      <w:r w:rsidR="00C25931" w:rsidRPr="000F0A89">
        <w:t xml:space="preserve">two meetings. One </w:t>
      </w:r>
      <w:r w:rsidRPr="000F0A89">
        <w:t>meeting</w:t>
      </w:r>
      <w:r w:rsidR="00C25931" w:rsidRPr="000F0A89">
        <w:t xml:space="preserve"> took place ahead of facilitator training</w:t>
      </w:r>
      <w:r w:rsidR="004E1369" w:rsidRPr="000F0A89">
        <w:t xml:space="preserve"> and</w:t>
      </w:r>
      <w:r w:rsidR="00C25931" w:rsidRPr="000F0A89">
        <w:t xml:space="preserve"> one that took place after the facilitators had been trained</w:t>
      </w:r>
      <w:r w:rsidR="004E1369" w:rsidRPr="000F0A89">
        <w:t xml:space="preserve">. These meetings took place with </w:t>
      </w:r>
      <w:r w:rsidR="00A171F4" w:rsidRPr="000F0A89">
        <w:t>everyone</w:t>
      </w:r>
      <w:r w:rsidR="004E1369" w:rsidRPr="000F0A89">
        <w:t xml:space="preserve"> directly </w:t>
      </w:r>
      <w:r w:rsidR="00A171F4" w:rsidRPr="000F0A89">
        <w:t xml:space="preserve">involved in </w:t>
      </w:r>
      <w:r w:rsidR="004E1369" w:rsidRPr="000F0A89">
        <w:t xml:space="preserve">the implementation </w:t>
      </w:r>
      <w:r w:rsidR="00A171F4" w:rsidRPr="000F0A89">
        <w:t>process</w:t>
      </w:r>
      <w:r w:rsidR="00495AB9" w:rsidRPr="000F0A89">
        <w:t xml:space="preserve">, and often included </w:t>
      </w:r>
      <w:r w:rsidR="004E1369" w:rsidRPr="000F0A89">
        <w:t xml:space="preserve">a member of leadership, middle </w:t>
      </w:r>
      <w:r w:rsidR="004E1369" w:rsidRPr="000F0A89">
        <w:lastRenderedPageBreak/>
        <w:t>management (</w:t>
      </w:r>
      <w:r w:rsidR="00A171F4" w:rsidRPr="000F0A89">
        <w:t xml:space="preserve">who </w:t>
      </w:r>
      <w:r w:rsidR="004E1369" w:rsidRPr="000F0A89">
        <w:t>ten</w:t>
      </w:r>
      <w:r w:rsidR="00A171F4" w:rsidRPr="000F0A89">
        <w:t>ded</w:t>
      </w:r>
      <w:r w:rsidR="004E1369" w:rsidRPr="000F0A89">
        <w:t xml:space="preserve"> to have direct oversight of the project) and individuals</w:t>
      </w:r>
      <w:r w:rsidR="00A171F4" w:rsidRPr="000F0A89">
        <w:t xml:space="preserve"> becoming intervention </w:t>
      </w:r>
      <w:r w:rsidR="004E1369" w:rsidRPr="000F0A89">
        <w:t xml:space="preserve">facilitators. These meetings were important for all </w:t>
      </w:r>
      <w:r w:rsidR="00192483" w:rsidRPr="000F0A89">
        <w:t>contexts</w:t>
      </w:r>
      <w:r w:rsidR="004E1369" w:rsidRPr="000F0A89">
        <w:t xml:space="preserve"> but </w:t>
      </w:r>
      <w:r w:rsidR="00974837" w:rsidRPr="000F0A89">
        <w:t>e</w:t>
      </w:r>
      <w:r w:rsidR="004E1369" w:rsidRPr="000F0A89">
        <w:t xml:space="preserve">specially so </w:t>
      </w:r>
      <w:r w:rsidR="00192483" w:rsidRPr="000F0A89">
        <w:t>for the</w:t>
      </w:r>
      <w:r w:rsidR="004E1369" w:rsidRPr="000F0A89">
        <w:t xml:space="preserve"> </w:t>
      </w:r>
      <w:r w:rsidR="008D58C6" w:rsidRPr="000F0A89">
        <w:t>FPOs</w:t>
      </w:r>
      <w:r w:rsidR="004E1369" w:rsidRPr="000F0A89">
        <w:t xml:space="preserve"> where the workforce tended to be larger, and there was</w:t>
      </w:r>
      <w:r w:rsidR="00A171F4" w:rsidRPr="000F0A89">
        <w:t xml:space="preserve"> more </w:t>
      </w:r>
      <w:r w:rsidR="00DB27A7" w:rsidRPr="000F0A89">
        <w:t>risk</w:t>
      </w:r>
      <w:r w:rsidR="00A171F4" w:rsidRPr="000F0A89">
        <w:t xml:space="preserve"> of </w:t>
      </w:r>
      <w:r w:rsidR="004E1369" w:rsidRPr="000F0A89">
        <w:t>disconnect between top-level managers and those responsible for delivery. These meetings enabled troubleshooting</w:t>
      </w:r>
      <w:r w:rsidR="002D1573" w:rsidRPr="000F0A89">
        <w:t xml:space="preserve"> to take place earlier</w:t>
      </w:r>
      <w:r w:rsidR="00A171F4" w:rsidRPr="000F0A89">
        <w:t xml:space="preserve"> and </w:t>
      </w:r>
      <w:r w:rsidR="004E1369" w:rsidRPr="000F0A89">
        <w:t>e</w:t>
      </w:r>
      <w:r w:rsidR="0059288D" w:rsidRPr="000F0A89">
        <w:t xml:space="preserve">nsure </w:t>
      </w:r>
      <w:r w:rsidR="003D4D68" w:rsidRPr="000F0A89">
        <w:t xml:space="preserve">that </w:t>
      </w:r>
      <w:r w:rsidR="0059288D" w:rsidRPr="000F0A89">
        <w:t>b</w:t>
      </w:r>
      <w:r w:rsidR="004E1369" w:rsidRPr="000F0A89">
        <w:t xml:space="preserve">uy-in </w:t>
      </w:r>
      <w:r w:rsidR="003D4D68" w:rsidRPr="000F0A89">
        <w:t xml:space="preserve">was secured </w:t>
      </w:r>
      <w:r w:rsidR="004E1369" w:rsidRPr="000F0A89">
        <w:t>from all involved</w:t>
      </w:r>
      <w:r w:rsidR="002D1573" w:rsidRPr="000F0A89">
        <w:t xml:space="preserve">. The meetings </w:t>
      </w:r>
      <w:r w:rsidR="004E1369" w:rsidRPr="000F0A89">
        <w:t xml:space="preserve">were a real contributor to the creation of coherence </w:t>
      </w:r>
      <w:r w:rsidR="007B6EC9" w:rsidRPr="000F0A89">
        <w:fldChar w:fldCharType="begin" w:fldLock="1"/>
      </w:r>
      <w:r w:rsidR="007E3818" w:rsidRPr="000F0A89">
        <w:instrText>ADDIN CSL_CITATION {"citationItems":[{"id":"ITEM-1","itemData":{"DOI":"10.1186/1748-5908-4-29","ISSN":"17485908","abstract":"Background. Theories are important tools in the social and natural sciences. The methods by which they are derived are rarely described and discussed. Normalization Process Theory explains how new technologies, ways of acting, and ways of working become routinely embedded in everyday practice, and has applications in the study of implementation processes. This paper describes the process by which it was built. Methods. Between 1998 and 2008, we developed a theory. We derived a set of empirical generalizations from analysis of data collected in qualitative studies of healthcare work and organization. We developed an applied theoretical model through analysis of empirical generalizations. Finally, we built a formal theory through a process of extension and implication analysis of the applied theoretical model. Results. Each phase of theory development showed that the constructs of the theory did not conflict with each other, had explanatory power, and possessed sufficient robustness for formal testing. As the theory developed, its scope expanded from a set of observed regularities in data with procedural explanations, to an applied theoretical model, to a formal middle-range theory. Conclusion. Normalization Process Theory has been developed through procedures that were properly sceptical and critical, and which were opened to review at each stage of development. The theory has been shown to merit formal testing. ? 2009 May et al; licensee BioMed Central Ltd.","author":[{"dropping-particle":"","family":"May","given":"Carl R.","non-dropping-particle":"","parse-names":false,"suffix":""},{"dropping-particle":"","family":"Mair","given":"Frances","non-dropping-particle":"","parse-names":false,"suffix":""},{"dropping-particle":"","family":"Finch","given":"Tracy","non-dropping-particle":"","parse-names":false,"suffix":""},{"dropping-particle":"","family":"MacFarlane","given":"Anne","non-dropping-particle":"","parse-names":false,"suffix":""},{"dropping-particle":"","family":"Dowrick","given":"Christopher","non-dropping-particle":"","parse-names":false,"suffix":""},{"dropping-particle":"","family":"Treweek","given":"Shaun","non-dropping-particle":"","parse-names":false,"suffix":""},{"dropping-particle":"","family":"Rapley","given":"Tim","non-dropping-particle":"","parse-names":false,"suffix":""},{"dropping-particle":"","family":"Ballini","given":"Luciana","non-dropping-particle":"","parse-names":false,"suffix":""},{"dropping-particle":"","family":"Ong","given":"Bie Nio","non-dropping-particle":"","parse-names":false,"suffix":""},{"dropping-particle":"","family":"Rogers","given":"Anne","non-dropping-particle":"","parse-names":false,"suffix":""},{"dropping-particle":"","family":"Murray","given":"Elizabeth","non-dropping-particle":"","parse-names":false,"suffix":""},{"dropping-particle":"","family":"Elwyn","given":"Glyn","non-dropping-particle":"","parse-names":false,"suffix":""},{"dropping-particle":"","family":"Légaré","given":"France","non-dropping-particle":"","parse-names":false,"suffix":""},{"dropping-particle":"","family":"Gunn","given":"Jane","non-dropping-particle":"","parse-names":false,"suffix":""},{"dropping-particle":"","family":"Montori","given":"Victor M.","non-dropping-particle":"","parse-names":false,"suffix":""}],"container-title":"Implementation Science","id":"ITEM-1","issue":"1","issued":{"date-parts":[["2009"]]},"page":"1-9","title":"Development of a theory of implementation and integration: Normalization Process Theory","type":"article-journal","volume":"4"},"uris":["http://www.mendeley.com/documents/?uuid=be6cb436-31b8-4dc3-86a8-38604c9153c7"]}],"mendeley":{"formattedCitation":"(30)","plainTextFormattedCitation":"(30)","previouslyFormattedCitation":"(29)"},"properties":{"noteIndex":0},"schema":"https://github.com/citation-style-language/schema/raw/master/csl-citation.json"}</w:instrText>
      </w:r>
      <w:r w:rsidR="007B6EC9" w:rsidRPr="000F0A89">
        <w:fldChar w:fldCharType="separate"/>
      </w:r>
      <w:r w:rsidR="007E3818" w:rsidRPr="000F0A89">
        <w:rPr>
          <w:noProof/>
        </w:rPr>
        <w:t>(30)</w:t>
      </w:r>
      <w:r w:rsidR="007B6EC9" w:rsidRPr="000F0A89">
        <w:fldChar w:fldCharType="end"/>
      </w:r>
      <w:r w:rsidR="002D1573" w:rsidRPr="000F0A89">
        <w:t xml:space="preserve"> and </w:t>
      </w:r>
      <w:r w:rsidR="0010419E" w:rsidRPr="000F0A89">
        <w:t xml:space="preserve">thus </w:t>
      </w:r>
      <w:r w:rsidR="002D1573" w:rsidRPr="000F0A89">
        <w:t>the optimal pre-implementation context</w:t>
      </w:r>
      <w:r w:rsidR="004E1369" w:rsidRPr="000F0A89">
        <w:t xml:space="preserve">. </w:t>
      </w:r>
    </w:p>
    <w:p w14:paraId="427480FC" w14:textId="56E5FE53" w:rsidR="00D743AB" w:rsidRPr="000F0A89" w:rsidRDefault="004E1369" w:rsidP="004275C9">
      <w:pPr>
        <w:spacing w:line="276" w:lineRule="auto"/>
        <w:jc w:val="both"/>
      </w:pPr>
      <w:r w:rsidRPr="000F0A89">
        <w:tab/>
      </w:r>
      <w:r w:rsidR="001D1809" w:rsidRPr="000F0A89">
        <w:t>Where the necessary</w:t>
      </w:r>
      <w:r w:rsidR="0086413F" w:rsidRPr="000F0A89">
        <w:t xml:space="preserve"> </w:t>
      </w:r>
      <w:r w:rsidR="001D1809" w:rsidRPr="000F0A89">
        <w:t xml:space="preserve">elements </w:t>
      </w:r>
      <w:r w:rsidR="00BF7B4C" w:rsidRPr="000F0A89">
        <w:t>were</w:t>
      </w:r>
      <w:r w:rsidR="001D1809" w:rsidRPr="000F0A89">
        <w:t xml:space="preserve"> in place to create the optimal pre-implementation climate readiness for implementation</w:t>
      </w:r>
      <w:r w:rsidR="004A5F12" w:rsidRPr="000F0A89">
        <w:t xml:space="preserve"> </w:t>
      </w:r>
      <w:r w:rsidR="00A171F4" w:rsidRPr="000F0A89">
        <w:t xml:space="preserve">was </w:t>
      </w:r>
      <w:r w:rsidR="00E87F29" w:rsidRPr="000F0A89">
        <w:t>time sensitive</w:t>
      </w:r>
      <w:r w:rsidR="001D1809" w:rsidRPr="000F0A89">
        <w:t>. Being business-like in operation, where there are objectives to deliver on</w:t>
      </w:r>
      <w:r w:rsidR="00D20DC9" w:rsidRPr="000F0A89">
        <w:t xml:space="preserve"> within a time frame</w:t>
      </w:r>
      <w:r w:rsidR="001D1809" w:rsidRPr="000F0A89">
        <w:t>, often meant the</w:t>
      </w:r>
      <w:r w:rsidR="00A171F4" w:rsidRPr="000F0A89">
        <w:t xml:space="preserve"> organisations</w:t>
      </w:r>
      <w:r w:rsidR="00AD2865" w:rsidRPr="000F0A89">
        <w:t>’</w:t>
      </w:r>
      <w:r w:rsidR="001D1809" w:rsidRPr="000F0A89">
        <w:t xml:space="preserve"> pace of work </w:t>
      </w:r>
      <w:r w:rsidR="00A171F4" w:rsidRPr="000F0A89">
        <w:t xml:space="preserve">was the fastest of all </w:t>
      </w:r>
      <w:r w:rsidR="004A1A87" w:rsidRPr="000F0A89">
        <w:t>categories</w:t>
      </w:r>
      <w:r w:rsidR="00A171F4" w:rsidRPr="000F0A89">
        <w:t xml:space="preserve">. </w:t>
      </w:r>
      <w:r w:rsidR="001D1809" w:rsidRPr="000F0A89">
        <w:t>Thus,</w:t>
      </w:r>
      <w:r w:rsidR="008F2292" w:rsidRPr="000F0A89">
        <w:t xml:space="preserve"> these partners</w:t>
      </w:r>
      <w:r w:rsidR="001D1809" w:rsidRPr="000F0A89">
        <w:t xml:space="preserve"> reported </w:t>
      </w:r>
      <w:r w:rsidR="002C6629" w:rsidRPr="000F0A89">
        <w:t xml:space="preserve">that in their </w:t>
      </w:r>
      <w:r w:rsidR="000B28FF" w:rsidRPr="000F0A89">
        <w:t>context</w:t>
      </w:r>
      <w:r w:rsidR="002C6629" w:rsidRPr="000F0A89">
        <w:t xml:space="preserve"> </w:t>
      </w:r>
      <w:r w:rsidR="001D1809" w:rsidRPr="000F0A89">
        <w:t>‘</w:t>
      </w:r>
      <w:r w:rsidR="002C6629" w:rsidRPr="000F0A89">
        <w:rPr>
          <w:i/>
          <w:iCs/>
        </w:rPr>
        <w:t>it is a changing picture, when we say go you go or you’ve missed it</w:t>
      </w:r>
      <w:r w:rsidR="001D1809" w:rsidRPr="000F0A89">
        <w:rPr>
          <w:i/>
          <w:iCs/>
        </w:rPr>
        <w:t xml:space="preserve">’ </w:t>
      </w:r>
      <w:r w:rsidR="001D1809" w:rsidRPr="000F0A89">
        <w:t>(</w:t>
      </w:r>
      <w:r w:rsidR="009C0F40" w:rsidRPr="000F0A89">
        <w:t>IP8</w:t>
      </w:r>
      <w:r w:rsidR="001D1809" w:rsidRPr="000F0A89">
        <w:t>) and any</w:t>
      </w:r>
      <w:r w:rsidR="00A171F4" w:rsidRPr="000F0A89">
        <w:t xml:space="preserve"> </w:t>
      </w:r>
      <w:r w:rsidR="001D1809" w:rsidRPr="000F0A89">
        <w:t>delay from the implementation team may mean the window of readiness close</w:t>
      </w:r>
      <w:r w:rsidR="00AD2865" w:rsidRPr="000F0A89">
        <w:t>s</w:t>
      </w:r>
      <w:r w:rsidR="001D1809" w:rsidRPr="000F0A89">
        <w:t>. Whilst</w:t>
      </w:r>
      <w:r w:rsidR="00833894" w:rsidRPr="000F0A89">
        <w:t xml:space="preserve"> the experience here was that </w:t>
      </w:r>
      <w:r w:rsidR="001D1809" w:rsidRPr="000F0A89">
        <w:t xml:space="preserve">the window was never closed </w:t>
      </w:r>
      <w:r w:rsidR="0086413F" w:rsidRPr="000F0A89">
        <w:t xml:space="preserve">completely, </w:t>
      </w:r>
      <w:r w:rsidR="001D1809" w:rsidRPr="000F0A89">
        <w:t>some delays</w:t>
      </w:r>
      <w:r w:rsidR="00A171F4" w:rsidRPr="000F0A89">
        <w:t xml:space="preserve"> on the implementation team</w:t>
      </w:r>
      <w:r w:rsidR="001D1809" w:rsidRPr="000F0A89">
        <w:t xml:space="preserve"> </w:t>
      </w:r>
      <w:r w:rsidR="00D20DC9" w:rsidRPr="000F0A89">
        <w:t>due to</w:t>
      </w:r>
      <w:r w:rsidR="001D1809" w:rsidRPr="000F0A89">
        <w:t xml:space="preserve"> the research side of</w:t>
      </w:r>
      <w:r w:rsidR="00D20DC9" w:rsidRPr="000F0A89">
        <w:t xml:space="preserve"> the project </w:t>
      </w:r>
      <w:r w:rsidR="001D1809" w:rsidRPr="000F0A89">
        <w:t>regarding ethical administration (vs intervention</w:t>
      </w:r>
      <w:r w:rsidR="0010419E" w:rsidRPr="000F0A89">
        <w:t xml:space="preserve"> readiness</w:t>
      </w:r>
      <w:r w:rsidR="001D1809" w:rsidRPr="000F0A89">
        <w:t xml:space="preserve">) did </w:t>
      </w:r>
      <w:r w:rsidR="00A171F4" w:rsidRPr="000F0A89">
        <w:t xml:space="preserve">mean </w:t>
      </w:r>
      <w:r w:rsidR="00E00AFF" w:rsidRPr="000F0A89">
        <w:t xml:space="preserve">moments of readiness for some </w:t>
      </w:r>
      <w:r w:rsidR="0097315A" w:rsidRPr="000F0A89">
        <w:t>partners</w:t>
      </w:r>
      <w:r w:rsidR="00A171F4" w:rsidRPr="000F0A89">
        <w:t xml:space="preserve"> were missed.</w:t>
      </w:r>
      <w:r w:rsidR="001D1809" w:rsidRPr="000F0A89">
        <w:t xml:space="preserve"> </w:t>
      </w:r>
      <w:r w:rsidR="00D743AB" w:rsidRPr="000F0A89">
        <w:t xml:space="preserve">As in the </w:t>
      </w:r>
      <w:r w:rsidR="005B01F7" w:rsidRPr="000F0A89">
        <w:t>example</w:t>
      </w:r>
      <w:r w:rsidR="00D743AB" w:rsidRPr="000F0A89">
        <w:t xml:space="preserve"> where changes to the ethical approval process stalled </w:t>
      </w:r>
      <w:r w:rsidR="00A171F4" w:rsidRPr="000F0A89">
        <w:t>implementation</w:t>
      </w:r>
      <w:r w:rsidR="007D44BB" w:rsidRPr="000F0A89">
        <w:t>,</w:t>
      </w:r>
      <w:r w:rsidR="00A171F4" w:rsidRPr="000F0A89">
        <w:t xml:space="preserve"> and </w:t>
      </w:r>
      <w:r w:rsidR="00B43E6C" w:rsidRPr="000F0A89">
        <w:t xml:space="preserve">where </w:t>
      </w:r>
      <w:r w:rsidR="00A171F4" w:rsidRPr="000F0A89">
        <w:t>facilitators had been trained</w:t>
      </w:r>
      <w:r w:rsidR="000B28FF" w:rsidRPr="000F0A89">
        <w:t xml:space="preserve"> the delay </w:t>
      </w:r>
      <w:r w:rsidR="00D743AB" w:rsidRPr="000F0A89">
        <w:t xml:space="preserve">meant that the facilitators required refresher training. </w:t>
      </w:r>
    </w:p>
    <w:p w14:paraId="2E8A02DF" w14:textId="77777777" w:rsidR="00D743AB" w:rsidRPr="000F0A89" w:rsidRDefault="00D743AB" w:rsidP="004275C9">
      <w:pPr>
        <w:spacing w:line="276" w:lineRule="auto"/>
        <w:ind w:left="1134" w:right="1088"/>
        <w:jc w:val="both"/>
        <w:rPr>
          <w:i/>
          <w:iCs/>
        </w:rPr>
      </w:pPr>
    </w:p>
    <w:p w14:paraId="7113FA0A" w14:textId="571C0915" w:rsidR="00D743AB" w:rsidRPr="000F0A89" w:rsidRDefault="00D743AB" w:rsidP="004275C9">
      <w:pPr>
        <w:spacing w:line="276" w:lineRule="auto"/>
        <w:ind w:left="1134" w:right="1088"/>
        <w:jc w:val="both"/>
        <w:rPr>
          <w:i/>
          <w:iCs/>
        </w:rPr>
      </w:pPr>
      <w:r w:rsidRPr="000F0A89">
        <w:rPr>
          <w:i/>
          <w:iCs/>
        </w:rPr>
        <w:t>To be honest things are really busy leading up to Christmas so a refresher training for the team would have to happen in the new year</w:t>
      </w:r>
    </w:p>
    <w:p w14:paraId="56F11659" w14:textId="1F10EC78" w:rsidR="00D743AB" w:rsidRPr="000F0A89" w:rsidRDefault="00CA1601" w:rsidP="004275C9">
      <w:pPr>
        <w:spacing w:line="276" w:lineRule="auto"/>
        <w:ind w:left="1134" w:right="1088"/>
        <w:jc w:val="right"/>
        <w:rPr>
          <w:i/>
          <w:iCs/>
        </w:rPr>
      </w:pPr>
      <w:r w:rsidRPr="000F0A89">
        <w:rPr>
          <w:i/>
          <w:iCs/>
        </w:rPr>
        <w:t>(</w:t>
      </w:r>
      <w:r w:rsidR="00F25DA4" w:rsidRPr="000F0A89">
        <w:rPr>
          <w:i/>
          <w:iCs/>
        </w:rPr>
        <w:t>OP</w:t>
      </w:r>
      <w:r w:rsidR="00E86B4B" w:rsidRPr="000F0A89">
        <w:rPr>
          <w:i/>
          <w:iCs/>
        </w:rPr>
        <w:t>9</w:t>
      </w:r>
      <w:r w:rsidRPr="000F0A89">
        <w:rPr>
          <w:i/>
          <w:iCs/>
        </w:rPr>
        <w:t>)</w:t>
      </w:r>
    </w:p>
    <w:p w14:paraId="6278E343" w14:textId="3245E9B1" w:rsidR="004E1369" w:rsidRPr="000F0A89" w:rsidRDefault="004E1369" w:rsidP="004275C9">
      <w:pPr>
        <w:spacing w:line="276" w:lineRule="auto"/>
        <w:jc w:val="both"/>
      </w:pPr>
    </w:p>
    <w:p w14:paraId="418E4989" w14:textId="246B2F5E" w:rsidR="00D743AB" w:rsidRPr="000F0A89" w:rsidRDefault="00425262" w:rsidP="004275C9">
      <w:pPr>
        <w:spacing w:line="276" w:lineRule="auto"/>
        <w:jc w:val="both"/>
      </w:pPr>
      <w:r w:rsidRPr="000F0A89">
        <w:t>This illuminates the different challenges posed by the intervention and by the research trial</w:t>
      </w:r>
      <w:r w:rsidR="00A5547E" w:rsidRPr="000F0A89">
        <w:t>;</w:t>
      </w:r>
      <w:r w:rsidRPr="000F0A89">
        <w:t xml:space="preserve"> in this example</w:t>
      </w:r>
      <w:r w:rsidR="00A117B7" w:rsidRPr="000F0A89">
        <w:t xml:space="preserve"> case</w:t>
      </w:r>
      <w:r w:rsidRPr="000F0A89">
        <w:t xml:space="preserve"> it was often the latter posing the challenges. However, it serves as a caution to readers that when working </w:t>
      </w:r>
      <w:r w:rsidR="00A117B7" w:rsidRPr="000F0A89">
        <w:t xml:space="preserve">in </w:t>
      </w:r>
      <w:r w:rsidR="0097315A" w:rsidRPr="000F0A89">
        <w:t>open systems</w:t>
      </w:r>
      <w:r w:rsidRPr="000F0A89">
        <w:t xml:space="preserve">, but especially </w:t>
      </w:r>
      <w:r w:rsidR="008F2292" w:rsidRPr="000F0A89">
        <w:t>in FPOs</w:t>
      </w:r>
      <w:r w:rsidRPr="000F0A89">
        <w:t xml:space="preserve">, </w:t>
      </w:r>
      <w:r w:rsidR="00B6741C" w:rsidRPr="000F0A89">
        <w:t>readiness is paramount on both the intervention and the research side. The optimal pre-implementation context has several contributing factors, and the window of implementation readiness may</w:t>
      </w:r>
      <w:r w:rsidR="00974837" w:rsidRPr="000F0A89">
        <w:t xml:space="preserve"> </w:t>
      </w:r>
      <w:r w:rsidR="00B6741C" w:rsidRPr="000F0A89">
        <w:t xml:space="preserve">be fleeting. </w:t>
      </w:r>
    </w:p>
    <w:p w14:paraId="66E7B919" w14:textId="77777777" w:rsidR="00D743AB" w:rsidRPr="000F0A89" w:rsidRDefault="00D743AB" w:rsidP="00524ADF">
      <w:pPr>
        <w:jc w:val="both"/>
      </w:pPr>
    </w:p>
    <w:p w14:paraId="74D8ECF6" w14:textId="58D3552C" w:rsidR="00580AB7" w:rsidRPr="000F0A89" w:rsidRDefault="000E07CB" w:rsidP="00580AB7">
      <w:pPr>
        <w:pStyle w:val="Heading2"/>
      </w:pPr>
      <w:r w:rsidRPr="000F0A89">
        <w:t xml:space="preserve">Aspirational </w:t>
      </w:r>
      <w:r w:rsidR="00A117B7" w:rsidRPr="000F0A89">
        <w:t>CVSE</w:t>
      </w:r>
      <w:r w:rsidRPr="000F0A89">
        <w:t xml:space="preserve"> </w:t>
      </w:r>
      <w:r w:rsidR="00580AB7" w:rsidRPr="000F0A89">
        <w:t xml:space="preserve"> </w:t>
      </w:r>
    </w:p>
    <w:p w14:paraId="419550D9" w14:textId="4BBE71A8" w:rsidR="00B906BA" w:rsidRPr="000F0A89" w:rsidRDefault="00B906BA" w:rsidP="00B906BA"/>
    <w:p w14:paraId="04663BD3" w14:textId="7A9B0996" w:rsidR="00EB0F1C" w:rsidRPr="000F0A89" w:rsidRDefault="00A117B7" w:rsidP="004275C9">
      <w:pPr>
        <w:spacing w:line="276" w:lineRule="auto"/>
        <w:jc w:val="both"/>
      </w:pPr>
      <w:r w:rsidRPr="000F0A89">
        <w:t>Aspirational CVSEs are an amalgamation of</w:t>
      </w:r>
      <w:r w:rsidR="00BB0E6D" w:rsidRPr="000F0A89">
        <w:t xml:space="preserve"> the compliant </w:t>
      </w:r>
      <w:r w:rsidR="00C90570" w:rsidRPr="000F0A89">
        <w:t>and</w:t>
      </w:r>
      <w:r w:rsidR="00BB0E6D" w:rsidRPr="000F0A89">
        <w:t xml:space="preserve"> cautious contract</w:t>
      </w:r>
      <w:r w:rsidR="00A171F4" w:rsidRPr="000F0A89">
        <w:t>or</w:t>
      </w:r>
      <w:r w:rsidR="00C90570" w:rsidRPr="000F0A89">
        <w:t xml:space="preserve">s </w:t>
      </w:r>
      <w:r w:rsidR="00C90570" w:rsidRPr="000F0A89">
        <w:fldChar w:fldCharType="begin" w:fldLock="1"/>
      </w:r>
      <w:r w:rsidR="007E3818" w:rsidRPr="000F0A89">
        <w:instrText>ADDIN CSL_CITATION {"citationItems":[{"id":"ITEM-1","itemData":{"DOI":"10.1017/S0047279412000086","ISSN":"00472794","abstract":"The impacts of government contracting on third sector organisations (TSOs) have attracted much discussion; however, the diversity of the organisations that comprise the third sector means that these impacts in fact vary considerably between TSOs. In order to better understand this complexity and to analyse and articulate TSOs’ experiences more effectively, it is useful to think about different response types. Based on empirical evidence from a study of homelessness TSOs in two South East England local authorities, this paper presents a typology of organisational responses to contracting. The four types identified are: Comfortable Contractors, Compliant Contractors, Cautious Contractors, and Community-Based Non-Contractors. The varied experiences of these different types of organisation with regard to contracting are described in the paper and point to the need for greater precision and differentiation within academic debates, and in the formulation of social policy relating to the third sector.","author":[{"dropping-particle":"","family":"Buckingham","given":"Heather","non-dropping-particle":"","parse-names":false,"suffix":""}],"container-title":"Journal of Social Policy","id":"ITEM-1","issue":"3","issued":{"date-parts":[["2012"]]},"page":"569-589","title":"Capturing diversity: A typology of third sector organisations' responses to contracting based on empirical evidence from homelessness services","type":"article-journal","volume":"41"},"uris":["http://www.mendeley.com/documents/?uuid=63b78931-4b69-4887-a42a-beda34cc6ce5"]}],"mendeley":{"formattedCitation":"(28)","plainTextFormattedCitation":"(28)","previouslyFormattedCitation":"(27)"},"properties":{"noteIndex":0},"schema":"https://github.com/citation-style-language/schema/raw/master/csl-citation.json"}</w:instrText>
      </w:r>
      <w:r w:rsidR="00C90570" w:rsidRPr="000F0A89">
        <w:fldChar w:fldCharType="separate"/>
      </w:r>
      <w:r w:rsidR="007E3818" w:rsidRPr="000F0A89">
        <w:rPr>
          <w:noProof/>
        </w:rPr>
        <w:t>(28)</w:t>
      </w:r>
      <w:r w:rsidR="00C90570" w:rsidRPr="000F0A89">
        <w:fldChar w:fldCharType="end"/>
      </w:r>
      <w:r w:rsidR="00BB0E6D" w:rsidRPr="000F0A89">
        <w:t xml:space="preserve">. </w:t>
      </w:r>
      <w:r w:rsidR="00A171F4" w:rsidRPr="000F0A89">
        <w:t xml:space="preserve">It refers to those </w:t>
      </w:r>
      <w:r w:rsidRPr="000F0A89">
        <w:t>CVSEs</w:t>
      </w:r>
      <w:r w:rsidR="00BB0E6D" w:rsidRPr="000F0A89">
        <w:t xml:space="preserve"> </w:t>
      </w:r>
      <w:r w:rsidR="00A171F4" w:rsidRPr="000F0A89">
        <w:t xml:space="preserve">who </w:t>
      </w:r>
      <w:r w:rsidR="00BB0E6D" w:rsidRPr="000F0A89">
        <w:t xml:space="preserve">mainly operate at a regional </w:t>
      </w:r>
      <w:r w:rsidR="002B299A" w:rsidRPr="000F0A89">
        <w:t>to local level</w:t>
      </w:r>
      <w:r w:rsidR="00A5547E" w:rsidRPr="000F0A89">
        <w:t>,</w:t>
      </w:r>
      <w:r w:rsidR="002B299A" w:rsidRPr="000F0A89">
        <w:t xml:space="preserve"> and for whom voluntary income and volunteer involvement </w:t>
      </w:r>
      <w:r w:rsidR="00A171F4" w:rsidRPr="000F0A89">
        <w:t xml:space="preserve">are important </w:t>
      </w:r>
      <w:r w:rsidR="002B299A" w:rsidRPr="000F0A89">
        <w:t>contribut</w:t>
      </w:r>
      <w:r w:rsidR="00A171F4" w:rsidRPr="000F0A89">
        <w:t>or</w:t>
      </w:r>
      <w:r w:rsidR="002B299A" w:rsidRPr="000F0A89">
        <w:t xml:space="preserve">s. Aspirational </w:t>
      </w:r>
      <w:r w:rsidR="004510D6" w:rsidRPr="000F0A89">
        <w:t>CVSEs</w:t>
      </w:r>
      <w:r w:rsidR="002B299A" w:rsidRPr="000F0A89">
        <w:t xml:space="preserve"> ten</w:t>
      </w:r>
      <w:r w:rsidR="00A171F4" w:rsidRPr="000F0A89">
        <w:t>d</w:t>
      </w:r>
      <w:r w:rsidR="002B299A" w:rsidRPr="000F0A89">
        <w:t xml:space="preserve"> to </w:t>
      </w:r>
      <w:r w:rsidR="00A171F4" w:rsidRPr="000F0A89">
        <w:t xml:space="preserve">try to stay as close to their </w:t>
      </w:r>
      <w:r w:rsidR="002B299A" w:rsidRPr="000F0A89">
        <w:t xml:space="preserve">values and </w:t>
      </w:r>
      <w:r w:rsidR="00E87F29" w:rsidRPr="000F0A89">
        <w:t>ethos and</w:t>
      </w:r>
      <w:r w:rsidR="0061691F" w:rsidRPr="000F0A89">
        <w:t xml:space="preserve"> have a small</w:t>
      </w:r>
      <w:r w:rsidR="00A5547E" w:rsidRPr="000F0A89">
        <w:t xml:space="preserve"> structured</w:t>
      </w:r>
      <w:r w:rsidR="0061691F" w:rsidRPr="000F0A89">
        <w:t xml:space="preserve"> workforce. </w:t>
      </w:r>
    </w:p>
    <w:p w14:paraId="68826EAE" w14:textId="5EE5518E" w:rsidR="005A4B87" w:rsidRPr="000F0A89" w:rsidRDefault="004510D6" w:rsidP="007A37D8">
      <w:pPr>
        <w:spacing w:line="276" w:lineRule="auto"/>
        <w:ind w:firstLine="720"/>
        <w:jc w:val="both"/>
      </w:pPr>
      <w:r w:rsidRPr="000F0A89">
        <w:t xml:space="preserve">Of all </w:t>
      </w:r>
      <w:r w:rsidR="005D1C03" w:rsidRPr="000F0A89">
        <w:t>part</w:t>
      </w:r>
      <w:r w:rsidR="00083225" w:rsidRPr="000F0A89">
        <w:t>n</w:t>
      </w:r>
      <w:r w:rsidR="005D1C03" w:rsidRPr="000F0A89">
        <w:t>ers</w:t>
      </w:r>
      <w:r w:rsidR="00A5547E" w:rsidRPr="000F0A89">
        <w:t>,</w:t>
      </w:r>
      <w:r w:rsidR="009B2E0C" w:rsidRPr="000F0A89">
        <w:t xml:space="preserve"> </w:t>
      </w:r>
      <w:r w:rsidRPr="000F0A89">
        <w:t xml:space="preserve">these partners </w:t>
      </w:r>
      <w:r w:rsidR="00EB0F1C" w:rsidRPr="000F0A89">
        <w:t xml:space="preserve">balance being influenced by </w:t>
      </w:r>
      <w:r w:rsidR="00EE26BC" w:rsidRPr="000F0A89">
        <w:t>‘</w:t>
      </w:r>
      <w:r w:rsidR="00EB0F1C" w:rsidRPr="000F0A89">
        <w:t>external policies</w:t>
      </w:r>
      <w:r w:rsidR="00EE26BC" w:rsidRPr="000F0A89">
        <w:t>’</w:t>
      </w:r>
      <w:r w:rsidR="00EB0F1C" w:rsidRPr="000F0A89">
        <w:t xml:space="preserve">, particularly the local political agenda, and being authentic to the values on which they were founded. </w:t>
      </w:r>
      <w:r w:rsidRPr="000F0A89">
        <w:t xml:space="preserve">Aspirational </w:t>
      </w:r>
      <w:r w:rsidR="007A37D8" w:rsidRPr="000F0A89">
        <w:t>CVSE</w:t>
      </w:r>
      <w:r w:rsidRPr="000F0A89">
        <w:t xml:space="preserve">s </w:t>
      </w:r>
      <w:r w:rsidR="00EB0F1C" w:rsidRPr="000F0A89">
        <w:t xml:space="preserve">further along the professionalisation journey </w:t>
      </w:r>
      <w:r w:rsidR="009B2E0C" w:rsidRPr="000F0A89">
        <w:t>were</w:t>
      </w:r>
      <w:r w:rsidR="00EB0F1C" w:rsidRPr="000F0A89">
        <w:t xml:space="preserve"> more influenced by </w:t>
      </w:r>
      <w:r w:rsidR="00EE26BC" w:rsidRPr="000F0A89">
        <w:t>‘</w:t>
      </w:r>
      <w:r w:rsidR="00EB0F1C" w:rsidRPr="000F0A89">
        <w:t xml:space="preserve">external </w:t>
      </w:r>
      <w:r w:rsidR="00E87F29" w:rsidRPr="000F0A89">
        <w:t>policies’</w:t>
      </w:r>
      <w:r w:rsidR="007A37D8" w:rsidRPr="000F0A89">
        <w:t>, as ‘</w:t>
      </w:r>
      <w:r w:rsidR="007A37D8" w:rsidRPr="000F0A89">
        <w:rPr>
          <w:i/>
          <w:iCs/>
        </w:rPr>
        <w:t>t</w:t>
      </w:r>
      <w:r w:rsidR="00EB0F1C" w:rsidRPr="000F0A89">
        <w:rPr>
          <w:i/>
          <w:iCs/>
        </w:rPr>
        <w:t xml:space="preserve">he local policy arena dictates some procedures, but it is </w:t>
      </w:r>
      <w:r w:rsidR="00EB0F1C" w:rsidRPr="000F0A89">
        <w:rPr>
          <w:i/>
          <w:iCs/>
        </w:rPr>
        <w:lastRenderedPageBreak/>
        <w:t>not the only driver</w:t>
      </w:r>
      <w:r w:rsidR="007A37D8" w:rsidRPr="000F0A89">
        <w:rPr>
          <w:i/>
          <w:iCs/>
        </w:rPr>
        <w:t xml:space="preserve">’ </w:t>
      </w:r>
      <w:r w:rsidR="00CA1601" w:rsidRPr="000F0A89">
        <w:t>(</w:t>
      </w:r>
      <w:r w:rsidR="00A578B7" w:rsidRPr="000F0A89">
        <w:t>IP</w:t>
      </w:r>
      <w:r w:rsidR="00E86B4B" w:rsidRPr="000F0A89">
        <w:t>10</w:t>
      </w:r>
      <w:r w:rsidR="00CA1601" w:rsidRPr="000F0A89">
        <w:t>)</w:t>
      </w:r>
      <w:r w:rsidR="007A37D8" w:rsidRPr="000F0A89">
        <w:t xml:space="preserve">. </w:t>
      </w:r>
      <w:r w:rsidR="003C4D7C" w:rsidRPr="000F0A89">
        <w:t>Whilst for the le</w:t>
      </w:r>
      <w:r w:rsidR="007A37D8" w:rsidRPr="000F0A89">
        <w:t>ss</w:t>
      </w:r>
      <w:r w:rsidR="003C4D7C" w:rsidRPr="000F0A89">
        <w:t xml:space="preserve"> professionalised </w:t>
      </w:r>
      <w:r w:rsidR="009B2E0C" w:rsidRPr="000F0A89">
        <w:t>partners</w:t>
      </w:r>
      <w:r w:rsidR="003C4D7C" w:rsidRPr="000F0A89">
        <w:t xml:space="preserve"> staying close to founding values and ethos was more importan</w:t>
      </w:r>
      <w:r w:rsidR="00EE26BC" w:rsidRPr="000F0A89">
        <w:t>t</w:t>
      </w:r>
      <w:r w:rsidR="003C4D7C" w:rsidRPr="000F0A89">
        <w:t xml:space="preserve">. </w:t>
      </w:r>
    </w:p>
    <w:p w14:paraId="3D626AEB" w14:textId="03AC81FB" w:rsidR="003C4D7C" w:rsidRPr="000F0A89" w:rsidRDefault="003C4D7C" w:rsidP="004275C9">
      <w:pPr>
        <w:spacing w:line="276" w:lineRule="auto"/>
        <w:jc w:val="both"/>
      </w:pPr>
    </w:p>
    <w:p w14:paraId="0C032E0A" w14:textId="582B9E4E" w:rsidR="003C4D7C" w:rsidRPr="000F0A89" w:rsidRDefault="003C4D7C" w:rsidP="003C4D7C">
      <w:pPr>
        <w:spacing w:line="276" w:lineRule="auto"/>
        <w:ind w:left="1134" w:right="1088"/>
        <w:jc w:val="both"/>
        <w:rPr>
          <w:i/>
          <w:iCs/>
        </w:rPr>
      </w:pPr>
      <w:r w:rsidRPr="000F0A89">
        <w:rPr>
          <w:i/>
          <w:iCs/>
        </w:rPr>
        <w:t>There are some reservations I have about whether it</w:t>
      </w:r>
      <w:r w:rsidR="00061E8A" w:rsidRPr="000F0A89">
        <w:rPr>
          <w:i/>
          <w:iCs/>
        </w:rPr>
        <w:t xml:space="preserve"> [G</w:t>
      </w:r>
      <w:r w:rsidR="00CE44FB" w:rsidRPr="000F0A89">
        <w:rPr>
          <w:i/>
          <w:iCs/>
        </w:rPr>
        <w:t>enie</w:t>
      </w:r>
      <w:r w:rsidR="00061E8A" w:rsidRPr="000F0A89">
        <w:rPr>
          <w:i/>
          <w:iCs/>
        </w:rPr>
        <w:t>]</w:t>
      </w:r>
      <w:r w:rsidR="00275276" w:rsidRPr="000F0A89">
        <w:rPr>
          <w:i/>
          <w:iCs/>
        </w:rPr>
        <w:t>..</w:t>
      </w:r>
      <w:r w:rsidRPr="000F0A89">
        <w:rPr>
          <w:i/>
          <w:iCs/>
        </w:rPr>
        <w:t>.</w:t>
      </w:r>
      <w:r w:rsidR="00275276" w:rsidRPr="000F0A89">
        <w:rPr>
          <w:i/>
          <w:iCs/>
        </w:rPr>
        <w:t>w</w:t>
      </w:r>
      <w:r w:rsidRPr="000F0A89">
        <w:rPr>
          <w:i/>
          <w:iCs/>
        </w:rPr>
        <w:t>e don’t want to become a clipboard organisation</w:t>
      </w:r>
    </w:p>
    <w:p w14:paraId="3B08C3B9" w14:textId="121C286E" w:rsidR="003C4D7C" w:rsidRPr="000F0A89" w:rsidRDefault="00CA1601" w:rsidP="003C4D7C">
      <w:pPr>
        <w:spacing w:line="276" w:lineRule="auto"/>
        <w:ind w:left="1134" w:right="1088"/>
        <w:jc w:val="right"/>
      </w:pPr>
      <w:r w:rsidRPr="000F0A89">
        <w:t>(</w:t>
      </w:r>
      <w:r w:rsidR="00296BE8" w:rsidRPr="000F0A89">
        <w:t>IP</w:t>
      </w:r>
      <w:r w:rsidR="009D110A" w:rsidRPr="000F0A89">
        <w:t>18</w:t>
      </w:r>
      <w:r w:rsidRPr="000F0A89">
        <w:t>)</w:t>
      </w:r>
    </w:p>
    <w:p w14:paraId="0B0FBA00" w14:textId="683EC4A8" w:rsidR="003C4D7C" w:rsidRPr="000F0A89" w:rsidRDefault="003C4D7C" w:rsidP="004275C9">
      <w:pPr>
        <w:spacing w:line="276" w:lineRule="auto"/>
        <w:jc w:val="both"/>
      </w:pPr>
    </w:p>
    <w:p w14:paraId="4B0B4429" w14:textId="2DC3DF99" w:rsidR="003C4D7C" w:rsidRPr="000F0A89" w:rsidRDefault="00275276" w:rsidP="004275C9">
      <w:pPr>
        <w:spacing w:line="276" w:lineRule="auto"/>
        <w:jc w:val="both"/>
      </w:pPr>
      <w:r w:rsidRPr="000F0A89">
        <w:t xml:space="preserve">For </w:t>
      </w:r>
      <w:r w:rsidR="00DB27A7" w:rsidRPr="000F0A89">
        <w:t>Aspirational</w:t>
      </w:r>
      <w:r w:rsidRPr="000F0A89">
        <w:t xml:space="preserve"> </w:t>
      </w:r>
      <w:r w:rsidR="00A20EB5" w:rsidRPr="000F0A89">
        <w:t>CVSEs</w:t>
      </w:r>
      <w:r w:rsidRPr="000F0A89">
        <w:t xml:space="preserve"> if the intervention align</w:t>
      </w:r>
      <w:r w:rsidR="00A20EB5" w:rsidRPr="000F0A89">
        <w:t>ed</w:t>
      </w:r>
      <w:r w:rsidRPr="000F0A89">
        <w:t xml:space="preserve"> with their main influence, </w:t>
      </w:r>
      <w:r w:rsidR="007A37D8" w:rsidRPr="000F0A89">
        <w:t>either</w:t>
      </w:r>
      <w:r w:rsidRPr="000F0A89">
        <w:t xml:space="preserve"> </w:t>
      </w:r>
      <w:r w:rsidR="007A37D8" w:rsidRPr="000F0A89">
        <w:t>‘</w:t>
      </w:r>
      <w:r w:rsidRPr="000F0A89">
        <w:t>external policies</w:t>
      </w:r>
      <w:r w:rsidR="007A37D8" w:rsidRPr="000F0A89">
        <w:t>’</w:t>
      </w:r>
      <w:r w:rsidRPr="000F0A89">
        <w:t xml:space="preserve"> or</w:t>
      </w:r>
      <w:r w:rsidR="00E11593" w:rsidRPr="000F0A89">
        <w:t xml:space="preserve"> founding</w:t>
      </w:r>
      <w:r w:rsidRPr="000F0A89">
        <w:t xml:space="preserve"> values, or the tension between the two </w:t>
      </w:r>
      <w:r w:rsidR="00A90240" w:rsidRPr="000F0A89">
        <w:t>had been</w:t>
      </w:r>
      <w:r w:rsidRPr="000F0A89">
        <w:t xml:space="preserve"> reconciled</w:t>
      </w:r>
      <w:r w:rsidR="00E11593" w:rsidRPr="000F0A89">
        <w:t>,</w:t>
      </w:r>
      <w:r w:rsidRPr="000F0A89">
        <w:t xml:space="preserve"> </w:t>
      </w:r>
      <w:r w:rsidR="00EE26BC" w:rsidRPr="000F0A89">
        <w:t>‘</w:t>
      </w:r>
      <w:r w:rsidRPr="000F0A89">
        <w:t>leadership engagement</w:t>
      </w:r>
      <w:r w:rsidR="00EE26BC" w:rsidRPr="000F0A89">
        <w:t>’</w:t>
      </w:r>
      <w:r w:rsidR="00A90240" w:rsidRPr="000F0A89">
        <w:t xml:space="preserve"> was</w:t>
      </w:r>
      <w:r w:rsidRPr="000F0A89">
        <w:t xml:space="preserve"> secured. Like </w:t>
      </w:r>
      <w:r w:rsidR="008F2292" w:rsidRPr="000F0A89">
        <w:t>FPOs</w:t>
      </w:r>
      <w:r w:rsidRPr="000F0A89">
        <w:t xml:space="preserve"> this </w:t>
      </w:r>
      <w:r w:rsidR="005E4328" w:rsidRPr="000F0A89">
        <w:t xml:space="preserve">was </w:t>
      </w:r>
      <w:r w:rsidR="00052828" w:rsidRPr="000F0A89">
        <w:t xml:space="preserve">an important contributor towards </w:t>
      </w:r>
      <w:r w:rsidR="00501FC4" w:rsidRPr="000F0A89">
        <w:t xml:space="preserve">creating </w:t>
      </w:r>
      <w:r w:rsidR="00052828" w:rsidRPr="000F0A89">
        <w:t xml:space="preserve">the optimal pre-implementation context. </w:t>
      </w:r>
      <w:r w:rsidR="00E11593" w:rsidRPr="000F0A89">
        <w:t>Furthermore</w:t>
      </w:r>
      <w:r w:rsidR="004A1F35" w:rsidRPr="000F0A89">
        <w:t>,</w:t>
      </w:r>
      <w:r w:rsidR="00F56A31" w:rsidRPr="000F0A89">
        <w:t xml:space="preserve"> </w:t>
      </w:r>
      <w:r w:rsidR="009E25F6" w:rsidRPr="000F0A89">
        <w:t>‘</w:t>
      </w:r>
      <w:r w:rsidR="00F56A31" w:rsidRPr="000F0A89">
        <w:t>leadership engagement</w:t>
      </w:r>
      <w:r w:rsidR="009E25F6" w:rsidRPr="000F0A89">
        <w:t>’</w:t>
      </w:r>
      <w:r w:rsidR="00F56A31" w:rsidRPr="000F0A89">
        <w:t xml:space="preserve"> was </w:t>
      </w:r>
      <w:r w:rsidR="004A1F35" w:rsidRPr="000F0A89">
        <w:t xml:space="preserve">also </w:t>
      </w:r>
      <w:r w:rsidR="00F56A31" w:rsidRPr="000F0A89">
        <w:t>influenced by the</w:t>
      </w:r>
      <w:r w:rsidR="001F6FBB" w:rsidRPr="000F0A89">
        <w:t xml:space="preserve"> </w:t>
      </w:r>
      <w:r w:rsidR="007A37D8" w:rsidRPr="000F0A89">
        <w:t>‘</w:t>
      </w:r>
      <w:r w:rsidR="001F6FBB" w:rsidRPr="000F0A89">
        <w:t>relative advantage</w:t>
      </w:r>
      <w:r w:rsidR="007A37D8" w:rsidRPr="000F0A89">
        <w:t>’</w:t>
      </w:r>
      <w:r w:rsidR="001F6FBB" w:rsidRPr="000F0A89">
        <w:t xml:space="preserve"> of the intervention and the</w:t>
      </w:r>
      <w:r w:rsidR="00F56A31" w:rsidRPr="000F0A89">
        <w:t xml:space="preserve"> </w:t>
      </w:r>
      <w:r w:rsidR="002B1DF7" w:rsidRPr="000F0A89">
        <w:t xml:space="preserve">benefit to be gained. </w:t>
      </w:r>
      <w:r w:rsidR="007A37D8" w:rsidRPr="000F0A89">
        <w:t>H</w:t>
      </w:r>
      <w:r w:rsidR="001F6FBB" w:rsidRPr="000F0A89">
        <w:t xml:space="preserve">ere it was the potential of receiving </w:t>
      </w:r>
      <w:r w:rsidR="00F56A31" w:rsidRPr="000F0A89">
        <w:t xml:space="preserve">an evaluation of their services; especially so where </w:t>
      </w:r>
      <w:r w:rsidR="00477431" w:rsidRPr="000F0A89">
        <w:t xml:space="preserve">alignment </w:t>
      </w:r>
      <w:r w:rsidR="002B1DF7" w:rsidRPr="000F0A89">
        <w:t>exists,</w:t>
      </w:r>
      <w:r w:rsidR="00477431" w:rsidRPr="000F0A89">
        <w:t xml:space="preserve"> and </w:t>
      </w:r>
      <w:r w:rsidR="00F56A31" w:rsidRPr="000F0A89">
        <w:t xml:space="preserve">the intervention was considered to </w:t>
      </w:r>
      <w:r w:rsidR="00477431" w:rsidRPr="000F0A89">
        <w:t>be ‘</w:t>
      </w:r>
      <w:r w:rsidR="00477431" w:rsidRPr="000F0A89">
        <w:rPr>
          <w:i/>
          <w:iCs/>
        </w:rPr>
        <w:t xml:space="preserve">a formalised version of what we do with people who use our service’ </w:t>
      </w:r>
      <w:r w:rsidR="00477431" w:rsidRPr="000F0A89">
        <w:t>(</w:t>
      </w:r>
      <w:r w:rsidR="00366A2C" w:rsidRPr="000F0A89">
        <w:t>OP</w:t>
      </w:r>
      <w:r w:rsidR="009D110A" w:rsidRPr="000F0A89">
        <w:t>16</w:t>
      </w:r>
      <w:r w:rsidR="00477431" w:rsidRPr="000F0A89">
        <w:t>)</w:t>
      </w:r>
      <w:r w:rsidR="00EE26BC" w:rsidRPr="000F0A89">
        <w:t xml:space="preserve">. </w:t>
      </w:r>
      <w:r w:rsidR="00F56A31" w:rsidRPr="000F0A89">
        <w:t xml:space="preserve"> </w:t>
      </w:r>
    </w:p>
    <w:p w14:paraId="3AA9F0FA" w14:textId="248E7D97" w:rsidR="00F56A31" w:rsidRPr="000F0A89" w:rsidRDefault="00F56A31" w:rsidP="004275C9">
      <w:pPr>
        <w:spacing w:line="276" w:lineRule="auto"/>
        <w:jc w:val="both"/>
      </w:pPr>
    </w:p>
    <w:p w14:paraId="0974CA5F" w14:textId="2CD6370A" w:rsidR="00F56A31" w:rsidRPr="000F0A89" w:rsidRDefault="00F56A31" w:rsidP="00477431">
      <w:pPr>
        <w:spacing w:line="276" w:lineRule="auto"/>
        <w:ind w:left="1134" w:right="1088"/>
        <w:jc w:val="both"/>
        <w:rPr>
          <w:i/>
          <w:iCs/>
        </w:rPr>
      </w:pPr>
      <w:r w:rsidRPr="000F0A89">
        <w:rPr>
          <w:i/>
          <w:iCs/>
        </w:rPr>
        <w:t xml:space="preserve">I want to be </w:t>
      </w:r>
      <w:r w:rsidR="00477431" w:rsidRPr="000F0A89">
        <w:rPr>
          <w:i/>
          <w:iCs/>
        </w:rPr>
        <w:t xml:space="preserve">able to measure the impact of the work, the service, I want evidence about what we do. </w:t>
      </w:r>
    </w:p>
    <w:p w14:paraId="310A354E" w14:textId="74918A85" w:rsidR="00477431" w:rsidRPr="000F0A89" w:rsidRDefault="00493BE1" w:rsidP="00477431">
      <w:pPr>
        <w:spacing w:line="276" w:lineRule="auto"/>
        <w:ind w:left="1134" w:right="1088"/>
        <w:jc w:val="right"/>
      </w:pPr>
      <w:r w:rsidRPr="000F0A89">
        <w:t>(</w:t>
      </w:r>
      <w:r w:rsidR="00134830" w:rsidRPr="000F0A89">
        <w:t>OP</w:t>
      </w:r>
      <w:r w:rsidR="009D110A" w:rsidRPr="000F0A89">
        <w:t>16</w:t>
      </w:r>
      <w:r w:rsidRPr="000F0A89">
        <w:t>)</w:t>
      </w:r>
      <w:r w:rsidR="00477431" w:rsidRPr="000F0A89">
        <w:t xml:space="preserve"> </w:t>
      </w:r>
    </w:p>
    <w:p w14:paraId="1BCD5109" w14:textId="3689A263" w:rsidR="00275276" w:rsidRPr="000F0A89" w:rsidRDefault="00275276" w:rsidP="004275C9">
      <w:pPr>
        <w:spacing w:line="276" w:lineRule="auto"/>
        <w:jc w:val="both"/>
      </w:pPr>
    </w:p>
    <w:p w14:paraId="59276F0E" w14:textId="4CD39CB5" w:rsidR="002B1DF7" w:rsidRPr="000F0A89" w:rsidRDefault="001F6FBB" w:rsidP="004275C9">
      <w:pPr>
        <w:spacing w:line="276" w:lineRule="auto"/>
        <w:jc w:val="both"/>
      </w:pPr>
      <w:r w:rsidRPr="000F0A89">
        <w:t xml:space="preserve">A second </w:t>
      </w:r>
      <w:r w:rsidR="004A14FC" w:rsidRPr="000F0A89">
        <w:t>‘</w:t>
      </w:r>
      <w:r w:rsidRPr="000F0A89">
        <w:t>relative advantage</w:t>
      </w:r>
      <w:r w:rsidR="004A14FC" w:rsidRPr="000F0A89">
        <w:t>’</w:t>
      </w:r>
      <w:r w:rsidRPr="000F0A89">
        <w:t xml:space="preserve"> was the </w:t>
      </w:r>
      <w:r w:rsidR="002B1DF7" w:rsidRPr="000F0A89">
        <w:t>potential participatio</w:t>
      </w:r>
      <w:r w:rsidR="00A16634" w:rsidRPr="000F0A89">
        <w:t>n</w:t>
      </w:r>
      <w:r w:rsidR="002B1DF7" w:rsidRPr="000F0A89">
        <w:t xml:space="preserve"> had in ‘</w:t>
      </w:r>
      <w:r w:rsidR="002B1DF7" w:rsidRPr="000F0A89">
        <w:rPr>
          <w:i/>
          <w:iCs/>
        </w:rPr>
        <w:t>upskilling the team</w:t>
      </w:r>
      <w:r w:rsidR="002B1DF7" w:rsidRPr="000F0A89">
        <w:t>’ (</w:t>
      </w:r>
      <w:r w:rsidR="007B1661" w:rsidRPr="000F0A89">
        <w:t>IP</w:t>
      </w:r>
      <w:r w:rsidR="009D110A" w:rsidRPr="000F0A89">
        <w:t>10</w:t>
      </w:r>
      <w:r w:rsidR="002B1DF7" w:rsidRPr="000F0A89">
        <w:t>). Th</w:t>
      </w:r>
      <w:r w:rsidRPr="000F0A89">
        <w:t xml:space="preserve">is </w:t>
      </w:r>
      <w:r w:rsidR="002B1DF7" w:rsidRPr="000F0A89">
        <w:t xml:space="preserve">was of particular interest to the more professionalised </w:t>
      </w:r>
      <w:r w:rsidR="000221C1" w:rsidRPr="000F0A89">
        <w:t>partners</w:t>
      </w:r>
      <w:r w:rsidR="002B1DF7" w:rsidRPr="000F0A89">
        <w:t xml:space="preserve">, whereas the potential to offer evidence </w:t>
      </w:r>
      <w:r w:rsidR="006049A6" w:rsidRPr="000F0A89">
        <w:t>was</w:t>
      </w:r>
      <w:r w:rsidR="000221C1" w:rsidRPr="000F0A89">
        <w:t xml:space="preserve"> more</w:t>
      </w:r>
      <w:r w:rsidR="006049A6" w:rsidRPr="000F0A89">
        <w:t xml:space="preserve"> of interest to the less professionalised </w:t>
      </w:r>
      <w:r w:rsidR="004A14FC" w:rsidRPr="000F0A89">
        <w:t>A</w:t>
      </w:r>
      <w:r w:rsidR="006049A6" w:rsidRPr="000F0A89">
        <w:t xml:space="preserve">spirational </w:t>
      </w:r>
      <w:r w:rsidR="008F2292" w:rsidRPr="000F0A89">
        <w:t xml:space="preserve">CVSE </w:t>
      </w:r>
      <w:r w:rsidR="000221C1" w:rsidRPr="000F0A89">
        <w:t>partners</w:t>
      </w:r>
      <w:r w:rsidR="006049A6" w:rsidRPr="000F0A89">
        <w:t>.</w:t>
      </w:r>
      <w:r w:rsidR="000221C1" w:rsidRPr="000F0A89">
        <w:t xml:space="preserve"> These </w:t>
      </w:r>
      <w:r w:rsidR="004A14FC" w:rsidRPr="000F0A89">
        <w:t>‘</w:t>
      </w:r>
      <w:r w:rsidR="000221C1" w:rsidRPr="000F0A89">
        <w:t>relative advantages</w:t>
      </w:r>
      <w:r w:rsidR="004A14FC" w:rsidRPr="000F0A89">
        <w:t>’</w:t>
      </w:r>
      <w:r w:rsidR="000221C1" w:rsidRPr="000F0A89">
        <w:t xml:space="preserve"> were significant </w:t>
      </w:r>
      <w:r w:rsidR="004A14FC" w:rsidRPr="000F0A89">
        <w:t>p</w:t>
      </w:r>
      <w:r w:rsidR="000221C1" w:rsidRPr="000F0A89">
        <w:t>ull</w:t>
      </w:r>
      <w:r w:rsidR="000F069C" w:rsidRPr="000F0A89">
        <w:t>s</w:t>
      </w:r>
      <w:r w:rsidR="000221C1" w:rsidRPr="000F0A89">
        <w:t xml:space="preserve"> because of </w:t>
      </w:r>
      <w:r w:rsidR="00D903D1" w:rsidRPr="000F0A89">
        <w:t>precarious tenure</w:t>
      </w:r>
      <w:r w:rsidR="000221C1" w:rsidRPr="000F0A89">
        <w:t xml:space="preserve"> </w:t>
      </w:r>
      <w:r w:rsidR="000F069C" w:rsidRPr="000F0A89">
        <w:t>of</w:t>
      </w:r>
      <w:r w:rsidR="000221C1" w:rsidRPr="000F0A89">
        <w:t xml:space="preserve"> partners</w:t>
      </w:r>
      <w:r w:rsidR="00BF5DE2" w:rsidRPr="000F0A89">
        <w:t>. Thus</w:t>
      </w:r>
      <w:r w:rsidR="00686A9B" w:rsidRPr="000F0A89">
        <w:t>,</w:t>
      </w:r>
      <w:r w:rsidR="00BF5DE2" w:rsidRPr="000F0A89">
        <w:t xml:space="preserve"> </w:t>
      </w:r>
      <w:r w:rsidR="004A14FC" w:rsidRPr="000F0A89">
        <w:t>‘</w:t>
      </w:r>
      <w:r w:rsidR="00BF5DE2" w:rsidRPr="000F0A89">
        <w:t>leadership engagement</w:t>
      </w:r>
      <w:r w:rsidR="004A14FC" w:rsidRPr="000F0A89">
        <w:t>’</w:t>
      </w:r>
      <w:r w:rsidR="00BF5DE2" w:rsidRPr="000F0A89">
        <w:t xml:space="preserve"> </w:t>
      </w:r>
      <w:r w:rsidR="000221C1" w:rsidRPr="000F0A89">
        <w:t xml:space="preserve">was </w:t>
      </w:r>
      <w:r w:rsidR="00BF5DE2" w:rsidRPr="000F0A89">
        <w:t xml:space="preserve">influenced by the potential evidence the research </w:t>
      </w:r>
      <w:r w:rsidR="00061E8A" w:rsidRPr="000F0A89">
        <w:t>component</w:t>
      </w:r>
      <w:r w:rsidR="00BF5DE2" w:rsidRPr="000F0A89">
        <w:t xml:space="preserve"> </w:t>
      </w:r>
      <w:r w:rsidR="000221C1" w:rsidRPr="000F0A89">
        <w:t>could</w:t>
      </w:r>
      <w:r w:rsidR="00BF5DE2" w:rsidRPr="000F0A89">
        <w:t xml:space="preserve"> provide, enabling </w:t>
      </w:r>
      <w:r w:rsidR="00BE6D98" w:rsidRPr="000F0A89">
        <w:t>A</w:t>
      </w:r>
      <w:r w:rsidR="00BF5DE2" w:rsidRPr="000F0A89">
        <w:t xml:space="preserve">spirational </w:t>
      </w:r>
      <w:r w:rsidR="008F2292" w:rsidRPr="000F0A89">
        <w:t xml:space="preserve">CVSE </w:t>
      </w:r>
      <w:r w:rsidRPr="000F0A89">
        <w:t>partners</w:t>
      </w:r>
      <w:r w:rsidR="00BF5DE2" w:rsidRPr="000F0A89">
        <w:t xml:space="preserve"> to </w:t>
      </w:r>
      <w:r w:rsidR="00686A9B" w:rsidRPr="000F0A89">
        <w:t>utilise</w:t>
      </w:r>
      <w:r w:rsidR="00BF5DE2" w:rsidRPr="000F0A89">
        <w:t xml:space="preserve"> this to support future funding applications. </w:t>
      </w:r>
      <w:r w:rsidR="00D903D1" w:rsidRPr="000F0A89">
        <w:t xml:space="preserve"> </w:t>
      </w:r>
    </w:p>
    <w:p w14:paraId="1683BC11" w14:textId="1C092747" w:rsidR="0015517F" w:rsidRPr="000F0A89" w:rsidRDefault="00686A9B" w:rsidP="00A36447">
      <w:pPr>
        <w:spacing w:line="276" w:lineRule="auto"/>
        <w:ind w:firstLine="720"/>
        <w:jc w:val="both"/>
      </w:pPr>
      <w:r w:rsidRPr="000F0A89">
        <w:t>T</w:t>
      </w:r>
      <w:r w:rsidR="000221C1" w:rsidRPr="000F0A89">
        <w:t>he more precarious a partner</w:t>
      </w:r>
      <w:r w:rsidR="007A37D8" w:rsidRPr="000F0A89">
        <w:t>’s</w:t>
      </w:r>
      <w:r w:rsidR="000221C1" w:rsidRPr="000F0A89">
        <w:t xml:space="preserve"> tenure the more this influenced </w:t>
      </w:r>
      <w:r w:rsidR="007A37D8" w:rsidRPr="000F0A89">
        <w:t>‘</w:t>
      </w:r>
      <w:r w:rsidR="000221C1" w:rsidRPr="000F0A89">
        <w:t>leadership engagement</w:t>
      </w:r>
      <w:r w:rsidR="007A37D8" w:rsidRPr="000F0A89">
        <w:t>’</w:t>
      </w:r>
      <w:r w:rsidR="000221C1" w:rsidRPr="000F0A89">
        <w:t xml:space="preserve">. This was because leaders considered the scarcity of </w:t>
      </w:r>
      <w:r w:rsidR="00B57362" w:rsidRPr="000F0A89">
        <w:t>‘</w:t>
      </w:r>
      <w:r w:rsidR="000221C1" w:rsidRPr="000F0A89">
        <w:t>resource availability</w:t>
      </w:r>
      <w:r w:rsidR="00B57362" w:rsidRPr="000F0A89">
        <w:t>’</w:t>
      </w:r>
      <w:r w:rsidR="000221C1" w:rsidRPr="000F0A89">
        <w:t xml:space="preserve">. </w:t>
      </w:r>
      <w:r w:rsidRPr="000F0A89">
        <w:t xml:space="preserve">Perceived </w:t>
      </w:r>
      <w:r w:rsidR="00B57362" w:rsidRPr="000F0A89">
        <w:t>‘</w:t>
      </w:r>
      <w:r w:rsidRPr="000F0A89">
        <w:t>resource availability</w:t>
      </w:r>
      <w:r w:rsidR="00B57362" w:rsidRPr="000F0A89">
        <w:t>’</w:t>
      </w:r>
      <w:r w:rsidR="00F2462A" w:rsidRPr="000F0A89">
        <w:t xml:space="preserve"> was </w:t>
      </w:r>
      <w:r w:rsidR="001D0A94" w:rsidRPr="000F0A89">
        <w:t xml:space="preserve">in some ways </w:t>
      </w:r>
      <w:r w:rsidR="00F2462A" w:rsidRPr="000F0A89">
        <w:t xml:space="preserve">the most significant contributor of the pre-implementation context. </w:t>
      </w:r>
      <w:r w:rsidR="00BC7742" w:rsidRPr="000F0A89">
        <w:t>Part of the pre-</w:t>
      </w:r>
      <w:r w:rsidR="00AB75C7" w:rsidRPr="000F0A89">
        <w:t>implementation</w:t>
      </w:r>
      <w:r w:rsidR="00BC7742" w:rsidRPr="000F0A89">
        <w:t xml:space="preserve"> work when</w:t>
      </w:r>
      <w:r w:rsidR="00A16634" w:rsidRPr="000F0A89">
        <w:t xml:space="preserve"> seeking to implement an intervention</w:t>
      </w:r>
      <w:r w:rsidR="00BC7742" w:rsidRPr="000F0A89">
        <w:t xml:space="preserve"> in </w:t>
      </w:r>
      <w:r w:rsidR="00DB27A7" w:rsidRPr="000F0A89">
        <w:t>A</w:t>
      </w:r>
      <w:r w:rsidR="00BC7742" w:rsidRPr="000F0A89">
        <w:t xml:space="preserve">spirational </w:t>
      </w:r>
      <w:r w:rsidR="000221C1" w:rsidRPr="000F0A89">
        <w:t>CVSEs</w:t>
      </w:r>
      <w:r w:rsidR="00BC7742" w:rsidRPr="000F0A89">
        <w:t xml:space="preserve"> </w:t>
      </w:r>
      <w:r w:rsidR="00AB75C7" w:rsidRPr="000F0A89">
        <w:t>concern</w:t>
      </w:r>
      <w:r w:rsidR="000221C1" w:rsidRPr="000F0A89">
        <w:t>ed</w:t>
      </w:r>
      <w:r w:rsidR="00AB75C7" w:rsidRPr="000F0A89">
        <w:t xml:space="preserve"> troubleshooting </w:t>
      </w:r>
      <w:r w:rsidR="00105FA1" w:rsidRPr="000F0A89">
        <w:t>human, financial and physical resource</w:t>
      </w:r>
      <w:r w:rsidR="00A16634" w:rsidRPr="000F0A89">
        <w:t xml:space="preserve"> </w:t>
      </w:r>
      <w:r w:rsidR="00AB75C7" w:rsidRPr="000F0A89">
        <w:t>availability</w:t>
      </w:r>
      <w:r w:rsidR="00105FA1" w:rsidRPr="000F0A89">
        <w:t xml:space="preserve">, especially for the least professionalised </w:t>
      </w:r>
      <w:r w:rsidR="000221C1" w:rsidRPr="000F0A89">
        <w:t>partners</w:t>
      </w:r>
      <w:r w:rsidR="00AB75C7" w:rsidRPr="000F0A89">
        <w:t xml:space="preserve">. As in the </w:t>
      </w:r>
      <w:r w:rsidR="001C36E6" w:rsidRPr="000F0A89">
        <w:t>example</w:t>
      </w:r>
      <w:r w:rsidR="00AB75C7" w:rsidRPr="000F0A89">
        <w:t xml:space="preserve"> of </w:t>
      </w:r>
      <w:r w:rsidR="00B57362" w:rsidRPr="000F0A89">
        <w:t>P</w:t>
      </w:r>
      <w:r w:rsidR="000221C1" w:rsidRPr="000F0A89">
        <w:t>artner</w:t>
      </w:r>
      <w:r w:rsidR="009D110A" w:rsidRPr="000F0A89">
        <w:t xml:space="preserve"> 18</w:t>
      </w:r>
      <w:r w:rsidR="00AB75C7" w:rsidRPr="000F0A89">
        <w:t xml:space="preserve"> who outlined</w:t>
      </w:r>
      <w:r w:rsidR="004275C9" w:rsidRPr="000F0A89">
        <w:t xml:space="preserve"> </w:t>
      </w:r>
      <w:r w:rsidR="00A16634" w:rsidRPr="000F0A89">
        <w:t>‘</w:t>
      </w:r>
      <w:r w:rsidR="004275C9" w:rsidRPr="000F0A89">
        <w:t>a</w:t>
      </w:r>
      <w:r w:rsidR="00AB75C7" w:rsidRPr="000F0A89">
        <w:rPr>
          <w:i/>
          <w:iCs/>
        </w:rPr>
        <w:t>t the moment we’re very short-staffed</w:t>
      </w:r>
      <w:r w:rsidR="00AB75C7" w:rsidRPr="000F0A89">
        <w:t xml:space="preserve">, </w:t>
      </w:r>
      <w:r w:rsidR="00AB75C7" w:rsidRPr="000F0A89">
        <w:rPr>
          <w:i/>
          <w:iCs/>
        </w:rPr>
        <w:t>I don’t think we have the capacity in our paid staff to do it [G</w:t>
      </w:r>
      <w:r w:rsidR="00CE44FB" w:rsidRPr="000F0A89">
        <w:rPr>
          <w:i/>
          <w:iCs/>
        </w:rPr>
        <w:t>enie</w:t>
      </w:r>
      <w:r w:rsidR="00AB75C7" w:rsidRPr="000F0A89">
        <w:rPr>
          <w:i/>
          <w:iCs/>
        </w:rPr>
        <w:t>] through them</w:t>
      </w:r>
      <w:r w:rsidR="004275C9" w:rsidRPr="000F0A89">
        <w:rPr>
          <w:i/>
          <w:iCs/>
        </w:rPr>
        <w:t>’</w:t>
      </w:r>
      <w:r w:rsidR="001C36E6" w:rsidRPr="000F0A89">
        <w:rPr>
          <w:i/>
          <w:iCs/>
        </w:rPr>
        <w:t xml:space="preserve"> (IP18)</w:t>
      </w:r>
      <w:r w:rsidR="004275C9" w:rsidRPr="000F0A89">
        <w:rPr>
          <w:i/>
          <w:iCs/>
        </w:rPr>
        <w:t xml:space="preserve">. </w:t>
      </w:r>
      <w:r w:rsidR="007A37D8" w:rsidRPr="000F0A89">
        <w:t xml:space="preserve">This </w:t>
      </w:r>
      <w:r w:rsidR="00EE6AB9" w:rsidRPr="000F0A89">
        <w:t>limited human resource availability meant there was less flexibility</w:t>
      </w:r>
      <w:r w:rsidR="000221C1" w:rsidRPr="000F0A89">
        <w:t>,</w:t>
      </w:r>
      <w:r w:rsidR="00EE6AB9" w:rsidRPr="000F0A89">
        <w:t xml:space="preserve"> specifically</w:t>
      </w:r>
      <w:r w:rsidR="007A37D8" w:rsidRPr="000F0A89">
        <w:t xml:space="preserve"> because </w:t>
      </w:r>
      <w:r w:rsidR="00EE6AB9" w:rsidRPr="000F0A89">
        <w:t>the same workforce was required to do several jobs</w:t>
      </w:r>
      <w:r w:rsidR="00D9018A" w:rsidRPr="000F0A89">
        <w:t xml:space="preserve">. This </w:t>
      </w:r>
      <w:r w:rsidR="00EE6AB9" w:rsidRPr="000F0A89">
        <w:t xml:space="preserve">posed challenges for the </w:t>
      </w:r>
      <w:r w:rsidR="00B57362" w:rsidRPr="000F0A89">
        <w:t>research element</w:t>
      </w:r>
      <w:r w:rsidR="007A37D8" w:rsidRPr="000F0A89">
        <w:t xml:space="preserve"> </w:t>
      </w:r>
      <w:r w:rsidR="00EE6AB9" w:rsidRPr="000F0A89">
        <w:t xml:space="preserve">of the </w:t>
      </w:r>
      <w:r w:rsidR="00D9018A" w:rsidRPr="000F0A89">
        <w:t>partnership and r</w:t>
      </w:r>
      <w:r w:rsidR="00EE6AB9" w:rsidRPr="000F0A89">
        <w:t xml:space="preserve">equired </w:t>
      </w:r>
      <w:r w:rsidR="00D9018A" w:rsidRPr="000F0A89">
        <w:t xml:space="preserve">pliability. In response </w:t>
      </w:r>
      <w:r w:rsidR="00A36447" w:rsidRPr="000F0A89">
        <w:t>the implementation team worked flexibly within the stated protocol to maintain methodological rigour but also accommodate the human resource limitation. T</w:t>
      </w:r>
      <w:r w:rsidR="00EE6AB9" w:rsidRPr="000F0A89">
        <w:t xml:space="preserve">his </w:t>
      </w:r>
      <w:r w:rsidR="00D9018A" w:rsidRPr="000F0A89">
        <w:t xml:space="preserve">pliability </w:t>
      </w:r>
      <w:r w:rsidR="00EE6AB9" w:rsidRPr="000F0A89">
        <w:t xml:space="preserve">was required in order to </w:t>
      </w:r>
      <w:r w:rsidR="0015517F" w:rsidRPr="000F0A89">
        <w:t xml:space="preserve">accommodate the context, </w:t>
      </w:r>
      <w:r w:rsidR="001E7068" w:rsidRPr="000F0A89">
        <w:t>promote alignment</w:t>
      </w:r>
      <w:r w:rsidR="0015517F" w:rsidRPr="000F0A89">
        <w:t xml:space="preserve"> but ensure methodological rigour</w:t>
      </w:r>
      <w:r w:rsidR="00EE6AB9" w:rsidRPr="000F0A89">
        <w:t xml:space="preserve">. </w:t>
      </w:r>
    </w:p>
    <w:p w14:paraId="17004B83" w14:textId="56D29B9C" w:rsidR="004275C9" w:rsidRPr="000F0A89" w:rsidRDefault="00D9018A" w:rsidP="0015517F">
      <w:pPr>
        <w:spacing w:line="276" w:lineRule="auto"/>
        <w:ind w:firstLine="720"/>
        <w:jc w:val="both"/>
      </w:pPr>
      <w:r w:rsidRPr="000F0A89">
        <w:lastRenderedPageBreak/>
        <w:t>Aspirational</w:t>
      </w:r>
      <w:r w:rsidR="00D83A36" w:rsidRPr="000F0A89">
        <w:t xml:space="preserve"> </w:t>
      </w:r>
      <w:r w:rsidRPr="000F0A89">
        <w:t>CVSEs were more insecure than the</w:t>
      </w:r>
      <w:r w:rsidR="004275C9" w:rsidRPr="000F0A89">
        <w:t xml:space="preserve"> </w:t>
      </w:r>
      <w:r w:rsidR="008F2292" w:rsidRPr="000F0A89">
        <w:t>FPOs</w:t>
      </w:r>
      <w:r w:rsidRPr="000F0A89">
        <w:t>.</w:t>
      </w:r>
      <w:r w:rsidR="00B27D48" w:rsidRPr="000F0A89">
        <w:t xml:space="preserve"> T</w:t>
      </w:r>
      <w:r w:rsidRPr="000F0A89">
        <w:t>hese partners also</w:t>
      </w:r>
      <w:r w:rsidR="004275C9" w:rsidRPr="000F0A89">
        <w:t xml:space="preserve"> experience</w:t>
      </w:r>
      <w:r w:rsidR="00493BE1" w:rsidRPr="000F0A89">
        <w:t>d</w:t>
      </w:r>
      <w:r w:rsidR="004275C9" w:rsidRPr="000F0A89">
        <w:t xml:space="preserve"> high demand for their services with shrinking budgets</w:t>
      </w:r>
      <w:r w:rsidR="00061E8A" w:rsidRPr="000F0A89">
        <w:t xml:space="preserve">, </w:t>
      </w:r>
      <w:r w:rsidR="004275C9" w:rsidRPr="000F0A89">
        <w:t xml:space="preserve">thus capacity </w:t>
      </w:r>
      <w:r w:rsidRPr="000F0A89">
        <w:t>was</w:t>
      </w:r>
      <w:r w:rsidR="004275C9" w:rsidRPr="000F0A89">
        <w:t xml:space="preserve"> stretched and the flexibility </w:t>
      </w:r>
      <w:r w:rsidRPr="000F0A89">
        <w:t>within these settings was limited compared to the</w:t>
      </w:r>
      <w:r w:rsidR="004275C9" w:rsidRPr="000F0A89">
        <w:t xml:space="preserve"> </w:t>
      </w:r>
      <w:r w:rsidR="00B27D48" w:rsidRPr="000F0A89">
        <w:t>FPOs</w:t>
      </w:r>
      <w:r w:rsidR="004275C9" w:rsidRPr="000F0A89">
        <w:t xml:space="preserve"> </w:t>
      </w:r>
      <w:r w:rsidRPr="000F0A89">
        <w:t>settings</w:t>
      </w:r>
      <w:r w:rsidR="004275C9" w:rsidRPr="000F0A89">
        <w:t xml:space="preserve">. </w:t>
      </w:r>
      <w:r w:rsidR="00275F38" w:rsidRPr="000F0A89">
        <w:t>Take for example the pivotal role</w:t>
      </w:r>
      <w:r w:rsidR="00B27D48" w:rsidRPr="000F0A89">
        <w:t xml:space="preserve"> of</w:t>
      </w:r>
      <w:r w:rsidR="00275F38" w:rsidRPr="000F0A89">
        <w:t xml:space="preserve"> volunteers. Where the intervention is an additional task for</w:t>
      </w:r>
      <w:r w:rsidRPr="000F0A89">
        <w:t xml:space="preserve"> </w:t>
      </w:r>
      <w:r w:rsidR="003B0003" w:rsidRPr="000F0A89">
        <w:t>a</w:t>
      </w:r>
      <w:r w:rsidRPr="000F0A89">
        <w:t xml:space="preserve"> setting </w:t>
      </w:r>
      <w:r w:rsidR="00275F38" w:rsidRPr="000F0A89">
        <w:t>already at capacity the role of volunteers may</w:t>
      </w:r>
      <w:r w:rsidR="00974837" w:rsidRPr="000F0A89">
        <w:t xml:space="preserve"> </w:t>
      </w:r>
      <w:r w:rsidR="00275F38" w:rsidRPr="000F0A89">
        <w:t>be essential to the implementation</w:t>
      </w:r>
      <w:r w:rsidR="00EA4063" w:rsidRPr="000F0A89">
        <w:t xml:space="preserve">, as </w:t>
      </w:r>
      <w:r w:rsidR="00275F38" w:rsidRPr="000F0A89">
        <w:t xml:space="preserve">in the case of </w:t>
      </w:r>
      <w:r w:rsidR="003B0003" w:rsidRPr="000F0A89">
        <w:t>P</w:t>
      </w:r>
      <w:r w:rsidRPr="000F0A89">
        <w:t>artner</w:t>
      </w:r>
      <w:r w:rsidR="003B0003" w:rsidRPr="000F0A89">
        <w:t>s</w:t>
      </w:r>
      <w:r w:rsidR="009D110A" w:rsidRPr="000F0A89">
        <w:t xml:space="preserve"> 14 and 18</w:t>
      </w:r>
      <w:r w:rsidR="00275F38" w:rsidRPr="000F0A89">
        <w:t>.</w:t>
      </w:r>
      <w:r w:rsidR="005A4B87" w:rsidRPr="000F0A89">
        <w:t xml:space="preserve"> </w:t>
      </w:r>
      <w:r w:rsidR="00275F38" w:rsidRPr="000F0A89">
        <w:t>The additional difficulty of implementing an intervention that requires the use of technology place</w:t>
      </w:r>
      <w:r w:rsidR="006F524F" w:rsidRPr="000F0A89">
        <w:t>d</w:t>
      </w:r>
      <w:r w:rsidR="00275F38" w:rsidRPr="000F0A89">
        <w:t xml:space="preserve"> further strain on resou</w:t>
      </w:r>
      <w:r w:rsidR="00605275" w:rsidRPr="000F0A89">
        <w:t>rces</w:t>
      </w:r>
      <w:r w:rsidR="001D0A94" w:rsidRPr="000F0A89">
        <w:t>,</w:t>
      </w:r>
      <w:r w:rsidR="006F524F" w:rsidRPr="000F0A89">
        <w:t xml:space="preserve"> and</w:t>
      </w:r>
      <w:r w:rsidR="00081CA6" w:rsidRPr="000F0A89">
        <w:t xml:space="preserve"> on budgets</w:t>
      </w:r>
      <w:r w:rsidR="006F524F" w:rsidRPr="000F0A89">
        <w:t xml:space="preserve"> where</w:t>
      </w:r>
      <w:r w:rsidR="00081CA6" w:rsidRPr="000F0A89">
        <w:t xml:space="preserve"> there was no </w:t>
      </w:r>
      <w:r w:rsidR="001D0A94" w:rsidRPr="000F0A89">
        <w:t xml:space="preserve">flexibility to accommodate this. </w:t>
      </w:r>
      <w:r w:rsidR="00081CA6" w:rsidRPr="000F0A89">
        <w:t>Pliability was</w:t>
      </w:r>
      <w:r w:rsidR="001D0A94" w:rsidRPr="000F0A89">
        <w:t xml:space="preserve"> required to support the maximising of available resources</w:t>
      </w:r>
      <w:r w:rsidR="00B57362" w:rsidRPr="000F0A89">
        <w:t xml:space="preserve">. For example, finding volunteers as in the case of Partner 18, or supplying physical </w:t>
      </w:r>
      <w:r w:rsidR="00F50F9E" w:rsidRPr="000F0A89">
        <w:t>resources</w:t>
      </w:r>
      <w:r w:rsidR="00B57362" w:rsidRPr="000F0A89">
        <w:t xml:space="preserve"> to support intervention (i.e. </w:t>
      </w:r>
      <w:r w:rsidR="006602F4" w:rsidRPr="000F0A89">
        <w:t>laptops</w:t>
      </w:r>
      <w:r w:rsidR="00B57362" w:rsidRPr="000F0A89">
        <w:t xml:space="preserve">). </w:t>
      </w:r>
      <w:r w:rsidR="00675C45" w:rsidRPr="000F0A89">
        <w:t xml:space="preserve">Where the necessary resources can be </w:t>
      </w:r>
      <w:r w:rsidR="001E64C0" w:rsidRPr="000F0A89">
        <w:t>mobilised,</w:t>
      </w:r>
      <w:r w:rsidR="00675C45" w:rsidRPr="000F0A89">
        <w:t xml:space="preserve"> this makes for an encouraging pre-implementation context. </w:t>
      </w:r>
    </w:p>
    <w:p w14:paraId="2E96E935" w14:textId="7304822F" w:rsidR="00675C45" w:rsidRPr="000F0A89" w:rsidRDefault="00675C45" w:rsidP="004275C9">
      <w:pPr>
        <w:spacing w:line="276" w:lineRule="auto"/>
        <w:jc w:val="both"/>
      </w:pPr>
      <w:r w:rsidRPr="000F0A89">
        <w:tab/>
      </w:r>
      <w:r w:rsidR="00906AB0" w:rsidRPr="000F0A89">
        <w:t xml:space="preserve">Overcoming the challenge of capacity that troubles many </w:t>
      </w:r>
      <w:r w:rsidR="0028320B" w:rsidRPr="000F0A89">
        <w:t>Aspirational</w:t>
      </w:r>
      <w:r w:rsidR="00906AB0" w:rsidRPr="000F0A89">
        <w:t xml:space="preserve"> </w:t>
      </w:r>
      <w:r w:rsidR="003B2352" w:rsidRPr="000F0A89">
        <w:t>CVSEs</w:t>
      </w:r>
      <w:r w:rsidR="00E24F6E" w:rsidRPr="000F0A89">
        <w:t xml:space="preserve"> is important for implementation. It is also important for similar public health interventions that require self-directed change</w:t>
      </w:r>
      <w:r w:rsidR="00F11B91" w:rsidRPr="000F0A89">
        <w:t xml:space="preserve"> especially </w:t>
      </w:r>
      <w:r w:rsidR="00E24F6E" w:rsidRPr="000F0A89">
        <w:t xml:space="preserve">because there </w:t>
      </w:r>
      <w:r w:rsidR="00A16634" w:rsidRPr="000F0A89">
        <w:t>appeared to be close</w:t>
      </w:r>
      <w:r w:rsidR="00E24F6E" w:rsidRPr="000F0A89">
        <w:t xml:space="preserve"> alignment between the </w:t>
      </w:r>
      <w:r w:rsidR="00624A81" w:rsidRPr="000F0A89">
        <w:t xml:space="preserve">‘patient </w:t>
      </w:r>
      <w:r w:rsidR="00E24F6E" w:rsidRPr="000F0A89">
        <w:t>needs</w:t>
      </w:r>
      <w:r w:rsidR="00624A81" w:rsidRPr="000F0A89">
        <w:t>’</w:t>
      </w:r>
      <w:r w:rsidR="00E24F6E" w:rsidRPr="000F0A89">
        <w:t xml:space="preserve"> and the intervention. </w:t>
      </w:r>
    </w:p>
    <w:p w14:paraId="0D8DB650" w14:textId="1097D21A" w:rsidR="00E24F6E" w:rsidRPr="000F0A89" w:rsidRDefault="00E24F6E" w:rsidP="004275C9">
      <w:pPr>
        <w:spacing w:line="276" w:lineRule="auto"/>
        <w:jc w:val="both"/>
      </w:pPr>
    </w:p>
    <w:p w14:paraId="2B63EE08" w14:textId="4958CD39" w:rsidR="00E24F6E" w:rsidRPr="000F0A89" w:rsidRDefault="00E24F6E" w:rsidP="00E24F6E">
      <w:pPr>
        <w:spacing w:line="276" w:lineRule="auto"/>
        <w:ind w:left="1134" w:right="1088"/>
        <w:jc w:val="both"/>
        <w:rPr>
          <w:i/>
          <w:iCs/>
        </w:rPr>
      </w:pPr>
      <w:r w:rsidRPr="000F0A89">
        <w:rPr>
          <w:i/>
          <w:iCs/>
        </w:rPr>
        <w:t>We’ll use the information and support group, because the clients would be more able to go to the group</w:t>
      </w:r>
    </w:p>
    <w:p w14:paraId="644DDA91" w14:textId="7BA975D4" w:rsidR="00E24F6E" w:rsidRPr="000F0A89" w:rsidRDefault="00493BE1" w:rsidP="00E24F6E">
      <w:pPr>
        <w:spacing w:line="276" w:lineRule="auto"/>
        <w:ind w:left="1134" w:right="1088"/>
        <w:jc w:val="right"/>
      </w:pPr>
      <w:r w:rsidRPr="000F0A89">
        <w:t>(</w:t>
      </w:r>
      <w:r w:rsidR="00B830A5" w:rsidRPr="000F0A89">
        <w:t>OP</w:t>
      </w:r>
      <w:r w:rsidR="009D110A" w:rsidRPr="000F0A89">
        <w:t>14</w:t>
      </w:r>
      <w:r w:rsidRPr="000F0A89">
        <w:t>)</w:t>
      </w:r>
    </w:p>
    <w:p w14:paraId="3696F502" w14:textId="67459476" w:rsidR="00EB0F1C" w:rsidRPr="000F0A89" w:rsidRDefault="00EB0F1C" w:rsidP="00B906BA"/>
    <w:p w14:paraId="735D67E7" w14:textId="7829B595" w:rsidR="00AB75C7" w:rsidRPr="000F0A89" w:rsidRDefault="00CF224F" w:rsidP="009A2A61">
      <w:pPr>
        <w:spacing w:line="276" w:lineRule="auto"/>
        <w:jc w:val="both"/>
      </w:pPr>
      <w:r w:rsidRPr="000F0A89">
        <w:t xml:space="preserve">Where </w:t>
      </w:r>
      <w:r w:rsidR="004B4894" w:rsidRPr="000F0A89">
        <w:t>FPOs</w:t>
      </w:r>
      <w:r w:rsidR="009117C9" w:rsidRPr="000F0A89">
        <w:t xml:space="preserve"> </w:t>
      </w:r>
      <w:r w:rsidRPr="000F0A89">
        <w:t xml:space="preserve">provided support to people referred into the service due to being in crisis, </w:t>
      </w:r>
      <w:r w:rsidR="008F2292" w:rsidRPr="000F0A89">
        <w:t>A</w:t>
      </w:r>
      <w:r w:rsidRPr="000F0A89">
        <w:t>spir</w:t>
      </w:r>
      <w:r w:rsidR="008F2292" w:rsidRPr="000F0A89">
        <w:t>ational CVSE</w:t>
      </w:r>
      <w:r w:rsidR="0021491E" w:rsidRPr="000F0A89">
        <w:t xml:space="preserve"> partners</w:t>
      </w:r>
      <w:r w:rsidRPr="000F0A89">
        <w:t xml:space="preserve"> served a wider breadth of people often ‘</w:t>
      </w:r>
      <w:r w:rsidRPr="000F0A89">
        <w:rPr>
          <w:i/>
          <w:iCs/>
        </w:rPr>
        <w:t>picking up the people who fall through the gaps</w:t>
      </w:r>
      <w:r w:rsidRPr="000F0A89">
        <w:t>’ (</w:t>
      </w:r>
      <w:r w:rsidR="00315A6D" w:rsidRPr="000F0A89">
        <w:t>I</w:t>
      </w:r>
      <w:r w:rsidR="0021491E" w:rsidRPr="000F0A89">
        <w:t>P</w:t>
      </w:r>
      <w:r w:rsidR="009D110A" w:rsidRPr="000F0A89">
        <w:t>18</w:t>
      </w:r>
      <w:r w:rsidRPr="000F0A89">
        <w:t xml:space="preserve">). </w:t>
      </w:r>
      <w:r w:rsidR="0028320B" w:rsidRPr="000F0A89">
        <w:t>These settings</w:t>
      </w:r>
      <w:r w:rsidRPr="000F0A89">
        <w:t xml:space="preserve"> provide needed support to people in the community, </w:t>
      </w:r>
      <w:r w:rsidR="00061E8A" w:rsidRPr="000F0A89">
        <w:t>and</w:t>
      </w:r>
      <w:r w:rsidRPr="000F0A89">
        <w:t xml:space="preserve"> often the people accessing the services were perceived</w:t>
      </w:r>
      <w:r w:rsidR="0021491E" w:rsidRPr="000F0A89">
        <w:t xml:space="preserve"> </w:t>
      </w:r>
      <w:r w:rsidRPr="000F0A89">
        <w:t>as being suitable for the intervention. Individuals were not</w:t>
      </w:r>
      <w:r w:rsidR="00A16634" w:rsidRPr="000F0A89">
        <w:t xml:space="preserve"> </w:t>
      </w:r>
      <w:r w:rsidR="004B4894" w:rsidRPr="000F0A89">
        <w:t>necessarily</w:t>
      </w:r>
      <w:r w:rsidRPr="000F0A89">
        <w:t xml:space="preserve"> in crisis and their needs tended to be less complex and multifaceted than those individuals accessing</w:t>
      </w:r>
      <w:r w:rsidR="004B4894" w:rsidRPr="000F0A89">
        <w:t xml:space="preserve"> FPOs</w:t>
      </w:r>
      <w:r w:rsidRPr="000F0A89">
        <w:t xml:space="preserve">. </w:t>
      </w:r>
      <w:r w:rsidR="000E6E1C" w:rsidRPr="000F0A89">
        <w:t>This contributed towards an optimal pre-implementation context for there was a potential pool of participants for the research trial</w:t>
      </w:r>
      <w:r w:rsidR="00061E8A" w:rsidRPr="000F0A89">
        <w:t xml:space="preserve">, </w:t>
      </w:r>
      <w:r w:rsidR="000E6E1C" w:rsidRPr="000F0A89">
        <w:t xml:space="preserve">but importantly the </w:t>
      </w:r>
      <w:r w:rsidR="008509EA" w:rsidRPr="000F0A89">
        <w:t xml:space="preserve">Aspirational </w:t>
      </w:r>
      <w:r w:rsidR="008F2292" w:rsidRPr="000F0A89">
        <w:t>CVSE</w:t>
      </w:r>
      <w:r w:rsidR="008509EA" w:rsidRPr="000F0A89">
        <w:t xml:space="preserve"> partners</w:t>
      </w:r>
      <w:r w:rsidR="000E6E1C" w:rsidRPr="000F0A89">
        <w:t xml:space="preserve"> had access to people who were </w:t>
      </w:r>
      <w:r w:rsidR="00061E8A" w:rsidRPr="000F0A89">
        <w:t>perceived to have potential to</w:t>
      </w:r>
      <w:r w:rsidR="000E6E1C" w:rsidRPr="000F0A89">
        <w:t xml:space="preserve"> benefit from the intervention. </w:t>
      </w:r>
    </w:p>
    <w:p w14:paraId="686AC613" w14:textId="5EFCF77A" w:rsidR="000E6E1C" w:rsidRPr="000F0A89" w:rsidRDefault="000E6E1C" w:rsidP="009A2A61">
      <w:pPr>
        <w:spacing w:line="276" w:lineRule="auto"/>
        <w:jc w:val="both"/>
      </w:pPr>
      <w:r w:rsidRPr="000F0A89">
        <w:tab/>
        <w:t xml:space="preserve">With the </w:t>
      </w:r>
      <w:r w:rsidR="008509EA" w:rsidRPr="000F0A89">
        <w:t>ability to access people with optima</w:t>
      </w:r>
      <w:r w:rsidR="00336E9E" w:rsidRPr="000F0A89">
        <w:t>l</w:t>
      </w:r>
      <w:r w:rsidR="008509EA" w:rsidRPr="000F0A89">
        <w:t xml:space="preserve"> </w:t>
      </w:r>
      <w:r w:rsidRPr="000F0A89">
        <w:t>needs</w:t>
      </w:r>
      <w:r w:rsidR="004B4894" w:rsidRPr="000F0A89">
        <w:t xml:space="preserve"> (to the intervention)</w:t>
      </w:r>
      <w:r w:rsidRPr="000F0A89">
        <w:t xml:space="preserve">, with </w:t>
      </w:r>
      <w:r w:rsidR="001A6998" w:rsidRPr="000F0A89">
        <w:t>‘</w:t>
      </w:r>
      <w:r w:rsidRPr="000F0A89">
        <w:t>leadership engagement</w:t>
      </w:r>
      <w:r w:rsidR="001A6998" w:rsidRPr="000F0A89">
        <w:t>’</w:t>
      </w:r>
      <w:r w:rsidRPr="000F0A89">
        <w:t xml:space="preserve"> and with the challenge of </w:t>
      </w:r>
      <w:r w:rsidR="001A6998" w:rsidRPr="000F0A89">
        <w:t>‘</w:t>
      </w:r>
      <w:r w:rsidRPr="000F0A89">
        <w:t>resource ava</w:t>
      </w:r>
      <w:r w:rsidR="007726DD" w:rsidRPr="000F0A89">
        <w:t>ila</w:t>
      </w:r>
      <w:r w:rsidRPr="000F0A89">
        <w:t>bility</w:t>
      </w:r>
      <w:r w:rsidR="001A6998" w:rsidRPr="000F0A89">
        <w:t>’</w:t>
      </w:r>
      <w:r w:rsidRPr="000F0A89">
        <w:t xml:space="preserve"> overcome</w:t>
      </w:r>
      <w:r w:rsidR="00493BE1" w:rsidRPr="000F0A89">
        <w:t>,</w:t>
      </w:r>
      <w:r w:rsidRPr="000F0A89">
        <w:t xml:space="preserve"> implementation readiness was achieved.</w:t>
      </w:r>
      <w:r w:rsidR="007726DD" w:rsidRPr="000F0A89">
        <w:t xml:space="preserve"> For </w:t>
      </w:r>
      <w:r w:rsidR="00336E9E" w:rsidRPr="000F0A89">
        <w:t>A</w:t>
      </w:r>
      <w:r w:rsidR="007726DD" w:rsidRPr="000F0A89">
        <w:t xml:space="preserve">spirational </w:t>
      </w:r>
      <w:r w:rsidR="00336E9E" w:rsidRPr="000F0A89">
        <w:t>CVSEs</w:t>
      </w:r>
      <w:r w:rsidR="007726DD" w:rsidRPr="000F0A89">
        <w:t xml:space="preserve"> the pace of achieving this readiness was slower than that of the </w:t>
      </w:r>
      <w:r w:rsidR="008F2292" w:rsidRPr="000F0A89">
        <w:t>FPOs</w:t>
      </w:r>
      <w:r w:rsidR="007726DD" w:rsidRPr="000F0A89">
        <w:t xml:space="preserve">, </w:t>
      </w:r>
      <w:r w:rsidR="008509EA" w:rsidRPr="000F0A89">
        <w:t>however</w:t>
      </w:r>
      <w:r w:rsidR="007726DD" w:rsidRPr="000F0A89">
        <w:t xml:space="preserve"> the potential for readiness stayed open for longer. </w:t>
      </w:r>
    </w:p>
    <w:p w14:paraId="537915C9" w14:textId="77777777" w:rsidR="00AB75C7" w:rsidRPr="000F0A89" w:rsidRDefault="00AB75C7" w:rsidP="00B906BA"/>
    <w:p w14:paraId="0172E573" w14:textId="02195B40" w:rsidR="00453AC1" w:rsidRPr="000F0A89" w:rsidRDefault="000E07CB" w:rsidP="00453AC1">
      <w:pPr>
        <w:pStyle w:val="Heading2"/>
      </w:pPr>
      <w:r w:rsidRPr="000F0A89">
        <w:t xml:space="preserve">Non-Professionalised Community-Based </w:t>
      </w:r>
      <w:r w:rsidR="00880B63" w:rsidRPr="000F0A89">
        <w:t>Groups</w:t>
      </w:r>
      <w:r w:rsidRPr="000F0A89">
        <w:t xml:space="preserve"> </w:t>
      </w:r>
    </w:p>
    <w:p w14:paraId="2E4E6C9E" w14:textId="2D41C1C7" w:rsidR="00453AC1" w:rsidRPr="000F0A89" w:rsidRDefault="00453AC1" w:rsidP="00453AC1"/>
    <w:p w14:paraId="4EB3B653" w14:textId="335A81F0" w:rsidR="00675C45" w:rsidRPr="000F0A89" w:rsidRDefault="000B4CBD" w:rsidP="007E13CD">
      <w:pPr>
        <w:spacing w:line="276" w:lineRule="auto"/>
        <w:jc w:val="both"/>
      </w:pPr>
      <w:r w:rsidRPr="000F0A89">
        <w:t>There</w:t>
      </w:r>
      <w:r w:rsidR="00610C9D" w:rsidRPr="000F0A89">
        <w:t xml:space="preserve"> were </w:t>
      </w:r>
      <w:r w:rsidR="00640FE9" w:rsidRPr="000F0A89">
        <w:t>two</w:t>
      </w:r>
      <w:r w:rsidR="00610C9D" w:rsidRPr="000F0A89">
        <w:t xml:space="preserve"> </w:t>
      </w:r>
      <w:r w:rsidR="00DB27A7" w:rsidRPr="000F0A89">
        <w:t>N</w:t>
      </w:r>
      <w:r w:rsidR="007E13CD" w:rsidRPr="000F0A89">
        <w:t>on-</w:t>
      </w:r>
      <w:r w:rsidR="00DB27A7" w:rsidRPr="000F0A89">
        <w:t>P</w:t>
      </w:r>
      <w:r w:rsidR="007E13CD" w:rsidRPr="000F0A89">
        <w:t xml:space="preserve">rofessionalised </w:t>
      </w:r>
      <w:r w:rsidR="00DB27A7" w:rsidRPr="000F0A89">
        <w:t>C</w:t>
      </w:r>
      <w:r w:rsidR="007E13CD" w:rsidRPr="000F0A89">
        <w:t>ommunity-</w:t>
      </w:r>
      <w:r w:rsidR="00DB27A7" w:rsidRPr="000F0A89">
        <w:t>B</w:t>
      </w:r>
      <w:r w:rsidR="007E13CD" w:rsidRPr="000F0A89">
        <w:t>ased</w:t>
      </w:r>
      <w:r w:rsidR="00610C9D" w:rsidRPr="000F0A89">
        <w:t xml:space="preserve"> (NPCB)</w:t>
      </w:r>
      <w:r w:rsidR="007E13CD" w:rsidRPr="000F0A89">
        <w:t xml:space="preserve"> </w:t>
      </w:r>
      <w:r w:rsidR="00D6195B" w:rsidRPr="000F0A89">
        <w:t>groups</w:t>
      </w:r>
      <w:r w:rsidR="006D27FA" w:rsidRPr="000F0A89">
        <w:t xml:space="preserve">, which are </w:t>
      </w:r>
      <w:r w:rsidR="007E13CD" w:rsidRPr="000F0A89">
        <w:t xml:space="preserve">those Buckingham </w:t>
      </w:r>
      <w:r w:rsidR="007B6EC9" w:rsidRPr="000F0A89">
        <w:fldChar w:fldCharType="begin" w:fldLock="1"/>
      </w:r>
      <w:r w:rsidR="007E3818" w:rsidRPr="000F0A89">
        <w:instrText>ADDIN CSL_CITATION {"citationItems":[{"id":"ITEM-1","itemData":{"DOI":"10.1017/S0047279412000086","ISSN":"00472794","abstract":"The impacts of government contracting on third sector organisations (TSOs) have attracted much discussion; however, the diversity of the organisations that comprise the third sector means that these impacts in fact vary considerably between TSOs. In order to better understand this complexity and to analyse and articulate TSOs’ experiences more effectively, it is useful to think about different response types. Based on empirical evidence from a study of homelessness TSOs in two South East England local authorities, this paper presents a typology of organisational responses to contracting. The four types identified are: Comfortable Contractors, Compliant Contractors, Cautious Contractors, and Community-Based Non-Contractors. The varied experiences of these different types of organisation with regard to contracting are described in the paper and point to the need for greater precision and differentiation within academic debates, and in the formulation of social policy relating to the third sector.","author":[{"dropping-particle":"","family":"Buckingham","given":"Heather","non-dropping-particle":"","parse-names":false,"suffix":""}],"container-title":"Journal of Social Policy","id":"ITEM-1","issue":"3","issued":{"date-parts":[["2012"]]},"page":"569-589","title":"Capturing diversity: A typology of third sector organisations' responses to contracting based on empirical evidence from homelessness services","type":"article-journal","volume":"41"},"uris":["http://www.mendeley.com/documents/?uuid=63b78931-4b69-4887-a42a-beda34cc6ce5"]}],"mendeley":{"formattedCitation":"(28)","plainTextFormattedCitation":"(28)","previouslyFormattedCitation":"(27)"},"properties":{"noteIndex":0},"schema":"https://github.com/citation-style-language/schema/raw/master/csl-citation.json"}</w:instrText>
      </w:r>
      <w:r w:rsidR="007B6EC9" w:rsidRPr="000F0A89">
        <w:fldChar w:fldCharType="separate"/>
      </w:r>
      <w:r w:rsidR="007E3818" w:rsidRPr="000F0A89">
        <w:rPr>
          <w:noProof/>
        </w:rPr>
        <w:t>(28)</w:t>
      </w:r>
      <w:r w:rsidR="007B6EC9" w:rsidRPr="000F0A89">
        <w:fldChar w:fldCharType="end"/>
      </w:r>
      <w:r w:rsidR="007E13CD" w:rsidRPr="000F0A89">
        <w:t xml:space="preserve"> describes as community-based non-contractors</w:t>
      </w:r>
      <w:r w:rsidR="00640FE9" w:rsidRPr="000F0A89">
        <w:t>, usually faith-based groups</w:t>
      </w:r>
      <w:r w:rsidR="00222CE9" w:rsidRPr="000F0A89">
        <w:t xml:space="preserve"> as these case studies are</w:t>
      </w:r>
      <w:r w:rsidR="00640FE9" w:rsidRPr="000F0A89">
        <w:t>.</w:t>
      </w:r>
      <w:r w:rsidR="007E13CD" w:rsidRPr="000F0A89">
        <w:t xml:space="preserve"> These </w:t>
      </w:r>
      <w:r w:rsidR="00D6195B" w:rsidRPr="000F0A89">
        <w:t>informal groups</w:t>
      </w:r>
      <w:r w:rsidR="007E13CD" w:rsidRPr="000F0A89">
        <w:t xml:space="preserve"> are embedded within the local community</w:t>
      </w:r>
      <w:r w:rsidR="00C7482D" w:rsidRPr="000F0A89">
        <w:t xml:space="preserve"> </w:t>
      </w:r>
      <w:r w:rsidR="00C7482D" w:rsidRPr="000F0A89">
        <w:lastRenderedPageBreak/>
        <w:t xml:space="preserve">in which they are based. They offer </w:t>
      </w:r>
      <w:r w:rsidR="00D6195B" w:rsidRPr="000F0A89">
        <w:t>activities</w:t>
      </w:r>
      <w:r w:rsidR="00C7482D" w:rsidRPr="000F0A89">
        <w:t xml:space="preserve"> which are no</w:t>
      </w:r>
      <w:r w:rsidR="00061E8A" w:rsidRPr="000F0A89">
        <w:t>t</w:t>
      </w:r>
      <w:r w:rsidR="00C7482D" w:rsidRPr="000F0A89">
        <w:t xml:space="preserve"> eligible for funding and rely heavily on voluntary donations and volunteers. These </w:t>
      </w:r>
      <w:r w:rsidR="00D6195B" w:rsidRPr="000F0A89">
        <w:t>groups</w:t>
      </w:r>
      <w:r w:rsidR="00666A8C" w:rsidRPr="000F0A89">
        <w:t xml:space="preserve"> </w:t>
      </w:r>
      <w:r w:rsidR="00C7482D" w:rsidRPr="000F0A89">
        <w:t>emphasise acceptance</w:t>
      </w:r>
      <w:r w:rsidR="00222CE9" w:rsidRPr="000F0A89">
        <w:t xml:space="preserve">, promote </w:t>
      </w:r>
      <w:r w:rsidR="00C7482D" w:rsidRPr="000F0A89">
        <w:t>community cohesion</w:t>
      </w:r>
      <w:r w:rsidR="00222CE9" w:rsidRPr="000F0A89">
        <w:t xml:space="preserve"> and are</w:t>
      </w:r>
      <w:r w:rsidR="00610C9D" w:rsidRPr="000F0A89">
        <w:t xml:space="preserve"> a site of </w:t>
      </w:r>
      <w:r w:rsidR="00640FE9" w:rsidRPr="000F0A89">
        <w:t>sociability</w:t>
      </w:r>
      <w:r w:rsidR="00610C9D" w:rsidRPr="000F0A89">
        <w:t xml:space="preserve"> and often solidarity</w:t>
      </w:r>
      <w:r w:rsidR="00061E8A" w:rsidRPr="000F0A89">
        <w:t xml:space="preserve"> </w:t>
      </w:r>
      <w:r w:rsidR="007B6EC9" w:rsidRPr="000F0A89">
        <w:fldChar w:fldCharType="begin" w:fldLock="1"/>
      </w:r>
      <w:r w:rsidR="007E3818" w:rsidRPr="000F0A89">
        <w:instrText>ADDIN CSL_CITATION {"citationItems":[{"id":"ITEM-1","itemData":{"DOI":"10.1017/S0047279412000086","ISSN":"00472794","abstract":"The impacts of government contracting on third sector organisations (TSOs) have attracted much discussion; however, the diversity of the organisations that comprise the third sector means that these impacts in fact vary considerably between TSOs. In order to better understand this complexity and to analyse and articulate TSOs’ experiences more effectively, it is useful to think about different response types. Based on empirical evidence from a study of homelessness TSOs in two South East England local authorities, this paper presents a typology of organisational responses to contracting. The four types identified are: Comfortable Contractors, Compliant Contractors, Cautious Contractors, and Community-Based Non-Contractors. The varied experiences of these different types of organisation with regard to contracting are described in the paper and point to the need for greater precision and differentiation within academic debates, and in the formulation of social policy relating to the third sector.","author":[{"dropping-particle":"","family":"Buckingham","given":"Heather","non-dropping-particle":"","parse-names":false,"suffix":""}],"container-title":"Journal of Social Policy","id":"ITEM-1","issue":"3","issued":{"date-parts":[["2012"]]},"page":"569-589","title":"Capturing diversity: A typology of third sector organisations' responses to contracting based on empirical evidence from homelessness services","type":"article-journal","volume":"41"},"uris":["http://www.mendeley.com/documents/?uuid=63b78931-4b69-4887-a42a-beda34cc6ce5"]}],"mendeley":{"formattedCitation":"(28)","plainTextFormattedCitation":"(28)","previouslyFormattedCitation":"(27)"},"properties":{"noteIndex":0},"schema":"https://github.com/citation-style-language/schema/raw/master/csl-citation.json"}</w:instrText>
      </w:r>
      <w:r w:rsidR="007B6EC9" w:rsidRPr="000F0A89">
        <w:fldChar w:fldCharType="separate"/>
      </w:r>
      <w:r w:rsidR="007E3818" w:rsidRPr="000F0A89">
        <w:rPr>
          <w:noProof/>
        </w:rPr>
        <w:t>(28)</w:t>
      </w:r>
      <w:r w:rsidR="007B6EC9" w:rsidRPr="000F0A89">
        <w:fldChar w:fldCharType="end"/>
      </w:r>
      <w:r w:rsidR="00610C9D" w:rsidRPr="000F0A89">
        <w:t xml:space="preserve">. </w:t>
      </w:r>
    </w:p>
    <w:p w14:paraId="787FA99E" w14:textId="0BB84F7F" w:rsidR="00614FC0" w:rsidRPr="000F0A89" w:rsidRDefault="007418CA" w:rsidP="007E13CD">
      <w:pPr>
        <w:spacing w:line="276" w:lineRule="auto"/>
        <w:jc w:val="both"/>
      </w:pPr>
      <w:r w:rsidRPr="000F0A89">
        <w:tab/>
        <w:t xml:space="preserve">In both cases the engagement with the project and the pre-implementation work was more relational than any of the other </w:t>
      </w:r>
      <w:r w:rsidR="00666A8C" w:rsidRPr="000F0A89">
        <w:t>partners</w:t>
      </w:r>
      <w:r w:rsidRPr="000F0A89">
        <w:t xml:space="preserve">. In the first instance access to the </w:t>
      </w:r>
      <w:r w:rsidR="00666A8C" w:rsidRPr="000F0A89">
        <w:t>groups</w:t>
      </w:r>
      <w:r w:rsidRPr="000F0A89">
        <w:t xml:space="preserve"> was negotiated by a network referral. </w:t>
      </w:r>
      <w:r w:rsidR="005F65B9" w:rsidRPr="000F0A89">
        <w:t>Where in</w:t>
      </w:r>
      <w:r w:rsidR="00666A8C" w:rsidRPr="000F0A89">
        <w:t xml:space="preserve"> the more structured setting of</w:t>
      </w:r>
      <w:r w:rsidR="005F65B9" w:rsidRPr="000F0A89">
        <w:t xml:space="preserve"> </w:t>
      </w:r>
      <w:r w:rsidR="006D27FA" w:rsidRPr="000F0A89">
        <w:t>F</w:t>
      </w:r>
      <w:r w:rsidR="005F65B9" w:rsidRPr="000F0A89">
        <w:t>ully</w:t>
      </w:r>
      <w:r w:rsidR="00E87F29" w:rsidRPr="000F0A89">
        <w:t xml:space="preserve"> </w:t>
      </w:r>
      <w:r w:rsidR="006D27FA" w:rsidRPr="000F0A89">
        <w:t>P</w:t>
      </w:r>
      <w:r w:rsidR="005F65B9" w:rsidRPr="000F0A89">
        <w:t xml:space="preserve">rofessionalised and </w:t>
      </w:r>
      <w:r w:rsidR="006D27FA" w:rsidRPr="000F0A89">
        <w:t>A</w:t>
      </w:r>
      <w:r w:rsidR="005F65B9" w:rsidRPr="000F0A89">
        <w:t xml:space="preserve">spirational </w:t>
      </w:r>
      <w:r w:rsidR="006D27FA" w:rsidRPr="000F0A89">
        <w:t>p</w:t>
      </w:r>
      <w:r w:rsidR="00666A8C" w:rsidRPr="000F0A89">
        <w:t>artners</w:t>
      </w:r>
      <w:r w:rsidR="005F65B9" w:rsidRPr="000F0A89">
        <w:t xml:space="preserve"> </w:t>
      </w:r>
      <w:r w:rsidR="002C0686" w:rsidRPr="000F0A89">
        <w:t xml:space="preserve">initial contact was made with the managerial team, NPCB </w:t>
      </w:r>
      <w:r w:rsidR="00666A8C" w:rsidRPr="000F0A89">
        <w:t>groups operate more informally and</w:t>
      </w:r>
      <w:r w:rsidR="002C0686" w:rsidRPr="000F0A89">
        <w:t xml:space="preserve"> do not have such a formalised structure. Thus</w:t>
      </w:r>
      <w:r w:rsidR="006D27FA" w:rsidRPr="000F0A89">
        <w:t>,</w:t>
      </w:r>
      <w:r w:rsidR="002C0686" w:rsidRPr="000F0A89">
        <w:t xml:space="preserve"> the ‘way in’ to these </w:t>
      </w:r>
      <w:r w:rsidR="004977BA" w:rsidRPr="000F0A89">
        <w:t>settings</w:t>
      </w:r>
      <w:r w:rsidR="002C0686" w:rsidRPr="000F0A89">
        <w:t xml:space="preserve"> may appear a little trickier, or </w:t>
      </w:r>
      <w:r w:rsidR="005931D7" w:rsidRPr="000F0A89">
        <w:t>even</w:t>
      </w:r>
      <w:r w:rsidR="002C0686" w:rsidRPr="000F0A89">
        <w:t xml:space="preserve"> fortuitous, but</w:t>
      </w:r>
      <w:r w:rsidR="00666A8C" w:rsidRPr="000F0A89">
        <w:t xml:space="preserve"> i</w:t>
      </w:r>
      <w:r w:rsidR="006D27FA" w:rsidRPr="000F0A89">
        <w:t xml:space="preserve">t </w:t>
      </w:r>
      <w:r w:rsidR="00666A8C" w:rsidRPr="000F0A89">
        <w:t xml:space="preserve">arose with </w:t>
      </w:r>
      <w:r w:rsidR="002C0686" w:rsidRPr="000F0A89">
        <w:t xml:space="preserve">a significant effort in relational work. </w:t>
      </w:r>
      <w:r w:rsidR="00614FC0" w:rsidRPr="000F0A89">
        <w:t>That is, in</w:t>
      </w:r>
      <w:r w:rsidR="00DC3A60" w:rsidRPr="000F0A89">
        <w:t>-</w:t>
      </w:r>
      <w:r w:rsidR="00614FC0" w:rsidRPr="000F0A89">
        <w:t xml:space="preserve">roads </w:t>
      </w:r>
      <w:r w:rsidR="00061E8A" w:rsidRPr="000F0A89">
        <w:t>were</w:t>
      </w:r>
      <w:r w:rsidR="00614FC0" w:rsidRPr="000F0A89">
        <w:t xml:space="preserve"> made indirectly through a process of engagement with members of structured organisations such as </w:t>
      </w:r>
      <w:r w:rsidR="00666A8C" w:rsidRPr="000F0A89">
        <w:t>L</w:t>
      </w:r>
      <w:r w:rsidR="00614FC0" w:rsidRPr="000F0A89">
        <w:t xml:space="preserve">ocal </w:t>
      </w:r>
      <w:r w:rsidR="00666A8C" w:rsidRPr="000F0A89">
        <w:t>A</w:t>
      </w:r>
      <w:r w:rsidR="00614FC0" w:rsidRPr="000F0A89">
        <w:t>uthorities,</w:t>
      </w:r>
      <w:r w:rsidR="00666A8C" w:rsidRPr="000F0A89">
        <w:t xml:space="preserve"> C</w:t>
      </w:r>
      <w:r w:rsidR="00614FC0" w:rsidRPr="000F0A89">
        <w:t xml:space="preserve">ounty </w:t>
      </w:r>
      <w:r w:rsidR="00666A8C" w:rsidRPr="000F0A89">
        <w:t>C</w:t>
      </w:r>
      <w:r w:rsidR="00614FC0" w:rsidRPr="000F0A89">
        <w:t xml:space="preserve">ouncils and to a degree </w:t>
      </w:r>
      <w:r w:rsidR="00666A8C" w:rsidRPr="000F0A89">
        <w:t>also with</w:t>
      </w:r>
      <w:r w:rsidR="006D27FA" w:rsidRPr="000F0A89">
        <w:t xml:space="preserve"> FPOs</w:t>
      </w:r>
      <w:r w:rsidR="00666A8C" w:rsidRPr="000F0A89">
        <w:t xml:space="preserve"> </w:t>
      </w:r>
      <w:r w:rsidR="00614FC0" w:rsidRPr="000F0A89">
        <w:t>who often</w:t>
      </w:r>
      <w:r w:rsidR="006D27FA" w:rsidRPr="000F0A89">
        <w:t xml:space="preserve"> also</w:t>
      </w:r>
      <w:r w:rsidR="00614FC0" w:rsidRPr="000F0A89">
        <w:t xml:space="preserve"> have a high degree of cosmopolitanism. Through engaging with these highly networked</w:t>
      </w:r>
      <w:r w:rsidR="00285887" w:rsidRPr="000F0A89">
        <w:t xml:space="preserve"> </w:t>
      </w:r>
      <w:r w:rsidR="006D27FA" w:rsidRPr="000F0A89">
        <w:t>members</w:t>
      </w:r>
      <w:r w:rsidR="00614FC0" w:rsidRPr="000F0A89">
        <w:t xml:space="preserve"> access to NPCB </w:t>
      </w:r>
      <w:r w:rsidR="00285887" w:rsidRPr="000F0A89">
        <w:t>groups</w:t>
      </w:r>
      <w:r w:rsidR="00614FC0" w:rsidRPr="000F0A89">
        <w:t xml:space="preserve"> </w:t>
      </w:r>
      <w:r w:rsidR="00061E8A" w:rsidRPr="000F0A89">
        <w:t>were</w:t>
      </w:r>
      <w:r w:rsidR="00614FC0" w:rsidRPr="000F0A89">
        <w:t xml:space="preserve"> obtained via referral.</w:t>
      </w:r>
    </w:p>
    <w:p w14:paraId="58A777D6" w14:textId="2BAD35CB" w:rsidR="00614FC0" w:rsidRPr="000F0A89" w:rsidRDefault="00614FC0" w:rsidP="007E13CD">
      <w:pPr>
        <w:spacing w:line="276" w:lineRule="auto"/>
        <w:jc w:val="both"/>
      </w:pPr>
    </w:p>
    <w:p w14:paraId="2EF5798D" w14:textId="362C5934" w:rsidR="00614FC0" w:rsidRPr="000F0A89" w:rsidRDefault="00165D60" w:rsidP="00165D60">
      <w:pPr>
        <w:spacing w:line="276" w:lineRule="auto"/>
        <w:ind w:left="851" w:right="1088"/>
        <w:jc w:val="both"/>
        <w:rPr>
          <w:i/>
          <w:iCs/>
        </w:rPr>
      </w:pPr>
      <w:r w:rsidRPr="000F0A89">
        <w:rPr>
          <w:i/>
          <w:iCs/>
        </w:rPr>
        <w:t>Hi [Name], I would like to introduce you to Becky who is leading on the PALS study. I will leave Becky to link with you to look at the opportunities…</w:t>
      </w:r>
    </w:p>
    <w:p w14:paraId="6EC28765" w14:textId="774BC293" w:rsidR="00165D60" w:rsidRPr="000F0A89" w:rsidRDefault="00493BE1" w:rsidP="00165D60">
      <w:pPr>
        <w:spacing w:line="276" w:lineRule="auto"/>
        <w:ind w:left="851" w:right="1088"/>
        <w:jc w:val="right"/>
        <w:rPr>
          <w:i/>
          <w:iCs/>
        </w:rPr>
      </w:pPr>
      <w:r w:rsidRPr="000F0A89">
        <w:rPr>
          <w:i/>
          <w:iCs/>
        </w:rPr>
        <w:t>(</w:t>
      </w:r>
      <w:r w:rsidR="000324FA" w:rsidRPr="000F0A89">
        <w:rPr>
          <w:i/>
          <w:iCs/>
        </w:rPr>
        <w:t>OP</w:t>
      </w:r>
      <w:r w:rsidR="00165D60" w:rsidRPr="000F0A89">
        <w:rPr>
          <w:i/>
          <w:iCs/>
        </w:rPr>
        <w:t>21</w:t>
      </w:r>
      <w:r w:rsidRPr="000F0A89">
        <w:rPr>
          <w:i/>
          <w:iCs/>
        </w:rPr>
        <w:t>)</w:t>
      </w:r>
      <w:r w:rsidR="00165D60" w:rsidRPr="000F0A89">
        <w:rPr>
          <w:i/>
          <w:iCs/>
        </w:rPr>
        <w:t xml:space="preserve"> </w:t>
      </w:r>
    </w:p>
    <w:p w14:paraId="4AB1DAF6" w14:textId="77777777" w:rsidR="00614FC0" w:rsidRPr="000F0A89" w:rsidRDefault="00614FC0" w:rsidP="00614FC0">
      <w:pPr>
        <w:spacing w:line="276" w:lineRule="auto"/>
        <w:jc w:val="both"/>
      </w:pPr>
    </w:p>
    <w:p w14:paraId="5BED359F" w14:textId="5CDBF00F" w:rsidR="00222CE9" w:rsidRPr="000F0A89" w:rsidRDefault="00222CE9" w:rsidP="007E13CD">
      <w:pPr>
        <w:spacing w:line="276" w:lineRule="auto"/>
        <w:jc w:val="both"/>
      </w:pPr>
      <w:r w:rsidRPr="000F0A89">
        <w:t xml:space="preserve">In these case studies of NPCB </w:t>
      </w:r>
      <w:r w:rsidR="00B905CA" w:rsidRPr="000F0A89">
        <w:t>group</w:t>
      </w:r>
      <w:r w:rsidR="00253B12" w:rsidRPr="000F0A89">
        <w:t>s</w:t>
      </w:r>
      <w:r w:rsidRPr="000F0A89">
        <w:t xml:space="preserve"> this personal referral was to an individual who themselves were highly networked and embedded within the community. The role and importance of this individual in the pre-implementation work in championing the partnership was </w:t>
      </w:r>
      <w:r w:rsidR="00C65690" w:rsidRPr="000F0A89">
        <w:t xml:space="preserve">more </w:t>
      </w:r>
      <w:r w:rsidRPr="000F0A89">
        <w:t xml:space="preserve">integral than in any other </w:t>
      </w:r>
      <w:r w:rsidR="00246762" w:rsidRPr="000F0A89">
        <w:t>setting</w:t>
      </w:r>
      <w:r w:rsidRPr="000F0A89">
        <w:t xml:space="preserve">. The champion negotiated between the </w:t>
      </w:r>
      <w:r w:rsidR="00061E8A" w:rsidRPr="000F0A89">
        <w:t>implementation</w:t>
      </w:r>
      <w:r w:rsidRPr="000F0A89">
        <w:t xml:space="preserve"> team and the </w:t>
      </w:r>
      <w:r w:rsidR="007603F3" w:rsidRPr="000F0A89">
        <w:t>group</w:t>
      </w:r>
      <w:r w:rsidRPr="000F0A89">
        <w:t xml:space="preserve"> to achieve </w:t>
      </w:r>
      <w:r w:rsidR="00E87F29" w:rsidRPr="000F0A89">
        <w:t>‘</w:t>
      </w:r>
      <w:r w:rsidRPr="000F0A89">
        <w:t>leadership engagement</w:t>
      </w:r>
      <w:r w:rsidR="00E87F29" w:rsidRPr="000F0A89">
        <w:t>’</w:t>
      </w:r>
      <w:r w:rsidRPr="000F0A89">
        <w:t xml:space="preserve"> (</w:t>
      </w:r>
      <w:r w:rsidR="00C25CCD" w:rsidRPr="000F0A89">
        <w:t>i.e.</w:t>
      </w:r>
      <w:r w:rsidR="00465631" w:rsidRPr="000F0A89">
        <w:t xml:space="preserve"> </w:t>
      </w:r>
      <w:r w:rsidRPr="000F0A89">
        <w:t xml:space="preserve">senior religious leaders). </w:t>
      </w:r>
    </w:p>
    <w:p w14:paraId="43E8A012" w14:textId="77777777" w:rsidR="00222CE9" w:rsidRPr="000F0A89" w:rsidRDefault="00222CE9" w:rsidP="007E13CD">
      <w:pPr>
        <w:spacing w:line="276" w:lineRule="auto"/>
        <w:jc w:val="both"/>
      </w:pPr>
    </w:p>
    <w:p w14:paraId="50A5EE00" w14:textId="77777777" w:rsidR="00222CE9" w:rsidRPr="000F0A89" w:rsidRDefault="00222CE9" w:rsidP="00222CE9">
      <w:pPr>
        <w:spacing w:line="276" w:lineRule="auto"/>
        <w:ind w:left="1134" w:right="1088"/>
        <w:jc w:val="both"/>
        <w:rPr>
          <w:i/>
          <w:iCs/>
        </w:rPr>
      </w:pPr>
      <w:r w:rsidRPr="000F0A89">
        <w:rPr>
          <w:i/>
          <w:iCs/>
        </w:rPr>
        <w:t>I’ve now had the chance to talk with my colleagues at the church and they’re all very interested</w:t>
      </w:r>
    </w:p>
    <w:p w14:paraId="4A6D4CE5" w14:textId="38E1E8EF" w:rsidR="007418CA" w:rsidRPr="000F0A89" w:rsidRDefault="00821A71" w:rsidP="00222CE9">
      <w:pPr>
        <w:spacing w:line="276" w:lineRule="auto"/>
        <w:ind w:left="1134" w:right="1088"/>
        <w:jc w:val="right"/>
        <w:rPr>
          <w:i/>
          <w:iCs/>
        </w:rPr>
      </w:pPr>
      <w:r w:rsidRPr="000F0A89">
        <w:rPr>
          <w:i/>
          <w:iCs/>
        </w:rPr>
        <w:t>(</w:t>
      </w:r>
      <w:r w:rsidR="00AF34AB" w:rsidRPr="000F0A89">
        <w:rPr>
          <w:i/>
          <w:iCs/>
        </w:rPr>
        <w:t>OP</w:t>
      </w:r>
      <w:r w:rsidR="00222CE9" w:rsidRPr="000F0A89">
        <w:rPr>
          <w:i/>
          <w:iCs/>
        </w:rPr>
        <w:t>21</w:t>
      </w:r>
      <w:r w:rsidRPr="000F0A89">
        <w:rPr>
          <w:i/>
          <w:iCs/>
        </w:rPr>
        <w:t>)</w:t>
      </w:r>
    </w:p>
    <w:p w14:paraId="62C4C1CD" w14:textId="77777777" w:rsidR="00CE253C" w:rsidRPr="000F0A89" w:rsidRDefault="00CE253C" w:rsidP="00453AC1"/>
    <w:p w14:paraId="5B26ED0D" w14:textId="67805909" w:rsidR="005931D7" w:rsidRPr="000F0A89" w:rsidRDefault="00CE253C" w:rsidP="005931D7">
      <w:pPr>
        <w:spacing w:line="276" w:lineRule="auto"/>
        <w:jc w:val="both"/>
      </w:pPr>
      <w:r w:rsidRPr="000F0A89">
        <w:t xml:space="preserve">Unlike </w:t>
      </w:r>
      <w:r w:rsidR="00E87F29" w:rsidRPr="000F0A89">
        <w:t>the other</w:t>
      </w:r>
      <w:r w:rsidRPr="000F0A89">
        <w:t xml:space="preserve"> </w:t>
      </w:r>
      <w:r w:rsidR="00D1287C" w:rsidRPr="000F0A89">
        <w:t>p</w:t>
      </w:r>
      <w:r w:rsidR="00171B34" w:rsidRPr="000F0A89">
        <w:t>artners</w:t>
      </w:r>
      <w:r w:rsidRPr="000F0A89">
        <w:t xml:space="preserve"> the </w:t>
      </w:r>
      <w:r w:rsidR="00E87F29" w:rsidRPr="000F0A89">
        <w:t>‘</w:t>
      </w:r>
      <w:r w:rsidRPr="000F0A89">
        <w:t>outer setting</w:t>
      </w:r>
      <w:r w:rsidR="00E87F29" w:rsidRPr="000F0A89">
        <w:t>’</w:t>
      </w:r>
      <w:r w:rsidRPr="000F0A89">
        <w:t xml:space="preserve"> of the CFIR was of less influence in securing buy-in. Of most importance was the sub-concept </w:t>
      </w:r>
      <w:r w:rsidR="00E87F29" w:rsidRPr="000F0A89">
        <w:t>‘</w:t>
      </w:r>
      <w:r w:rsidRPr="000F0A89">
        <w:t>culture</w:t>
      </w:r>
      <w:r w:rsidR="00E87F29" w:rsidRPr="000F0A89">
        <w:t>’</w:t>
      </w:r>
      <w:r w:rsidRPr="000F0A89">
        <w:t xml:space="preserve"> of the </w:t>
      </w:r>
      <w:r w:rsidR="00E87F29" w:rsidRPr="000F0A89">
        <w:t>‘</w:t>
      </w:r>
      <w:r w:rsidRPr="000F0A89">
        <w:t>inner setting</w:t>
      </w:r>
      <w:r w:rsidR="00E87F29" w:rsidRPr="000F0A89">
        <w:t>’</w:t>
      </w:r>
      <w:r w:rsidRPr="000F0A89">
        <w:t xml:space="preserve">, </w:t>
      </w:r>
      <w:r w:rsidR="00213226" w:rsidRPr="000F0A89">
        <w:t>specifically of most</w:t>
      </w:r>
      <w:r w:rsidRPr="000F0A89">
        <w:t xml:space="preserve"> influen</w:t>
      </w:r>
      <w:r w:rsidR="00213226" w:rsidRPr="000F0A89">
        <w:t>ce</w:t>
      </w:r>
      <w:r w:rsidRPr="000F0A89">
        <w:t xml:space="preserve"> was the values of the </w:t>
      </w:r>
      <w:r w:rsidR="00213226" w:rsidRPr="000F0A89">
        <w:t>groups</w:t>
      </w:r>
      <w:r w:rsidRPr="000F0A89">
        <w:t>. That is</w:t>
      </w:r>
      <w:r w:rsidR="00213226" w:rsidRPr="000F0A89">
        <w:t xml:space="preserve">, </w:t>
      </w:r>
      <w:r w:rsidR="005931D7" w:rsidRPr="000F0A89">
        <w:t xml:space="preserve">the values of promoting </w:t>
      </w:r>
      <w:r w:rsidRPr="000F0A89">
        <w:t>community cohesion and being a place of inclusion for all, including the congregation and members of the geographical community. Where the intervention was perceived to align with these values, i.e</w:t>
      </w:r>
      <w:r w:rsidR="00213226" w:rsidRPr="000F0A89">
        <w:t>. was</w:t>
      </w:r>
      <w:r w:rsidRPr="000F0A89">
        <w:t xml:space="preserve"> deemed to be beneficial to </w:t>
      </w:r>
      <w:r w:rsidR="00FF0239" w:rsidRPr="000F0A89">
        <w:t>the</w:t>
      </w:r>
      <w:r w:rsidRPr="000F0A89">
        <w:t xml:space="preserve"> community, </w:t>
      </w:r>
      <w:r w:rsidR="00213226" w:rsidRPr="000F0A89">
        <w:t xml:space="preserve">this led to </w:t>
      </w:r>
      <w:r w:rsidRPr="000F0A89">
        <w:t>a commitment from the leadership and strengthened</w:t>
      </w:r>
      <w:r w:rsidR="00E87F29" w:rsidRPr="000F0A89">
        <w:t xml:space="preserve"> the champion’s</w:t>
      </w:r>
      <w:r w:rsidRPr="000F0A89">
        <w:t xml:space="preserve"> resolve to implement </w:t>
      </w:r>
      <w:r w:rsidR="00E87F29" w:rsidRPr="000F0A89">
        <w:t>Genie</w:t>
      </w:r>
      <w:r w:rsidRPr="000F0A89">
        <w:t xml:space="preserve">. </w:t>
      </w:r>
      <w:r w:rsidR="00E87F29" w:rsidRPr="000F0A89">
        <w:t>As in Partner 22 who considered PALS ‘</w:t>
      </w:r>
      <w:r w:rsidRPr="000F0A89">
        <w:rPr>
          <w:i/>
          <w:iCs/>
        </w:rPr>
        <w:t xml:space="preserve">an excellent project </w:t>
      </w:r>
      <w:r w:rsidR="00E87F29" w:rsidRPr="000F0A89">
        <w:rPr>
          <w:i/>
          <w:iCs/>
        </w:rPr>
        <w:t xml:space="preserve">[that] </w:t>
      </w:r>
      <w:r w:rsidRPr="000F0A89">
        <w:rPr>
          <w:i/>
          <w:iCs/>
        </w:rPr>
        <w:t>could be very beneficial to our community</w:t>
      </w:r>
      <w:r w:rsidR="00E87F29" w:rsidRPr="000F0A89">
        <w:rPr>
          <w:i/>
          <w:iCs/>
        </w:rPr>
        <w:t xml:space="preserve">’ </w:t>
      </w:r>
      <w:r w:rsidR="00E87F29" w:rsidRPr="000F0A89">
        <w:t>therefore they were</w:t>
      </w:r>
      <w:r w:rsidR="00E87F29" w:rsidRPr="000F0A89">
        <w:rPr>
          <w:i/>
          <w:iCs/>
        </w:rPr>
        <w:t xml:space="preserve"> ‘</w:t>
      </w:r>
      <w:r w:rsidRPr="000F0A89">
        <w:rPr>
          <w:i/>
          <w:iCs/>
        </w:rPr>
        <w:t>at your disposa</w:t>
      </w:r>
      <w:r w:rsidR="00E87F29" w:rsidRPr="000F0A89">
        <w:rPr>
          <w:i/>
          <w:iCs/>
        </w:rPr>
        <w:t>l’</w:t>
      </w:r>
      <w:r w:rsidR="00D97F7E" w:rsidRPr="000F0A89">
        <w:rPr>
          <w:i/>
          <w:iCs/>
        </w:rPr>
        <w:t xml:space="preserve"> </w:t>
      </w:r>
      <w:r w:rsidR="00D97F7E" w:rsidRPr="000F0A89">
        <w:t>(IP22)</w:t>
      </w:r>
      <w:r w:rsidR="00E87F29" w:rsidRPr="000F0A89">
        <w:rPr>
          <w:i/>
          <w:iCs/>
        </w:rPr>
        <w:t xml:space="preserve">. </w:t>
      </w:r>
      <w:r w:rsidR="00FF0239" w:rsidRPr="000F0A89">
        <w:t xml:space="preserve">The integral role of the champion in these settings cannot be </w:t>
      </w:r>
      <w:r w:rsidR="00E87F29" w:rsidRPr="000F0A89">
        <w:t>overstated</w:t>
      </w:r>
      <w:r w:rsidR="00FF0239" w:rsidRPr="000F0A89">
        <w:t xml:space="preserve">. However, the reliance on one individual, as in both cases here, due to limited </w:t>
      </w:r>
      <w:r w:rsidR="00E87F29" w:rsidRPr="000F0A89">
        <w:t>‘</w:t>
      </w:r>
      <w:r w:rsidR="00FF0239" w:rsidRPr="000F0A89">
        <w:t>resources availability</w:t>
      </w:r>
      <w:r w:rsidR="00E87F29" w:rsidRPr="000F0A89">
        <w:t>’</w:t>
      </w:r>
      <w:r w:rsidR="00FF0239" w:rsidRPr="000F0A89">
        <w:t xml:space="preserve"> did contribute towards achieving readiness </w:t>
      </w:r>
      <w:r w:rsidR="00692DBF" w:rsidRPr="000F0A89">
        <w:t>extremely</w:t>
      </w:r>
      <w:r w:rsidR="00FF0239" w:rsidRPr="000F0A89">
        <w:t xml:space="preserve"> </w:t>
      </w:r>
      <w:r w:rsidR="00FF0239" w:rsidRPr="000F0A89">
        <w:lastRenderedPageBreak/>
        <w:t>slowly.</w:t>
      </w:r>
      <w:r w:rsidR="005931D7" w:rsidRPr="000F0A89">
        <w:t xml:space="preserve"> Despite low resource availability and </w:t>
      </w:r>
      <w:r w:rsidR="00E87F29" w:rsidRPr="000F0A89">
        <w:t xml:space="preserve">thus low </w:t>
      </w:r>
      <w:r w:rsidR="005931D7" w:rsidRPr="000F0A89">
        <w:t xml:space="preserve">absorptive capacity within </w:t>
      </w:r>
      <w:r w:rsidR="003C7FA2" w:rsidRPr="000F0A89">
        <w:t>groups</w:t>
      </w:r>
      <w:r w:rsidR="005931D7" w:rsidRPr="000F0A89">
        <w:t xml:space="preserve"> the commitment to support the community was the primary motivator, and even though the readiness for </w:t>
      </w:r>
      <w:r w:rsidR="00793553" w:rsidRPr="000F0A89">
        <w:t>implementation</w:t>
      </w:r>
      <w:r w:rsidR="005931D7" w:rsidRPr="000F0A89">
        <w:t xml:space="preserve"> was slower to achieve the motivation remained.</w:t>
      </w:r>
      <w:r w:rsidR="00E87F29" w:rsidRPr="000F0A89">
        <w:t xml:space="preserve"> With the metaphor ‘</w:t>
      </w:r>
      <w:r w:rsidR="005931D7" w:rsidRPr="000F0A89">
        <w:rPr>
          <w:i/>
          <w:iCs/>
        </w:rPr>
        <w:t>I am like a tortoise…but hopefully we’ll get there in the end</w:t>
      </w:r>
      <w:r w:rsidR="00E87F29" w:rsidRPr="000F0A89">
        <w:rPr>
          <w:i/>
          <w:iCs/>
        </w:rPr>
        <w:t xml:space="preserve">’ </w:t>
      </w:r>
      <w:r w:rsidR="00E87F29" w:rsidRPr="000F0A89">
        <w:t>(</w:t>
      </w:r>
      <w:r w:rsidR="00A93E1A" w:rsidRPr="000F0A89">
        <w:t>IP</w:t>
      </w:r>
      <w:r w:rsidR="00E87F29" w:rsidRPr="000F0A89">
        <w:t>21)</w:t>
      </w:r>
      <w:r w:rsidR="00E87F29" w:rsidRPr="000F0A89">
        <w:rPr>
          <w:i/>
          <w:iCs/>
        </w:rPr>
        <w:t xml:space="preserve"> </w:t>
      </w:r>
      <w:r w:rsidR="00E87F29" w:rsidRPr="000F0A89">
        <w:t>being a fine example</w:t>
      </w:r>
      <w:r w:rsidR="00E87F29" w:rsidRPr="000F0A89">
        <w:rPr>
          <w:i/>
          <w:iCs/>
        </w:rPr>
        <w:t xml:space="preserve">. </w:t>
      </w:r>
      <w:r w:rsidR="005931D7" w:rsidRPr="000F0A89">
        <w:t xml:space="preserve">NPCB </w:t>
      </w:r>
      <w:r w:rsidR="00382776" w:rsidRPr="000F0A89">
        <w:t>groups</w:t>
      </w:r>
      <w:r w:rsidR="005931D7" w:rsidRPr="000F0A89">
        <w:t xml:space="preserve"> were influenced and negatively impacted by limited resources. They were most influenced by the commitment to serve and support their local community, both the immediate congregation and the geographical community. Without such devotion of a champion</w:t>
      </w:r>
      <w:r w:rsidR="00A91E3A" w:rsidRPr="000F0A89">
        <w:t>,</w:t>
      </w:r>
      <w:r w:rsidR="005931D7" w:rsidRPr="000F0A89">
        <w:t xml:space="preserve"> however, it is reasonable to question </w:t>
      </w:r>
      <w:r w:rsidR="00A91E3A" w:rsidRPr="000F0A89">
        <w:t>whether</w:t>
      </w:r>
      <w:r w:rsidR="005931D7" w:rsidRPr="000F0A89">
        <w:t xml:space="preserve"> readiness for implementation would </w:t>
      </w:r>
      <w:r w:rsidR="00061E8A" w:rsidRPr="000F0A89">
        <w:t xml:space="preserve">have </w:t>
      </w:r>
      <w:r w:rsidR="005931D7" w:rsidRPr="000F0A89">
        <w:t xml:space="preserve">ever be achieved. </w:t>
      </w:r>
    </w:p>
    <w:p w14:paraId="6C93CF6E" w14:textId="19493726" w:rsidR="005931D7" w:rsidRPr="000F0A89" w:rsidRDefault="005931D7" w:rsidP="005931D7"/>
    <w:p w14:paraId="04399782" w14:textId="168138EB" w:rsidR="000E6C1D" w:rsidRDefault="00210396" w:rsidP="005931D7">
      <w:pPr>
        <w:rPr>
          <w:b/>
          <w:bCs/>
        </w:rPr>
      </w:pPr>
      <w:r w:rsidRPr="000F0A89">
        <w:rPr>
          <w:b/>
          <w:bCs/>
        </w:rPr>
        <w:t>Table 3:</w:t>
      </w:r>
      <w:r w:rsidR="00CA7FD4" w:rsidRPr="000F0A89">
        <w:rPr>
          <w:b/>
          <w:bCs/>
        </w:rPr>
        <w:t xml:space="preserve"> Key f</w:t>
      </w:r>
      <w:r w:rsidRPr="000F0A89">
        <w:rPr>
          <w:b/>
          <w:bCs/>
        </w:rPr>
        <w:t>actors affecting the optimal pre-implementation context</w:t>
      </w:r>
    </w:p>
    <w:p w14:paraId="767142C5" w14:textId="68626438" w:rsidR="000E6C1D" w:rsidRDefault="000E6C1D" w:rsidP="005931D7">
      <w:pPr>
        <w:rPr>
          <w:b/>
          <w:bCs/>
        </w:rPr>
      </w:pPr>
    </w:p>
    <w:tbl>
      <w:tblPr>
        <w:tblStyle w:val="TableGrid"/>
        <w:tblW w:w="9068" w:type="dxa"/>
        <w:tblLook w:val="04A0" w:firstRow="1" w:lastRow="0" w:firstColumn="1" w:lastColumn="0" w:noHBand="0" w:noVBand="1"/>
      </w:tblPr>
      <w:tblGrid>
        <w:gridCol w:w="5524"/>
        <w:gridCol w:w="1134"/>
        <w:gridCol w:w="1276"/>
        <w:gridCol w:w="1134"/>
      </w:tblGrid>
      <w:tr w:rsidR="000E6C1D" w14:paraId="0E5A8B80" w14:textId="77777777" w:rsidTr="000552E5">
        <w:tc>
          <w:tcPr>
            <w:tcW w:w="5524" w:type="dxa"/>
          </w:tcPr>
          <w:p w14:paraId="06655EF9" w14:textId="77777777" w:rsidR="000E6C1D" w:rsidRPr="00595D94" w:rsidRDefault="000E6C1D" w:rsidP="000552E5">
            <w:pPr>
              <w:jc w:val="center"/>
              <w:rPr>
                <w:b/>
                <w:bCs/>
              </w:rPr>
            </w:pPr>
            <w:r w:rsidRPr="00595D94">
              <w:rPr>
                <w:b/>
                <w:bCs/>
              </w:rPr>
              <w:t>CFIR concept</w:t>
            </w:r>
          </w:p>
        </w:tc>
        <w:tc>
          <w:tcPr>
            <w:tcW w:w="1134" w:type="dxa"/>
          </w:tcPr>
          <w:p w14:paraId="79F92C54" w14:textId="77777777" w:rsidR="000E6C1D" w:rsidRPr="00595D94" w:rsidRDefault="000E6C1D" w:rsidP="000552E5">
            <w:pPr>
              <w:jc w:val="center"/>
              <w:rPr>
                <w:b/>
                <w:bCs/>
              </w:rPr>
            </w:pPr>
            <w:r w:rsidRPr="00595D94">
              <w:rPr>
                <w:b/>
                <w:bCs/>
              </w:rPr>
              <w:t>FPO</w:t>
            </w:r>
          </w:p>
        </w:tc>
        <w:tc>
          <w:tcPr>
            <w:tcW w:w="1276" w:type="dxa"/>
          </w:tcPr>
          <w:p w14:paraId="6726835B" w14:textId="77777777" w:rsidR="000E6C1D" w:rsidRPr="00595D94" w:rsidRDefault="000E6C1D" w:rsidP="000552E5">
            <w:pPr>
              <w:jc w:val="center"/>
              <w:rPr>
                <w:b/>
                <w:bCs/>
              </w:rPr>
            </w:pPr>
            <w:r w:rsidRPr="00595D94">
              <w:rPr>
                <w:b/>
                <w:bCs/>
              </w:rPr>
              <w:t>ACVSE</w:t>
            </w:r>
          </w:p>
        </w:tc>
        <w:tc>
          <w:tcPr>
            <w:tcW w:w="1134" w:type="dxa"/>
          </w:tcPr>
          <w:p w14:paraId="4B8A292D" w14:textId="77777777" w:rsidR="000E6C1D" w:rsidRPr="00595D94" w:rsidRDefault="000E6C1D" w:rsidP="000552E5">
            <w:pPr>
              <w:jc w:val="center"/>
              <w:rPr>
                <w:b/>
                <w:bCs/>
              </w:rPr>
            </w:pPr>
            <w:r w:rsidRPr="00595D94">
              <w:rPr>
                <w:b/>
                <w:bCs/>
              </w:rPr>
              <w:t>NPCB</w:t>
            </w:r>
          </w:p>
        </w:tc>
      </w:tr>
      <w:tr w:rsidR="000E6C1D" w14:paraId="65FD0592" w14:textId="77777777" w:rsidTr="000552E5">
        <w:tc>
          <w:tcPr>
            <w:tcW w:w="5524" w:type="dxa"/>
          </w:tcPr>
          <w:p w14:paraId="42A67369" w14:textId="77777777" w:rsidR="000E6C1D" w:rsidRPr="00595D94" w:rsidRDefault="000E6C1D" w:rsidP="000552E5">
            <w:pPr>
              <w:spacing w:line="276" w:lineRule="auto"/>
              <w:jc w:val="both"/>
            </w:pPr>
            <w:r>
              <w:t>Relative advantage</w:t>
            </w:r>
          </w:p>
        </w:tc>
        <w:tc>
          <w:tcPr>
            <w:tcW w:w="1134" w:type="dxa"/>
          </w:tcPr>
          <w:p w14:paraId="06A648AF" w14:textId="77777777" w:rsidR="000E6C1D" w:rsidRPr="00AD1327" w:rsidRDefault="000E6C1D" w:rsidP="000552E5">
            <w:pPr>
              <w:jc w:val="center"/>
            </w:pPr>
            <w:r>
              <w:t>+</w:t>
            </w:r>
          </w:p>
        </w:tc>
        <w:tc>
          <w:tcPr>
            <w:tcW w:w="1276" w:type="dxa"/>
          </w:tcPr>
          <w:p w14:paraId="343F0444" w14:textId="77777777" w:rsidR="000E6C1D" w:rsidRPr="00AD1327" w:rsidRDefault="000E6C1D" w:rsidP="000552E5">
            <w:pPr>
              <w:jc w:val="center"/>
            </w:pPr>
            <w:r>
              <w:t>+</w:t>
            </w:r>
          </w:p>
        </w:tc>
        <w:tc>
          <w:tcPr>
            <w:tcW w:w="1134" w:type="dxa"/>
          </w:tcPr>
          <w:p w14:paraId="7093825C" w14:textId="77777777" w:rsidR="000E6C1D" w:rsidRPr="00AD1327" w:rsidRDefault="000E6C1D" w:rsidP="000552E5">
            <w:pPr>
              <w:jc w:val="center"/>
            </w:pPr>
          </w:p>
        </w:tc>
      </w:tr>
      <w:tr w:rsidR="000E6C1D" w14:paraId="0F057312" w14:textId="77777777" w:rsidTr="000552E5">
        <w:tc>
          <w:tcPr>
            <w:tcW w:w="5524" w:type="dxa"/>
          </w:tcPr>
          <w:p w14:paraId="36CB9F83" w14:textId="77777777" w:rsidR="000E6C1D" w:rsidRDefault="000E6C1D" w:rsidP="000552E5">
            <w:pPr>
              <w:spacing w:line="276" w:lineRule="auto"/>
              <w:jc w:val="both"/>
              <w:rPr>
                <w:b/>
                <w:bCs/>
                <w:u w:val="single"/>
              </w:rPr>
            </w:pPr>
            <w:r>
              <w:t>Patient needs and resources</w:t>
            </w:r>
          </w:p>
        </w:tc>
        <w:tc>
          <w:tcPr>
            <w:tcW w:w="1134" w:type="dxa"/>
          </w:tcPr>
          <w:p w14:paraId="3CB32687" w14:textId="77777777" w:rsidR="000E6C1D" w:rsidRPr="00AD1327" w:rsidRDefault="000E6C1D" w:rsidP="000552E5">
            <w:pPr>
              <w:jc w:val="center"/>
            </w:pPr>
            <w:r>
              <w:t>-</w:t>
            </w:r>
          </w:p>
        </w:tc>
        <w:tc>
          <w:tcPr>
            <w:tcW w:w="1276" w:type="dxa"/>
          </w:tcPr>
          <w:p w14:paraId="3FD9DCE3" w14:textId="77777777" w:rsidR="000E6C1D" w:rsidRPr="00AD1327" w:rsidRDefault="000E6C1D" w:rsidP="000552E5">
            <w:pPr>
              <w:jc w:val="center"/>
            </w:pPr>
            <w:r>
              <w:t>+/-</w:t>
            </w:r>
          </w:p>
        </w:tc>
        <w:tc>
          <w:tcPr>
            <w:tcW w:w="1134" w:type="dxa"/>
          </w:tcPr>
          <w:p w14:paraId="23FBD41F" w14:textId="77777777" w:rsidR="000E6C1D" w:rsidRPr="00AD1327" w:rsidRDefault="000E6C1D" w:rsidP="000552E5">
            <w:pPr>
              <w:jc w:val="center"/>
            </w:pPr>
            <w:r>
              <w:t>+</w:t>
            </w:r>
          </w:p>
        </w:tc>
      </w:tr>
      <w:tr w:rsidR="000E6C1D" w14:paraId="01ED7E2D" w14:textId="77777777" w:rsidTr="000552E5">
        <w:tc>
          <w:tcPr>
            <w:tcW w:w="5524" w:type="dxa"/>
          </w:tcPr>
          <w:p w14:paraId="5F1C29CB" w14:textId="77777777" w:rsidR="000E6C1D" w:rsidRDefault="000E6C1D" w:rsidP="000552E5">
            <w:pPr>
              <w:rPr>
                <w:b/>
                <w:bCs/>
                <w:u w:val="single"/>
              </w:rPr>
            </w:pPr>
            <w:r>
              <w:t>External policies and incentives</w:t>
            </w:r>
          </w:p>
        </w:tc>
        <w:tc>
          <w:tcPr>
            <w:tcW w:w="1134" w:type="dxa"/>
          </w:tcPr>
          <w:p w14:paraId="567C29AF" w14:textId="77777777" w:rsidR="000E6C1D" w:rsidRPr="00AD1327" w:rsidRDefault="000E6C1D" w:rsidP="000552E5">
            <w:pPr>
              <w:jc w:val="center"/>
            </w:pPr>
            <w:r>
              <w:t>+</w:t>
            </w:r>
          </w:p>
        </w:tc>
        <w:tc>
          <w:tcPr>
            <w:tcW w:w="1276" w:type="dxa"/>
          </w:tcPr>
          <w:p w14:paraId="74580FB7" w14:textId="77777777" w:rsidR="000E6C1D" w:rsidRPr="00AD1327" w:rsidRDefault="000E6C1D" w:rsidP="000552E5">
            <w:pPr>
              <w:jc w:val="center"/>
            </w:pPr>
            <w:r>
              <w:t>+/-</w:t>
            </w:r>
          </w:p>
        </w:tc>
        <w:tc>
          <w:tcPr>
            <w:tcW w:w="1134" w:type="dxa"/>
          </w:tcPr>
          <w:p w14:paraId="715FC3F5" w14:textId="77777777" w:rsidR="000E6C1D" w:rsidRPr="00AD1327" w:rsidRDefault="000E6C1D" w:rsidP="000552E5">
            <w:pPr>
              <w:jc w:val="center"/>
            </w:pPr>
          </w:p>
        </w:tc>
      </w:tr>
      <w:tr w:rsidR="000E6C1D" w14:paraId="77536DE4" w14:textId="77777777" w:rsidTr="000552E5">
        <w:tc>
          <w:tcPr>
            <w:tcW w:w="5524" w:type="dxa"/>
          </w:tcPr>
          <w:p w14:paraId="0F0E34AE" w14:textId="77777777" w:rsidR="000E6C1D" w:rsidRDefault="000E6C1D" w:rsidP="000552E5">
            <w:r>
              <w:t>Readiness for implementation (leadership engagement)</w:t>
            </w:r>
          </w:p>
        </w:tc>
        <w:tc>
          <w:tcPr>
            <w:tcW w:w="1134" w:type="dxa"/>
          </w:tcPr>
          <w:p w14:paraId="2F07B0C2" w14:textId="77777777" w:rsidR="000E6C1D" w:rsidRPr="00AD1327" w:rsidRDefault="000E6C1D" w:rsidP="000552E5">
            <w:pPr>
              <w:jc w:val="center"/>
            </w:pPr>
            <w:r>
              <w:t>+</w:t>
            </w:r>
          </w:p>
        </w:tc>
        <w:tc>
          <w:tcPr>
            <w:tcW w:w="1276" w:type="dxa"/>
          </w:tcPr>
          <w:p w14:paraId="5514E023" w14:textId="77777777" w:rsidR="000E6C1D" w:rsidRPr="00AD1327" w:rsidRDefault="000E6C1D" w:rsidP="000552E5">
            <w:pPr>
              <w:jc w:val="center"/>
            </w:pPr>
            <w:r>
              <w:t>+</w:t>
            </w:r>
          </w:p>
        </w:tc>
        <w:tc>
          <w:tcPr>
            <w:tcW w:w="1134" w:type="dxa"/>
          </w:tcPr>
          <w:p w14:paraId="1CE77A81" w14:textId="77777777" w:rsidR="000E6C1D" w:rsidRPr="00AD1327" w:rsidRDefault="000E6C1D" w:rsidP="000552E5">
            <w:pPr>
              <w:jc w:val="center"/>
            </w:pPr>
            <w:r>
              <w:t>+</w:t>
            </w:r>
          </w:p>
        </w:tc>
      </w:tr>
      <w:tr w:rsidR="000E6C1D" w14:paraId="5D8F0254" w14:textId="77777777" w:rsidTr="000552E5">
        <w:tc>
          <w:tcPr>
            <w:tcW w:w="5524" w:type="dxa"/>
          </w:tcPr>
          <w:p w14:paraId="56ABCB86" w14:textId="77777777" w:rsidR="000E6C1D" w:rsidRDefault="000E6C1D" w:rsidP="000552E5">
            <w:r>
              <w:t xml:space="preserve">Readiness for implementation (available resources)  </w:t>
            </w:r>
          </w:p>
        </w:tc>
        <w:tc>
          <w:tcPr>
            <w:tcW w:w="1134" w:type="dxa"/>
          </w:tcPr>
          <w:p w14:paraId="17ABABB9" w14:textId="77777777" w:rsidR="000E6C1D" w:rsidRPr="00AD1327" w:rsidRDefault="000E6C1D" w:rsidP="000552E5">
            <w:pPr>
              <w:jc w:val="center"/>
            </w:pPr>
            <w:r>
              <w:t>+</w:t>
            </w:r>
          </w:p>
        </w:tc>
        <w:tc>
          <w:tcPr>
            <w:tcW w:w="1276" w:type="dxa"/>
          </w:tcPr>
          <w:p w14:paraId="2FE79C18" w14:textId="77777777" w:rsidR="000E6C1D" w:rsidRPr="00AD1327" w:rsidRDefault="000E6C1D" w:rsidP="000552E5">
            <w:pPr>
              <w:jc w:val="center"/>
            </w:pPr>
            <w:r>
              <w:t>-</w:t>
            </w:r>
          </w:p>
        </w:tc>
        <w:tc>
          <w:tcPr>
            <w:tcW w:w="1134" w:type="dxa"/>
          </w:tcPr>
          <w:p w14:paraId="635C0DEC" w14:textId="77777777" w:rsidR="000E6C1D" w:rsidRPr="00AD1327" w:rsidRDefault="000E6C1D" w:rsidP="000552E5">
            <w:pPr>
              <w:jc w:val="center"/>
            </w:pPr>
            <w:r>
              <w:t>-</w:t>
            </w:r>
          </w:p>
        </w:tc>
      </w:tr>
      <w:tr w:rsidR="000E6C1D" w14:paraId="50F291EC" w14:textId="77777777" w:rsidTr="000552E5">
        <w:tc>
          <w:tcPr>
            <w:tcW w:w="5524" w:type="dxa"/>
          </w:tcPr>
          <w:p w14:paraId="52594A6C" w14:textId="77777777" w:rsidR="000E6C1D" w:rsidRDefault="000E6C1D" w:rsidP="000552E5">
            <w:pPr>
              <w:spacing w:line="276" w:lineRule="auto"/>
              <w:jc w:val="both"/>
            </w:pPr>
            <w:r>
              <w:t xml:space="preserve">Knowledge and beliefs about the intervention </w:t>
            </w:r>
          </w:p>
        </w:tc>
        <w:tc>
          <w:tcPr>
            <w:tcW w:w="1134" w:type="dxa"/>
          </w:tcPr>
          <w:p w14:paraId="4688FF61" w14:textId="77777777" w:rsidR="000E6C1D" w:rsidRPr="00AD1327" w:rsidRDefault="000E6C1D" w:rsidP="000552E5">
            <w:pPr>
              <w:jc w:val="center"/>
            </w:pPr>
            <w:r>
              <w:t>-</w:t>
            </w:r>
          </w:p>
        </w:tc>
        <w:tc>
          <w:tcPr>
            <w:tcW w:w="1276" w:type="dxa"/>
          </w:tcPr>
          <w:p w14:paraId="10BA0688" w14:textId="77777777" w:rsidR="000E6C1D" w:rsidRPr="00AD1327" w:rsidRDefault="000E6C1D" w:rsidP="000552E5">
            <w:pPr>
              <w:jc w:val="center"/>
            </w:pPr>
          </w:p>
        </w:tc>
        <w:tc>
          <w:tcPr>
            <w:tcW w:w="1134" w:type="dxa"/>
          </w:tcPr>
          <w:p w14:paraId="4B993E29" w14:textId="77777777" w:rsidR="000E6C1D" w:rsidRPr="00AD1327" w:rsidRDefault="000E6C1D" w:rsidP="000552E5">
            <w:pPr>
              <w:jc w:val="center"/>
            </w:pPr>
          </w:p>
        </w:tc>
      </w:tr>
      <w:tr w:rsidR="000E6C1D" w14:paraId="2170E696" w14:textId="77777777" w:rsidTr="000552E5">
        <w:tc>
          <w:tcPr>
            <w:tcW w:w="5524" w:type="dxa"/>
          </w:tcPr>
          <w:p w14:paraId="04D4DB36" w14:textId="77777777" w:rsidR="000E6C1D" w:rsidRDefault="000E6C1D" w:rsidP="000552E5">
            <w:pPr>
              <w:spacing w:line="276" w:lineRule="auto"/>
              <w:jc w:val="both"/>
            </w:pPr>
            <w:r>
              <w:t>Culture</w:t>
            </w:r>
          </w:p>
        </w:tc>
        <w:tc>
          <w:tcPr>
            <w:tcW w:w="1134" w:type="dxa"/>
          </w:tcPr>
          <w:p w14:paraId="74EA5D3D" w14:textId="77777777" w:rsidR="000E6C1D" w:rsidRDefault="000E6C1D" w:rsidP="000552E5">
            <w:pPr>
              <w:jc w:val="center"/>
            </w:pPr>
          </w:p>
        </w:tc>
        <w:tc>
          <w:tcPr>
            <w:tcW w:w="1276" w:type="dxa"/>
          </w:tcPr>
          <w:p w14:paraId="5E07D6F5" w14:textId="77777777" w:rsidR="000E6C1D" w:rsidRPr="00AD1327" w:rsidRDefault="000E6C1D" w:rsidP="000552E5">
            <w:pPr>
              <w:jc w:val="center"/>
            </w:pPr>
            <w:r>
              <w:t>+/-</w:t>
            </w:r>
          </w:p>
        </w:tc>
        <w:tc>
          <w:tcPr>
            <w:tcW w:w="1134" w:type="dxa"/>
          </w:tcPr>
          <w:p w14:paraId="6DCE611F" w14:textId="77777777" w:rsidR="000E6C1D" w:rsidRPr="00AD1327" w:rsidRDefault="000E6C1D" w:rsidP="000552E5">
            <w:pPr>
              <w:jc w:val="center"/>
            </w:pPr>
            <w:r>
              <w:t>+</w:t>
            </w:r>
          </w:p>
        </w:tc>
      </w:tr>
    </w:tbl>
    <w:p w14:paraId="21ABA6DD" w14:textId="77777777" w:rsidR="000E6C1D" w:rsidRPr="000F0A89" w:rsidRDefault="000E6C1D" w:rsidP="005931D7">
      <w:pPr>
        <w:rPr>
          <w:b/>
          <w:bCs/>
        </w:rPr>
      </w:pPr>
    </w:p>
    <w:p w14:paraId="24C340AB" w14:textId="0FCEC0A9" w:rsidR="003A1A06" w:rsidRPr="000F0A89" w:rsidRDefault="001033DD" w:rsidP="007632DB">
      <w:pPr>
        <w:pStyle w:val="Heading1"/>
      </w:pPr>
      <w:r w:rsidRPr="000F0A89">
        <w:t xml:space="preserve">Discussion </w:t>
      </w:r>
    </w:p>
    <w:p w14:paraId="697D950C" w14:textId="77777777" w:rsidR="008D137F" w:rsidRPr="000F0A89" w:rsidRDefault="008D137F" w:rsidP="001C4E8A">
      <w:pPr>
        <w:spacing w:line="276" w:lineRule="auto"/>
        <w:jc w:val="both"/>
      </w:pPr>
    </w:p>
    <w:p w14:paraId="481FB081" w14:textId="4C2FE2D1" w:rsidR="009A7B45" w:rsidRPr="000F0A89" w:rsidRDefault="00355D41" w:rsidP="001C4E8A">
      <w:pPr>
        <w:spacing w:line="276" w:lineRule="auto"/>
        <w:jc w:val="both"/>
      </w:pPr>
      <w:r w:rsidRPr="000F0A89">
        <w:t xml:space="preserve">The need to understand how public health </w:t>
      </w:r>
      <w:r w:rsidR="002771A7" w:rsidRPr="000F0A89">
        <w:t>interventions</w:t>
      </w:r>
      <w:r w:rsidR="00B373BF" w:rsidRPr="000F0A89">
        <w:t xml:space="preserve">, </w:t>
      </w:r>
      <w:r w:rsidR="001968AB" w:rsidRPr="000F0A89">
        <w:t>(</w:t>
      </w:r>
      <w:r w:rsidR="00B373BF" w:rsidRPr="000F0A89">
        <w:t>such</w:t>
      </w:r>
      <w:r w:rsidR="002771A7" w:rsidRPr="000F0A89">
        <w:t xml:space="preserve"> </w:t>
      </w:r>
      <w:r w:rsidR="00D00A8F" w:rsidRPr="000F0A89">
        <w:t xml:space="preserve">as </w:t>
      </w:r>
      <w:r w:rsidR="00B373BF" w:rsidRPr="000F0A89">
        <w:t>Genie</w:t>
      </w:r>
      <w:r w:rsidR="001968AB" w:rsidRPr="000F0A89">
        <w:t>)</w:t>
      </w:r>
      <w:r w:rsidR="00B373BF" w:rsidRPr="000F0A89">
        <w:t xml:space="preserve">, </w:t>
      </w:r>
      <w:r w:rsidR="008D137F" w:rsidRPr="000F0A89">
        <w:t xml:space="preserve">can </w:t>
      </w:r>
      <w:r w:rsidRPr="000F0A89">
        <w:t xml:space="preserve">successfully </w:t>
      </w:r>
      <w:r w:rsidR="00174C19" w:rsidRPr="000F0A89">
        <w:t xml:space="preserve">be </w:t>
      </w:r>
      <w:r w:rsidRPr="000F0A89">
        <w:t xml:space="preserve">implemented, embedded and sustained in </w:t>
      </w:r>
      <w:r w:rsidR="00174C19" w:rsidRPr="000F0A89">
        <w:t xml:space="preserve">community settings </w:t>
      </w:r>
      <w:r w:rsidRPr="000F0A89">
        <w:t xml:space="preserve">is relevant </w:t>
      </w:r>
      <w:r w:rsidR="00174C19" w:rsidRPr="000F0A89">
        <w:t>to</w:t>
      </w:r>
      <w:r w:rsidRPr="000F0A89">
        <w:t xml:space="preserve"> executing </w:t>
      </w:r>
      <w:r w:rsidR="00D00A8F" w:rsidRPr="000F0A89">
        <w:t xml:space="preserve"> </w:t>
      </w:r>
      <w:r w:rsidR="00174C19" w:rsidRPr="000F0A89">
        <w:t xml:space="preserve"> </w:t>
      </w:r>
      <w:r w:rsidRPr="000F0A89">
        <w:t xml:space="preserve">contemporary health and social care </w:t>
      </w:r>
      <w:r w:rsidR="00821A71" w:rsidRPr="000F0A89">
        <w:t>initiatives</w:t>
      </w:r>
      <w:r w:rsidR="00D00A8F" w:rsidRPr="000F0A89">
        <w:t xml:space="preserve"> (e.g. social prescribing in the </w:t>
      </w:r>
      <w:r w:rsidR="00497D96" w:rsidRPr="000F0A89">
        <w:t>UK) where</w:t>
      </w:r>
      <w:r w:rsidR="00821A71" w:rsidRPr="000F0A89">
        <w:t xml:space="preserve"> </w:t>
      </w:r>
      <w:r w:rsidR="00174C19" w:rsidRPr="000F0A89">
        <w:t>these settings</w:t>
      </w:r>
      <w:r w:rsidR="00D00A8F" w:rsidRPr="000F0A89">
        <w:t xml:space="preserve"> are looked</w:t>
      </w:r>
      <w:r w:rsidR="00DC3A60" w:rsidRPr="000F0A89">
        <w:t xml:space="preserve"> at</w:t>
      </w:r>
      <w:r w:rsidR="00D00A8F" w:rsidRPr="000F0A89">
        <w:t xml:space="preserve"> to</w:t>
      </w:r>
      <w:r w:rsidR="00174C19" w:rsidRPr="000F0A89">
        <w:t xml:space="preserve"> </w:t>
      </w:r>
      <w:r w:rsidRPr="000F0A89">
        <w:t>provide</w:t>
      </w:r>
      <w:r w:rsidR="00174C19" w:rsidRPr="000F0A89">
        <w:t xml:space="preserve"> </w:t>
      </w:r>
      <w:r w:rsidRPr="000F0A89">
        <w:t xml:space="preserve">psychosocial support </w:t>
      </w:r>
      <w:r w:rsidR="00174C19" w:rsidRPr="000F0A89">
        <w:t>to people</w:t>
      </w:r>
      <w:r w:rsidR="009A7B45" w:rsidRPr="000F0A89">
        <w:t xml:space="preserve">. </w:t>
      </w:r>
      <w:r w:rsidR="00120036" w:rsidRPr="000F0A89">
        <w:t xml:space="preserve">This paper has examined </w:t>
      </w:r>
      <w:r w:rsidR="00081435" w:rsidRPr="000F0A89">
        <w:t>the nature of the optimal</w:t>
      </w:r>
      <w:r w:rsidR="00120036" w:rsidRPr="000F0A89">
        <w:t xml:space="preserve"> pre-implementation </w:t>
      </w:r>
      <w:r w:rsidR="00081435" w:rsidRPr="000F0A89">
        <w:t xml:space="preserve">context and the </w:t>
      </w:r>
      <w:r w:rsidR="00120036" w:rsidRPr="000F0A89">
        <w:t>arrangements</w:t>
      </w:r>
      <w:r w:rsidR="00081435" w:rsidRPr="000F0A89">
        <w:t xml:space="preserve"> that contribute towards this</w:t>
      </w:r>
      <w:r w:rsidR="001A1165" w:rsidRPr="000F0A89">
        <w:t xml:space="preserve"> (table 3 provides a summary)</w:t>
      </w:r>
      <w:r w:rsidR="004970A1" w:rsidRPr="000F0A89">
        <w:t xml:space="preserve">, and in doing so illustrates how the complex and differing settings found in </w:t>
      </w:r>
      <w:r w:rsidR="0097315A" w:rsidRPr="000F0A89">
        <w:t>open systems</w:t>
      </w:r>
      <w:r w:rsidR="004970A1" w:rsidRPr="000F0A89">
        <w:t xml:space="preserve"> demand different levels of pliability of the intervention. </w:t>
      </w:r>
      <w:r w:rsidR="00120036" w:rsidRPr="000F0A89">
        <w:t xml:space="preserve"> </w:t>
      </w:r>
    </w:p>
    <w:p w14:paraId="62E0A4C1" w14:textId="412D975B" w:rsidR="00120036" w:rsidRPr="000F0A89" w:rsidRDefault="004970A1" w:rsidP="00B373BF">
      <w:pPr>
        <w:spacing w:line="276" w:lineRule="auto"/>
        <w:jc w:val="both"/>
      </w:pPr>
      <w:r w:rsidRPr="000F0A89">
        <w:t xml:space="preserve"> </w:t>
      </w:r>
      <w:r w:rsidR="00B373BF" w:rsidRPr="000F0A89">
        <w:tab/>
      </w:r>
      <w:r w:rsidR="00D00A8F" w:rsidRPr="000F0A89">
        <w:t xml:space="preserve">We found that that </w:t>
      </w:r>
      <w:r w:rsidR="00120036" w:rsidRPr="000F0A89">
        <w:t>the CFIR is a useful framework for understanding the work required to achieve the optimal pre-implementation climate in open syst</w:t>
      </w:r>
      <w:r w:rsidR="00255CBD" w:rsidRPr="000F0A89">
        <w:t>em</w:t>
      </w:r>
      <w:r w:rsidR="00491EFF" w:rsidRPr="000F0A89">
        <w:t xml:space="preserve"> settings</w:t>
      </w:r>
      <w:r w:rsidR="00B373BF" w:rsidRPr="000F0A89">
        <w:t>. The CFIR</w:t>
      </w:r>
      <w:r w:rsidR="00D00A8F" w:rsidRPr="000F0A89">
        <w:t xml:space="preserve"> </w:t>
      </w:r>
      <w:r w:rsidR="00120036" w:rsidRPr="000F0A89">
        <w:t>illuminate</w:t>
      </w:r>
      <w:r w:rsidR="003C0E13" w:rsidRPr="000F0A89">
        <w:t>s</w:t>
      </w:r>
      <w:r w:rsidR="00120036" w:rsidRPr="000F0A89">
        <w:t xml:space="preserve"> the multiple </w:t>
      </w:r>
      <w:r w:rsidR="00B373BF" w:rsidRPr="000F0A89">
        <w:t>facets at</w:t>
      </w:r>
      <w:r w:rsidR="00120036" w:rsidRPr="000F0A89">
        <w:t xml:space="preserve"> play</w:t>
      </w:r>
      <w:r w:rsidR="00D42C20" w:rsidRPr="000F0A89">
        <w:t xml:space="preserve">, </w:t>
      </w:r>
      <w:r w:rsidR="001B616E" w:rsidRPr="000F0A89">
        <w:t xml:space="preserve">and </w:t>
      </w:r>
      <w:r w:rsidR="00D42C20" w:rsidRPr="000F0A89">
        <w:t>w</w:t>
      </w:r>
      <w:r w:rsidR="00120036" w:rsidRPr="000F0A89">
        <w:t xml:space="preserve">here flexibility is required and can be </w:t>
      </w:r>
      <w:r w:rsidR="00B77F65" w:rsidRPr="000F0A89">
        <w:t>achieved in</w:t>
      </w:r>
      <w:r w:rsidR="00C027F8" w:rsidRPr="000F0A89">
        <w:t xml:space="preserve"> </w:t>
      </w:r>
      <w:r w:rsidR="003009DB" w:rsidRPr="000F0A89">
        <w:t>the most structured of organisations to the most informal</w:t>
      </w:r>
      <w:r w:rsidR="00D00A8F" w:rsidRPr="000F0A89">
        <w:t xml:space="preserve">ly constituted </w:t>
      </w:r>
      <w:r w:rsidR="003009DB" w:rsidRPr="000F0A89">
        <w:t>gr</w:t>
      </w:r>
      <w:r w:rsidR="000344AE" w:rsidRPr="000F0A89">
        <w:t>oups</w:t>
      </w:r>
      <w:r w:rsidR="00120036" w:rsidRPr="000F0A89">
        <w:t>.</w:t>
      </w:r>
      <w:r w:rsidR="00B373BF" w:rsidRPr="000F0A89">
        <w:t xml:space="preserve"> </w:t>
      </w:r>
      <w:r w:rsidR="00D00A8F" w:rsidRPr="000F0A89">
        <w:t xml:space="preserve">In terms of </w:t>
      </w:r>
      <w:r w:rsidR="00B74CB0" w:rsidRPr="000F0A89">
        <w:t>influencing readiness for implementation</w:t>
      </w:r>
      <w:r w:rsidR="00885510" w:rsidRPr="000F0A89">
        <w:t xml:space="preserve"> </w:t>
      </w:r>
      <w:r w:rsidR="0028544D" w:rsidRPr="000F0A89">
        <w:t xml:space="preserve">and </w:t>
      </w:r>
      <w:r w:rsidR="00B74CB0" w:rsidRPr="000F0A89">
        <w:t>can be used to ascertain estimat</w:t>
      </w:r>
      <w:r w:rsidR="00D00A8F" w:rsidRPr="000F0A89">
        <w:t>es</w:t>
      </w:r>
      <w:r w:rsidR="00B74CB0" w:rsidRPr="000F0A89">
        <w:t xml:space="preserve"> regarding which </w:t>
      </w:r>
      <w:r w:rsidR="00CD1179" w:rsidRPr="000F0A89">
        <w:t>setting</w:t>
      </w:r>
      <w:r w:rsidR="00B74CB0" w:rsidRPr="000F0A89">
        <w:t xml:space="preserve"> ha</w:t>
      </w:r>
      <w:r w:rsidR="00CD1179" w:rsidRPr="000F0A89">
        <w:t xml:space="preserve">s </w:t>
      </w:r>
      <w:r w:rsidR="00B74CB0" w:rsidRPr="000F0A89">
        <w:t xml:space="preserve">the maximum chances of successful implementation. </w:t>
      </w:r>
      <w:r w:rsidR="00120036" w:rsidRPr="000F0A89">
        <w:t>Of relevance for</w:t>
      </w:r>
      <w:r w:rsidR="006D1332" w:rsidRPr="000F0A89">
        <w:t xml:space="preserve"> the more formally structured organisations </w:t>
      </w:r>
      <w:r w:rsidR="00120036" w:rsidRPr="000F0A89">
        <w:t xml:space="preserve">were the sub-concepts </w:t>
      </w:r>
      <w:r w:rsidR="00B373BF" w:rsidRPr="000F0A89">
        <w:t>‘</w:t>
      </w:r>
      <w:r w:rsidR="00120036" w:rsidRPr="000F0A89">
        <w:t>leadership engagement</w:t>
      </w:r>
      <w:r w:rsidR="00B373BF" w:rsidRPr="000F0A89">
        <w:t>’</w:t>
      </w:r>
      <w:r w:rsidR="00120036" w:rsidRPr="000F0A89">
        <w:t xml:space="preserve">, </w:t>
      </w:r>
      <w:r w:rsidR="00B373BF" w:rsidRPr="000F0A89">
        <w:t>‘</w:t>
      </w:r>
      <w:r w:rsidR="00120036" w:rsidRPr="000F0A89">
        <w:t>resource availability</w:t>
      </w:r>
      <w:r w:rsidR="00B373BF" w:rsidRPr="000F0A89">
        <w:t>’</w:t>
      </w:r>
      <w:r w:rsidR="00120036" w:rsidRPr="000F0A89">
        <w:t xml:space="preserve"> and </w:t>
      </w:r>
      <w:r w:rsidR="00B373BF" w:rsidRPr="000F0A89">
        <w:t>‘</w:t>
      </w:r>
      <w:r w:rsidR="00120036" w:rsidRPr="000F0A89">
        <w:t>patient needs</w:t>
      </w:r>
      <w:r w:rsidR="00B373BF" w:rsidRPr="000F0A89">
        <w:t>’</w:t>
      </w:r>
      <w:r w:rsidR="00120036" w:rsidRPr="000F0A89">
        <w:t xml:space="preserve">. Across all </w:t>
      </w:r>
      <w:r w:rsidR="002C3837" w:rsidRPr="000F0A89">
        <w:t>setting</w:t>
      </w:r>
      <w:r w:rsidR="00120036" w:rsidRPr="000F0A89">
        <w:t xml:space="preserve"> types leadership engagement was integral to being able to begin the pre-implementation work. This finding is consistent with </w:t>
      </w:r>
      <w:r w:rsidR="00120036" w:rsidRPr="000F0A89">
        <w:lastRenderedPageBreak/>
        <w:t>others</w:t>
      </w:r>
      <w:r w:rsidR="007B6EC9" w:rsidRPr="000F0A89">
        <w:t xml:space="preserve"> </w:t>
      </w:r>
      <w:r w:rsidR="007B6EC9" w:rsidRPr="000F0A89">
        <w:fldChar w:fldCharType="begin" w:fldLock="1"/>
      </w:r>
      <w:r w:rsidR="007E3818" w:rsidRPr="000F0A89">
        <w:instrText>ADDIN CSL_CITATION {"citationItems":[{"id":"ITEM-1","itemData":{"DOI":"10.1186/s13012-016-0494-3","ISSN":"17485908","abstract":"Implementing evidence-based practices (EBPs) to increase cancer screenings in safety net primary care systems has great potential for reducing cancer disparities. Yet there is a gap in understanding the factors and mechanisms that influence EBP implementation within these high-priority systems. Guided by the Consolidated Framework for Implementation Research (CFIR), our study aims to fill this gap with a multiple case study of health care safety net systems that were funded by an American Cancer Society (ACS) grants program to increase breast and colorectal cancer screening rates. The initiative funded 68 safety net systems to increase cancer screening through implementation of evidence-based provider and client-oriented strategies.","author":[{"dropping-particle":"","family":"Liang","given":"Shuting","non-dropping-particle":"","parse-names":false,"suffix":""},{"dropping-particle":"","family":"Kegler","given":"Michelle C.","non-dropping-particle":"","parse-names":false,"suffix":""},{"dropping-particle":"","family":"Cotter","given":"Megan","non-dropping-particle":"","parse-names":false,"suffix":""},{"dropping-particle":"","family":"Phillips","given":"Emily","non-dropping-particle":"","parse-names":false,"suffix":""},{"dropping-particle":"","family":"Beasley","given":"Derrick","non-dropping-particle":"","parse-names":false,"suffix":""},{"dropping-particle":"","family":"Hermstad","given":"April","non-dropping-particle":"","parse-names":false,"suffix":""},{"dropping-particle":"","family":"Morton","given":"Rentonia","non-dropping-particle":"","parse-names":false,"suffix":""},{"dropping-particle":"","family":"Martinez","given":"Jeremy","non-dropping-particle":"","parse-names":false,"suffix":""},{"dropping-particle":"","family":"Riehman","given":"Kara","non-dropping-particle":"","parse-names":false,"suffix":""}],"container-title":"Implementation Science","id":"ITEM-1","issue":"1","issued":{"date-parts":[["2016"]]},"page":"1-12","publisher":"Implementation Science","title":"Erratum to: 'Integrating evidence-based practices for increasing cancer screenings in safety net health systems: A multiple case study using the Consolidated Framework for Implementation Research' [Implement Sci., 11, (2016) (109)]","type":"article-journal","volume":"11"},"uris":["http://www.mendeley.com/documents/?uuid=52ee90b3-6075-405a-b3e0-77fe9a7bcad4"]},{"id":"ITEM-2","itemData":{"DOI":"10.1186/1748-5908-8-51","ISSN":"17485908","abstract":"BACKGROUND:In the United States, as in many other parts of the world, the prevalence of overweight/obesity is at epidemic proportions in the adult population and even higher among Veterans. To address the high prevalence of overweight/obesity among Veterans, the MOVE!(R) weight management program was disseminated nationally to Veteran Affairs (VA) medical centers. The objective of this paper is two-fold: to describe factors that explain the wide variation in implementation of MOVE!; and to illustrate, step-by-step, how to apply a theory-based framework using qualitative data.METHODS:Five VA facilities were selected to maximize variation in implementation effectiveness and geographic location. Twenty-four key stakeholders were interviewed at each of these facilities about their experiences in implementing MOVE!. The Consolidated Framework for Implementation Research (CFIR) was used to guide collection and analysis of qualitative data. Constructs that most strongly influence implementation effectiveness were identified through a cross-case comparison of ratings.RESULTS:Of the 31 CFIR constructs assessed, ten constructs strongly distinguished between facilities with low versus high program implementation effectiveness. The majority (six) were related to the inner setting: networks and communications; tension for change; relative priority; goals and feedback; learning climate; and leadership engagement. One construct each, from intervention characteristics (relative advantage) and outer setting (patient needs and resources), plus two from process (executing and reflecting) also strongly distinguished between high and low implementation. Two additional constructs weakly distinguished, 16 were mixed, three constructs had insufficient data to assess, and one was not applicable. Detailed descriptions of how each distinguishing construct manifested in study facilities and a table of recommendations is provided.CONCLUSIONS:This paper presents an approach for using the CFIR to code and rate qualitative data in a way that will facilitate comparisons across studies. An online Wiki resource (www.wiki.cfirwiki.net) is available, in addition to the information presented here, that contains much of the published information about the CFIR and its constructs and sub-constructs. We hope that the described approach and open access to the CFIR will generate wide use and encourage dialogue and continued refinement of both the framework and approaches for applying it.","author":[{"dropping-particle":"","family":"Damschroder","given":"Laura J.","non-dropping-particle":"","parse-names":false,"suffix":""},{"dropping-particle":"","family":"Lowery","given":"Julie C.","non-dropping-particle":"","parse-names":false,"suffix":""}],"container-title":"Implementation Science","id":"ITEM-2","issue":"1","issued":{"date-parts":[["2013"]]},"page":"1-17","title":"Evaluation of a large-scale weight management program using the consolidated framework for implementation research (CFIR)","type":"article-journal","volume":"8"},"uris":["http://www.mendeley.com/documents/?uuid=37ee7f3c-0263-4459-9415-36c98d3504e4"]}],"mendeley":{"formattedCitation":"(31,32)","plainTextFormattedCitation":"(31,32)","previouslyFormattedCitation":"(30,31)"},"properties":{"noteIndex":0},"schema":"https://github.com/citation-style-language/schema/raw/master/csl-citation.json"}</w:instrText>
      </w:r>
      <w:r w:rsidR="007B6EC9" w:rsidRPr="000F0A89">
        <w:fldChar w:fldCharType="separate"/>
      </w:r>
      <w:r w:rsidR="007E3818" w:rsidRPr="000F0A89">
        <w:rPr>
          <w:noProof/>
        </w:rPr>
        <w:t>(31,32)</w:t>
      </w:r>
      <w:r w:rsidR="007B6EC9" w:rsidRPr="000F0A89">
        <w:fldChar w:fldCharType="end"/>
      </w:r>
      <w:r w:rsidR="00120036" w:rsidRPr="000F0A89">
        <w:t xml:space="preserve"> and adds to the literature by demonstrating the importance of leadership engagement</w:t>
      </w:r>
      <w:r w:rsidR="00D83F3D" w:rsidRPr="000F0A89">
        <w:t xml:space="preserve"> </w:t>
      </w:r>
      <w:r w:rsidR="00821A71" w:rsidRPr="000F0A89">
        <w:t xml:space="preserve">for </w:t>
      </w:r>
      <w:r w:rsidR="00D83F3D" w:rsidRPr="000F0A89">
        <w:t>successful implementa</w:t>
      </w:r>
      <w:r w:rsidR="006C75E8" w:rsidRPr="000F0A89">
        <w:t>tion</w:t>
      </w:r>
      <w:r w:rsidR="00120036" w:rsidRPr="000F0A89">
        <w:t xml:space="preserve"> across </w:t>
      </w:r>
      <w:r w:rsidR="006C75E8" w:rsidRPr="000F0A89">
        <w:t>the different settings found in open-systems</w:t>
      </w:r>
      <w:r w:rsidR="00E601D2" w:rsidRPr="000F0A89">
        <w:t xml:space="preserve">. </w:t>
      </w:r>
      <w:r w:rsidR="00120036" w:rsidRPr="000F0A89">
        <w:t xml:space="preserve">With leadership engagement flexibility within </w:t>
      </w:r>
      <w:r w:rsidR="00805615" w:rsidRPr="000F0A89">
        <w:t>settings</w:t>
      </w:r>
      <w:r w:rsidR="00120036" w:rsidRPr="000F0A89">
        <w:t xml:space="preserve"> was more easily found</w:t>
      </w:r>
      <w:r w:rsidR="00805615" w:rsidRPr="000F0A89">
        <w:t xml:space="preserve">. </w:t>
      </w:r>
      <w:r w:rsidR="00B74CB0" w:rsidRPr="000F0A89">
        <w:t xml:space="preserve">This is important as lack of </w:t>
      </w:r>
      <w:r w:rsidR="00805615" w:rsidRPr="000F0A89">
        <w:t xml:space="preserve">elasticity </w:t>
      </w:r>
      <w:r w:rsidR="00C65690" w:rsidRPr="000F0A89">
        <w:t xml:space="preserve">and available resources </w:t>
      </w:r>
      <w:r w:rsidR="00805615" w:rsidRPr="000F0A89">
        <w:t>in a setting</w:t>
      </w:r>
      <w:r w:rsidR="00B74CB0" w:rsidRPr="000F0A89">
        <w:t xml:space="preserve"> can </w:t>
      </w:r>
      <w:r w:rsidR="00805615" w:rsidRPr="000F0A89">
        <w:t xml:space="preserve">impact </w:t>
      </w:r>
      <w:r w:rsidR="00B74CB0" w:rsidRPr="000F0A89">
        <w:t>negative</w:t>
      </w:r>
      <w:r w:rsidR="00805615" w:rsidRPr="000F0A89">
        <w:t>ly</w:t>
      </w:r>
      <w:r w:rsidR="00B74CB0" w:rsidRPr="000F0A89">
        <w:t xml:space="preserve"> on implementation</w:t>
      </w:r>
      <w:r w:rsidR="00805615" w:rsidRPr="000F0A89">
        <w:t xml:space="preserve"> and ultimately sustainability</w:t>
      </w:r>
      <w:r w:rsidR="007B6EC9" w:rsidRPr="000F0A89">
        <w:t xml:space="preserve"> </w:t>
      </w:r>
      <w:r w:rsidR="007B6EC9" w:rsidRPr="000F0A89">
        <w:fldChar w:fldCharType="begin" w:fldLock="1"/>
      </w:r>
      <w:r w:rsidR="007E3818" w:rsidRPr="000F0A89">
        <w:instrText>ADDIN CSL_CITATION {"citationItems":[{"id":"ITEM-1","itemData":{"DOI":"10.1186/1748-5908-8-117","ISSN":"17485908","abstract":"BACKGROUND: Despite growth in implementation research, limited scientific attention has focused on understanding and improving sustainability of health interventions. Models of sustainability have been evolving to reflect challenges in the fit between intervention and context.\\n\\nDISCUSSION: We examine the development of concepts of sustainability, and respond to two frequent assumptions -'voltage drop,' whereby interventions are expected to yield lower benefits as they move from efficacy to effectiveness to implementation and sustainability, and 'program drift,' whereby deviation from manualized protocols is assumed to decrease benefit. We posit that these assumptions limit opportunities to improve care, and instead argue for understanding the changing context of healthcare to continuously refine and improve interventions as they are sustained. Sustainability has evolved from being considered as the endgame of a translational research process to a suggested 'adaptation phase' that integrates and institutionalizes interventions within local organizational and cultural contexts. These recent approaches locate sustainability in the implementation phase of knowledge transfer, but still do not address intervention improvement as a central theme. We propose a Dynamic Sustainability Framework that involves: continued learning and problem solving, ongoing adaptation of interventions with a primary focus on fit between interventions and multi-level contexts, and expectations for ongoing improvement as opposed to diminishing outcomes over time.\\n\\nSUMMARY: A Dynamic Sustainability Framework provides a foundation for research, policy and practice that supports development and testing of falsifiable hypotheses and continued learning to advance the implementation, transportability and impact of health services research.","author":[{"dropping-particle":"","family":"Chambers","given":"David A.","non-dropping-particle":"","parse-names":false,"suffix":""},{"dropping-particle":"","family":"Glasgow","given":"Russell E.","non-dropping-particle":"","parse-names":false,"suffix":""},{"dropping-particle":"","family":"Stange","given":"Kurt C.","non-dropping-particle":"","parse-names":false,"suffix":""}],"container-title":"Implementation Science","id":"ITEM-1","issue":"1","issued":{"date-parts":[["2013"]]},"page":"1-11","title":"The dynamic sustainability framework: Addressing the paradox of sustainment amid ongoing change","type":"article-journal","volume":"8"},"uris":["http://www.mendeley.com/documents/?uuid=df380dfc-5b83-45a8-9b99-ebfb7e776222"]}],"mendeley":{"formattedCitation":"(13)","plainTextFormattedCitation":"(13)","previouslyFormattedCitation":"(12)"},"properties":{"noteIndex":0},"schema":"https://github.com/citation-style-language/schema/raw/master/csl-citation.json"}</w:instrText>
      </w:r>
      <w:r w:rsidR="007B6EC9" w:rsidRPr="000F0A89">
        <w:fldChar w:fldCharType="separate"/>
      </w:r>
      <w:r w:rsidR="007E3818" w:rsidRPr="000F0A89">
        <w:rPr>
          <w:noProof/>
        </w:rPr>
        <w:t>(13)</w:t>
      </w:r>
      <w:r w:rsidR="007B6EC9" w:rsidRPr="000F0A89">
        <w:fldChar w:fldCharType="end"/>
      </w:r>
      <w:r w:rsidR="00B74CB0" w:rsidRPr="000F0A89">
        <w:t xml:space="preserve">. </w:t>
      </w:r>
    </w:p>
    <w:p w14:paraId="58131CF4" w14:textId="453FBE84" w:rsidR="00120036" w:rsidRPr="000F0A89" w:rsidRDefault="00C65690" w:rsidP="007F7559">
      <w:pPr>
        <w:spacing w:line="276" w:lineRule="auto"/>
        <w:ind w:firstLine="720"/>
        <w:jc w:val="both"/>
      </w:pPr>
      <w:r w:rsidRPr="000F0A89">
        <w:t xml:space="preserve">The </w:t>
      </w:r>
      <w:r w:rsidR="00D83F3D" w:rsidRPr="000F0A89">
        <w:t>CFIR was useful at illu</w:t>
      </w:r>
      <w:r w:rsidR="00D00A8F" w:rsidRPr="000F0A89">
        <w:t xml:space="preserve">minating </w:t>
      </w:r>
      <w:r w:rsidR="00B373BF" w:rsidRPr="000F0A89">
        <w:t>the</w:t>
      </w:r>
      <w:r w:rsidR="00D83F3D" w:rsidRPr="000F0A89">
        <w:t xml:space="preserve"> similarities and differences between and across settings, and in doing so </w:t>
      </w:r>
      <w:r w:rsidR="00821A71" w:rsidRPr="000F0A89">
        <w:t xml:space="preserve">highlighting </w:t>
      </w:r>
      <w:r w:rsidR="00D83F3D" w:rsidRPr="000F0A89">
        <w:t>the complexity of open</w:t>
      </w:r>
      <w:r w:rsidR="00B373BF" w:rsidRPr="000F0A89">
        <w:t>-</w:t>
      </w:r>
      <w:r w:rsidR="00D83F3D" w:rsidRPr="000F0A89">
        <w:t xml:space="preserve">system settings. Specifically, </w:t>
      </w:r>
      <w:r w:rsidR="00BA53CB" w:rsidRPr="000F0A89">
        <w:t xml:space="preserve">although presented as three categories, </w:t>
      </w:r>
      <w:r w:rsidR="00D83F3D" w:rsidRPr="000F0A89">
        <w:t xml:space="preserve">settings </w:t>
      </w:r>
      <w:r w:rsidR="00BA53CB" w:rsidRPr="000F0A89">
        <w:t xml:space="preserve">actually fall along a continuum and have </w:t>
      </w:r>
      <w:r w:rsidR="00D83F3D" w:rsidRPr="000F0A89">
        <w:t xml:space="preserve">‘more or less’ elements of </w:t>
      </w:r>
      <w:r w:rsidR="00BA53CB" w:rsidRPr="000F0A89">
        <w:t xml:space="preserve">the three presented categories. </w:t>
      </w:r>
      <w:r w:rsidR="00D83F3D" w:rsidRPr="000F0A89">
        <w:t xml:space="preserve">Settings </w:t>
      </w:r>
      <w:r w:rsidR="007F7559" w:rsidRPr="000F0A89">
        <w:t xml:space="preserve">displaying </w:t>
      </w:r>
      <w:r w:rsidR="00D83F3D" w:rsidRPr="000F0A89">
        <w:t>more Fully</w:t>
      </w:r>
      <w:r w:rsidR="009D3255" w:rsidRPr="000F0A89">
        <w:t xml:space="preserve"> </w:t>
      </w:r>
      <w:r w:rsidR="00D83F3D" w:rsidRPr="000F0A89">
        <w:t xml:space="preserve">Professionalised </w:t>
      </w:r>
      <w:r w:rsidR="009D3255" w:rsidRPr="000F0A89">
        <w:t xml:space="preserve">Organisations </w:t>
      </w:r>
      <w:r w:rsidR="00D83F3D" w:rsidRPr="000F0A89">
        <w:t xml:space="preserve">and Aspirational elements were most affected by the political landscape, which would impact upon resource availability and leadership engagement. Yet, the political landscape impacted upon all settings found within the </w:t>
      </w:r>
      <w:r w:rsidR="0097315A" w:rsidRPr="000F0A89">
        <w:t>open system</w:t>
      </w:r>
      <w:r w:rsidR="00330C9D" w:rsidRPr="000F0A89">
        <w:t xml:space="preserve"> in one way, as t</w:t>
      </w:r>
      <w:r w:rsidR="00D83F3D" w:rsidRPr="000F0A89">
        <w:t>he impact of the UK’s</w:t>
      </w:r>
      <w:r w:rsidR="00B74CB0" w:rsidRPr="000F0A89">
        <w:t xml:space="preserve"> austerity agenda of the last 10 years </w:t>
      </w:r>
      <w:r w:rsidR="00805615" w:rsidRPr="000F0A89">
        <w:t xml:space="preserve">was seen </w:t>
      </w:r>
      <w:r w:rsidR="00330C9D" w:rsidRPr="000F0A89">
        <w:t>to affect</w:t>
      </w:r>
      <w:r w:rsidR="00B74CB0" w:rsidRPr="000F0A89">
        <w:t xml:space="preserve"> capacity.</w:t>
      </w:r>
      <w:r w:rsidR="007F7559" w:rsidRPr="000F0A89">
        <w:t xml:space="preserve"> </w:t>
      </w:r>
      <w:r w:rsidRPr="000F0A89">
        <w:t xml:space="preserve">The </w:t>
      </w:r>
      <w:r w:rsidR="007F7559" w:rsidRPr="000F0A89">
        <w:t xml:space="preserve">more </w:t>
      </w:r>
      <w:r w:rsidR="00330C9D" w:rsidRPr="000F0A89">
        <w:t>F</w:t>
      </w:r>
      <w:r w:rsidR="007F7559" w:rsidRPr="000F0A89">
        <w:t>ully</w:t>
      </w:r>
      <w:r w:rsidR="009D3255" w:rsidRPr="000F0A89">
        <w:t xml:space="preserve"> </w:t>
      </w:r>
      <w:r w:rsidR="00330C9D" w:rsidRPr="000F0A89">
        <w:t>P</w:t>
      </w:r>
      <w:r w:rsidR="007F7559" w:rsidRPr="000F0A89">
        <w:t>rofessionalised leaning</w:t>
      </w:r>
      <w:r w:rsidRPr="000F0A89">
        <w:t xml:space="preserve"> settings</w:t>
      </w:r>
      <w:r w:rsidR="007F7559" w:rsidRPr="000F0A89">
        <w:t xml:space="preserve"> a</w:t>
      </w:r>
      <w:r w:rsidR="00B74CB0" w:rsidRPr="000F0A89">
        <w:t xml:space="preserve">ppeared most resilient to the impact of austerity </w:t>
      </w:r>
      <w:r w:rsidR="007F7559" w:rsidRPr="000F0A89">
        <w:t>(</w:t>
      </w:r>
      <w:r w:rsidR="00B74CB0" w:rsidRPr="000F0A89">
        <w:t>although they were not immune</w:t>
      </w:r>
      <w:r w:rsidR="007F7559" w:rsidRPr="000F0A89">
        <w:t>)</w:t>
      </w:r>
      <w:r w:rsidRPr="000F0A89">
        <w:t xml:space="preserve">, </w:t>
      </w:r>
      <w:r w:rsidR="00497D96" w:rsidRPr="000F0A89">
        <w:t>while NPCB</w:t>
      </w:r>
      <w:r w:rsidR="007F7559" w:rsidRPr="000F0A89">
        <w:t xml:space="preserve"> leaning </w:t>
      </w:r>
      <w:r w:rsidRPr="000F0A89">
        <w:t xml:space="preserve">settings </w:t>
      </w:r>
      <w:r w:rsidR="007F7559" w:rsidRPr="000F0A89">
        <w:t>appeared most resolute to achieving implementation to combat the effects of austerity and ‘make a difference’</w:t>
      </w:r>
      <w:r w:rsidR="00B74CB0" w:rsidRPr="000F0A89">
        <w:t xml:space="preserve">. </w:t>
      </w:r>
      <w:r w:rsidR="007F7559" w:rsidRPr="000F0A89">
        <w:t xml:space="preserve">Yet it was the impact on the capacity of more </w:t>
      </w:r>
      <w:r w:rsidR="00330C9D" w:rsidRPr="000F0A89">
        <w:t>F</w:t>
      </w:r>
      <w:r w:rsidR="007F7559" w:rsidRPr="000F0A89">
        <w:t>ully</w:t>
      </w:r>
      <w:r w:rsidR="009D3255" w:rsidRPr="000F0A89">
        <w:t xml:space="preserve"> </w:t>
      </w:r>
      <w:r w:rsidR="00330C9D" w:rsidRPr="000F0A89">
        <w:t>P</w:t>
      </w:r>
      <w:r w:rsidR="007F7559" w:rsidRPr="000F0A89">
        <w:t xml:space="preserve">rofessionalised and </w:t>
      </w:r>
      <w:r w:rsidR="00330C9D" w:rsidRPr="000F0A89">
        <w:t>As</w:t>
      </w:r>
      <w:r w:rsidR="007F7559" w:rsidRPr="000F0A89">
        <w:t>pirational</w:t>
      </w:r>
      <w:r w:rsidR="009D3255" w:rsidRPr="000F0A89">
        <w:t xml:space="preserve"> CVSE</w:t>
      </w:r>
      <w:r w:rsidR="007F7559" w:rsidRPr="000F0A89">
        <w:t xml:space="preserve"> settings that demanded pliability (seen in the </w:t>
      </w:r>
      <w:r w:rsidR="00BA53CB" w:rsidRPr="000F0A89">
        <w:t xml:space="preserve">need for the intervention team to work flexibly within the stated protocol </w:t>
      </w:r>
      <w:r w:rsidR="007F7559" w:rsidRPr="000F0A89">
        <w:t xml:space="preserve">and </w:t>
      </w:r>
      <w:r w:rsidR="00BA53CB" w:rsidRPr="000F0A89">
        <w:t xml:space="preserve">assist in the </w:t>
      </w:r>
      <w:r w:rsidR="007F7559" w:rsidRPr="000F0A89">
        <w:t xml:space="preserve">recruitment of volunteers). </w:t>
      </w:r>
      <w:r w:rsidR="00B74CB0" w:rsidRPr="000F0A89">
        <w:t>MacMilan and Ellis-Pain’s</w:t>
      </w:r>
      <w:r w:rsidR="005D2926" w:rsidRPr="000F0A89">
        <w:t xml:space="preserve"> </w:t>
      </w:r>
      <w:r w:rsidR="005D2926" w:rsidRPr="000F0A89">
        <w:fldChar w:fldCharType="begin" w:fldLock="1"/>
      </w:r>
      <w:r w:rsidR="007E3818" w:rsidRPr="000F0A89">
        <w:instrText>ADDIN CSL_CITATION {"citationItems":[{"id":"ITEM-1","itemData":{"author":[{"dropping-particle":"","family":"MacMillan","given":"R","non-dropping-particle":"","parse-names":false,"suffix":""},{"dropping-particle":"","family":"Ellis-Pain","given":"A","non-dropping-particle":"","parse-names":false,"suffix":""}],"chapter-number":"Ten Years","collection-title":"TSRC Working Paper","editor":[{"dropping-particle":"","family":"McCabe","given":"Angus","non-dropping-particle":"","parse-names":false,"suffix":""}],"id":"ITEM-1","issue":"November","issued":{"date-parts":[["2018"]]},"number":"143","publisher":"Ten Years Below the Radar: Reflections on Voluntary and Community Action 2008-2018","title":"Real time change: Reflections from qualitative longitundinal research on voluntary action.","type":"report"},"uris":["http://www.mendeley.com/documents/?uuid=91b48376-c4fa-4f4a-8673-f0318f663881"]}],"mendeley":{"formattedCitation":"(33)","plainTextFormattedCitation":"(33)","previouslyFormattedCitation":"(32)"},"properties":{"noteIndex":0},"schema":"https://github.com/citation-style-language/schema/raw/master/csl-citation.json"}</w:instrText>
      </w:r>
      <w:r w:rsidR="005D2926" w:rsidRPr="000F0A89">
        <w:fldChar w:fldCharType="separate"/>
      </w:r>
      <w:r w:rsidR="007E3818" w:rsidRPr="000F0A89">
        <w:rPr>
          <w:noProof/>
        </w:rPr>
        <w:t>(33)</w:t>
      </w:r>
      <w:r w:rsidR="005D2926" w:rsidRPr="000F0A89">
        <w:fldChar w:fldCharType="end"/>
      </w:r>
      <w:r w:rsidR="00B74CB0" w:rsidRPr="000F0A89">
        <w:t xml:space="preserve"> observ</w:t>
      </w:r>
      <w:r w:rsidR="007F7559" w:rsidRPr="000F0A89">
        <w:t xml:space="preserve">ed </w:t>
      </w:r>
      <w:r w:rsidR="00B74CB0" w:rsidRPr="000F0A89">
        <w:t xml:space="preserve">that </w:t>
      </w:r>
      <w:r w:rsidR="00D00A8F" w:rsidRPr="000F0A89">
        <w:t xml:space="preserve">budgetary constraining on </w:t>
      </w:r>
      <w:r w:rsidR="00B74CB0" w:rsidRPr="000F0A89">
        <w:t xml:space="preserve">front line work of community organisations is highly pressurised, </w:t>
      </w:r>
      <w:r w:rsidR="00CC5903" w:rsidRPr="000F0A89">
        <w:t>pos</w:t>
      </w:r>
      <w:r w:rsidR="00D00A8F" w:rsidRPr="000F0A89">
        <w:t xml:space="preserve">iting </w:t>
      </w:r>
      <w:r w:rsidR="00CC5903" w:rsidRPr="000F0A89">
        <w:t>question</w:t>
      </w:r>
      <w:r w:rsidR="00D00A8F" w:rsidRPr="000F0A89">
        <w:t>s</w:t>
      </w:r>
      <w:r w:rsidR="00CC5903" w:rsidRPr="000F0A89">
        <w:t xml:space="preserve"> regarding </w:t>
      </w:r>
      <w:r w:rsidR="00D00A8F" w:rsidRPr="000F0A89">
        <w:t>future</w:t>
      </w:r>
      <w:r w:rsidR="00CC5903" w:rsidRPr="000F0A89">
        <w:t xml:space="preserve"> </w:t>
      </w:r>
      <w:r w:rsidR="00B74CB0" w:rsidRPr="000F0A89">
        <w:t xml:space="preserve">implementation and sustainability. </w:t>
      </w:r>
      <w:r w:rsidR="00CC5903" w:rsidRPr="000F0A89">
        <w:t>W</w:t>
      </w:r>
      <w:r w:rsidR="00595983" w:rsidRPr="000F0A89">
        <w:t>ith</w:t>
      </w:r>
      <w:r w:rsidRPr="000F0A89">
        <w:t>in</w:t>
      </w:r>
      <w:r w:rsidR="00D00A8F" w:rsidRPr="000F0A89">
        <w:t xml:space="preserve"> </w:t>
      </w:r>
      <w:r w:rsidR="00330C9D" w:rsidRPr="000F0A89">
        <w:t>this</w:t>
      </w:r>
      <w:r w:rsidR="00B74CB0" w:rsidRPr="000F0A89">
        <w:t xml:space="preserve"> political landscape </w:t>
      </w:r>
      <w:r w:rsidR="00CC5903" w:rsidRPr="000F0A89">
        <w:t>all settings</w:t>
      </w:r>
      <w:r w:rsidR="00B74CB0" w:rsidRPr="000F0A89">
        <w:t xml:space="preserve"> are </w:t>
      </w:r>
      <w:r w:rsidR="00595983" w:rsidRPr="000F0A89">
        <w:t>having to be</w:t>
      </w:r>
      <w:r w:rsidR="00B74CB0" w:rsidRPr="000F0A89">
        <w:t xml:space="preserve"> more creative and pioneering</w:t>
      </w:r>
      <w:r w:rsidR="00770604" w:rsidRPr="000F0A89">
        <w:t xml:space="preserve"> </w:t>
      </w:r>
      <w:r w:rsidR="00770604" w:rsidRPr="000F0A89">
        <w:fldChar w:fldCharType="begin" w:fldLock="1"/>
      </w:r>
      <w:r w:rsidR="007E3818" w:rsidRPr="000F0A89">
        <w:instrText>ADDIN CSL_CITATION {"citationItems":[{"id":"ITEM-1","itemData":{"DOI":"10.1017/S0047279412000086","ISSN":"00472794","abstract":"The impacts of government contracting on third sector organisations (TSOs) have attracted much discussion; however, the diversity of the organisations that comprise the third sector means that these impacts in fact vary considerably between TSOs. In order to better understand this complexity and to analyse and articulate TSOs’ experiences more effectively, it is useful to think about different response types. Based on empirical evidence from a study of homelessness TSOs in two South East England local authorities, this paper presents a typology of organisational responses to contracting. The four types identified are: Comfortable Contractors, Compliant Contractors, Cautious Contractors, and Community-Based Non-Contractors. The varied experiences of these different types of organisation with regard to contracting are described in the paper and point to the need for greater precision and differentiation within academic debates, and in the formulation of social policy relating to the third sector.","author":[{"dropping-particle":"","family":"Buckingham","given":"Heather","non-dropping-particle":"","parse-names":false,"suffix":""}],"container-title":"Journal of Social Policy","id":"ITEM-1","issue":"3","issued":{"date-parts":[["2012"]]},"page":"569-589","title":"Capturing diversity: A typology of third sector organisations' responses to contracting based on empirical evidence from homelessness services","type":"article-journal","volume":"41"},"uris":["http://www.mendeley.com/documents/?uuid=63b78931-4b69-4887-a42a-beda34cc6ce5"]}],"mendeley":{"formattedCitation":"(28)","plainTextFormattedCitation":"(28)","previouslyFormattedCitation":"(27)"},"properties":{"noteIndex":0},"schema":"https://github.com/citation-style-language/schema/raw/master/csl-citation.json"}</w:instrText>
      </w:r>
      <w:r w:rsidR="00770604" w:rsidRPr="000F0A89">
        <w:fldChar w:fldCharType="separate"/>
      </w:r>
      <w:r w:rsidR="007E3818" w:rsidRPr="000F0A89">
        <w:rPr>
          <w:noProof/>
        </w:rPr>
        <w:t>(28)</w:t>
      </w:r>
      <w:r w:rsidR="00770604" w:rsidRPr="000F0A89">
        <w:fldChar w:fldCharType="end"/>
      </w:r>
      <w:r w:rsidR="00B74CB0" w:rsidRPr="000F0A89">
        <w:t xml:space="preserve"> in order to be more competitive to ensure their own survival </w:t>
      </w:r>
      <w:r w:rsidR="005D2926" w:rsidRPr="000F0A89">
        <w:fldChar w:fldCharType="begin" w:fldLock="1"/>
      </w:r>
      <w:r w:rsidR="007E3818" w:rsidRPr="000F0A89">
        <w:instrText>ADDIN CSL_CITATION {"citationItems":[{"id":"ITEM-1","itemData":{"author":[{"dropping-particle":"","family":"MacMillan","given":"R","non-dropping-particle":"","parse-names":false,"suffix":""},{"dropping-particle":"","family":"Ellis-Pain","given":"A","non-dropping-particle":"","parse-names":false,"suffix":""}],"chapter-number":"Ten Years","collection-title":"TSRC Working Paper","editor":[{"dropping-particle":"","family":"McCabe","given":"Angus","non-dropping-particle":"","parse-names":false,"suffix":""}],"id":"ITEM-1","issue":"November","issued":{"date-parts":[["2018"]]},"number":"143","publisher":"Ten Years Below the Radar: Reflections on Voluntary and Community Action 2008-2018","title":"Real time change: Reflections from qualitative longitundinal research on voluntary action.","type":"report"},"uris":["http://www.mendeley.com/documents/?uuid=91b48376-c4fa-4f4a-8673-f0318f663881"]}],"mendeley":{"formattedCitation":"(33)","plainTextFormattedCitation":"(33)","previouslyFormattedCitation":"(32)"},"properties":{"noteIndex":0},"schema":"https://github.com/citation-style-language/schema/raw/master/csl-citation.json"}</w:instrText>
      </w:r>
      <w:r w:rsidR="005D2926" w:rsidRPr="000F0A89">
        <w:fldChar w:fldCharType="separate"/>
      </w:r>
      <w:r w:rsidR="007E3818" w:rsidRPr="000F0A89">
        <w:rPr>
          <w:noProof/>
        </w:rPr>
        <w:t>(33)</w:t>
      </w:r>
      <w:r w:rsidR="005D2926" w:rsidRPr="000F0A89">
        <w:fldChar w:fldCharType="end"/>
      </w:r>
      <w:r w:rsidR="00B74CB0" w:rsidRPr="000F0A89">
        <w:t>, which</w:t>
      </w:r>
      <w:r w:rsidR="00CC5903" w:rsidRPr="000F0A89">
        <w:t xml:space="preserve"> perhaps contributed towards the fuzzy boundaries between settings, as settings try to adapt to survive. </w:t>
      </w:r>
    </w:p>
    <w:p w14:paraId="7C0255BE" w14:textId="6C249EC4" w:rsidR="00120036" w:rsidRPr="000F0A89" w:rsidRDefault="00B74CB0" w:rsidP="00595983">
      <w:pPr>
        <w:spacing w:line="276" w:lineRule="auto"/>
        <w:jc w:val="both"/>
      </w:pPr>
      <w:r w:rsidRPr="000F0A89">
        <w:tab/>
        <w:t xml:space="preserve">The findings illustrate the contextual demands when implementing in </w:t>
      </w:r>
      <w:r w:rsidR="0097315A" w:rsidRPr="000F0A89">
        <w:t>open systems</w:t>
      </w:r>
      <w:r w:rsidR="00330C9D" w:rsidRPr="000F0A89">
        <w:t xml:space="preserve">, </w:t>
      </w:r>
      <w:r w:rsidRPr="000F0A89">
        <w:t>highlight</w:t>
      </w:r>
      <w:r w:rsidR="00D00A8F" w:rsidRPr="000F0A89">
        <w:t>ing</w:t>
      </w:r>
      <w:r w:rsidR="00821A71" w:rsidRPr="000F0A89">
        <w:t xml:space="preserve"> </w:t>
      </w:r>
      <w:r w:rsidRPr="000F0A89">
        <w:t xml:space="preserve">the elasticity achievable in each context and the </w:t>
      </w:r>
      <w:r w:rsidR="00C42C3A" w:rsidRPr="000F0A89">
        <w:t>pliabil</w:t>
      </w:r>
      <w:r w:rsidR="00821A71" w:rsidRPr="000F0A89">
        <w:t>i</w:t>
      </w:r>
      <w:r w:rsidR="00C42C3A" w:rsidRPr="000F0A89">
        <w:t>ty</w:t>
      </w:r>
      <w:r w:rsidRPr="000F0A89">
        <w:t xml:space="preserve"> required of the intervention. </w:t>
      </w:r>
      <w:r w:rsidR="0084715E" w:rsidRPr="000F0A89">
        <w:t>Furthermore,</w:t>
      </w:r>
      <w:r w:rsidR="00595983" w:rsidRPr="000F0A89">
        <w:t xml:space="preserve"> they</w:t>
      </w:r>
      <w:r w:rsidRPr="000F0A89">
        <w:t xml:space="preserve"> support the literature regarding</w:t>
      </w:r>
      <w:r w:rsidR="00DC3A60" w:rsidRPr="000F0A89">
        <w:t xml:space="preserve"> how</w:t>
      </w:r>
      <w:r w:rsidRPr="000F0A89">
        <w:t xml:space="preserve"> failure to engage with complexity can lead to non-adaptation or abandonment</w:t>
      </w:r>
      <w:r w:rsidR="00770604" w:rsidRPr="000F0A89">
        <w:t xml:space="preserve"> </w:t>
      </w:r>
      <w:r w:rsidR="00770604" w:rsidRPr="000F0A89">
        <w:fldChar w:fldCharType="begin" w:fldLock="1"/>
      </w:r>
      <w:r w:rsidR="007E3818" w:rsidRPr="000F0A89">
        <w:instrText>ADDIN CSL_CITATION {"citationItems":[{"id":"ITEM-1","itemData":{"DOI":"10.1186/s12916-018-1050-6","ISSN":"17417015","abstract":"© 2018 The Author(s). Background: Failures and partial successes are common in technology-supported innovation programmes in health and social care. Complexity theory can help explain why. Phenomena may be simple (straightforward, predictable, few components), complicated (multiple interacting components or issues) or complex (dynamic, unpredictable, not easily disaggregated into constituent components). The recently published NASSS framework applies this taxonomy to explain Non-adoption or Abandonment of technology by individuals and difficulties achieving Scale-up, Spread and Sustainability. This paper reports the first empirical application of the NASSS framework. Methods: Six technology-supported programmes were studied using ethnography and action research for up to 3 years across 20 health and care organisations and 10 national-level bodies. They comprised video outpatient consultations, GPS tracking technology for cognitive impairment, pendant alarm services, remote biomarker monitoring for heart failure, care organising software and integrated case management via data warehousing. Data were collected at three levels: micro (individual technology users), meso (organisational processes and systems) and macro (national policy and wider context). Data analysis and synthesis were guided by socio-technical theories and organised around the seven NASSS domains: (1) the condition or illness, (2) the technology, (3) the value proposition, (4) the adopter system (professional staff, patients and lay carers), (5) the organisation(s), (6) the wider (institutional and societal) system and (7) interaction and mutual adaptation among all these domains over time. Results: The study generated more than 400 h of ethnographic observation, 165 semi-structured interviews and 200 documents. The six case studies raised multiple challenges across all seven domains. Complexity was a common feature of all programmes. In particular, individuals' health and care needs were often complex and hence unpredictable and 'off algorithm'. Programmes in which multiple domains were complicated proved difficult, slow and expensive to implement. Those in which multiple domains were complex did not become mainstreamed (or, if mainstreamed, did not deliver key intended outputs). Conclusion: The NASSS framework helped explain the successes, failures and changing fortunes of this diverse sample of technology-supported programmes. Since failure is often linked to complexity across multiple…","author":[{"dropping-particle":"","family":"Greenhalgh","given":"Trisha","non-dropping-particle":"","parse-names":false,"suffix":""},{"dropping-particle":"","family":"Wherton","given":"Joe","non-dropping-particle":"","parse-names":false,"suffix":""},{"dropping-particle":"","family":"Papoutsi","given":"Chrysanthi","non-dropping-particle":"","parse-names":false,"suffix":""},{"dropping-particle":"","family":"Lynch","given":"Jenni","non-dropping-particle":"","parse-names":false,"suffix":""},{"dropping-particle":"","family":"Hughes","given":"Gemma","non-dropping-particle":"","parse-names":false,"suffix":""},{"dropping-particle":"","family":"A'Court","given":"Christine","non-dropping-particle":"","parse-names":false,"suffix":""},{"dropping-particle":"","family":"Hinder","given":"Sue","non-dropping-particle":"","parse-names":false,"suffix":""},{"dropping-particle":"","family":"Procter","given":"Rob","non-dropping-particle":"","parse-names":false,"suffix":""},{"dropping-particle":"","family":"Shaw","given":"Sara","non-dropping-particle":"","parse-names":false,"suffix":""}],"container-title":"BMC Medicine","id":"ITEM-1","issue":"1","issued":{"date-parts":[["2018"]]},"page":"1-15","publisher":"BMC Medicine","title":"Analysing the role of complexity in explaining the fortunes of technology programmes: Empirical application of the NASSS framework","type":"article-journal","volume":"16"},"uris":["http://www.mendeley.com/documents/?uuid=fcd526f3-c176-4930-b530-ccf81223e7f3"]}],"mendeley":{"formattedCitation":"(34)","plainTextFormattedCitation":"(34)","previouslyFormattedCitation":"(33)"},"properties":{"noteIndex":0},"schema":"https://github.com/citation-style-language/schema/raw/master/csl-citation.json"}</w:instrText>
      </w:r>
      <w:r w:rsidR="00770604" w:rsidRPr="000F0A89">
        <w:fldChar w:fldCharType="separate"/>
      </w:r>
      <w:r w:rsidR="007E3818" w:rsidRPr="000F0A89">
        <w:rPr>
          <w:noProof/>
        </w:rPr>
        <w:t>(34)</w:t>
      </w:r>
      <w:r w:rsidR="00770604" w:rsidRPr="000F0A89">
        <w:fldChar w:fldCharType="end"/>
      </w:r>
      <w:r w:rsidRPr="000F0A89">
        <w:t>. As well as illustrating further support for the need to see an intervention as a negotiated entity that requires ongoing work to fit the context to help implementation and sustainability</w:t>
      </w:r>
      <w:r w:rsidR="00770604" w:rsidRPr="000F0A89">
        <w:t xml:space="preserve"> </w:t>
      </w:r>
      <w:r w:rsidR="00770604" w:rsidRPr="000F0A89">
        <w:fldChar w:fldCharType="begin" w:fldLock="1"/>
      </w:r>
      <w:r w:rsidR="007E3818" w:rsidRPr="000F0A89">
        <w:instrText>ADDIN CSL_CITATION {"citationItems":[{"id":"ITEM-1","itemData":{"DOI":"10.1186/1748-5908-8-117","ISSN":"17485908","abstract":"BACKGROUND: Despite growth in implementation research, limited scientific attention has focused on understanding and improving sustainability of health interventions. Models of sustainability have been evolving to reflect challenges in the fit between intervention and context.\\n\\nDISCUSSION: We examine the development of concepts of sustainability, and respond to two frequent assumptions -'voltage drop,' whereby interventions are expected to yield lower benefits as they move from efficacy to effectiveness to implementation and sustainability, and 'program drift,' whereby deviation from manualized protocols is assumed to decrease benefit. We posit that these assumptions limit opportunities to improve care, and instead argue for understanding the changing context of healthcare to continuously refine and improve interventions as they are sustained. Sustainability has evolved from being considered as the endgame of a translational research process to a suggested 'adaptation phase' that integrates and institutionalizes interventions within local organizational and cultural contexts. These recent approaches locate sustainability in the implementation phase of knowledge transfer, but still do not address intervention improvement as a central theme. We propose a Dynamic Sustainability Framework that involves: continued learning and problem solving, ongoing adaptation of interventions with a primary focus on fit between interventions and multi-level contexts, and expectations for ongoing improvement as opposed to diminishing outcomes over time.\\n\\nSUMMARY: A Dynamic Sustainability Framework provides a foundation for research, policy and practice that supports development and testing of falsifiable hypotheses and continued learning to advance the implementation, transportability and impact of health services research.","author":[{"dropping-particle":"","family":"Chambers","given":"David A.","non-dropping-particle":"","parse-names":false,"suffix":""},{"dropping-particle":"","family":"Glasgow","given":"Russell E.","non-dropping-particle":"","parse-names":false,"suffix":""},{"dropping-particle":"","family":"Stange","given":"Kurt C.","non-dropping-particle":"","parse-names":false,"suffix":""}],"container-title":"Implementation Science","id":"ITEM-1","issue":"1","issued":{"date-parts":[["2013"]]},"page":"1-11","title":"The dynamic sustainability framework: Addressing the paradox of sustainment amid ongoing change","type":"article-journal","volume":"8"},"uris":["http://www.mendeley.com/documents/?uuid=df380dfc-5b83-45a8-9b99-ebfb7e776222"]}],"mendeley":{"formattedCitation":"(13)","plainTextFormattedCitation":"(13)","previouslyFormattedCitation":"(12)"},"properties":{"noteIndex":0},"schema":"https://github.com/citation-style-language/schema/raw/master/csl-citation.json"}</w:instrText>
      </w:r>
      <w:r w:rsidR="00770604" w:rsidRPr="000F0A89">
        <w:fldChar w:fldCharType="separate"/>
      </w:r>
      <w:r w:rsidR="007E3818" w:rsidRPr="000F0A89">
        <w:rPr>
          <w:noProof/>
        </w:rPr>
        <w:t>(13)</w:t>
      </w:r>
      <w:r w:rsidR="00770604" w:rsidRPr="000F0A89">
        <w:fldChar w:fldCharType="end"/>
      </w:r>
      <w:r w:rsidRPr="000F0A89">
        <w:t xml:space="preserve">.  </w:t>
      </w:r>
    </w:p>
    <w:p w14:paraId="0B54A629" w14:textId="77777777" w:rsidR="006629FE" w:rsidRPr="000F0A89" w:rsidRDefault="006629FE" w:rsidP="00595983">
      <w:pPr>
        <w:spacing w:line="276" w:lineRule="auto"/>
        <w:jc w:val="both"/>
        <w:rPr>
          <w:i/>
        </w:rPr>
      </w:pPr>
    </w:p>
    <w:p w14:paraId="72742FFD" w14:textId="376E51ED" w:rsidR="00350330" w:rsidRPr="000F0A89" w:rsidRDefault="00350330" w:rsidP="006629FE">
      <w:pPr>
        <w:pStyle w:val="Heading2"/>
      </w:pPr>
      <w:r w:rsidRPr="000F0A89">
        <w:t xml:space="preserve">Implications </w:t>
      </w:r>
      <w:r w:rsidR="0051426B" w:rsidRPr="000F0A89">
        <w:t>and Study Limitations</w:t>
      </w:r>
    </w:p>
    <w:p w14:paraId="7B8DCBDC" w14:textId="77777777" w:rsidR="006629FE" w:rsidRPr="000F0A89" w:rsidRDefault="006629FE" w:rsidP="00595983">
      <w:pPr>
        <w:spacing w:line="276" w:lineRule="auto"/>
        <w:jc w:val="both"/>
      </w:pPr>
    </w:p>
    <w:p w14:paraId="52B37824" w14:textId="1AC9C1D9" w:rsidR="00B74CB0" w:rsidRPr="000F0A89" w:rsidRDefault="00B74CB0" w:rsidP="00595983">
      <w:pPr>
        <w:spacing w:line="276" w:lineRule="auto"/>
        <w:jc w:val="both"/>
      </w:pPr>
      <w:r w:rsidRPr="000F0A89">
        <w:t>The implications drawn from this study relate to Greenhalgh et al’s</w:t>
      </w:r>
      <w:r w:rsidR="00770604" w:rsidRPr="000F0A89">
        <w:t xml:space="preserve"> </w:t>
      </w:r>
      <w:r w:rsidR="00770604" w:rsidRPr="000F0A89">
        <w:fldChar w:fldCharType="begin" w:fldLock="1"/>
      </w:r>
      <w:r w:rsidR="007E3818" w:rsidRPr="000F0A89">
        <w:instrText>ADDIN CSL_CITATION {"citationItems":[{"id":"ITEM-1","itemData":{"DOI":"10.2196/jmir.8775","ISSN":"14388871","abstract":"BACKGROUND Many promising technological innovations in health and social care are characterized by nonadoption or abandonment by individuals or by failed attempts to scale up locally, spread distantly, or sustain the innovation long term at the organization or system level. OBJECTIVE Our objective was to produce an evidence-based, theory-informed, and pragmatic framework to help predict and evaluate the success of a technology-supported health or social care program. 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 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Research","id":"ITEM-1","issue":"11","issued":{"date-parts":[["2017"]]},"title":"Beyond adoption: A new framework for theorizing and evaluating nonadoption, abandonment, and challenges to the scale-up, spread, and sustainability of health and care technologies","type":"article-journal","volume":"19"},"uris":["http://www.mendeley.com/documents/?uuid=61aac287-1a33-4171-ba37-d042d01ce60d"]}],"mendeley":{"formattedCitation":"(35)","plainTextFormattedCitation":"(35)","previouslyFormattedCitation":"(34)"},"properties":{"noteIndex":0},"schema":"https://github.com/citation-style-language/schema/raw/master/csl-citation.json"}</w:instrText>
      </w:r>
      <w:r w:rsidR="00770604" w:rsidRPr="000F0A89">
        <w:fldChar w:fldCharType="separate"/>
      </w:r>
      <w:r w:rsidR="007E3818" w:rsidRPr="000F0A89">
        <w:rPr>
          <w:noProof/>
        </w:rPr>
        <w:t>(35)</w:t>
      </w:r>
      <w:r w:rsidR="00770604" w:rsidRPr="000F0A89">
        <w:fldChar w:fldCharType="end"/>
      </w:r>
      <w:r w:rsidRPr="000F0A89">
        <w:t xml:space="preserve"> call for studies to be more locally situated.</w:t>
      </w:r>
      <w:r w:rsidR="00BA53CB" w:rsidRPr="000F0A89">
        <w:t xml:space="preserve"> </w:t>
      </w:r>
      <w:r w:rsidR="00A22126" w:rsidRPr="000F0A89">
        <w:t>Specifically,</w:t>
      </w:r>
      <w:r w:rsidR="00BA53CB" w:rsidRPr="000F0A89">
        <w:t xml:space="preserve"> here, through the use of the CFIR the need to be contextually sensitive and locally situated in setting up </w:t>
      </w:r>
      <w:r w:rsidR="00A22126" w:rsidRPr="000F0A89">
        <w:t>an</w:t>
      </w:r>
      <w:r w:rsidR="00BA53CB" w:rsidRPr="000F0A89">
        <w:t xml:space="preserve"> RCT in the community can be seen and better understood. </w:t>
      </w:r>
      <w:r w:rsidR="00940FDC" w:rsidRPr="000F0A89">
        <w:t xml:space="preserve">Implications also extend to highlight the importance of time and </w:t>
      </w:r>
      <w:r w:rsidR="00493EEE" w:rsidRPr="000F0A89">
        <w:t>relational</w:t>
      </w:r>
      <w:r w:rsidR="00940FDC" w:rsidRPr="000F0A89">
        <w:t xml:space="preserve"> work in implementation. That is, when implementing in </w:t>
      </w:r>
      <w:r w:rsidR="00493EEE" w:rsidRPr="000F0A89">
        <w:t>F</w:t>
      </w:r>
      <w:r w:rsidR="00940FDC" w:rsidRPr="000F0A89">
        <w:t>ully</w:t>
      </w:r>
      <w:r w:rsidR="009D3255" w:rsidRPr="000F0A89">
        <w:t xml:space="preserve"> </w:t>
      </w:r>
      <w:r w:rsidR="00493EEE" w:rsidRPr="000F0A89">
        <w:t>P</w:t>
      </w:r>
      <w:r w:rsidR="00940FDC" w:rsidRPr="000F0A89">
        <w:t>rofessional</w:t>
      </w:r>
      <w:r w:rsidR="00B373BF" w:rsidRPr="000F0A89">
        <w:t>ised</w:t>
      </w:r>
      <w:r w:rsidR="00940FDC" w:rsidRPr="000F0A89">
        <w:t xml:space="preserve"> </w:t>
      </w:r>
      <w:r w:rsidR="00493EEE" w:rsidRPr="000F0A89">
        <w:t>O</w:t>
      </w:r>
      <w:r w:rsidR="00940FDC" w:rsidRPr="000F0A89">
        <w:t xml:space="preserve">rganisations the relationship is more transactional and when readiness is achieved it may be fleeting. Thus, the implementation team should have all aspects ready to move on </w:t>
      </w:r>
      <w:r w:rsidR="00940FDC" w:rsidRPr="000F0A89">
        <w:lastRenderedPageBreak/>
        <w:t xml:space="preserve">demand. For </w:t>
      </w:r>
      <w:r w:rsidR="00011053" w:rsidRPr="000F0A89">
        <w:t>setting</w:t>
      </w:r>
      <w:r w:rsidR="00DC3A60" w:rsidRPr="000F0A89">
        <w:t>s</w:t>
      </w:r>
      <w:r w:rsidR="00011053" w:rsidRPr="000F0A89">
        <w:t xml:space="preserve"> displaying more A</w:t>
      </w:r>
      <w:r w:rsidR="00595983" w:rsidRPr="000F0A89">
        <w:t>spirational</w:t>
      </w:r>
      <w:r w:rsidR="00940FDC" w:rsidRPr="000F0A89">
        <w:t xml:space="preserve"> and NPCB </w:t>
      </w:r>
      <w:r w:rsidR="00011053" w:rsidRPr="000F0A89">
        <w:t>eleme</w:t>
      </w:r>
      <w:r w:rsidR="00821A71" w:rsidRPr="000F0A89">
        <w:t>n</w:t>
      </w:r>
      <w:r w:rsidR="00011053" w:rsidRPr="000F0A89">
        <w:t>ts</w:t>
      </w:r>
      <w:r w:rsidR="00940FDC" w:rsidRPr="000F0A89">
        <w:t xml:space="preserve"> more time is </w:t>
      </w:r>
      <w:r w:rsidR="00595983" w:rsidRPr="000F0A89">
        <w:t>required</w:t>
      </w:r>
      <w:r w:rsidR="00940FDC" w:rsidRPr="000F0A89">
        <w:t xml:space="preserve"> to build relationships and determin</w:t>
      </w:r>
      <w:r w:rsidR="00595983" w:rsidRPr="000F0A89">
        <w:t>e</w:t>
      </w:r>
      <w:r w:rsidR="00940FDC" w:rsidRPr="000F0A89">
        <w:t xml:space="preserve"> elasticity and </w:t>
      </w:r>
      <w:r w:rsidR="00011053" w:rsidRPr="000F0A89">
        <w:t>pliability</w:t>
      </w:r>
      <w:r w:rsidR="00940FDC" w:rsidRPr="000F0A89">
        <w:t xml:space="preserve">. Thus, the pre-implementation arrangements take longer to </w:t>
      </w:r>
      <w:r w:rsidR="00595983" w:rsidRPr="000F0A89">
        <w:t>organise,</w:t>
      </w:r>
      <w:r w:rsidR="00940FDC" w:rsidRPr="000F0A89">
        <w:t xml:space="preserve"> and this process should start sooner, and not necessarily wait for the implementation team to be ‘ready’. </w:t>
      </w:r>
      <w:r w:rsidR="00350330" w:rsidRPr="000F0A89">
        <w:t xml:space="preserve">We acknowledge that the current findings are limited to the implementation of a public health intervention within a UK community context and therefore should be interpreted accordingly. </w:t>
      </w:r>
    </w:p>
    <w:p w14:paraId="2F888471" w14:textId="32E6FA38" w:rsidR="00350330" w:rsidRPr="000F0A89" w:rsidRDefault="00350330" w:rsidP="00595983">
      <w:pPr>
        <w:spacing w:line="276" w:lineRule="auto"/>
        <w:jc w:val="both"/>
      </w:pPr>
    </w:p>
    <w:p w14:paraId="621A09E3" w14:textId="23AC8BAB" w:rsidR="00350330" w:rsidRPr="000F0A89" w:rsidRDefault="00350330" w:rsidP="006629FE">
      <w:pPr>
        <w:pStyle w:val="Heading2"/>
      </w:pPr>
      <w:r w:rsidRPr="000F0A89">
        <w:t xml:space="preserve">Conclusions </w:t>
      </w:r>
    </w:p>
    <w:p w14:paraId="3B563B16" w14:textId="77777777" w:rsidR="0051426B" w:rsidRPr="000F0A89" w:rsidRDefault="0051426B" w:rsidP="00595983">
      <w:pPr>
        <w:spacing w:line="276" w:lineRule="auto"/>
        <w:jc w:val="both"/>
      </w:pPr>
    </w:p>
    <w:p w14:paraId="31AD00E7" w14:textId="6F200B16" w:rsidR="004F3B07" w:rsidRPr="000F0A89" w:rsidRDefault="00940FDC" w:rsidP="00595983">
      <w:pPr>
        <w:spacing w:line="276" w:lineRule="auto"/>
        <w:jc w:val="both"/>
      </w:pPr>
      <w:r w:rsidRPr="000F0A89">
        <w:t xml:space="preserve">The concluding thoughts turn to issues of </w:t>
      </w:r>
      <w:r w:rsidR="00F83A5C" w:rsidRPr="000F0A89">
        <w:t>s</w:t>
      </w:r>
      <w:r w:rsidR="004F3B07" w:rsidRPr="000F0A89">
        <w:t>ustainability</w:t>
      </w:r>
      <w:r w:rsidRPr="000F0A89">
        <w:t xml:space="preserve">. Where </w:t>
      </w:r>
      <w:r w:rsidR="009D3255" w:rsidRPr="000F0A89">
        <w:t>F</w:t>
      </w:r>
      <w:r w:rsidR="004F3B07" w:rsidRPr="000F0A89">
        <w:t xml:space="preserve">ully </w:t>
      </w:r>
      <w:r w:rsidR="009D3255" w:rsidRPr="000F0A89">
        <w:t>P</w:t>
      </w:r>
      <w:r w:rsidR="004F3B07" w:rsidRPr="000F0A89">
        <w:t xml:space="preserve">rofessionalised </w:t>
      </w:r>
      <w:r w:rsidR="009D3255" w:rsidRPr="000F0A89">
        <w:t>O</w:t>
      </w:r>
      <w:r w:rsidRPr="000F0A89">
        <w:t>rganisations are more</w:t>
      </w:r>
      <w:r w:rsidR="004F3B07" w:rsidRPr="000F0A89">
        <w:t xml:space="preserve"> secure in </w:t>
      </w:r>
      <w:r w:rsidRPr="000F0A89">
        <w:t xml:space="preserve">tenure </w:t>
      </w:r>
      <w:r w:rsidR="004F3B07" w:rsidRPr="000F0A89">
        <w:t xml:space="preserve">and have resources, </w:t>
      </w:r>
      <w:r w:rsidRPr="000F0A89">
        <w:t xml:space="preserve">they are </w:t>
      </w:r>
      <w:r w:rsidR="004F3B07" w:rsidRPr="000F0A89">
        <w:t>heavily reliant upon the political landscape staying aligned</w:t>
      </w:r>
      <w:r w:rsidRPr="000F0A89">
        <w:t xml:space="preserve"> to that of the intervention focus</w:t>
      </w:r>
      <w:r w:rsidR="004F3B07" w:rsidRPr="000F0A89">
        <w:t xml:space="preserve">. </w:t>
      </w:r>
      <w:r w:rsidRPr="000F0A89">
        <w:t xml:space="preserve">This raises questions around the sustainability potential of an intervention that is not in </w:t>
      </w:r>
      <w:r w:rsidR="004F3B07" w:rsidRPr="000F0A89">
        <w:t>political favour</w:t>
      </w:r>
      <w:r w:rsidRPr="000F0A89">
        <w:t>.</w:t>
      </w:r>
      <w:r w:rsidR="00F1468F" w:rsidRPr="000F0A89">
        <w:t xml:space="preserve"> The more Aspirational  CVSEs </w:t>
      </w:r>
      <w:r w:rsidRPr="000F0A89">
        <w:t xml:space="preserve">place </w:t>
      </w:r>
      <w:r w:rsidR="00F1468F" w:rsidRPr="000F0A89">
        <w:t>greater</w:t>
      </w:r>
      <w:r w:rsidRPr="000F0A89">
        <w:t xml:space="preserve"> emphasis on </w:t>
      </w:r>
      <w:r w:rsidR="00493EEE" w:rsidRPr="000F0A89">
        <w:t>remaining</w:t>
      </w:r>
      <w:r w:rsidRPr="000F0A89">
        <w:t xml:space="preserve"> true to </w:t>
      </w:r>
      <w:r w:rsidR="00D27726" w:rsidRPr="000F0A89">
        <w:t>their values</w:t>
      </w:r>
      <w:r w:rsidRPr="000F0A89">
        <w:t xml:space="preserve"> rather than political landscape, but have less resource capacity, which poses the question are they more likely </w:t>
      </w:r>
      <w:r w:rsidR="00D27726" w:rsidRPr="000F0A89">
        <w:t xml:space="preserve">to continue </w:t>
      </w:r>
      <w:r w:rsidRPr="000F0A89">
        <w:t>with an intervention</w:t>
      </w:r>
      <w:r w:rsidR="00D27726" w:rsidRPr="000F0A89">
        <w:t xml:space="preserve"> if it</w:t>
      </w:r>
      <w:r w:rsidRPr="000F0A89">
        <w:t xml:space="preserve">s focus is less </w:t>
      </w:r>
      <w:r w:rsidR="00595983" w:rsidRPr="000F0A89">
        <w:t xml:space="preserve">of a </w:t>
      </w:r>
      <w:r w:rsidRPr="000F0A89">
        <w:t>political ‘hot topic’, and importantly do they have the capacity to</w:t>
      </w:r>
      <w:r w:rsidR="00D27726" w:rsidRPr="000F0A89">
        <w:t xml:space="preserve">? </w:t>
      </w:r>
      <w:r w:rsidRPr="000F0A89">
        <w:t>Future studies will go on</w:t>
      </w:r>
      <w:r w:rsidR="00A91E3A" w:rsidRPr="000F0A89">
        <w:t xml:space="preserve"> </w:t>
      </w:r>
      <w:r w:rsidRPr="000F0A89">
        <w:t>to explore how sustainability is affected when</w:t>
      </w:r>
      <w:r w:rsidR="00493EEE" w:rsidRPr="000F0A89">
        <w:t xml:space="preserve"> </w:t>
      </w:r>
      <w:r w:rsidRPr="000F0A89">
        <w:t xml:space="preserve">greater understanding of how settings affect pre-implementation arrangements is achieved. </w:t>
      </w:r>
    </w:p>
    <w:p w14:paraId="6D8E883A" w14:textId="4E802760" w:rsidR="00295BCA" w:rsidRPr="000F0A89" w:rsidRDefault="00295BCA" w:rsidP="00595983">
      <w:pPr>
        <w:spacing w:line="276" w:lineRule="auto"/>
        <w:jc w:val="both"/>
      </w:pPr>
    </w:p>
    <w:p w14:paraId="25735F53" w14:textId="26B1A953" w:rsidR="009C51EB" w:rsidRPr="000F0A89" w:rsidRDefault="009C51EB" w:rsidP="009C51EB">
      <w:pPr>
        <w:pStyle w:val="Heading1"/>
      </w:pPr>
      <w:r w:rsidRPr="000F0A89">
        <w:t xml:space="preserve">Abbreviations </w:t>
      </w:r>
    </w:p>
    <w:p w14:paraId="08B99658" w14:textId="41C826BB" w:rsidR="009C51EB" w:rsidRPr="000F0A89" w:rsidRDefault="009C51EB" w:rsidP="009C51EB"/>
    <w:p w14:paraId="3682B8DD" w14:textId="2BBA7A0B" w:rsidR="006473B2" w:rsidRPr="000F0A89" w:rsidRDefault="006473B2" w:rsidP="009C51EB">
      <w:r w:rsidRPr="000F0A89">
        <w:t>CVSE – Community, Voluntary and Social Enterprise</w:t>
      </w:r>
    </w:p>
    <w:p w14:paraId="2BE8C8B2" w14:textId="35C24E56" w:rsidR="006473B2" w:rsidRPr="000F0A89" w:rsidRDefault="006473B2" w:rsidP="009C51EB">
      <w:r w:rsidRPr="000F0A89">
        <w:t xml:space="preserve">PALS- Project About Loneliness and Social networks </w:t>
      </w:r>
    </w:p>
    <w:p w14:paraId="7A4407C4" w14:textId="63BC5E6E" w:rsidR="006473B2" w:rsidRPr="000F0A89" w:rsidRDefault="006473B2" w:rsidP="009C51EB">
      <w:r w:rsidRPr="000F0A89">
        <w:t xml:space="preserve">RCT- Randomised Control Trial </w:t>
      </w:r>
    </w:p>
    <w:p w14:paraId="4C7F9546" w14:textId="11E8AC98" w:rsidR="006473B2" w:rsidRPr="000F0A89" w:rsidRDefault="006473B2" w:rsidP="009C51EB">
      <w:r w:rsidRPr="000F0A89">
        <w:t xml:space="preserve">Genie- Generating Engagement in Network Involvement </w:t>
      </w:r>
    </w:p>
    <w:p w14:paraId="2631FE90" w14:textId="01F7C26A" w:rsidR="006473B2" w:rsidRPr="000F0A89" w:rsidRDefault="006473B2" w:rsidP="009C51EB">
      <w:r w:rsidRPr="000F0A89">
        <w:t xml:space="preserve">CFIR- Consolidated Framework for Implementation Research </w:t>
      </w:r>
    </w:p>
    <w:p w14:paraId="18EA0CB0" w14:textId="5C15C046" w:rsidR="0012758D" w:rsidRPr="000F0A89" w:rsidRDefault="0012758D" w:rsidP="009C51EB">
      <w:r w:rsidRPr="000F0A89">
        <w:t xml:space="preserve">FPO- Fully Professionalised Organisations </w:t>
      </w:r>
    </w:p>
    <w:p w14:paraId="7698E736" w14:textId="274B81C7" w:rsidR="006473B2" w:rsidRPr="000F0A89" w:rsidRDefault="006473B2" w:rsidP="009C51EB">
      <w:r w:rsidRPr="000F0A89">
        <w:t xml:space="preserve">NHS- National Health Service </w:t>
      </w:r>
    </w:p>
    <w:p w14:paraId="12D46247" w14:textId="0A6F5A39" w:rsidR="009C51EB" w:rsidRPr="000F0A89" w:rsidRDefault="009C51EB" w:rsidP="009C51EB"/>
    <w:p w14:paraId="6CE4E7A3" w14:textId="7E3ED3EF" w:rsidR="00056D56" w:rsidRPr="000F0A89" w:rsidRDefault="00056D56" w:rsidP="00056D56">
      <w:pPr>
        <w:pStyle w:val="Heading1"/>
      </w:pPr>
      <w:r w:rsidRPr="000F0A89">
        <w:t xml:space="preserve">Declarations </w:t>
      </w:r>
    </w:p>
    <w:p w14:paraId="4B5571F5" w14:textId="2801A0D8" w:rsidR="00056D56" w:rsidRPr="000F0A89" w:rsidRDefault="00056D56" w:rsidP="00056D56"/>
    <w:p w14:paraId="618433F7" w14:textId="76737FB1" w:rsidR="00056D56" w:rsidRPr="000F0A89" w:rsidRDefault="00056D56" w:rsidP="00056D56">
      <w:pPr>
        <w:pStyle w:val="Heading2"/>
      </w:pPr>
      <w:r w:rsidRPr="000F0A89">
        <w:t xml:space="preserve">Ethical Approval and Consent </w:t>
      </w:r>
      <w:r w:rsidR="00F22E57" w:rsidRPr="000F0A89">
        <w:t>to Participate</w:t>
      </w:r>
    </w:p>
    <w:p w14:paraId="08CA45C1" w14:textId="383ADF00" w:rsidR="00056D56" w:rsidRPr="000F0A89" w:rsidRDefault="00056D56" w:rsidP="00056D56"/>
    <w:p w14:paraId="4589CE74" w14:textId="2134EB14" w:rsidR="008A71C4" w:rsidRPr="000F0A89" w:rsidRDefault="00485A77" w:rsidP="00485A77">
      <w:pPr>
        <w:jc w:val="both"/>
      </w:pPr>
      <w:r w:rsidRPr="000F0A89">
        <w:t xml:space="preserve">Ethical approval for the PALS study has been obtained from the South Central—Berkshire ethics committee (reference: 15/SC/0245). All substantial amendments must be approved by the University ethics committee and NHS ethics committee responsible for the trial, in additional to approval by HRA. Investigators are kept up to date with relevant changes via regular management group meetings. Written consent was gained from participants prior to data collection. </w:t>
      </w:r>
    </w:p>
    <w:p w14:paraId="79B741AC" w14:textId="77777777" w:rsidR="008A71C4" w:rsidRPr="000F0A89" w:rsidRDefault="008A71C4" w:rsidP="00056D56"/>
    <w:p w14:paraId="24B11B69" w14:textId="410C910F" w:rsidR="00F22E57" w:rsidRPr="000F0A89" w:rsidRDefault="00F22E57" w:rsidP="00F22E57">
      <w:pPr>
        <w:pStyle w:val="Heading2"/>
      </w:pPr>
      <w:r w:rsidRPr="000F0A89">
        <w:lastRenderedPageBreak/>
        <w:t>Consent for Publication</w:t>
      </w:r>
    </w:p>
    <w:p w14:paraId="4263ACB8" w14:textId="77777777" w:rsidR="00912482" w:rsidRPr="000F0A89" w:rsidRDefault="00912482" w:rsidP="00056D56">
      <w:pPr>
        <w:rPr>
          <w:rFonts w:eastAsia="Calibri" w:cs="Calibri"/>
          <w:lang w:val="en-US"/>
        </w:rPr>
      </w:pPr>
    </w:p>
    <w:p w14:paraId="67AFDE07" w14:textId="538F22FB" w:rsidR="00C8257C" w:rsidRPr="000F0A89" w:rsidRDefault="00912482" w:rsidP="00912482">
      <w:pPr>
        <w:jc w:val="both"/>
      </w:pPr>
      <w:r w:rsidRPr="000F0A89">
        <w:rPr>
          <w:rFonts w:eastAsia="Calibri" w:cs="Calibri"/>
          <w:lang w:val="en-US"/>
        </w:rPr>
        <w:t xml:space="preserve">Written consent was given by participants for data to be used in publications arising from this study.  </w:t>
      </w:r>
    </w:p>
    <w:p w14:paraId="64217C6C" w14:textId="77777777" w:rsidR="00C8257C" w:rsidRPr="000F0A89" w:rsidRDefault="00C8257C" w:rsidP="00056D56"/>
    <w:p w14:paraId="5FFBE73D" w14:textId="144C085E" w:rsidR="00056D56" w:rsidRPr="000F0A89" w:rsidRDefault="00056D56" w:rsidP="00056D56">
      <w:pPr>
        <w:pStyle w:val="Heading2"/>
      </w:pPr>
      <w:r w:rsidRPr="000F0A89">
        <w:t xml:space="preserve">Availability of data and material </w:t>
      </w:r>
    </w:p>
    <w:p w14:paraId="74CC6A0F" w14:textId="77777777" w:rsidR="00056D56" w:rsidRPr="000F0A89" w:rsidRDefault="00056D56" w:rsidP="00056D56">
      <w:pPr>
        <w:rPr>
          <w:lang w:eastAsia="en-GB"/>
        </w:rPr>
      </w:pPr>
    </w:p>
    <w:p w14:paraId="57CF0921" w14:textId="42D4B263" w:rsidR="00056D56" w:rsidRPr="000F0A89" w:rsidRDefault="00056D56" w:rsidP="00912482">
      <w:pPr>
        <w:jc w:val="both"/>
        <w:rPr>
          <w:lang w:eastAsia="en-GB"/>
        </w:rPr>
      </w:pPr>
      <w:r w:rsidRPr="000F0A89">
        <w:rPr>
          <w:lang w:eastAsia="en-GB"/>
        </w:rPr>
        <w:t>The datasets during and/or analysed during the current study available from the corresponding author on reasonable request.</w:t>
      </w:r>
    </w:p>
    <w:p w14:paraId="08140099" w14:textId="77777777" w:rsidR="00056D56" w:rsidRPr="000F0A89" w:rsidRDefault="00056D56" w:rsidP="00056D56"/>
    <w:p w14:paraId="5D9DAD3D" w14:textId="39B11297" w:rsidR="00056D56" w:rsidRPr="000F0A89" w:rsidRDefault="00056D56" w:rsidP="00056D56">
      <w:pPr>
        <w:pStyle w:val="Heading2"/>
      </w:pPr>
      <w:r w:rsidRPr="000F0A89">
        <w:t xml:space="preserve">Competing Interests </w:t>
      </w:r>
    </w:p>
    <w:p w14:paraId="5922FEC6" w14:textId="065F5CDF" w:rsidR="00056D56" w:rsidRPr="000F0A89" w:rsidRDefault="00056D56" w:rsidP="00056D56"/>
    <w:p w14:paraId="137A9462" w14:textId="153369AD" w:rsidR="008A71C4" w:rsidRPr="000F0A89" w:rsidRDefault="00912482" w:rsidP="00056D56">
      <w:r w:rsidRPr="000F0A89">
        <w:t>The authors declare they have no competing interests to</w:t>
      </w:r>
      <w:r w:rsidR="008A71C4" w:rsidRPr="000F0A89">
        <w:t xml:space="preserve"> declare. </w:t>
      </w:r>
    </w:p>
    <w:p w14:paraId="39DB2B96" w14:textId="77777777" w:rsidR="008A71C4" w:rsidRPr="000F0A89" w:rsidRDefault="008A71C4" w:rsidP="00056D56"/>
    <w:p w14:paraId="1FDDF946" w14:textId="0C76CE55" w:rsidR="00056D56" w:rsidRPr="000F0A89" w:rsidRDefault="00056D56" w:rsidP="00056D56">
      <w:pPr>
        <w:pStyle w:val="Heading2"/>
      </w:pPr>
      <w:r w:rsidRPr="000F0A89">
        <w:t xml:space="preserve">Funding </w:t>
      </w:r>
    </w:p>
    <w:p w14:paraId="44D63CEA" w14:textId="180D0895" w:rsidR="00056D56" w:rsidRPr="000F0A89" w:rsidRDefault="00056D56" w:rsidP="00C8257C"/>
    <w:p w14:paraId="470F05B5" w14:textId="4C4B23BF" w:rsidR="00C8257C" w:rsidRPr="000F0A89" w:rsidRDefault="00C8257C" w:rsidP="00C8257C">
      <w:pPr>
        <w:jc w:val="both"/>
      </w:pPr>
      <w:r w:rsidRPr="000F0A89">
        <w:t>This paper summarises independent research funded by the National Institute for Health Research (NIHR) under its Public Health Research programme (Grant Reference Number 16/08/41). The views expressed are those of the author(s) and not necessarily those of the NHS, the NIHR or the Department of Health and Care.</w:t>
      </w:r>
    </w:p>
    <w:p w14:paraId="063D2253" w14:textId="77777777" w:rsidR="00C8257C" w:rsidRPr="000F0A89" w:rsidRDefault="00C8257C" w:rsidP="00056D56"/>
    <w:p w14:paraId="123FDB1A" w14:textId="04C2AE6D" w:rsidR="00056D56" w:rsidRPr="000F0A89" w:rsidRDefault="00056D56" w:rsidP="00056D56">
      <w:pPr>
        <w:pStyle w:val="Heading2"/>
      </w:pPr>
      <w:r w:rsidRPr="000F0A89">
        <w:t xml:space="preserve">Authors </w:t>
      </w:r>
      <w:r w:rsidR="00752814" w:rsidRPr="000F0A89">
        <w:t>Contributions</w:t>
      </w:r>
    </w:p>
    <w:p w14:paraId="3BAA37E2" w14:textId="0C2E99FE" w:rsidR="00752814" w:rsidRPr="000F0A89" w:rsidRDefault="00752814" w:rsidP="00752814"/>
    <w:p w14:paraId="2B6213F6" w14:textId="2BD4469F" w:rsidR="00752814" w:rsidRPr="000F0A89" w:rsidRDefault="00752814" w:rsidP="00752814">
      <w:r w:rsidRPr="000F0A89">
        <w:t xml:space="preserve">JE has led the process evaluation on which this paper is based. RB developed the initial idea for the PALS study and obtained funding in collaboration with AR. JE collected the process evaluation data with support from KK, TCB and EJ. JE led the data analysis with support and guidance from AR. JE produced the initial paper </w:t>
      </w:r>
      <w:r w:rsidR="00551601" w:rsidRPr="000F0A89">
        <w:t>draft</w:t>
      </w:r>
      <w:r w:rsidRPr="000F0A89">
        <w:t xml:space="preserve">, with all authors contributing towards subsequent drafts. All authors have approved the final version.  </w:t>
      </w:r>
    </w:p>
    <w:p w14:paraId="449B993B" w14:textId="77777777" w:rsidR="00752814" w:rsidRPr="000F0A89" w:rsidRDefault="00752814" w:rsidP="00056D56">
      <w:pPr>
        <w:pStyle w:val="Heading2"/>
      </w:pPr>
    </w:p>
    <w:p w14:paraId="513A66BE" w14:textId="2A024E67" w:rsidR="00056D56" w:rsidRPr="000F0A89" w:rsidRDefault="00056D56" w:rsidP="00056D56">
      <w:pPr>
        <w:pStyle w:val="Heading2"/>
      </w:pPr>
      <w:r w:rsidRPr="000F0A89">
        <w:t xml:space="preserve">Acknowledgements </w:t>
      </w:r>
    </w:p>
    <w:p w14:paraId="35869FA3" w14:textId="08A6EF02" w:rsidR="00F601C6" w:rsidRPr="000F0A89" w:rsidRDefault="00F601C6" w:rsidP="00F601C6"/>
    <w:p w14:paraId="072BDB73" w14:textId="568AF412" w:rsidR="00F601C6" w:rsidRPr="000F0A89" w:rsidRDefault="00F601C6" w:rsidP="00F601C6">
      <w:r w:rsidRPr="000F0A89">
        <w:t xml:space="preserve">Our thanks first go to the NIHR for the funding to carry out this research. We would like to extend a sincere thank you to all PALS community partners who are assisting in the delivery of Genie. An additional thank you to the individuals who gave their time to be interviewed for this research. </w:t>
      </w:r>
      <w:r w:rsidR="002343D5" w:rsidRPr="000F0A89">
        <w:t xml:space="preserve">We would also like to thank the reviewers of this article for their helpful comments. </w:t>
      </w:r>
    </w:p>
    <w:p w14:paraId="60505274" w14:textId="6305C8FA" w:rsidR="00295BCA" w:rsidRPr="000F0A89" w:rsidRDefault="00295BCA" w:rsidP="00295BCA">
      <w:pPr>
        <w:pStyle w:val="Heading1"/>
      </w:pPr>
      <w:r w:rsidRPr="000F0A89">
        <w:t>References</w:t>
      </w:r>
    </w:p>
    <w:p w14:paraId="6FFC19ED" w14:textId="357B83A6" w:rsidR="00295BCA" w:rsidRPr="000F0A89" w:rsidRDefault="00295BCA" w:rsidP="00295BCA"/>
    <w:p w14:paraId="42132E0F" w14:textId="2D91E0BD" w:rsidR="007E3818" w:rsidRPr="000F0A89" w:rsidRDefault="00DF7DF0" w:rsidP="007E3818">
      <w:pPr>
        <w:widowControl w:val="0"/>
        <w:autoSpaceDE w:val="0"/>
        <w:autoSpaceDN w:val="0"/>
        <w:adjustRightInd w:val="0"/>
        <w:ind w:left="640" w:hanging="640"/>
        <w:rPr>
          <w:rFonts w:ascii="Calibri" w:hAnsi="Calibri" w:cs="Times New Roman"/>
          <w:noProof/>
        </w:rPr>
      </w:pPr>
      <w:r w:rsidRPr="000F0A89">
        <w:fldChar w:fldCharType="begin" w:fldLock="1"/>
      </w:r>
      <w:r w:rsidRPr="000F0A89">
        <w:instrText xml:space="preserve">ADDIN Mendeley Bibliography CSL_BIBLIOGRAPHY </w:instrText>
      </w:r>
      <w:r w:rsidRPr="000F0A89">
        <w:fldChar w:fldCharType="separate"/>
      </w:r>
      <w:r w:rsidR="007E3818" w:rsidRPr="000F0A89">
        <w:rPr>
          <w:rFonts w:ascii="Calibri" w:hAnsi="Calibri" w:cs="Times New Roman"/>
          <w:noProof/>
        </w:rPr>
        <w:t xml:space="preserve">1. </w:t>
      </w:r>
      <w:r w:rsidR="007E3818" w:rsidRPr="000F0A89">
        <w:rPr>
          <w:rFonts w:ascii="Calibri" w:hAnsi="Calibri" w:cs="Times New Roman"/>
          <w:noProof/>
        </w:rPr>
        <w:tab/>
        <w:t xml:space="preserve">Greenhalgh T, Papoutsi C. Studying complexity in health services research: Desperately seeking an overdue paradigm shift. BMC Med. 2018;16(1):4–9. </w:t>
      </w:r>
    </w:p>
    <w:p w14:paraId="74DAC4CC"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 </w:t>
      </w:r>
      <w:r w:rsidRPr="000F0A89">
        <w:rPr>
          <w:rFonts w:ascii="Calibri" w:hAnsi="Calibri" w:cs="Times New Roman"/>
          <w:noProof/>
        </w:rPr>
        <w:tab/>
        <w:t xml:space="preserve">Holt DT, Helfrich CD, Hall CG, Weiner BJ. Are you ready? How health professionals can comprehensively conceptualize readiness for change. J Gen Intern Med. 2010;25(SUPPL. 1):50–5. </w:t>
      </w:r>
    </w:p>
    <w:p w14:paraId="07BCADAA"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3. </w:t>
      </w:r>
      <w:r w:rsidRPr="000F0A89">
        <w:rPr>
          <w:rFonts w:ascii="Calibri" w:hAnsi="Calibri" w:cs="Times New Roman"/>
          <w:noProof/>
        </w:rPr>
        <w:tab/>
        <w:t xml:space="preserve">Damschroder LJ, Aron DC, Keith RE, Kirsh SR, Alexander JA, Lowery JC. Fostering implementation of health services research findings into practice: A consolidated </w:t>
      </w:r>
      <w:r w:rsidRPr="000F0A89">
        <w:rPr>
          <w:rFonts w:ascii="Calibri" w:hAnsi="Calibri" w:cs="Times New Roman"/>
          <w:noProof/>
        </w:rPr>
        <w:lastRenderedPageBreak/>
        <w:t xml:space="preserve">framework for advancing implementation science. Implement Sci. 2009;4(1):1–15. </w:t>
      </w:r>
    </w:p>
    <w:p w14:paraId="6C5F076E"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4. </w:t>
      </w:r>
      <w:r w:rsidRPr="000F0A89">
        <w:rPr>
          <w:rFonts w:ascii="Calibri" w:hAnsi="Calibri" w:cs="Times New Roman"/>
          <w:noProof/>
        </w:rPr>
        <w:tab/>
        <w:t xml:space="preserve">Greenhalgh T, Robert G, Macfarlane F, Bate P, Kyriakidou O. Diffusion of innovations in service organizations: Systematic review and recommendations. Milbank Q. 2004;82(4):581–629. </w:t>
      </w:r>
    </w:p>
    <w:p w14:paraId="14ACFB67"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5. </w:t>
      </w:r>
      <w:r w:rsidRPr="000F0A89">
        <w:rPr>
          <w:rFonts w:ascii="Calibri" w:hAnsi="Calibri" w:cs="Times New Roman"/>
          <w:noProof/>
        </w:rPr>
        <w:tab/>
        <w:t xml:space="preserve">Meyers DC, Durlak JA, Wandersman A. The Quality Implementation Framework: A Synthesis of Critical Steps in the Implementation Process. Am J Community Psychol. 2012;50(3–4):462–80. </w:t>
      </w:r>
    </w:p>
    <w:p w14:paraId="4B355C62"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6. </w:t>
      </w:r>
      <w:r w:rsidRPr="000F0A89">
        <w:rPr>
          <w:rFonts w:ascii="Calibri" w:hAnsi="Calibri" w:cs="Times New Roman"/>
          <w:noProof/>
        </w:rPr>
        <w:tab/>
        <w:t xml:space="preserve">Bhaskar R. A Realist Theory of Science. Leeds: Leeds Books; 1975. </w:t>
      </w:r>
    </w:p>
    <w:p w14:paraId="5925FDC2"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7. </w:t>
      </w:r>
      <w:r w:rsidRPr="000F0A89">
        <w:rPr>
          <w:rFonts w:ascii="Calibri" w:hAnsi="Calibri" w:cs="Times New Roman"/>
          <w:noProof/>
        </w:rPr>
        <w:tab/>
        <w:t xml:space="preserve">Atun RA, Kyratsis I, Jelic G, Rados-Malicbegovic D, Gurol-Urganci I. Diffusion of complex health innovations - Implementation of primary health care reforms in Bosnia and Herzegovina. Health Policy Plan. 2007;22(1):28–39. </w:t>
      </w:r>
    </w:p>
    <w:p w14:paraId="2184D35F"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8. </w:t>
      </w:r>
      <w:r w:rsidRPr="000F0A89">
        <w:rPr>
          <w:rFonts w:ascii="Calibri" w:hAnsi="Calibri" w:cs="Times New Roman"/>
          <w:noProof/>
        </w:rPr>
        <w:tab/>
        <w:t xml:space="preserve">Lau EY, Saunders RP, Pate RR. Factors Influencing Implementation of a Physical Activity Intervention in Residential Children’s Homes. Prev Sci. 2016;17(8):1002–11. </w:t>
      </w:r>
    </w:p>
    <w:p w14:paraId="7FAD9975"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9. </w:t>
      </w:r>
      <w:r w:rsidRPr="000F0A89">
        <w:rPr>
          <w:rFonts w:ascii="Calibri" w:hAnsi="Calibri" w:cs="Times New Roman"/>
          <w:noProof/>
        </w:rPr>
        <w:tab/>
        <w:t xml:space="preserve">Barker PM, Reid A, Schall MW. A framework for scaling up health interventions: Lessons from large-scale improvement initiatives in Africa. Implement Sci. 2016;11(1):1–11. </w:t>
      </w:r>
    </w:p>
    <w:p w14:paraId="41E51551"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10. </w:t>
      </w:r>
      <w:r w:rsidRPr="000F0A89">
        <w:rPr>
          <w:rFonts w:ascii="Calibri" w:hAnsi="Calibri" w:cs="Times New Roman"/>
          <w:noProof/>
        </w:rPr>
        <w:tab/>
        <w:t xml:space="preserve">Clarke DJ, Godfrey M, Hawkins R, Sadler E, Harding G, Forster A, et al. Implementing a training intervention to support caregivers after stroke: A process evaluation examining the initiation and embedding of programme change. Implement Sci. 2013;8(1):1–15. </w:t>
      </w:r>
    </w:p>
    <w:p w14:paraId="0C6F88FD"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11. </w:t>
      </w:r>
      <w:r w:rsidRPr="000F0A89">
        <w:rPr>
          <w:rFonts w:ascii="Calibri" w:hAnsi="Calibri" w:cs="Times New Roman"/>
          <w:noProof/>
        </w:rPr>
        <w:tab/>
        <w:t xml:space="preserve">Pfadenhauer LM, Gerhardus A, Mozygemba K, Lysdahl KB, Booth A, Hofmann B, et al. Making sense of complexity in context and implementation: The Context and Implementation of Complex Interventions (CICI) framework. Implement Sci. 2017;12(1):1–17. </w:t>
      </w:r>
    </w:p>
    <w:p w14:paraId="2DE70D1B"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12. </w:t>
      </w:r>
      <w:r w:rsidRPr="000F0A89">
        <w:rPr>
          <w:rFonts w:ascii="Calibri" w:hAnsi="Calibri" w:cs="Times New Roman"/>
          <w:noProof/>
        </w:rPr>
        <w:tab/>
        <w:t xml:space="preserve">Cohn S, Clinch M, Bunn C, Stronge P. Entangled complexity: Why complex interventions are just not complicated enough. J Heal Serv Res Policy,. 2013;18(1):40–3. </w:t>
      </w:r>
    </w:p>
    <w:p w14:paraId="13EE8B52"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13. </w:t>
      </w:r>
      <w:r w:rsidRPr="000F0A89">
        <w:rPr>
          <w:rFonts w:ascii="Calibri" w:hAnsi="Calibri" w:cs="Times New Roman"/>
          <w:noProof/>
        </w:rPr>
        <w:tab/>
        <w:t xml:space="preserve">Chambers DA, Glasgow RE, Stange KC. The dynamic sustainability framework: Addressing the paradox of sustainment amid ongoing change. Implement Sci. 2013;8(1):1–11. </w:t>
      </w:r>
    </w:p>
    <w:p w14:paraId="41637958"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14. </w:t>
      </w:r>
      <w:r w:rsidRPr="000F0A89">
        <w:rPr>
          <w:rFonts w:ascii="Calibri" w:hAnsi="Calibri" w:cs="Times New Roman"/>
          <w:noProof/>
        </w:rPr>
        <w:tab/>
        <w:t xml:space="preserve">MRC. Developing and evaluating complex interventions. Med Res Counc. 2008; </w:t>
      </w:r>
    </w:p>
    <w:p w14:paraId="2032F36C"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15. </w:t>
      </w:r>
      <w:r w:rsidRPr="000F0A89">
        <w:rPr>
          <w:rFonts w:ascii="Calibri" w:hAnsi="Calibri" w:cs="Times New Roman"/>
          <w:noProof/>
        </w:rPr>
        <w:tab/>
        <w:t xml:space="preserve">NHS England. The NHS Long Term Plan – a summary. 2019;2. </w:t>
      </w:r>
    </w:p>
    <w:p w14:paraId="5DB13087"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16. </w:t>
      </w:r>
      <w:r w:rsidRPr="000F0A89">
        <w:rPr>
          <w:rFonts w:ascii="Calibri" w:hAnsi="Calibri" w:cs="Times New Roman"/>
          <w:noProof/>
        </w:rPr>
        <w:tab/>
        <w:t xml:space="preserve">Rogers A, Vassilev I, Sanders C, Kirk S, Chew-Graham C, Kennedy A, et al. Social networks, work and network-based resources for the management of long-term conditions: A framework and study protocol for developing self-care support. Implement Sci. 2011;6(1):1–7. </w:t>
      </w:r>
    </w:p>
    <w:p w14:paraId="719F9105"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17. </w:t>
      </w:r>
      <w:r w:rsidRPr="000F0A89">
        <w:rPr>
          <w:rFonts w:ascii="Calibri" w:hAnsi="Calibri" w:cs="Times New Roman"/>
          <w:noProof/>
        </w:rPr>
        <w:tab/>
        <w:t xml:space="preserve">Victor CR, Yang K. The prevalence of loneliness among adults: A case study of the United Kingdom. J Psychol Interdiscip Appl. 2012;146(1–2):85–104. </w:t>
      </w:r>
    </w:p>
    <w:p w14:paraId="118B4ED3"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18. </w:t>
      </w:r>
      <w:r w:rsidRPr="000F0A89">
        <w:rPr>
          <w:rFonts w:ascii="Calibri" w:hAnsi="Calibri" w:cs="Times New Roman"/>
          <w:noProof/>
        </w:rPr>
        <w:tab/>
        <w:t>Coyle CE, Dugan E. Social isolation, loneliness and health among older adults. J Aging Health [Internet]. 2012;24(8):1346–63. Available from: https://doi.org/10.1177/0898264312460275</w:t>
      </w:r>
    </w:p>
    <w:p w14:paraId="285BBE9C"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19. </w:t>
      </w:r>
      <w:r w:rsidRPr="000F0A89">
        <w:rPr>
          <w:rFonts w:ascii="Calibri" w:hAnsi="Calibri" w:cs="Times New Roman"/>
          <w:noProof/>
        </w:rPr>
        <w:tab/>
        <w:t xml:space="preserve">Niedzwiedz CL, Richardson EA, Tunstall H, Shortt NK, Mitchell RJ, Pearce JR. The relationship between wealth and loneliness among older people across Europe: Is social participation protective? Prev Med (Baltim). 2016;91:24–31. </w:t>
      </w:r>
    </w:p>
    <w:p w14:paraId="62AC24DC"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20. </w:t>
      </w:r>
      <w:r w:rsidRPr="000F0A89">
        <w:rPr>
          <w:rFonts w:ascii="Calibri" w:hAnsi="Calibri" w:cs="Times New Roman"/>
          <w:noProof/>
        </w:rPr>
        <w:tab/>
        <w:t xml:space="preserve">NICE. Mental well-being and independence for older people. Vol. 29, Department of Health. 2016. </w:t>
      </w:r>
    </w:p>
    <w:p w14:paraId="010F02FD"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21. </w:t>
      </w:r>
      <w:r w:rsidRPr="000F0A89">
        <w:rPr>
          <w:rFonts w:ascii="Calibri" w:hAnsi="Calibri" w:cs="Times New Roman"/>
          <w:noProof/>
        </w:rPr>
        <w:tab/>
        <w:t xml:space="preserve">Curran G, Bauer M, Mittman B, Payne J, Stetler C. Effectiveness-implementation </w:t>
      </w:r>
      <w:r w:rsidRPr="000F0A89">
        <w:rPr>
          <w:rFonts w:ascii="Calibri" w:hAnsi="Calibri" w:cs="Times New Roman"/>
          <w:noProof/>
        </w:rPr>
        <w:lastRenderedPageBreak/>
        <w:t xml:space="preserve">Hybrid Designs: Combining Elements of Clinical Effectiveness and Implementation Research to Enhance Public Health Impact. Med Care. 2012;50(3):217–26. </w:t>
      </w:r>
    </w:p>
    <w:p w14:paraId="37F24913"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22. </w:t>
      </w:r>
      <w:r w:rsidRPr="000F0A89">
        <w:rPr>
          <w:rFonts w:ascii="Calibri" w:hAnsi="Calibri" w:cs="Times New Roman"/>
          <w:noProof/>
        </w:rPr>
        <w:tab/>
        <w:t xml:space="preserve">Band R, Ewings S, Cheetham-Blake T, Ellis J, Breheny K, Vassilev I, et al. Study protocol for “The Project about Loneliness and Social networks (PALS)”: A pragmatic, randomised trial comparing a facilitated social network intervention (Genie) with a wait-list control for lonely and socially isolated people. BMJ Open. 2019;9(8). </w:t>
      </w:r>
    </w:p>
    <w:p w14:paraId="64EA3B56"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23. </w:t>
      </w:r>
      <w:r w:rsidRPr="000F0A89">
        <w:rPr>
          <w:rFonts w:ascii="Calibri" w:hAnsi="Calibri" w:cs="Times New Roman"/>
          <w:noProof/>
        </w:rPr>
        <w:tab/>
        <w:t xml:space="preserve">Blakeman T, Blickem C, Kennedy A, Reeves D, Bower P, Gaffney H, et al. Effect of information and telephone-guided access to community support for people with chronic kidney disease: Randomised controlled trial. PLoS One. 2014;9(10). </w:t>
      </w:r>
    </w:p>
    <w:p w14:paraId="08F34AF5"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24. </w:t>
      </w:r>
      <w:r w:rsidRPr="000F0A89">
        <w:rPr>
          <w:rFonts w:ascii="Calibri" w:hAnsi="Calibri" w:cs="Times New Roman"/>
          <w:noProof/>
        </w:rPr>
        <w:tab/>
        <w:t xml:space="preserve">Reeves D, Blickem C, Vassilev I, Brooks H, Kennedy A, Richardson G, et al. The contribution of social networks to the health and self-management of patients with long-term conditions: A longitudinal study. PLoS One. 2014;9(6). </w:t>
      </w:r>
    </w:p>
    <w:p w14:paraId="788F3E04"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25. </w:t>
      </w:r>
      <w:r w:rsidRPr="000F0A89">
        <w:rPr>
          <w:rFonts w:ascii="Calibri" w:hAnsi="Calibri" w:cs="Times New Roman"/>
          <w:noProof/>
        </w:rPr>
        <w:tab/>
        <w:t xml:space="preserve">Kennedy A, Vassilev I, James E, Rogers A. Implementing a social network intervention designed to enhance and diversify support for people with long-term conditions. A qualitative study. Implement Sci. 2016;11(1):1–15. </w:t>
      </w:r>
    </w:p>
    <w:p w14:paraId="2A4B1551"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26. </w:t>
      </w:r>
      <w:r w:rsidRPr="000F0A89">
        <w:rPr>
          <w:rFonts w:ascii="Calibri" w:hAnsi="Calibri" w:cs="Times New Roman"/>
          <w:noProof/>
        </w:rPr>
        <w:tab/>
        <w:t xml:space="preserve">Ackroyd S, Hughes JA. Data collection in context, Aspects of modern sociology. Social research. 2nd ed. London: Longman; 1992. </w:t>
      </w:r>
    </w:p>
    <w:p w14:paraId="1D7D93A1"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27. </w:t>
      </w:r>
      <w:r w:rsidRPr="000F0A89">
        <w:rPr>
          <w:rFonts w:ascii="Calibri" w:hAnsi="Calibri" w:cs="Times New Roman"/>
          <w:noProof/>
        </w:rPr>
        <w:tab/>
        <w:t xml:space="preserve">Layder D. Sociological Practice: Linking Theory and Social Reserach. London: SAGE Publications; 1998. </w:t>
      </w:r>
    </w:p>
    <w:p w14:paraId="75953ABC"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28. </w:t>
      </w:r>
      <w:r w:rsidRPr="000F0A89">
        <w:rPr>
          <w:rFonts w:ascii="Calibri" w:hAnsi="Calibri" w:cs="Times New Roman"/>
          <w:noProof/>
        </w:rPr>
        <w:tab/>
        <w:t xml:space="preserve">Buckingham H. Capturing diversity: A typology of third sector organisations’ responses to contracting based on empirical evidence from homelessness services. J Soc Policy. 2012;41(3):569–89. </w:t>
      </w:r>
    </w:p>
    <w:p w14:paraId="78FB47CA"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29. </w:t>
      </w:r>
      <w:r w:rsidRPr="000F0A89">
        <w:rPr>
          <w:rFonts w:ascii="Calibri" w:hAnsi="Calibri" w:cs="Times New Roman"/>
          <w:noProof/>
        </w:rPr>
        <w:tab/>
        <w:t>Department for Digital Culture Media and Sport. A connected society. A strategy for tackling loneliness-laying the foundations for change [Internet]. London; 2018. Available from: www.gov.uk/ government/collections/governments-work-o…</w:t>
      </w:r>
    </w:p>
    <w:p w14:paraId="5AFDF636"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30. </w:t>
      </w:r>
      <w:r w:rsidRPr="000F0A89">
        <w:rPr>
          <w:rFonts w:ascii="Calibri" w:hAnsi="Calibri" w:cs="Times New Roman"/>
          <w:noProof/>
        </w:rPr>
        <w:tab/>
        <w:t xml:space="preserve">May CR, Mair F, Finch T, MacFarlane A, Dowrick C, Treweek S, et al. Development of a theory of implementation and integration: Normalization Process Theory. Implement Sci. 2009;4(1):1–9. </w:t>
      </w:r>
    </w:p>
    <w:p w14:paraId="5BDB49C3"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31. </w:t>
      </w:r>
      <w:r w:rsidRPr="000F0A89">
        <w:rPr>
          <w:rFonts w:ascii="Calibri" w:hAnsi="Calibri" w:cs="Times New Roman"/>
          <w:noProof/>
        </w:rPr>
        <w:tab/>
        <w:t>Liang S, Kegler MC, Cotter M, Phillips E, Beasley D, Hermstad A, et al. Erratum to: “Integrating evidence-based practices for increasing cancer screenings in safety net health systems: A multiple case study using the Consolidated Framework for Implementation Research” [Implement Sci., 11, (2016) (109)]. Implement Sci [Internet]. 2016;11(1):1–12. Available from: http://dx.doi.org/10.1186/s13012-016-0477-4</w:t>
      </w:r>
    </w:p>
    <w:p w14:paraId="06A99702"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32. </w:t>
      </w:r>
      <w:r w:rsidRPr="000F0A89">
        <w:rPr>
          <w:rFonts w:ascii="Calibri" w:hAnsi="Calibri" w:cs="Times New Roman"/>
          <w:noProof/>
        </w:rPr>
        <w:tab/>
        <w:t xml:space="preserve">Damschroder LJ, Lowery JC. Evaluation of a large-scale weight management program using the consolidated framework for implementation research (CFIR). Implement Sci. 2013;8(1):1–17. </w:t>
      </w:r>
    </w:p>
    <w:p w14:paraId="3312E10C"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33. </w:t>
      </w:r>
      <w:r w:rsidRPr="000F0A89">
        <w:rPr>
          <w:rFonts w:ascii="Calibri" w:hAnsi="Calibri" w:cs="Times New Roman"/>
          <w:noProof/>
        </w:rPr>
        <w:tab/>
        <w:t xml:space="preserve">MacMillan R, Ellis-Pain A. Real time change: Reflections from qualitative longitundinal research on voluntary action. McCabe A, editor. Ten Years Below the Radar: Reflections on Voluntary and Community Action 2008-2018; 2018. (TSRC Working Paper). Report No.: 143. </w:t>
      </w:r>
    </w:p>
    <w:p w14:paraId="76506179" w14:textId="77777777" w:rsidR="007E3818" w:rsidRPr="000F0A89" w:rsidRDefault="007E3818" w:rsidP="007E3818">
      <w:pPr>
        <w:widowControl w:val="0"/>
        <w:autoSpaceDE w:val="0"/>
        <w:autoSpaceDN w:val="0"/>
        <w:adjustRightInd w:val="0"/>
        <w:ind w:left="640" w:hanging="640"/>
        <w:rPr>
          <w:rFonts w:ascii="Calibri" w:hAnsi="Calibri" w:cs="Times New Roman"/>
          <w:noProof/>
        </w:rPr>
      </w:pPr>
      <w:r w:rsidRPr="000F0A89">
        <w:rPr>
          <w:rFonts w:ascii="Calibri" w:hAnsi="Calibri" w:cs="Times New Roman"/>
          <w:noProof/>
        </w:rPr>
        <w:t xml:space="preserve">34. </w:t>
      </w:r>
      <w:r w:rsidRPr="000F0A89">
        <w:rPr>
          <w:rFonts w:ascii="Calibri" w:hAnsi="Calibri" w:cs="Times New Roman"/>
          <w:noProof/>
        </w:rPr>
        <w:tab/>
        <w:t xml:space="preserve">Greenhalgh T, Wherton J, Papoutsi C, Lynch J, Hughes G, A’Court C, et al. Analysing the role of complexity in explaining the fortunes of technology programmes: Empirical application of the NASSS framework. BMC Med. 2018;16(1):1–15. </w:t>
      </w:r>
    </w:p>
    <w:p w14:paraId="61D9F12D" w14:textId="43A278A7" w:rsidR="008751B6" w:rsidRPr="00295BCA" w:rsidRDefault="007E3818" w:rsidP="007E3818">
      <w:pPr>
        <w:widowControl w:val="0"/>
        <w:autoSpaceDE w:val="0"/>
        <w:autoSpaceDN w:val="0"/>
        <w:adjustRightInd w:val="0"/>
        <w:ind w:left="640" w:hanging="640"/>
      </w:pPr>
      <w:r w:rsidRPr="000F0A89">
        <w:rPr>
          <w:rFonts w:ascii="Calibri" w:hAnsi="Calibri" w:cs="Times New Roman"/>
          <w:noProof/>
        </w:rPr>
        <w:t xml:space="preserve">35. </w:t>
      </w:r>
      <w:r w:rsidRPr="000F0A89">
        <w:rPr>
          <w:rFonts w:ascii="Calibri" w:hAnsi="Calibri" w:cs="Times New Roman"/>
          <w:noProof/>
        </w:rPr>
        <w:tab/>
        <w:t xml:space="preserve">Greenhalgh T, Wherton J, Papoutsi C, Lynch J, Hughes G, A’Court C, et al. Beyond adoption: A new framework for theorizing and evaluating nonadoption, abandonment, and challenges to the scale-up, spread, and sustainability of health </w:t>
      </w:r>
      <w:r w:rsidRPr="000F0A89">
        <w:rPr>
          <w:rFonts w:ascii="Calibri" w:hAnsi="Calibri" w:cs="Times New Roman"/>
          <w:noProof/>
        </w:rPr>
        <w:lastRenderedPageBreak/>
        <w:t xml:space="preserve">and care technologies. J Med Internet Res. 2017;19(11). </w:t>
      </w:r>
      <w:r w:rsidR="00DF7DF0" w:rsidRPr="000F0A89">
        <w:fldChar w:fldCharType="end"/>
      </w:r>
    </w:p>
    <w:sectPr w:rsidR="008751B6" w:rsidRPr="00295BCA" w:rsidSect="00860E56">
      <w:footerReference w:type="default" r:id="rId9"/>
      <w:pgSz w:w="11906" w:h="16838"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7FEE" w14:textId="77777777" w:rsidR="00656D5B" w:rsidRDefault="00656D5B" w:rsidP="007E0D21">
      <w:r>
        <w:separator/>
      </w:r>
    </w:p>
  </w:endnote>
  <w:endnote w:type="continuationSeparator" w:id="0">
    <w:p w14:paraId="32C96F41" w14:textId="77777777" w:rsidR="00656D5B" w:rsidRDefault="00656D5B" w:rsidP="007E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5511"/>
      <w:docPartObj>
        <w:docPartGallery w:val="Page Numbers (Bottom of Page)"/>
        <w:docPartUnique/>
      </w:docPartObj>
    </w:sdtPr>
    <w:sdtEndPr>
      <w:rPr>
        <w:noProof/>
      </w:rPr>
    </w:sdtEndPr>
    <w:sdtContent>
      <w:p w14:paraId="1CFF48E0" w14:textId="3CD30CC1" w:rsidR="004B0D2A" w:rsidRDefault="004B0D2A">
        <w:pPr>
          <w:pStyle w:val="Footer"/>
          <w:jc w:val="right"/>
        </w:pPr>
        <w:r>
          <w:fldChar w:fldCharType="begin"/>
        </w:r>
        <w:r>
          <w:instrText xml:space="preserve"> PAGE   \* MERGEFORMAT </w:instrText>
        </w:r>
        <w:r>
          <w:fldChar w:fldCharType="separate"/>
        </w:r>
        <w:r w:rsidR="002343D5">
          <w:rPr>
            <w:noProof/>
          </w:rPr>
          <w:t>19</w:t>
        </w:r>
        <w:r>
          <w:rPr>
            <w:noProof/>
          </w:rPr>
          <w:fldChar w:fldCharType="end"/>
        </w:r>
      </w:p>
    </w:sdtContent>
  </w:sdt>
  <w:p w14:paraId="7BC70495" w14:textId="5E3471D1" w:rsidR="004B0D2A" w:rsidRDefault="004B0D2A" w:rsidP="007E0D21">
    <w:pPr>
      <w:pStyle w:val="Footer"/>
      <w:tabs>
        <w:tab w:val="clear" w:pos="4680"/>
        <w:tab w:val="clear" w:pos="9360"/>
        <w:tab w:val="left" w:pos="1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A66A" w14:textId="77777777" w:rsidR="00656D5B" w:rsidRDefault="00656D5B" w:rsidP="007E0D21">
      <w:r>
        <w:separator/>
      </w:r>
    </w:p>
  </w:footnote>
  <w:footnote w:type="continuationSeparator" w:id="0">
    <w:p w14:paraId="67F6ED2E" w14:textId="77777777" w:rsidR="00656D5B" w:rsidRDefault="00656D5B" w:rsidP="007E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2E0"/>
    <w:multiLevelType w:val="multilevel"/>
    <w:tmpl w:val="83C2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0A92"/>
    <w:multiLevelType w:val="multilevel"/>
    <w:tmpl w:val="7C7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9476E"/>
    <w:multiLevelType w:val="hybridMultilevel"/>
    <w:tmpl w:val="DDAA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94E14"/>
    <w:multiLevelType w:val="hybridMultilevel"/>
    <w:tmpl w:val="29F61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00D"/>
    <w:multiLevelType w:val="hybridMultilevel"/>
    <w:tmpl w:val="CE067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04F21"/>
    <w:multiLevelType w:val="hybridMultilevel"/>
    <w:tmpl w:val="B022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189D"/>
    <w:multiLevelType w:val="multilevel"/>
    <w:tmpl w:val="09FE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E5CC4"/>
    <w:multiLevelType w:val="multilevel"/>
    <w:tmpl w:val="4948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27940"/>
    <w:multiLevelType w:val="hybridMultilevel"/>
    <w:tmpl w:val="A8AE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8C5DC0"/>
    <w:multiLevelType w:val="hybridMultilevel"/>
    <w:tmpl w:val="9CD042CA"/>
    <w:lvl w:ilvl="0" w:tplc="04090011">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 w15:restartNumberingAfterBreak="0">
    <w:nsid w:val="3BCA61AE"/>
    <w:multiLevelType w:val="hybridMultilevel"/>
    <w:tmpl w:val="164E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16F3A"/>
    <w:multiLevelType w:val="multilevel"/>
    <w:tmpl w:val="A53A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E2A93"/>
    <w:multiLevelType w:val="multilevel"/>
    <w:tmpl w:val="2AC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2410"/>
    <w:multiLevelType w:val="hybridMultilevel"/>
    <w:tmpl w:val="523A0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F153C1"/>
    <w:multiLevelType w:val="multilevel"/>
    <w:tmpl w:val="987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B244C"/>
    <w:multiLevelType w:val="multilevel"/>
    <w:tmpl w:val="8074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8737B"/>
    <w:multiLevelType w:val="multilevel"/>
    <w:tmpl w:val="230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17FC5"/>
    <w:multiLevelType w:val="multilevel"/>
    <w:tmpl w:val="E3BA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3F5A2A"/>
    <w:multiLevelType w:val="hybridMultilevel"/>
    <w:tmpl w:val="72882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FB5F4E"/>
    <w:multiLevelType w:val="multilevel"/>
    <w:tmpl w:val="F9D89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644EC0"/>
    <w:multiLevelType w:val="multilevel"/>
    <w:tmpl w:val="C41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B0751"/>
    <w:multiLevelType w:val="multilevel"/>
    <w:tmpl w:val="D0A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340A5"/>
    <w:multiLevelType w:val="hybridMultilevel"/>
    <w:tmpl w:val="84BC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81CE0"/>
    <w:multiLevelType w:val="hybridMultilevel"/>
    <w:tmpl w:val="EF9A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9"/>
  </w:num>
  <w:num w:numId="4">
    <w:abstractNumId w:val="3"/>
  </w:num>
  <w:num w:numId="5">
    <w:abstractNumId w:val="4"/>
  </w:num>
  <w:num w:numId="6">
    <w:abstractNumId w:val="0"/>
  </w:num>
  <w:num w:numId="7">
    <w:abstractNumId w:val="15"/>
  </w:num>
  <w:num w:numId="8">
    <w:abstractNumId w:val="17"/>
  </w:num>
  <w:num w:numId="9">
    <w:abstractNumId w:val="6"/>
  </w:num>
  <w:num w:numId="10">
    <w:abstractNumId w:val="20"/>
  </w:num>
  <w:num w:numId="11">
    <w:abstractNumId w:val="7"/>
  </w:num>
  <w:num w:numId="12">
    <w:abstractNumId w:val="21"/>
  </w:num>
  <w:num w:numId="13">
    <w:abstractNumId w:val="16"/>
  </w:num>
  <w:num w:numId="14">
    <w:abstractNumId w:val="14"/>
  </w:num>
  <w:num w:numId="15">
    <w:abstractNumId w:val="1"/>
  </w:num>
  <w:num w:numId="16">
    <w:abstractNumId w:val="11"/>
  </w:num>
  <w:num w:numId="17">
    <w:abstractNumId w:val="19"/>
  </w:num>
  <w:num w:numId="18">
    <w:abstractNumId w:val="23"/>
  </w:num>
  <w:num w:numId="19">
    <w:abstractNumId w:val="2"/>
  </w:num>
  <w:num w:numId="20">
    <w:abstractNumId w:val="8"/>
  </w:num>
  <w:num w:numId="21">
    <w:abstractNumId w:val="18"/>
  </w:num>
  <w:num w:numId="22">
    <w:abstractNumId w:val="1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BA"/>
    <w:rsid w:val="000035AC"/>
    <w:rsid w:val="000045F8"/>
    <w:rsid w:val="000055D3"/>
    <w:rsid w:val="00011053"/>
    <w:rsid w:val="000111DB"/>
    <w:rsid w:val="000134C5"/>
    <w:rsid w:val="00020377"/>
    <w:rsid w:val="00020DDC"/>
    <w:rsid w:val="000211B8"/>
    <w:rsid w:val="000221C1"/>
    <w:rsid w:val="0002351B"/>
    <w:rsid w:val="00030BFA"/>
    <w:rsid w:val="000324FA"/>
    <w:rsid w:val="0003411C"/>
    <w:rsid w:val="000344AE"/>
    <w:rsid w:val="00034C06"/>
    <w:rsid w:val="0003667F"/>
    <w:rsid w:val="00037477"/>
    <w:rsid w:val="000407B8"/>
    <w:rsid w:val="00043E39"/>
    <w:rsid w:val="00045EE4"/>
    <w:rsid w:val="000511BB"/>
    <w:rsid w:val="00052828"/>
    <w:rsid w:val="00053048"/>
    <w:rsid w:val="0005333B"/>
    <w:rsid w:val="00053886"/>
    <w:rsid w:val="000549A7"/>
    <w:rsid w:val="00056D56"/>
    <w:rsid w:val="00061E8A"/>
    <w:rsid w:val="000634D6"/>
    <w:rsid w:val="000657B4"/>
    <w:rsid w:val="00066288"/>
    <w:rsid w:val="00066552"/>
    <w:rsid w:val="00067308"/>
    <w:rsid w:val="00071771"/>
    <w:rsid w:val="00071823"/>
    <w:rsid w:val="00071952"/>
    <w:rsid w:val="00071E00"/>
    <w:rsid w:val="00073696"/>
    <w:rsid w:val="000750C3"/>
    <w:rsid w:val="0007578F"/>
    <w:rsid w:val="00081435"/>
    <w:rsid w:val="00081CA6"/>
    <w:rsid w:val="00082EB5"/>
    <w:rsid w:val="00083225"/>
    <w:rsid w:val="0008423A"/>
    <w:rsid w:val="00085AE8"/>
    <w:rsid w:val="000903A8"/>
    <w:rsid w:val="00090C4F"/>
    <w:rsid w:val="000A02E2"/>
    <w:rsid w:val="000A0590"/>
    <w:rsid w:val="000A3806"/>
    <w:rsid w:val="000A4798"/>
    <w:rsid w:val="000A4CD1"/>
    <w:rsid w:val="000B02A0"/>
    <w:rsid w:val="000B19DE"/>
    <w:rsid w:val="000B2572"/>
    <w:rsid w:val="000B28FF"/>
    <w:rsid w:val="000B4CBD"/>
    <w:rsid w:val="000B599D"/>
    <w:rsid w:val="000B695D"/>
    <w:rsid w:val="000B791A"/>
    <w:rsid w:val="000C3E16"/>
    <w:rsid w:val="000C63FA"/>
    <w:rsid w:val="000C71A9"/>
    <w:rsid w:val="000D008C"/>
    <w:rsid w:val="000D2462"/>
    <w:rsid w:val="000D7898"/>
    <w:rsid w:val="000E07CB"/>
    <w:rsid w:val="000E0B05"/>
    <w:rsid w:val="000E0C7D"/>
    <w:rsid w:val="000E2C2F"/>
    <w:rsid w:val="000E5C35"/>
    <w:rsid w:val="000E6C1D"/>
    <w:rsid w:val="000E6E1C"/>
    <w:rsid w:val="000E766B"/>
    <w:rsid w:val="000F069C"/>
    <w:rsid w:val="000F0A89"/>
    <w:rsid w:val="000F1109"/>
    <w:rsid w:val="000F4F22"/>
    <w:rsid w:val="000F7803"/>
    <w:rsid w:val="00102A43"/>
    <w:rsid w:val="001033DD"/>
    <w:rsid w:val="0010419E"/>
    <w:rsid w:val="00104BEB"/>
    <w:rsid w:val="00104E86"/>
    <w:rsid w:val="00105925"/>
    <w:rsid w:val="00105FA1"/>
    <w:rsid w:val="00106BC2"/>
    <w:rsid w:val="00114C87"/>
    <w:rsid w:val="001166F1"/>
    <w:rsid w:val="00120036"/>
    <w:rsid w:val="001201F2"/>
    <w:rsid w:val="0012115D"/>
    <w:rsid w:val="00124CFF"/>
    <w:rsid w:val="00125776"/>
    <w:rsid w:val="0012758D"/>
    <w:rsid w:val="00130260"/>
    <w:rsid w:val="00131250"/>
    <w:rsid w:val="00134830"/>
    <w:rsid w:val="00134B9C"/>
    <w:rsid w:val="00136A03"/>
    <w:rsid w:val="00141586"/>
    <w:rsid w:val="00142C12"/>
    <w:rsid w:val="00146751"/>
    <w:rsid w:val="00146BBF"/>
    <w:rsid w:val="00147793"/>
    <w:rsid w:val="00151B82"/>
    <w:rsid w:val="00151CC8"/>
    <w:rsid w:val="00152490"/>
    <w:rsid w:val="0015517F"/>
    <w:rsid w:val="001559BC"/>
    <w:rsid w:val="001562BE"/>
    <w:rsid w:val="00157E2F"/>
    <w:rsid w:val="00161357"/>
    <w:rsid w:val="0016286C"/>
    <w:rsid w:val="001628FB"/>
    <w:rsid w:val="001636B6"/>
    <w:rsid w:val="0016593B"/>
    <w:rsid w:val="00165D60"/>
    <w:rsid w:val="0016727F"/>
    <w:rsid w:val="00170DC5"/>
    <w:rsid w:val="00171B34"/>
    <w:rsid w:val="0017399A"/>
    <w:rsid w:val="00174C19"/>
    <w:rsid w:val="0017539B"/>
    <w:rsid w:val="0017607E"/>
    <w:rsid w:val="001809BA"/>
    <w:rsid w:val="00180B1A"/>
    <w:rsid w:val="00183A08"/>
    <w:rsid w:val="00187302"/>
    <w:rsid w:val="0019020B"/>
    <w:rsid w:val="0019124E"/>
    <w:rsid w:val="00192483"/>
    <w:rsid w:val="001926EC"/>
    <w:rsid w:val="00196844"/>
    <w:rsid w:val="001968AB"/>
    <w:rsid w:val="001A1165"/>
    <w:rsid w:val="001A3C9E"/>
    <w:rsid w:val="001A44C0"/>
    <w:rsid w:val="001A6998"/>
    <w:rsid w:val="001B101B"/>
    <w:rsid w:val="001B2502"/>
    <w:rsid w:val="001B4FC8"/>
    <w:rsid w:val="001B616E"/>
    <w:rsid w:val="001C0578"/>
    <w:rsid w:val="001C36E6"/>
    <w:rsid w:val="001C4D19"/>
    <w:rsid w:val="001C4E8A"/>
    <w:rsid w:val="001D0A94"/>
    <w:rsid w:val="001D1809"/>
    <w:rsid w:val="001D4478"/>
    <w:rsid w:val="001D48FE"/>
    <w:rsid w:val="001E13F0"/>
    <w:rsid w:val="001E1888"/>
    <w:rsid w:val="001E58BA"/>
    <w:rsid w:val="001E64C0"/>
    <w:rsid w:val="001E7068"/>
    <w:rsid w:val="001F41F7"/>
    <w:rsid w:val="001F5224"/>
    <w:rsid w:val="001F6FBB"/>
    <w:rsid w:val="00200E43"/>
    <w:rsid w:val="002057BB"/>
    <w:rsid w:val="00210396"/>
    <w:rsid w:val="00213226"/>
    <w:rsid w:val="0021491E"/>
    <w:rsid w:val="0021494D"/>
    <w:rsid w:val="00220678"/>
    <w:rsid w:val="00222108"/>
    <w:rsid w:val="00222CE9"/>
    <w:rsid w:val="00223A9F"/>
    <w:rsid w:val="002276FB"/>
    <w:rsid w:val="00232667"/>
    <w:rsid w:val="00233498"/>
    <w:rsid w:val="002343D5"/>
    <w:rsid w:val="00236AC5"/>
    <w:rsid w:val="0024146A"/>
    <w:rsid w:val="0024218B"/>
    <w:rsid w:val="00246762"/>
    <w:rsid w:val="00251D73"/>
    <w:rsid w:val="002536A6"/>
    <w:rsid w:val="00253B12"/>
    <w:rsid w:val="00254195"/>
    <w:rsid w:val="00255AAD"/>
    <w:rsid w:val="00255CBD"/>
    <w:rsid w:val="0025644F"/>
    <w:rsid w:val="002618B0"/>
    <w:rsid w:val="0026326A"/>
    <w:rsid w:val="00271155"/>
    <w:rsid w:val="002747C3"/>
    <w:rsid w:val="00275276"/>
    <w:rsid w:val="00275F38"/>
    <w:rsid w:val="002771A7"/>
    <w:rsid w:val="002773BD"/>
    <w:rsid w:val="0028320B"/>
    <w:rsid w:val="0028544D"/>
    <w:rsid w:val="00285887"/>
    <w:rsid w:val="0029240C"/>
    <w:rsid w:val="00295BCA"/>
    <w:rsid w:val="00296BE8"/>
    <w:rsid w:val="00297C97"/>
    <w:rsid w:val="002A0FDB"/>
    <w:rsid w:val="002A278D"/>
    <w:rsid w:val="002A41B6"/>
    <w:rsid w:val="002B12B3"/>
    <w:rsid w:val="002B1DF7"/>
    <w:rsid w:val="002B299A"/>
    <w:rsid w:val="002B326E"/>
    <w:rsid w:val="002C0686"/>
    <w:rsid w:val="002C0D70"/>
    <w:rsid w:val="002C3837"/>
    <w:rsid w:val="002C6629"/>
    <w:rsid w:val="002D0EFE"/>
    <w:rsid w:val="002D1573"/>
    <w:rsid w:val="002D15B7"/>
    <w:rsid w:val="002D3CFE"/>
    <w:rsid w:val="002D4988"/>
    <w:rsid w:val="002E504F"/>
    <w:rsid w:val="002E7D23"/>
    <w:rsid w:val="002F03EC"/>
    <w:rsid w:val="002F1539"/>
    <w:rsid w:val="002F4CD5"/>
    <w:rsid w:val="003009DB"/>
    <w:rsid w:val="0030121D"/>
    <w:rsid w:val="00301508"/>
    <w:rsid w:val="003068DF"/>
    <w:rsid w:val="003117AB"/>
    <w:rsid w:val="00312A06"/>
    <w:rsid w:val="003134AB"/>
    <w:rsid w:val="00314253"/>
    <w:rsid w:val="00314E02"/>
    <w:rsid w:val="003155C7"/>
    <w:rsid w:val="00315A6D"/>
    <w:rsid w:val="00316708"/>
    <w:rsid w:val="003238B2"/>
    <w:rsid w:val="0032437B"/>
    <w:rsid w:val="003256B0"/>
    <w:rsid w:val="00327B58"/>
    <w:rsid w:val="00327CFA"/>
    <w:rsid w:val="00330C9D"/>
    <w:rsid w:val="003352AF"/>
    <w:rsid w:val="00336E9E"/>
    <w:rsid w:val="00337AC6"/>
    <w:rsid w:val="00337B42"/>
    <w:rsid w:val="003406FE"/>
    <w:rsid w:val="003409F9"/>
    <w:rsid w:val="00340C53"/>
    <w:rsid w:val="0034158C"/>
    <w:rsid w:val="003428D1"/>
    <w:rsid w:val="003478FF"/>
    <w:rsid w:val="00350330"/>
    <w:rsid w:val="00355D41"/>
    <w:rsid w:val="0036014A"/>
    <w:rsid w:val="00362C11"/>
    <w:rsid w:val="0036330A"/>
    <w:rsid w:val="0036470B"/>
    <w:rsid w:val="00366A2C"/>
    <w:rsid w:val="00373239"/>
    <w:rsid w:val="00373BEA"/>
    <w:rsid w:val="00376396"/>
    <w:rsid w:val="00376EF7"/>
    <w:rsid w:val="00382776"/>
    <w:rsid w:val="00384424"/>
    <w:rsid w:val="0038449E"/>
    <w:rsid w:val="00384693"/>
    <w:rsid w:val="00384C97"/>
    <w:rsid w:val="003867C1"/>
    <w:rsid w:val="0038722A"/>
    <w:rsid w:val="0039029B"/>
    <w:rsid w:val="00391D98"/>
    <w:rsid w:val="003927D7"/>
    <w:rsid w:val="003970D8"/>
    <w:rsid w:val="003A07B9"/>
    <w:rsid w:val="003A1A06"/>
    <w:rsid w:val="003A3831"/>
    <w:rsid w:val="003A3885"/>
    <w:rsid w:val="003A4802"/>
    <w:rsid w:val="003B0003"/>
    <w:rsid w:val="003B2352"/>
    <w:rsid w:val="003B3255"/>
    <w:rsid w:val="003B4FED"/>
    <w:rsid w:val="003C0E13"/>
    <w:rsid w:val="003C1EA4"/>
    <w:rsid w:val="003C279A"/>
    <w:rsid w:val="003C3560"/>
    <w:rsid w:val="003C396E"/>
    <w:rsid w:val="003C4D7C"/>
    <w:rsid w:val="003C4F54"/>
    <w:rsid w:val="003C6223"/>
    <w:rsid w:val="003C7FA2"/>
    <w:rsid w:val="003D0D81"/>
    <w:rsid w:val="003D22C9"/>
    <w:rsid w:val="003D4D68"/>
    <w:rsid w:val="003D74DE"/>
    <w:rsid w:val="003E08ED"/>
    <w:rsid w:val="003E275A"/>
    <w:rsid w:val="003E3658"/>
    <w:rsid w:val="003E5DD6"/>
    <w:rsid w:val="003E7458"/>
    <w:rsid w:val="003F0079"/>
    <w:rsid w:val="003F4500"/>
    <w:rsid w:val="00402D0D"/>
    <w:rsid w:val="00405117"/>
    <w:rsid w:val="004128CC"/>
    <w:rsid w:val="00413BB6"/>
    <w:rsid w:val="0041690F"/>
    <w:rsid w:val="00417832"/>
    <w:rsid w:val="00422190"/>
    <w:rsid w:val="00425262"/>
    <w:rsid w:val="00425C2A"/>
    <w:rsid w:val="004275C9"/>
    <w:rsid w:val="004277B9"/>
    <w:rsid w:val="00431A40"/>
    <w:rsid w:val="00432028"/>
    <w:rsid w:val="004351B2"/>
    <w:rsid w:val="00435F97"/>
    <w:rsid w:val="004367A6"/>
    <w:rsid w:val="004370F7"/>
    <w:rsid w:val="004510D6"/>
    <w:rsid w:val="004537E4"/>
    <w:rsid w:val="00453928"/>
    <w:rsid w:val="00453AC1"/>
    <w:rsid w:val="00454EDC"/>
    <w:rsid w:val="00457021"/>
    <w:rsid w:val="0046180C"/>
    <w:rsid w:val="00461972"/>
    <w:rsid w:val="004626AC"/>
    <w:rsid w:val="00465631"/>
    <w:rsid w:val="00473DBB"/>
    <w:rsid w:val="00474CDC"/>
    <w:rsid w:val="00477431"/>
    <w:rsid w:val="00477484"/>
    <w:rsid w:val="004806AF"/>
    <w:rsid w:val="00484710"/>
    <w:rsid w:val="00485547"/>
    <w:rsid w:val="00485A77"/>
    <w:rsid w:val="00486E61"/>
    <w:rsid w:val="004900FC"/>
    <w:rsid w:val="004909A3"/>
    <w:rsid w:val="004910AA"/>
    <w:rsid w:val="00491EFF"/>
    <w:rsid w:val="00493BE1"/>
    <w:rsid w:val="00493EEE"/>
    <w:rsid w:val="00495AB9"/>
    <w:rsid w:val="004964BB"/>
    <w:rsid w:val="00496E02"/>
    <w:rsid w:val="004970A1"/>
    <w:rsid w:val="004977BA"/>
    <w:rsid w:val="00497D96"/>
    <w:rsid w:val="004A14FC"/>
    <w:rsid w:val="004A1A87"/>
    <w:rsid w:val="004A1E06"/>
    <w:rsid w:val="004A1F35"/>
    <w:rsid w:val="004A2DB1"/>
    <w:rsid w:val="004A5719"/>
    <w:rsid w:val="004A5C15"/>
    <w:rsid w:val="004A5F12"/>
    <w:rsid w:val="004A6430"/>
    <w:rsid w:val="004B0D2A"/>
    <w:rsid w:val="004B4894"/>
    <w:rsid w:val="004C6214"/>
    <w:rsid w:val="004C7357"/>
    <w:rsid w:val="004C784E"/>
    <w:rsid w:val="004D1B2D"/>
    <w:rsid w:val="004D55FD"/>
    <w:rsid w:val="004D64E2"/>
    <w:rsid w:val="004D66E4"/>
    <w:rsid w:val="004E0C5E"/>
    <w:rsid w:val="004E1369"/>
    <w:rsid w:val="004F06FC"/>
    <w:rsid w:val="004F081D"/>
    <w:rsid w:val="004F0D6A"/>
    <w:rsid w:val="004F3B07"/>
    <w:rsid w:val="004F7D9A"/>
    <w:rsid w:val="00500229"/>
    <w:rsid w:val="00501FC4"/>
    <w:rsid w:val="00504C8E"/>
    <w:rsid w:val="00504CBC"/>
    <w:rsid w:val="00505D72"/>
    <w:rsid w:val="00506DAD"/>
    <w:rsid w:val="00507B4A"/>
    <w:rsid w:val="0051426B"/>
    <w:rsid w:val="005143D9"/>
    <w:rsid w:val="00520537"/>
    <w:rsid w:val="00524622"/>
    <w:rsid w:val="00524ADF"/>
    <w:rsid w:val="00526004"/>
    <w:rsid w:val="00530000"/>
    <w:rsid w:val="00534963"/>
    <w:rsid w:val="00544079"/>
    <w:rsid w:val="00544F1B"/>
    <w:rsid w:val="005452DC"/>
    <w:rsid w:val="00551601"/>
    <w:rsid w:val="005550F2"/>
    <w:rsid w:val="00555AD6"/>
    <w:rsid w:val="0056354A"/>
    <w:rsid w:val="0057297E"/>
    <w:rsid w:val="00575021"/>
    <w:rsid w:val="005779D5"/>
    <w:rsid w:val="00580712"/>
    <w:rsid w:val="00580AB7"/>
    <w:rsid w:val="005864D5"/>
    <w:rsid w:val="00586C52"/>
    <w:rsid w:val="0059288D"/>
    <w:rsid w:val="005930B3"/>
    <w:rsid w:val="005931D7"/>
    <w:rsid w:val="0059348F"/>
    <w:rsid w:val="00594DCB"/>
    <w:rsid w:val="00595983"/>
    <w:rsid w:val="005A4B87"/>
    <w:rsid w:val="005A4C7A"/>
    <w:rsid w:val="005B01F7"/>
    <w:rsid w:val="005B167B"/>
    <w:rsid w:val="005B573F"/>
    <w:rsid w:val="005C0325"/>
    <w:rsid w:val="005C095A"/>
    <w:rsid w:val="005C3D5E"/>
    <w:rsid w:val="005C4A7D"/>
    <w:rsid w:val="005D028D"/>
    <w:rsid w:val="005D1C03"/>
    <w:rsid w:val="005D24E1"/>
    <w:rsid w:val="005D2926"/>
    <w:rsid w:val="005D46BC"/>
    <w:rsid w:val="005D4BDF"/>
    <w:rsid w:val="005D4C1E"/>
    <w:rsid w:val="005D6543"/>
    <w:rsid w:val="005E3114"/>
    <w:rsid w:val="005E4328"/>
    <w:rsid w:val="005F1FD0"/>
    <w:rsid w:val="005F3BCD"/>
    <w:rsid w:val="005F65B9"/>
    <w:rsid w:val="00600799"/>
    <w:rsid w:val="006049A6"/>
    <w:rsid w:val="00605275"/>
    <w:rsid w:val="00607899"/>
    <w:rsid w:val="00610C9D"/>
    <w:rsid w:val="00614FC0"/>
    <w:rsid w:val="0061691F"/>
    <w:rsid w:val="00616CA3"/>
    <w:rsid w:val="00620C6F"/>
    <w:rsid w:val="00623A5B"/>
    <w:rsid w:val="006243F0"/>
    <w:rsid w:val="00624A81"/>
    <w:rsid w:val="006255D2"/>
    <w:rsid w:val="0062676E"/>
    <w:rsid w:val="00630494"/>
    <w:rsid w:val="00631785"/>
    <w:rsid w:val="006365B8"/>
    <w:rsid w:val="00640FE9"/>
    <w:rsid w:val="0064184C"/>
    <w:rsid w:val="00643841"/>
    <w:rsid w:val="006473B2"/>
    <w:rsid w:val="0065053E"/>
    <w:rsid w:val="00651303"/>
    <w:rsid w:val="00654471"/>
    <w:rsid w:val="0065618E"/>
    <w:rsid w:val="0065643A"/>
    <w:rsid w:val="00656A2D"/>
    <w:rsid w:val="00656D5B"/>
    <w:rsid w:val="00657134"/>
    <w:rsid w:val="006602F4"/>
    <w:rsid w:val="006629FE"/>
    <w:rsid w:val="00663AD9"/>
    <w:rsid w:val="00663F8A"/>
    <w:rsid w:val="00665212"/>
    <w:rsid w:val="00666A53"/>
    <w:rsid w:val="00666A8C"/>
    <w:rsid w:val="00667C9D"/>
    <w:rsid w:val="0067097A"/>
    <w:rsid w:val="006729F1"/>
    <w:rsid w:val="00675C45"/>
    <w:rsid w:val="00683761"/>
    <w:rsid w:val="00683CE3"/>
    <w:rsid w:val="006840EA"/>
    <w:rsid w:val="00686A9B"/>
    <w:rsid w:val="00692DBF"/>
    <w:rsid w:val="00694410"/>
    <w:rsid w:val="006945CB"/>
    <w:rsid w:val="00694E64"/>
    <w:rsid w:val="00695093"/>
    <w:rsid w:val="006B065D"/>
    <w:rsid w:val="006B4869"/>
    <w:rsid w:val="006B6EF8"/>
    <w:rsid w:val="006C2799"/>
    <w:rsid w:val="006C614C"/>
    <w:rsid w:val="006C648D"/>
    <w:rsid w:val="006C75E8"/>
    <w:rsid w:val="006D1332"/>
    <w:rsid w:val="006D27FA"/>
    <w:rsid w:val="006D43CD"/>
    <w:rsid w:val="006D70BA"/>
    <w:rsid w:val="006E4C45"/>
    <w:rsid w:val="006E5020"/>
    <w:rsid w:val="006F142D"/>
    <w:rsid w:val="006F421B"/>
    <w:rsid w:val="006F524F"/>
    <w:rsid w:val="006F5D83"/>
    <w:rsid w:val="006F6509"/>
    <w:rsid w:val="0070533F"/>
    <w:rsid w:val="00705621"/>
    <w:rsid w:val="00717A7C"/>
    <w:rsid w:val="00720295"/>
    <w:rsid w:val="007238CB"/>
    <w:rsid w:val="00730392"/>
    <w:rsid w:val="00730C88"/>
    <w:rsid w:val="00732DF7"/>
    <w:rsid w:val="0073371B"/>
    <w:rsid w:val="00736A1D"/>
    <w:rsid w:val="00741828"/>
    <w:rsid w:val="007418CA"/>
    <w:rsid w:val="00742422"/>
    <w:rsid w:val="0074424E"/>
    <w:rsid w:val="00744EFD"/>
    <w:rsid w:val="0074593B"/>
    <w:rsid w:val="00745B59"/>
    <w:rsid w:val="0075139C"/>
    <w:rsid w:val="00752305"/>
    <w:rsid w:val="00752814"/>
    <w:rsid w:val="00753D16"/>
    <w:rsid w:val="00754211"/>
    <w:rsid w:val="00757495"/>
    <w:rsid w:val="007603F3"/>
    <w:rsid w:val="007632DB"/>
    <w:rsid w:val="00767E1F"/>
    <w:rsid w:val="00770604"/>
    <w:rsid w:val="007718B7"/>
    <w:rsid w:val="007726DD"/>
    <w:rsid w:val="00773CD9"/>
    <w:rsid w:val="007753F7"/>
    <w:rsid w:val="0077596E"/>
    <w:rsid w:val="00781B4F"/>
    <w:rsid w:val="00785963"/>
    <w:rsid w:val="00787801"/>
    <w:rsid w:val="007931B4"/>
    <w:rsid w:val="00793553"/>
    <w:rsid w:val="007948A2"/>
    <w:rsid w:val="007972EC"/>
    <w:rsid w:val="007A065C"/>
    <w:rsid w:val="007A0A76"/>
    <w:rsid w:val="007A37D8"/>
    <w:rsid w:val="007B1661"/>
    <w:rsid w:val="007B2275"/>
    <w:rsid w:val="007B2B19"/>
    <w:rsid w:val="007B6EC9"/>
    <w:rsid w:val="007B74BB"/>
    <w:rsid w:val="007C059C"/>
    <w:rsid w:val="007C17B2"/>
    <w:rsid w:val="007C22AE"/>
    <w:rsid w:val="007C4779"/>
    <w:rsid w:val="007D007D"/>
    <w:rsid w:val="007D44BB"/>
    <w:rsid w:val="007D6398"/>
    <w:rsid w:val="007E0D21"/>
    <w:rsid w:val="007E13CD"/>
    <w:rsid w:val="007E2FA7"/>
    <w:rsid w:val="007E3083"/>
    <w:rsid w:val="007E3818"/>
    <w:rsid w:val="007E4E74"/>
    <w:rsid w:val="007F39B4"/>
    <w:rsid w:val="007F63A1"/>
    <w:rsid w:val="007F7559"/>
    <w:rsid w:val="00800314"/>
    <w:rsid w:val="0080061B"/>
    <w:rsid w:val="00804FA3"/>
    <w:rsid w:val="00805615"/>
    <w:rsid w:val="008059E0"/>
    <w:rsid w:val="00805CAD"/>
    <w:rsid w:val="00806184"/>
    <w:rsid w:val="00806D64"/>
    <w:rsid w:val="00811456"/>
    <w:rsid w:val="00816DE2"/>
    <w:rsid w:val="00821A71"/>
    <w:rsid w:val="00826A7F"/>
    <w:rsid w:val="00826C62"/>
    <w:rsid w:val="00832791"/>
    <w:rsid w:val="00833894"/>
    <w:rsid w:val="00834AB3"/>
    <w:rsid w:val="008358F0"/>
    <w:rsid w:val="00837AF1"/>
    <w:rsid w:val="00841DCF"/>
    <w:rsid w:val="00842538"/>
    <w:rsid w:val="008436E4"/>
    <w:rsid w:val="00843EE0"/>
    <w:rsid w:val="00844527"/>
    <w:rsid w:val="00846153"/>
    <w:rsid w:val="0084715E"/>
    <w:rsid w:val="008509EA"/>
    <w:rsid w:val="00853ACF"/>
    <w:rsid w:val="0085570A"/>
    <w:rsid w:val="00860DA6"/>
    <w:rsid w:val="00860E56"/>
    <w:rsid w:val="008610C6"/>
    <w:rsid w:val="00862917"/>
    <w:rsid w:val="00863297"/>
    <w:rsid w:val="0086413F"/>
    <w:rsid w:val="00874EFA"/>
    <w:rsid w:val="008751B6"/>
    <w:rsid w:val="00880B63"/>
    <w:rsid w:val="008819DA"/>
    <w:rsid w:val="0088486F"/>
    <w:rsid w:val="00885510"/>
    <w:rsid w:val="0088747D"/>
    <w:rsid w:val="008916C4"/>
    <w:rsid w:val="008918EF"/>
    <w:rsid w:val="0089268E"/>
    <w:rsid w:val="00892B2B"/>
    <w:rsid w:val="00893842"/>
    <w:rsid w:val="008A07D6"/>
    <w:rsid w:val="008A71C4"/>
    <w:rsid w:val="008B1191"/>
    <w:rsid w:val="008B34FF"/>
    <w:rsid w:val="008B5661"/>
    <w:rsid w:val="008B7AC0"/>
    <w:rsid w:val="008C0871"/>
    <w:rsid w:val="008C0ECF"/>
    <w:rsid w:val="008C171D"/>
    <w:rsid w:val="008D137F"/>
    <w:rsid w:val="008D3854"/>
    <w:rsid w:val="008D58C6"/>
    <w:rsid w:val="008D5D7E"/>
    <w:rsid w:val="008D6C4F"/>
    <w:rsid w:val="008D6C79"/>
    <w:rsid w:val="008E037A"/>
    <w:rsid w:val="008E1F1F"/>
    <w:rsid w:val="008E2B2B"/>
    <w:rsid w:val="008F0877"/>
    <w:rsid w:val="008F2292"/>
    <w:rsid w:val="008F62A3"/>
    <w:rsid w:val="00901ED6"/>
    <w:rsid w:val="00904170"/>
    <w:rsid w:val="0090474D"/>
    <w:rsid w:val="00906A46"/>
    <w:rsid w:val="00906AB0"/>
    <w:rsid w:val="00907CAF"/>
    <w:rsid w:val="009117C9"/>
    <w:rsid w:val="00911DBF"/>
    <w:rsid w:val="00912482"/>
    <w:rsid w:val="009128CC"/>
    <w:rsid w:val="0091673D"/>
    <w:rsid w:val="009219C3"/>
    <w:rsid w:val="0092485B"/>
    <w:rsid w:val="00927A04"/>
    <w:rsid w:val="00930658"/>
    <w:rsid w:val="00931DA2"/>
    <w:rsid w:val="009360CD"/>
    <w:rsid w:val="009369C1"/>
    <w:rsid w:val="00940FDC"/>
    <w:rsid w:val="00944E0C"/>
    <w:rsid w:val="009452F5"/>
    <w:rsid w:val="00950CFF"/>
    <w:rsid w:val="00955065"/>
    <w:rsid w:val="00956F32"/>
    <w:rsid w:val="0096353A"/>
    <w:rsid w:val="009639E5"/>
    <w:rsid w:val="0097197E"/>
    <w:rsid w:val="0097242D"/>
    <w:rsid w:val="0097315A"/>
    <w:rsid w:val="00973308"/>
    <w:rsid w:val="00974837"/>
    <w:rsid w:val="009750B5"/>
    <w:rsid w:val="009828B4"/>
    <w:rsid w:val="00982E54"/>
    <w:rsid w:val="0098449A"/>
    <w:rsid w:val="00985833"/>
    <w:rsid w:val="00994A1E"/>
    <w:rsid w:val="009A1687"/>
    <w:rsid w:val="009A22D1"/>
    <w:rsid w:val="009A231D"/>
    <w:rsid w:val="009A2A61"/>
    <w:rsid w:val="009A7B45"/>
    <w:rsid w:val="009B16BC"/>
    <w:rsid w:val="009B2E0C"/>
    <w:rsid w:val="009B405B"/>
    <w:rsid w:val="009B59F3"/>
    <w:rsid w:val="009B5D2F"/>
    <w:rsid w:val="009B61E4"/>
    <w:rsid w:val="009C0A3F"/>
    <w:rsid w:val="009C0F40"/>
    <w:rsid w:val="009C171A"/>
    <w:rsid w:val="009C51EB"/>
    <w:rsid w:val="009C541F"/>
    <w:rsid w:val="009C605A"/>
    <w:rsid w:val="009C7B15"/>
    <w:rsid w:val="009D110A"/>
    <w:rsid w:val="009D3255"/>
    <w:rsid w:val="009D4C3E"/>
    <w:rsid w:val="009E25F6"/>
    <w:rsid w:val="009E5EF7"/>
    <w:rsid w:val="009E67DE"/>
    <w:rsid w:val="009F29C6"/>
    <w:rsid w:val="009F3367"/>
    <w:rsid w:val="009F7ED5"/>
    <w:rsid w:val="00A00546"/>
    <w:rsid w:val="00A00860"/>
    <w:rsid w:val="00A01912"/>
    <w:rsid w:val="00A0193B"/>
    <w:rsid w:val="00A03CFF"/>
    <w:rsid w:val="00A10595"/>
    <w:rsid w:val="00A117B7"/>
    <w:rsid w:val="00A13DB0"/>
    <w:rsid w:val="00A145AE"/>
    <w:rsid w:val="00A16634"/>
    <w:rsid w:val="00A171F4"/>
    <w:rsid w:val="00A176A9"/>
    <w:rsid w:val="00A20306"/>
    <w:rsid w:val="00A2030F"/>
    <w:rsid w:val="00A20EB5"/>
    <w:rsid w:val="00A219CF"/>
    <w:rsid w:val="00A22126"/>
    <w:rsid w:val="00A30393"/>
    <w:rsid w:val="00A337EA"/>
    <w:rsid w:val="00A36447"/>
    <w:rsid w:val="00A43942"/>
    <w:rsid w:val="00A439E4"/>
    <w:rsid w:val="00A50FCF"/>
    <w:rsid w:val="00A52EE1"/>
    <w:rsid w:val="00A5547E"/>
    <w:rsid w:val="00A55792"/>
    <w:rsid w:val="00A575CE"/>
    <w:rsid w:val="00A578B7"/>
    <w:rsid w:val="00A57929"/>
    <w:rsid w:val="00A657CF"/>
    <w:rsid w:val="00A71E53"/>
    <w:rsid w:val="00A71F0B"/>
    <w:rsid w:val="00A83FCB"/>
    <w:rsid w:val="00A8434F"/>
    <w:rsid w:val="00A84D33"/>
    <w:rsid w:val="00A90240"/>
    <w:rsid w:val="00A91E3A"/>
    <w:rsid w:val="00A9395D"/>
    <w:rsid w:val="00A93E1A"/>
    <w:rsid w:val="00A9493D"/>
    <w:rsid w:val="00A94F73"/>
    <w:rsid w:val="00AA71A0"/>
    <w:rsid w:val="00AB01BD"/>
    <w:rsid w:val="00AB2CEE"/>
    <w:rsid w:val="00AB33CE"/>
    <w:rsid w:val="00AB52CD"/>
    <w:rsid w:val="00AB75C7"/>
    <w:rsid w:val="00AC2020"/>
    <w:rsid w:val="00AC3529"/>
    <w:rsid w:val="00AC3CD1"/>
    <w:rsid w:val="00AC414D"/>
    <w:rsid w:val="00AC6603"/>
    <w:rsid w:val="00AC7245"/>
    <w:rsid w:val="00AD1F76"/>
    <w:rsid w:val="00AD2865"/>
    <w:rsid w:val="00AD668F"/>
    <w:rsid w:val="00AE2529"/>
    <w:rsid w:val="00AF2BC5"/>
    <w:rsid w:val="00AF34AB"/>
    <w:rsid w:val="00AF7CC5"/>
    <w:rsid w:val="00B03DD1"/>
    <w:rsid w:val="00B07922"/>
    <w:rsid w:val="00B11A0E"/>
    <w:rsid w:val="00B159C5"/>
    <w:rsid w:val="00B21DBB"/>
    <w:rsid w:val="00B27D48"/>
    <w:rsid w:val="00B3106A"/>
    <w:rsid w:val="00B313D2"/>
    <w:rsid w:val="00B357CC"/>
    <w:rsid w:val="00B373BF"/>
    <w:rsid w:val="00B43E6C"/>
    <w:rsid w:val="00B46C05"/>
    <w:rsid w:val="00B51FCB"/>
    <w:rsid w:val="00B52C07"/>
    <w:rsid w:val="00B532DF"/>
    <w:rsid w:val="00B548C4"/>
    <w:rsid w:val="00B57362"/>
    <w:rsid w:val="00B57A87"/>
    <w:rsid w:val="00B609AC"/>
    <w:rsid w:val="00B651FD"/>
    <w:rsid w:val="00B6741C"/>
    <w:rsid w:val="00B722A9"/>
    <w:rsid w:val="00B738F5"/>
    <w:rsid w:val="00B74CB0"/>
    <w:rsid w:val="00B76A35"/>
    <w:rsid w:val="00B77F65"/>
    <w:rsid w:val="00B830A5"/>
    <w:rsid w:val="00B834BC"/>
    <w:rsid w:val="00B859B7"/>
    <w:rsid w:val="00B87A82"/>
    <w:rsid w:val="00B87B47"/>
    <w:rsid w:val="00B905CA"/>
    <w:rsid w:val="00B906BA"/>
    <w:rsid w:val="00B9217D"/>
    <w:rsid w:val="00B94031"/>
    <w:rsid w:val="00B96534"/>
    <w:rsid w:val="00B97E2C"/>
    <w:rsid w:val="00BA0484"/>
    <w:rsid w:val="00BA2EFC"/>
    <w:rsid w:val="00BA50E1"/>
    <w:rsid w:val="00BA53CB"/>
    <w:rsid w:val="00BB0E6D"/>
    <w:rsid w:val="00BB3F41"/>
    <w:rsid w:val="00BB7C65"/>
    <w:rsid w:val="00BC09B0"/>
    <w:rsid w:val="00BC0C10"/>
    <w:rsid w:val="00BC1BBA"/>
    <w:rsid w:val="00BC42FA"/>
    <w:rsid w:val="00BC5F63"/>
    <w:rsid w:val="00BC7742"/>
    <w:rsid w:val="00BC79BC"/>
    <w:rsid w:val="00BD5D2F"/>
    <w:rsid w:val="00BD66B7"/>
    <w:rsid w:val="00BD760D"/>
    <w:rsid w:val="00BE31D4"/>
    <w:rsid w:val="00BE50E6"/>
    <w:rsid w:val="00BE6D98"/>
    <w:rsid w:val="00BF0B4C"/>
    <w:rsid w:val="00BF1646"/>
    <w:rsid w:val="00BF190D"/>
    <w:rsid w:val="00BF5A57"/>
    <w:rsid w:val="00BF5AD8"/>
    <w:rsid w:val="00BF5DE2"/>
    <w:rsid w:val="00BF7B4C"/>
    <w:rsid w:val="00C027F8"/>
    <w:rsid w:val="00C0410A"/>
    <w:rsid w:val="00C05CD1"/>
    <w:rsid w:val="00C05F9A"/>
    <w:rsid w:val="00C06A82"/>
    <w:rsid w:val="00C20064"/>
    <w:rsid w:val="00C2015B"/>
    <w:rsid w:val="00C206A0"/>
    <w:rsid w:val="00C2128B"/>
    <w:rsid w:val="00C24591"/>
    <w:rsid w:val="00C24867"/>
    <w:rsid w:val="00C25931"/>
    <w:rsid w:val="00C25CCD"/>
    <w:rsid w:val="00C301E8"/>
    <w:rsid w:val="00C30F35"/>
    <w:rsid w:val="00C32FE3"/>
    <w:rsid w:val="00C3386D"/>
    <w:rsid w:val="00C354FC"/>
    <w:rsid w:val="00C35ECF"/>
    <w:rsid w:val="00C36E22"/>
    <w:rsid w:val="00C40093"/>
    <w:rsid w:val="00C42586"/>
    <w:rsid w:val="00C42C3A"/>
    <w:rsid w:val="00C43782"/>
    <w:rsid w:val="00C45E41"/>
    <w:rsid w:val="00C46314"/>
    <w:rsid w:val="00C50600"/>
    <w:rsid w:val="00C50AD5"/>
    <w:rsid w:val="00C523C8"/>
    <w:rsid w:val="00C53776"/>
    <w:rsid w:val="00C54345"/>
    <w:rsid w:val="00C56B32"/>
    <w:rsid w:val="00C63E9A"/>
    <w:rsid w:val="00C64F70"/>
    <w:rsid w:val="00C65690"/>
    <w:rsid w:val="00C737CA"/>
    <w:rsid w:val="00C7482D"/>
    <w:rsid w:val="00C76F43"/>
    <w:rsid w:val="00C8257C"/>
    <w:rsid w:val="00C8656E"/>
    <w:rsid w:val="00C90570"/>
    <w:rsid w:val="00C929D8"/>
    <w:rsid w:val="00C9781C"/>
    <w:rsid w:val="00CA1170"/>
    <w:rsid w:val="00CA1601"/>
    <w:rsid w:val="00CA6D6D"/>
    <w:rsid w:val="00CA7FD4"/>
    <w:rsid w:val="00CB123E"/>
    <w:rsid w:val="00CB269C"/>
    <w:rsid w:val="00CB26F9"/>
    <w:rsid w:val="00CC1526"/>
    <w:rsid w:val="00CC2684"/>
    <w:rsid w:val="00CC48A3"/>
    <w:rsid w:val="00CC5903"/>
    <w:rsid w:val="00CC79B1"/>
    <w:rsid w:val="00CD1179"/>
    <w:rsid w:val="00CD2771"/>
    <w:rsid w:val="00CD5A30"/>
    <w:rsid w:val="00CE1F0C"/>
    <w:rsid w:val="00CE253C"/>
    <w:rsid w:val="00CE26F4"/>
    <w:rsid w:val="00CE41A9"/>
    <w:rsid w:val="00CE44FB"/>
    <w:rsid w:val="00CE72E1"/>
    <w:rsid w:val="00CE77D9"/>
    <w:rsid w:val="00CE783B"/>
    <w:rsid w:val="00CF224F"/>
    <w:rsid w:val="00CF6416"/>
    <w:rsid w:val="00D00A8F"/>
    <w:rsid w:val="00D01AD0"/>
    <w:rsid w:val="00D02231"/>
    <w:rsid w:val="00D02FB8"/>
    <w:rsid w:val="00D10F28"/>
    <w:rsid w:val="00D11F39"/>
    <w:rsid w:val="00D1287C"/>
    <w:rsid w:val="00D1690C"/>
    <w:rsid w:val="00D20DC9"/>
    <w:rsid w:val="00D212C3"/>
    <w:rsid w:val="00D27726"/>
    <w:rsid w:val="00D27F15"/>
    <w:rsid w:val="00D314AC"/>
    <w:rsid w:val="00D31AE1"/>
    <w:rsid w:val="00D365D7"/>
    <w:rsid w:val="00D42C20"/>
    <w:rsid w:val="00D44AE5"/>
    <w:rsid w:val="00D45171"/>
    <w:rsid w:val="00D4711D"/>
    <w:rsid w:val="00D51682"/>
    <w:rsid w:val="00D55E79"/>
    <w:rsid w:val="00D616D4"/>
    <w:rsid w:val="00D6195B"/>
    <w:rsid w:val="00D63587"/>
    <w:rsid w:val="00D6463F"/>
    <w:rsid w:val="00D64EB4"/>
    <w:rsid w:val="00D64ED2"/>
    <w:rsid w:val="00D6557D"/>
    <w:rsid w:val="00D670C8"/>
    <w:rsid w:val="00D70E85"/>
    <w:rsid w:val="00D73F8C"/>
    <w:rsid w:val="00D743AB"/>
    <w:rsid w:val="00D74487"/>
    <w:rsid w:val="00D75502"/>
    <w:rsid w:val="00D8008C"/>
    <w:rsid w:val="00D80720"/>
    <w:rsid w:val="00D8222A"/>
    <w:rsid w:val="00D8380D"/>
    <w:rsid w:val="00D839A0"/>
    <w:rsid w:val="00D83A36"/>
    <w:rsid w:val="00D83F3D"/>
    <w:rsid w:val="00D84263"/>
    <w:rsid w:val="00D863D3"/>
    <w:rsid w:val="00D9018A"/>
    <w:rsid w:val="00D903D1"/>
    <w:rsid w:val="00D97F7E"/>
    <w:rsid w:val="00DA04AD"/>
    <w:rsid w:val="00DA0DF1"/>
    <w:rsid w:val="00DA2062"/>
    <w:rsid w:val="00DA5D38"/>
    <w:rsid w:val="00DA660D"/>
    <w:rsid w:val="00DA6BF0"/>
    <w:rsid w:val="00DB0C11"/>
    <w:rsid w:val="00DB2458"/>
    <w:rsid w:val="00DB27A7"/>
    <w:rsid w:val="00DB4055"/>
    <w:rsid w:val="00DB4F8D"/>
    <w:rsid w:val="00DB5E71"/>
    <w:rsid w:val="00DB63C9"/>
    <w:rsid w:val="00DC0445"/>
    <w:rsid w:val="00DC0EEA"/>
    <w:rsid w:val="00DC246F"/>
    <w:rsid w:val="00DC2C73"/>
    <w:rsid w:val="00DC3A60"/>
    <w:rsid w:val="00DC3FDF"/>
    <w:rsid w:val="00DC6BCA"/>
    <w:rsid w:val="00DC6D24"/>
    <w:rsid w:val="00DC6E32"/>
    <w:rsid w:val="00DD02CD"/>
    <w:rsid w:val="00DE175A"/>
    <w:rsid w:val="00DE3121"/>
    <w:rsid w:val="00DE4141"/>
    <w:rsid w:val="00DF1131"/>
    <w:rsid w:val="00DF2875"/>
    <w:rsid w:val="00DF63E6"/>
    <w:rsid w:val="00DF7DF0"/>
    <w:rsid w:val="00E00AFF"/>
    <w:rsid w:val="00E062B3"/>
    <w:rsid w:val="00E11593"/>
    <w:rsid w:val="00E139F1"/>
    <w:rsid w:val="00E13A82"/>
    <w:rsid w:val="00E165A4"/>
    <w:rsid w:val="00E24F6E"/>
    <w:rsid w:val="00E26BB6"/>
    <w:rsid w:val="00E27A1A"/>
    <w:rsid w:val="00E36CA9"/>
    <w:rsid w:val="00E43896"/>
    <w:rsid w:val="00E439D4"/>
    <w:rsid w:val="00E46042"/>
    <w:rsid w:val="00E50E35"/>
    <w:rsid w:val="00E57576"/>
    <w:rsid w:val="00E601D2"/>
    <w:rsid w:val="00E61EBF"/>
    <w:rsid w:val="00E629C1"/>
    <w:rsid w:val="00E637D0"/>
    <w:rsid w:val="00E666F2"/>
    <w:rsid w:val="00E674E8"/>
    <w:rsid w:val="00E7369A"/>
    <w:rsid w:val="00E73F27"/>
    <w:rsid w:val="00E74BEB"/>
    <w:rsid w:val="00E7555F"/>
    <w:rsid w:val="00E76741"/>
    <w:rsid w:val="00E80546"/>
    <w:rsid w:val="00E81DF4"/>
    <w:rsid w:val="00E86B4B"/>
    <w:rsid w:val="00E87F29"/>
    <w:rsid w:val="00E915E5"/>
    <w:rsid w:val="00EA1927"/>
    <w:rsid w:val="00EA4063"/>
    <w:rsid w:val="00EA478A"/>
    <w:rsid w:val="00EA7793"/>
    <w:rsid w:val="00EB0F1C"/>
    <w:rsid w:val="00EB37B9"/>
    <w:rsid w:val="00EC514D"/>
    <w:rsid w:val="00ED16E3"/>
    <w:rsid w:val="00ED3E9D"/>
    <w:rsid w:val="00ED40AC"/>
    <w:rsid w:val="00ED7071"/>
    <w:rsid w:val="00ED723F"/>
    <w:rsid w:val="00EE0C4C"/>
    <w:rsid w:val="00EE26BC"/>
    <w:rsid w:val="00EE29D1"/>
    <w:rsid w:val="00EE315E"/>
    <w:rsid w:val="00EE6789"/>
    <w:rsid w:val="00EE6AB9"/>
    <w:rsid w:val="00EE6D95"/>
    <w:rsid w:val="00EE77E5"/>
    <w:rsid w:val="00EF4284"/>
    <w:rsid w:val="00EF7CE6"/>
    <w:rsid w:val="00F00F2E"/>
    <w:rsid w:val="00F01554"/>
    <w:rsid w:val="00F01B71"/>
    <w:rsid w:val="00F03055"/>
    <w:rsid w:val="00F032C8"/>
    <w:rsid w:val="00F07EA3"/>
    <w:rsid w:val="00F11B91"/>
    <w:rsid w:val="00F130BC"/>
    <w:rsid w:val="00F14649"/>
    <w:rsid w:val="00F1468F"/>
    <w:rsid w:val="00F150D9"/>
    <w:rsid w:val="00F214E2"/>
    <w:rsid w:val="00F22E57"/>
    <w:rsid w:val="00F2462A"/>
    <w:rsid w:val="00F2509A"/>
    <w:rsid w:val="00F25DA4"/>
    <w:rsid w:val="00F2714B"/>
    <w:rsid w:val="00F31CF9"/>
    <w:rsid w:val="00F35126"/>
    <w:rsid w:val="00F36D6F"/>
    <w:rsid w:val="00F40A83"/>
    <w:rsid w:val="00F41592"/>
    <w:rsid w:val="00F42661"/>
    <w:rsid w:val="00F46F16"/>
    <w:rsid w:val="00F50F9E"/>
    <w:rsid w:val="00F519E4"/>
    <w:rsid w:val="00F5216B"/>
    <w:rsid w:val="00F566A1"/>
    <w:rsid w:val="00F56A31"/>
    <w:rsid w:val="00F5758D"/>
    <w:rsid w:val="00F57C17"/>
    <w:rsid w:val="00F601C6"/>
    <w:rsid w:val="00F660F5"/>
    <w:rsid w:val="00F838AD"/>
    <w:rsid w:val="00F83A5C"/>
    <w:rsid w:val="00F91334"/>
    <w:rsid w:val="00F919A8"/>
    <w:rsid w:val="00F946CB"/>
    <w:rsid w:val="00F95C8A"/>
    <w:rsid w:val="00F97703"/>
    <w:rsid w:val="00FA2291"/>
    <w:rsid w:val="00FA2E45"/>
    <w:rsid w:val="00FA6E5C"/>
    <w:rsid w:val="00FB2CDA"/>
    <w:rsid w:val="00FB6CDB"/>
    <w:rsid w:val="00FC0E4A"/>
    <w:rsid w:val="00FC45EB"/>
    <w:rsid w:val="00FC49E9"/>
    <w:rsid w:val="00FD3F81"/>
    <w:rsid w:val="00FE04DE"/>
    <w:rsid w:val="00FE534C"/>
    <w:rsid w:val="00FE574D"/>
    <w:rsid w:val="00FE6A8D"/>
    <w:rsid w:val="00FF0239"/>
    <w:rsid w:val="00FF124D"/>
    <w:rsid w:val="00FF2155"/>
    <w:rsid w:val="00FF4384"/>
    <w:rsid w:val="00FF54CA"/>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EA45"/>
  <w14:defaultImageDpi w14:val="32767"/>
  <w15:chartTrackingRefBased/>
  <w15:docId w15:val="{8B308FE8-4B1F-9A45-BE2B-01711E5D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2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32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32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D9"/>
    <w:pPr>
      <w:ind w:left="720"/>
      <w:contextualSpacing/>
    </w:pPr>
  </w:style>
  <w:style w:type="table" w:styleId="TableGrid">
    <w:name w:val="Table Grid"/>
    <w:basedOn w:val="TableNormal"/>
    <w:uiPriority w:val="39"/>
    <w:rsid w:val="0007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14B"/>
    <w:rPr>
      <w:rFonts w:ascii="Times New Roman" w:hAnsi="Times New Roman" w:cs="Times New Roman"/>
      <w:sz w:val="18"/>
      <w:szCs w:val="18"/>
    </w:rPr>
  </w:style>
  <w:style w:type="character" w:customStyle="1" w:styleId="Heading1Char">
    <w:name w:val="Heading 1 Char"/>
    <w:basedOn w:val="DefaultParagraphFont"/>
    <w:link w:val="Heading1"/>
    <w:uiPriority w:val="9"/>
    <w:rsid w:val="007632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32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32DB"/>
    <w:rPr>
      <w:rFonts w:asciiTheme="majorHAnsi" w:eastAsiaTheme="majorEastAsia" w:hAnsiTheme="majorHAnsi" w:cstheme="majorBidi"/>
      <w:color w:val="1F3763" w:themeColor="accent1" w:themeShade="7F"/>
    </w:rPr>
  </w:style>
  <w:style w:type="paragraph" w:styleId="Revision">
    <w:name w:val="Revision"/>
    <w:hidden/>
    <w:uiPriority w:val="99"/>
    <w:semiHidden/>
    <w:rsid w:val="002E7D23"/>
  </w:style>
  <w:style w:type="paragraph" w:styleId="Title">
    <w:name w:val="Title"/>
    <w:basedOn w:val="Normal"/>
    <w:next w:val="Normal"/>
    <w:link w:val="TitleChar"/>
    <w:uiPriority w:val="10"/>
    <w:qFormat/>
    <w:rsid w:val="004320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0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41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541F"/>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7E0D21"/>
    <w:pPr>
      <w:tabs>
        <w:tab w:val="center" w:pos="4680"/>
        <w:tab w:val="right" w:pos="9360"/>
      </w:tabs>
    </w:pPr>
  </w:style>
  <w:style w:type="character" w:customStyle="1" w:styleId="HeaderChar">
    <w:name w:val="Header Char"/>
    <w:basedOn w:val="DefaultParagraphFont"/>
    <w:link w:val="Header"/>
    <w:uiPriority w:val="99"/>
    <w:rsid w:val="007E0D21"/>
  </w:style>
  <w:style w:type="paragraph" w:styleId="Footer">
    <w:name w:val="footer"/>
    <w:basedOn w:val="Normal"/>
    <w:link w:val="FooterChar"/>
    <w:uiPriority w:val="99"/>
    <w:unhideWhenUsed/>
    <w:rsid w:val="007E0D21"/>
    <w:pPr>
      <w:tabs>
        <w:tab w:val="center" w:pos="4680"/>
        <w:tab w:val="right" w:pos="9360"/>
      </w:tabs>
    </w:pPr>
  </w:style>
  <w:style w:type="character" w:customStyle="1" w:styleId="FooterChar">
    <w:name w:val="Footer Char"/>
    <w:basedOn w:val="DefaultParagraphFont"/>
    <w:link w:val="Footer"/>
    <w:uiPriority w:val="99"/>
    <w:rsid w:val="007E0D21"/>
  </w:style>
  <w:style w:type="character" w:customStyle="1" w:styleId="citationref">
    <w:name w:val="citationref"/>
    <w:basedOn w:val="DefaultParagraphFont"/>
    <w:rsid w:val="00E674E8"/>
  </w:style>
  <w:style w:type="character" w:styleId="Hyperlink">
    <w:name w:val="Hyperlink"/>
    <w:basedOn w:val="DefaultParagraphFont"/>
    <w:uiPriority w:val="99"/>
    <w:unhideWhenUsed/>
    <w:rsid w:val="00E674E8"/>
    <w:rPr>
      <w:color w:val="0000FF"/>
      <w:u w:val="single"/>
    </w:rPr>
  </w:style>
  <w:style w:type="character" w:styleId="CommentReference">
    <w:name w:val="annotation reference"/>
    <w:basedOn w:val="DefaultParagraphFont"/>
    <w:uiPriority w:val="99"/>
    <w:semiHidden/>
    <w:unhideWhenUsed/>
    <w:rsid w:val="009B61E4"/>
    <w:rPr>
      <w:sz w:val="16"/>
      <w:szCs w:val="16"/>
    </w:rPr>
  </w:style>
  <w:style w:type="paragraph" w:styleId="CommentText">
    <w:name w:val="annotation text"/>
    <w:basedOn w:val="Normal"/>
    <w:link w:val="CommentTextChar"/>
    <w:uiPriority w:val="99"/>
    <w:semiHidden/>
    <w:unhideWhenUsed/>
    <w:rsid w:val="009B61E4"/>
    <w:rPr>
      <w:sz w:val="20"/>
      <w:szCs w:val="20"/>
    </w:rPr>
  </w:style>
  <w:style w:type="character" w:customStyle="1" w:styleId="CommentTextChar">
    <w:name w:val="Comment Text Char"/>
    <w:basedOn w:val="DefaultParagraphFont"/>
    <w:link w:val="CommentText"/>
    <w:uiPriority w:val="99"/>
    <w:semiHidden/>
    <w:rsid w:val="009B61E4"/>
    <w:rPr>
      <w:sz w:val="20"/>
      <w:szCs w:val="20"/>
    </w:rPr>
  </w:style>
  <w:style w:type="paragraph" w:styleId="CommentSubject">
    <w:name w:val="annotation subject"/>
    <w:basedOn w:val="CommentText"/>
    <w:next w:val="CommentText"/>
    <w:link w:val="CommentSubjectChar"/>
    <w:uiPriority w:val="99"/>
    <w:semiHidden/>
    <w:unhideWhenUsed/>
    <w:rsid w:val="009B61E4"/>
    <w:rPr>
      <w:b/>
      <w:bCs/>
    </w:rPr>
  </w:style>
  <w:style w:type="character" w:customStyle="1" w:styleId="CommentSubjectChar">
    <w:name w:val="Comment Subject Char"/>
    <w:basedOn w:val="CommentTextChar"/>
    <w:link w:val="CommentSubject"/>
    <w:uiPriority w:val="99"/>
    <w:semiHidden/>
    <w:rsid w:val="009B61E4"/>
    <w:rPr>
      <w:b/>
      <w:bCs/>
      <w:sz w:val="20"/>
      <w:szCs w:val="20"/>
    </w:rPr>
  </w:style>
  <w:style w:type="paragraph" w:styleId="NormalWeb">
    <w:name w:val="Normal (Web)"/>
    <w:basedOn w:val="Normal"/>
    <w:uiPriority w:val="99"/>
    <w:unhideWhenUsed/>
    <w:rsid w:val="00FC49E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C49E9"/>
  </w:style>
  <w:style w:type="character" w:styleId="Emphasis">
    <w:name w:val="Emphasis"/>
    <w:basedOn w:val="DefaultParagraphFont"/>
    <w:uiPriority w:val="20"/>
    <w:qFormat/>
    <w:rsid w:val="00FC49E9"/>
    <w:rPr>
      <w:i/>
      <w:iCs/>
    </w:rPr>
  </w:style>
  <w:style w:type="paragraph" w:customStyle="1" w:styleId="even">
    <w:name w:val="even"/>
    <w:basedOn w:val="Normal"/>
    <w:rsid w:val="00053048"/>
    <w:pPr>
      <w:spacing w:before="100" w:beforeAutospacing="1" w:after="100" w:afterAutospacing="1"/>
    </w:pPr>
    <w:rPr>
      <w:rFonts w:ascii="Times New Roman" w:eastAsia="Times New Roman" w:hAnsi="Times New Roman" w:cs="Times New Roman"/>
    </w:rPr>
  </w:style>
  <w:style w:type="paragraph" w:customStyle="1" w:styleId="odd">
    <w:name w:val="odd"/>
    <w:basedOn w:val="Normal"/>
    <w:rsid w:val="00053048"/>
    <w:pPr>
      <w:spacing w:before="100" w:beforeAutospacing="1" w:after="100" w:afterAutospacing="1"/>
    </w:pPr>
    <w:rPr>
      <w:rFonts w:ascii="Times New Roman" w:eastAsia="Times New Roman" w:hAnsi="Times New Roman" w:cs="Times New Roman"/>
    </w:rPr>
  </w:style>
  <w:style w:type="character" w:customStyle="1" w:styleId="creative-commons-article">
    <w:name w:val="creative-commons-article"/>
    <w:basedOn w:val="DefaultParagraphFont"/>
    <w:rsid w:val="00053048"/>
  </w:style>
  <w:style w:type="character" w:customStyle="1" w:styleId="icon-cc">
    <w:name w:val="icon-cc"/>
    <w:basedOn w:val="DefaultParagraphFont"/>
    <w:rsid w:val="00053048"/>
  </w:style>
  <w:style w:type="character" w:customStyle="1" w:styleId="icon-by">
    <w:name w:val="icon-by"/>
    <w:basedOn w:val="DefaultParagraphFont"/>
    <w:rsid w:val="00053048"/>
  </w:style>
  <w:style w:type="character" w:customStyle="1" w:styleId="icon-nc">
    <w:name w:val="icon-nc"/>
    <w:basedOn w:val="DefaultParagraphFont"/>
    <w:rsid w:val="00053048"/>
  </w:style>
  <w:style w:type="character" w:styleId="HTMLCite">
    <w:name w:val="HTML Cite"/>
    <w:basedOn w:val="DefaultParagraphFont"/>
    <w:uiPriority w:val="99"/>
    <w:semiHidden/>
    <w:unhideWhenUsed/>
    <w:rsid w:val="00053048"/>
    <w:rPr>
      <w:i/>
      <w:iCs/>
    </w:rPr>
  </w:style>
  <w:style w:type="character" w:customStyle="1" w:styleId="highwire-cite-article-type">
    <w:name w:val="highwire-cite-article-type"/>
    <w:basedOn w:val="DefaultParagraphFont"/>
    <w:rsid w:val="00053048"/>
  </w:style>
  <w:style w:type="character" w:customStyle="1" w:styleId="bmj-series-title">
    <w:name w:val="bmj-series-title"/>
    <w:basedOn w:val="DefaultParagraphFont"/>
    <w:rsid w:val="00053048"/>
  </w:style>
  <w:style w:type="character" w:customStyle="1" w:styleId="highwire-cite-journal">
    <w:name w:val="highwire-cite-journal"/>
    <w:basedOn w:val="DefaultParagraphFont"/>
    <w:rsid w:val="00053048"/>
  </w:style>
  <w:style w:type="character" w:customStyle="1" w:styleId="highwire-cite-published-year">
    <w:name w:val="highwire-cite-published-year"/>
    <w:basedOn w:val="DefaultParagraphFont"/>
    <w:rsid w:val="00053048"/>
  </w:style>
  <w:style w:type="character" w:customStyle="1" w:styleId="highwire-cite-volume-issue">
    <w:name w:val="highwire-cite-volume-issue"/>
    <w:basedOn w:val="DefaultParagraphFont"/>
    <w:rsid w:val="00053048"/>
  </w:style>
  <w:style w:type="character" w:customStyle="1" w:styleId="highwire-cite-doi">
    <w:name w:val="highwire-cite-doi"/>
    <w:basedOn w:val="DefaultParagraphFont"/>
    <w:rsid w:val="00053048"/>
  </w:style>
  <w:style w:type="character" w:customStyle="1" w:styleId="highwire-cite-date">
    <w:name w:val="highwire-cite-date"/>
    <w:basedOn w:val="DefaultParagraphFont"/>
    <w:rsid w:val="00053048"/>
  </w:style>
  <w:style w:type="character" w:customStyle="1" w:styleId="highwire-cite-article-as">
    <w:name w:val="highwire-cite-article-as"/>
    <w:basedOn w:val="DefaultParagraphFont"/>
    <w:rsid w:val="00053048"/>
  </w:style>
  <w:style w:type="character" w:customStyle="1" w:styleId="italic">
    <w:name w:val="italic"/>
    <w:basedOn w:val="DefaultParagraphFont"/>
    <w:rsid w:val="00053048"/>
  </w:style>
  <w:style w:type="paragraph" w:customStyle="1" w:styleId="first">
    <w:name w:val="first"/>
    <w:basedOn w:val="Normal"/>
    <w:rsid w:val="00053048"/>
    <w:pPr>
      <w:spacing w:before="100" w:beforeAutospacing="1" w:after="100" w:afterAutospacing="1"/>
    </w:pPr>
    <w:rPr>
      <w:rFonts w:ascii="Times New Roman" w:eastAsia="Times New Roman" w:hAnsi="Times New Roman" w:cs="Times New Roman"/>
    </w:rPr>
  </w:style>
  <w:style w:type="paragraph" w:customStyle="1" w:styleId="contributor">
    <w:name w:val="contributor"/>
    <w:basedOn w:val="Normal"/>
    <w:rsid w:val="00053048"/>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053048"/>
  </w:style>
  <w:style w:type="character" w:customStyle="1" w:styleId="contrib-role">
    <w:name w:val="contrib-role"/>
    <w:basedOn w:val="DefaultParagraphFont"/>
    <w:rsid w:val="00053048"/>
  </w:style>
  <w:style w:type="paragraph" w:customStyle="1" w:styleId="last">
    <w:name w:val="last"/>
    <w:basedOn w:val="Normal"/>
    <w:rsid w:val="00053048"/>
    <w:pPr>
      <w:spacing w:before="100" w:beforeAutospacing="1" w:after="100" w:afterAutospacing="1"/>
    </w:pPr>
    <w:rPr>
      <w:rFonts w:ascii="Times New Roman" w:eastAsia="Times New Roman" w:hAnsi="Times New Roman" w:cs="Times New Roman"/>
    </w:rPr>
  </w:style>
  <w:style w:type="paragraph" w:customStyle="1" w:styleId="corresp">
    <w:name w:val="corresp"/>
    <w:basedOn w:val="Normal"/>
    <w:rsid w:val="00053048"/>
    <w:pPr>
      <w:spacing w:before="100" w:beforeAutospacing="1" w:after="100" w:afterAutospacing="1"/>
    </w:pPr>
    <w:rPr>
      <w:rFonts w:ascii="Times New Roman" w:eastAsia="Times New Roman" w:hAnsi="Times New Roman" w:cs="Times New Roman"/>
    </w:rPr>
  </w:style>
  <w:style w:type="character" w:customStyle="1" w:styleId="em-addr">
    <w:name w:val="em-addr"/>
    <w:basedOn w:val="DefaultParagraphFont"/>
    <w:rsid w:val="00053048"/>
  </w:style>
  <w:style w:type="character" w:styleId="Strong">
    <w:name w:val="Strong"/>
    <w:basedOn w:val="DefaultParagraphFont"/>
    <w:uiPriority w:val="22"/>
    <w:qFormat/>
    <w:rsid w:val="00053048"/>
    <w:rPr>
      <w:b/>
      <w:bCs/>
    </w:rPr>
  </w:style>
  <w:style w:type="character" w:customStyle="1" w:styleId="boxed-text-label">
    <w:name w:val="boxed-text-label"/>
    <w:basedOn w:val="DefaultParagraphFont"/>
    <w:rsid w:val="00053048"/>
  </w:style>
  <w:style w:type="character" w:customStyle="1" w:styleId="table-label">
    <w:name w:val="table-label"/>
    <w:basedOn w:val="DefaultParagraphFont"/>
    <w:rsid w:val="00053048"/>
  </w:style>
  <w:style w:type="paragraph" w:customStyle="1" w:styleId="first-child">
    <w:name w:val="first-child"/>
    <w:basedOn w:val="Normal"/>
    <w:rsid w:val="00053048"/>
    <w:pPr>
      <w:spacing w:before="100" w:beforeAutospacing="1" w:after="100" w:afterAutospacing="1"/>
    </w:pPr>
    <w:rPr>
      <w:rFonts w:ascii="Times New Roman" w:eastAsia="Times New Roman" w:hAnsi="Times New Roman" w:cs="Times New Roman"/>
    </w:rPr>
  </w:style>
  <w:style w:type="character" w:customStyle="1" w:styleId="fig-label">
    <w:name w:val="fig-label"/>
    <w:basedOn w:val="DefaultParagraphFont"/>
    <w:rsid w:val="00053048"/>
  </w:style>
  <w:style w:type="paragraph" w:customStyle="1" w:styleId="download-fig">
    <w:name w:val="download-fig"/>
    <w:basedOn w:val="Normal"/>
    <w:rsid w:val="00053048"/>
    <w:pPr>
      <w:spacing w:before="100" w:beforeAutospacing="1" w:after="100" w:afterAutospacing="1"/>
    </w:pPr>
    <w:rPr>
      <w:rFonts w:ascii="Times New Roman" w:eastAsia="Times New Roman" w:hAnsi="Times New Roman" w:cs="Times New Roman"/>
    </w:rPr>
  </w:style>
  <w:style w:type="paragraph" w:customStyle="1" w:styleId="new-tab">
    <w:name w:val="new-tab"/>
    <w:basedOn w:val="Normal"/>
    <w:rsid w:val="00053048"/>
    <w:pPr>
      <w:spacing w:before="100" w:beforeAutospacing="1" w:after="100" w:afterAutospacing="1"/>
    </w:pPr>
    <w:rPr>
      <w:rFonts w:ascii="Times New Roman" w:eastAsia="Times New Roman" w:hAnsi="Times New Roman" w:cs="Times New Roman"/>
    </w:rPr>
  </w:style>
  <w:style w:type="paragraph" w:customStyle="1" w:styleId="download-ppt">
    <w:name w:val="download-ppt"/>
    <w:basedOn w:val="Normal"/>
    <w:rsid w:val="00053048"/>
    <w:pPr>
      <w:spacing w:before="100" w:beforeAutospacing="1" w:after="100" w:afterAutospacing="1"/>
    </w:pPr>
    <w:rPr>
      <w:rFonts w:ascii="Times New Roman" w:eastAsia="Times New Roman" w:hAnsi="Times New Roman" w:cs="Times New Roman"/>
    </w:rPr>
  </w:style>
  <w:style w:type="character" w:customStyle="1" w:styleId="cit-auth">
    <w:name w:val="cit-auth"/>
    <w:basedOn w:val="DefaultParagraphFont"/>
    <w:rsid w:val="00053048"/>
  </w:style>
  <w:style w:type="character" w:customStyle="1" w:styleId="cit-name-surname">
    <w:name w:val="cit-name-surname"/>
    <w:basedOn w:val="DefaultParagraphFont"/>
    <w:rsid w:val="00053048"/>
  </w:style>
  <w:style w:type="character" w:customStyle="1" w:styleId="cit-name-given-names">
    <w:name w:val="cit-name-given-names"/>
    <w:basedOn w:val="DefaultParagraphFont"/>
    <w:rsid w:val="00053048"/>
  </w:style>
  <w:style w:type="character" w:customStyle="1" w:styleId="cit-article-title">
    <w:name w:val="cit-article-title"/>
    <w:basedOn w:val="DefaultParagraphFont"/>
    <w:rsid w:val="00053048"/>
  </w:style>
  <w:style w:type="character" w:customStyle="1" w:styleId="cit-pub-date">
    <w:name w:val="cit-pub-date"/>
    <w:basedOn w:val="DefaultParagraphFont"/>
    <w:rsid w:val="00053048"/>
  </w:style>
  <w:style w:type="character" w:customStyle="1" w:styleId="cit-vol">
    <w:name w:val="cit-vol"/>
    <w:basedOn w:val="DefaultParagraphFont"/>
    <w:rsid w:val="00053048"/>
  </w:style>
  <w:style w:type="character" w:customStyle="1" w:styleId="cit-fpage">
    <w:name w:val="cit-fpage"/>
    <w:basedOn w:val="DefaultParagraphFont"/>
    <w:rsid w:val="00053048"/>
  </w:style>
  <w:style w:type="character" w:customStyle="1" w:styleId="cit-lpage">
    <w:name w:val="cit-lpage"/>
    <w:basedOn w:val="DefaultParagraphFont"/>
    <w:rsid w:val="00053048"/>
  </w:style>
  <w:style w:type="character" w:customStyle="1" w:styleId="cit-pub-id">
    <w:name w:val="cit-pub-id"/>
    <w:basedOn w:val="DefaultParagraphFont"/>
    <w:rsid w:val="00053048"/>
  </w:style>
  <w:style w:type="character" w:customStyle="1" w:styleId="cit-pub-id-scheme-doi">
    <w:name w:val="cit-pub-id-scheme-doi"/>
    <w:basedOn w:val="DefaultParagraphFont"/>
    <w:rsid w:val="00053048"/>
  </w:style>
  <w:style w:type="character" w:customStyle="1" w:styleId="cit-pub-id-scheme-pmid">
    <w:name w:val="cit-pub-id-scheme-pmid"/>
    <w:basedOn w:val="DefaultParagraphFont"/>
    <w:rsid w:val="00053048"/>
  </w:style>
  <w:style w:type="character" w:customStyle="1" w:styleId="cit-source">
    <w:name w:val="cit-source"/>
    <w:basedOn w:val="DefaultParagraphFont"/>
    <w:rsid w:val="00053048"/>
  </w:style>
  <w:style w:type="character" w:customStyle="1" w:styleId="cit-publ-name">
    <w:name w:val="cit-publ-name"/>
    <w:basedOn w:val="DefaultParagraphFont"/>
    <w:rsid w:val="00053048"/>
  </w:style>
  <w:style w:type="character" w:customStyle="1" w:styleId="mixed-citation">
    <w:name w:val="mixed-citation"/>
    <w:basedOn w:val="DefaultParagraphFont"/>
    <w:rsid w:val="00196844"/>
  </w:style>
  <w:style w:type="character" w:customStyle="1" w:styleId="ref-title">
    <w:name w:val="ref-title"/>
    <w:basedOn w:val="DefaultParagraphFont"/>
    <w:rsid w:val="00196844"/>
  </w:style>
  <w:style w:type="character" w:customStyle="1" w:styleId="ref-journal">
    <w:name w:val="ref-journal"/>
    <w:basedOn w:val="DefaultParagraphFont"/>
    <w:rsid w:val="00196844"/>
  </w:style>
  <w:style w:type="character" w:customStyle="1" w:styleId="ref-vol">
    <w:name w:val="ref-vol"/>
    <w:basedOn w:val="DefaultParagraphFont"/>
    <w:rsid w:val="00196844"/>
  </w:style>
  <w:style w:type="character" w:customStyle="1" w:styleId="ref-iss">
    <w:name w:val="ref-iss"/>
    <w:basedOn w:val="DefaultParagraphFont"/>
    <w:rsid w:val="00196844"/>
  </w:style>
  <w:style w:type="character" w:customStyle="1" w:styleId="nowrap">
    <w:name w:val="nowrap"/>
    <w:basedOn w:val="DefaultParagraphFont"/>
    <w:rsid w:val="00196844"/>
  </w:style>
  <w:style w:type="paragraph" w:customStyle="1" w:styleId="para">
    <w:name w:val="para"/>
    <w:basedOn w:val="Normal"/>
    <w:rsid w:val="0036470B"/>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751B6"/>
    <w:rPr>
      <w:color w:val="605E5C"/>
      <w:shd w:val="clear" w:color="auto" w:fill="E1DFDD"/>
    </w:rPr>
  </w:style>
  <w:style w:type="character" w:styleId="FollowedHyperlink">
    <w:name w:val="FollowedHyperlink"/>
    <w:basedOn w:val="DefaultParagraphFont"/>
    <w:uiPriority w:val="99"/>
    <w:semiHidden/>
    <w:unhideWhenUsed/>
    <w:rsid w:val="00D45171"/>
    <w:rPr>
      <w:color w:val="954F72" w:themeColor="followedHyperlink"/>
      <w:u w:val="single"/>
    </w:rPr>
  </w:style>
  <w:style w:type="character" w:styleId="LineNumber">
    <w:name w:val="line number"/>
    <w:basedOn w:val="DefaultParagraphFont"/>
    <w:uiPriority w:val="99"/>
    <w:semiHidden/>
    <w:unhideWhenUsed/>
    <w:rsid w:val="0086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497">
      <w:bodyDiv w:val="1"/>
      <w:marLeft w:val="0"/>
      <w:marRight w:val="0"/>
      <w:marTop w:val="0"/>
      <w:marBottom w:val="0"/>
      <w:divBdr>
        <w:top w:val="none" w:sz="0" w:space="0" w:color="auto"/>
        <w:left w:val="none" w:sz="0" w:space="0" w:color="auto"/>
        <w:bottom w:val="none" w:sz="0" w:space="0" w:color="auto"/>
        <w:right w:val="none" w:sz="0" w:space="0" w:color="auto"/>
      </w:divBdr>
    </w:div>
    <w:div w:id="225069386">
      <w:bodyDiv w:val="1"/>
      <w:marLeft w:val="0"/>
      <w:marRight w:val="0"/>
      <w:marTop w:val="0"/>
      <w:marBottom w:val="0"/>
      <w:divBdr>
        <w:top w:val="none" w:sz="0" w:space="0" w:color="auto"/>
        <w:left w:val="none" w:sz="0" w:space="0" w:color="auto"/>
        <w:bottom w:val="none" w:sz="0" w:space="0" w:color="auto"/>
        <w:right w:val="none" w:sz="0" w:space="0" w:color="auto"/>
      </w:divBdr>
    </w:div>
    <w:div w:id="241909343">
      <w:bodyDiv w:val="1"/>
      <w:marLeft w:val="0"/>
      <w:marRight w:val="0"/>
      <w:marTop w:val="0"/>
      <w:marBottom w:val="0"/>
      <w:divBdr>
        <w:top w:val="none" w:sz="0" w:space="0" w:color="auto"/>
        <w:left w:val="none" w:sz="0" w:space="0" w:color="auto"/>
        <w:bottom w:val="none" w:sz="0" w:space="0" w:color="auto"/>
        <w:right w:val="none" w:sz="0" w:space="0" w:color="auto"/>
      </w:divBdr>
    </w:div>
    <w:div w:id="265888790">
      <w:bodyDiv w:val="1"/>
      <w:marLeft w:val="0"/>
      <w:marRight w:val="0"/>
      <w:marTop w:val="0"/>
      <w:marBottom w:val="0"/>
      <w:divBdr>
        <w:top w:val="none" w:sz="0" w:space="0" w:color="auto"/>
        <w:left w:val="none" w:sz="0" w:space="0" w:color="auto"/>
        <w:bottom w:val="none" w:sz="0" w:space="0" w:color="auto"/>
        <w:right w:val="none" w:sz="0" w:space="0" w:color="auto"/>
      </w:divBdr>
      <w:divsChild>
        <w:div w:id="1668172165">
          <w:marLeft w:val="0"/>
          <w:marRight w:val="0"/>
          <w:marTop w:val="0"/>
          <w:marBottom w:val="0"/>
          <w:divBdr>
            <w:top w:val="none" w:sz="0" w:space="0" w:color="auto"/>
            <w:left w:val="none" w:sz="0" w:space="0" w:color="auto"/>
            <w:bottom w:val="none" w:sz="0" w:space="0" w:color="auto"/>
            <w:right w:val="none" w:sz="0" w:space="0" w:color="auto"/>
          </w:divBdr>
          <w:divsChild>
            <w:div w:id="369427062">
              <w:marLeft w:val="0"/>
              <w:marRight w:val="0"/>
              <w:marTop w:val="0"/>
              <w:marBottom w:val="0"/>
              <w:divBdr>
                <w:top w:val="none" w:sz="0" w:space="0" w:color="auto"/>
                <w:left w:val="none" w:sz="0" w:space="0" w:color="auto"/>
                <w:bottom w:val="none" w:sz="0" w:space="0" w:color="auto"/>
                <w:right w:val="none" w:sz="0" w:space="0" w:color="auto"/>
              </w:divBdr>
              <w:divsChild>
                <w:div w:id="469707386">
                  <w:marLeft w:val="0"/>
                  <w:marRight w:val="0"/>
                  <w:marTop w:val="0"/>
                  <w:marBottom w:val="0"/>
                  <w:divBdr>
                    <w:top w:val="none" w:sz="0" w:space="0" w:color="auto"/>
                    <w:left w:val="none" w:sz="0" w:space="0" w:color="auto"/>
                    <w:bottom w:val="none" w:sz="0" w:space="0" w:color="auto"/>
                    <w:right w:val="none" w:sz="0" w:space="0" w:color="auto"/>
                  </w:divBdr>
                  <w:divsChild>
                    <w:div w:id="20235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9714">
      <w:bodyDiv w:val="1"/>
      <w:marLeft w:val="0"/>
      <w:marRight w:val="0"/>
      <w:marTop w:val="0"/>
      <w:marBottom w:val="0"/>
      <w:divBdr>
        <w:top w:val="none" w:sz="0" w:space="0" w:color="auto"/>
        <w:left w:val="none" w:sz="0" w:space="0" w:color="auto"/>
        <w:bottom w:val="none" w:sz="0" w:space="0" w:color="auto"/>
        <w:right w:val="none" w:sz="0" w:space="0" w:color="auto"/>
      </w:divBdr>
      <w:divsChild>
        <w:div w:id="1610771077">
          <w:marLeft w:val="0"/>
          <w:marRight w:val="0"/>
          <w:marTop w:val="0"/>
          <w:marBottom w:val="0"/>
          <w:divBdr>
            <w:top w:val="none" w:sz="0" w:space="0" w:color="auto"/>
            <w:left w:val="none" w:sz="0" w:space="0" w:color="auto"/>
            <w:bottom w:val="none" w:sz="0" w:space="0" w:color="auto"/>
            <w:right w:val="none" w:sz="0" w:space="0" w:color="auto"/>
          </w:divBdr>
          <w:divsChild>
            <w:div w:id="1722512067">
              <w:marLeft w:val="0"/>
              <w:marRight w:val="0"/>
              <w:marTop w:val="0"/>
              <w:marBottom w:val="0"/>
              <w:divBdr>
                <w:top w:val="none" w:sz="0" w:space="0" w:color="auto"/>
                <w:left w:val="none" w:sz="0" w:space="0" w:color="auto"/>
                <w:bottom w:val="none" w:sz="0" w:space="0" w:color="auto"/>
                <w:right w:val="none" w:sz="0" w:space="0" w:color="auto"/>
              </w:divBdr>
              <w:divsChild>
                <w:div w:id="1551572066">
                  <w:marLeft w:val="0"/>
                  <w:marRight w:val="0"/>
                  <w:marTop w:val="0"/>
                  <w:marBottom w:val="0"/>
                  <w:divBdr>
                    <w:top w:val="none" w:sz="0" w:space="0" w:color="auto"/>
                    <w:left w:val="none" w:sz="0" w:space="0" w:color="auto"/>
                    <w:bottom w:val="none" w:sz="0" w:space="0" w:color="auto"/>
                    <w:right w:val="none" w:sz="0" w:space="0" w:color="auto"/>
                  </w:divBdr>
                  <w:divsChild>
                    <w:div w:id="67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24777">
      <w:bodyDiv w:val="1"/>
      <w:marLeft w:val="0"/>
      <w:marRight w:val="0"/>
      <w:marTop w:val="0"/>
      <w:marBottom w:val="0"/>
      <w:divBdr>
        <w:top w:val="none" w:sz="0" w:space="0" w:color="auto"/>
        <w:left w:val="none" w:sz="0" w:space="0" w:color="auto"/>
        <w:bottom w:val="none" w:sz="0" w:space="0" w:color="auto"/>
        <w:right w:val="none" w:sz="0" w:space="0" w:color="auto"/>
      </w:divBdr>
    </w:div>
    <w:div w:id="525868234">
      <w:bodyDiv w:val="1"/>
      <w:marLeft w:val="0"/>
      <w:marRight w:val="0"/>
      <w:marTop w:val="0"/>
      <w:marBottom w:val="0"/>
      <w:divBdr>
        <w:top w:val="none" w:sz="0" w:space="0" w:color="auto"/>
        <w:left w:val="none" w:sz="0" w:space="0" w:color="auto"/>
        <w:bottom w:val="none" w:sz="0" w:space="0" w:color="auto"/>
        <w:right w:val="none" w:sz="0" w:space="0" w:color="auto"/>
      </w:divBdr>
    </w:div>
    <w:div w:id="573584298">
      <w:bodyDiv w:val="1"/>
      <w:marLeft w:val="0"/>
      <w:marRight w:val="0"/>
      <w:marTop w:val="0"/>
      <w:marBottom w:val="0"/>
      <w:divBdr>
        <w:top w:val="none" w:sz="0" w:space="0" w:color="auto"/>
        <w:left w:val="none" w:sz="0" w:space="0" w:color="auto"/>
        <w:bottom w:val="none" w:sz="0" w:space="0" w:color="auto"/>
        <w:right w:val="none" w:sz="0" w:space="0" w:color="auto"/>
      </w:divBdr>
    </w:div>
    <w:div w:id="606813819">
      <w:bodyDiv w:val="1"/>
      <w:marLeft w:val="0"/>
      <w:marRight w:val="0"/>
      <w:marTop w:val="0"/>
      <w:marBottom w:val="0"/>
      <w:divBdr>
        <w:top w:val="none" w:sz="0" w:space="0" w:color="auto"/>
        <w:left w:val="none" w:sz="0" w:space="0" w:color="auto"/>
        <w:bottom w:val="none" w:sz="0" w:space="0" w:color="auto"/>
        <w:right w:val="none" w:sz="0" w:space="0" w:color="auto"/>
      </w:divBdr>
      <w:divsChild>
        <w:div w:id="1789007671">
          <w:marLeft w:val="0"/>
          <w:marRight w:val="0"/>
          <w:marTop w:val="0"/>
          <w:marBottom w:val="0"/>
          <w:divBdr>
            <w:top w:val="none" w:sz="0" w:space="0" w:color="auto"/>
            <w:left w:val="none" w:sz="0" w:space="0" w:color="auto"/>
            <w:bottom w:val="none" w:sz="0" w:space="0" w:color="auto"/>
            <w:right w:val="none" w:sz="0" w:space="0" w:color="auto"/>
          </w:divBdr>
          <w:divsChild>
            <w:div w:id="434441620">
              <w:marLeft w:val="0"/>
              <w:marRight w:val="0"/>
              <w:marTop w:val="0"/>
              <w:marBottom w:val="0"/>
              <w:divBdr>
                <w:top w:val="none" w:sz="0" w:space="0" w:color="auto"/>
                <w:left w:val="none" w:sz="0" w:space="0" w:color="auto"/>
                <w:bottom w:val="none" w:sz="0" w:space="0" w:color="auto"/>
                <w:right w:val="none" w:sz="0" w:space="0" w:color="auto"/>
              </w:divBdr>
              <w:divsChild>
                <w:div w:id="1181624353">
                  <w:marLeft w:val="0"/>
                  <w:marRight w:val="0"/>
                  <w:marTop w:val="0"/>
                  <w:marBottom w:val="300"/>
                  <w:divBdr>
                    <w:top w:val="none" w:sz="0" w:space="0" w:color="auto"/>
                    <w:left w:val="none" w:sz="0" w:space="0" w:color="auto"/>
                    <w:bottom w:val="none" w:sz="0" w:space="0" w:color="auto"/>
                    <w:right w:val="none" w:sz="0" w:space="0" w:color="auto"/>
                  </w:divBdr>
                  <w:divsChild>
                    <w:div w:id="1149714532">
                      <w:marLeft w:val="0"/>
                      <w:marRight w:val="0"/>
                      <w:marTop w:val="0"/>
                      <w:marBottom w:val="0"/>
                      <w:divBdr>
                        <w:top w:val="none" w:sz="0" w:space="0" w:color="auto"/>
                        <w:left w:val="none" w:sz="0" w:space="0" w:color="auto"/>
                        <w:bottom w:val="none" w:sz="0" w:space="0" w:color="auto"/>
                        <w:right w:val="none" w:sz="0" w:space="0" w:color="auto"/>
                      </w:divBdr>
                      <w:divsChild>
                        <w:div w:id="623777358">
                          <w:marLeft w:val="0"/>
                          <w:marRight w:val="0"/>
                          <w:marTop w:val="0"/>
                          <w:marBottom w:val="0"/>
                          <w:divBdr>
                            <w:top w:val="none" w:sz="0" w:space="0" w:color="auto"/>
                            <w:left w:val="none" w:sz="0" w:space="0" w:color="auto"/>
                            <w:bottom w:val="none" w:sz="0" w:space="0" w:color="auto"/>
                            <w:right w:val="none" w:sz="0" w:space="0" w:color="auto"/>
                          </w:divBdr>
                          <w:divsChild>
                            <w:div w:id="1498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3588">
      <w:bodyDiv w:val="1"/>
      <w:marLeft w:val="0"/>
      <w:marRight w:val="0"/>
      <w:marTop w:val="0"/>
      <w:marBottom w:val="0"/>
      <w:divBdr>
        <w:top w:val="none" w:sz="0" w:space="0" w:color="auto"/>
        <w:left w:val="none" w:sz="0" w:space="0" w:color="auto"/>
        <w:bottom w:val="none" w:sz="0" w:space="0" w:color="auto"/>
        <w:right w:val="none" w:sz="0" w:space="0" w:color="auto"/>
      </w:divBdr>
    </w:div>
    <w:div w:id="813066319">
      <w:bodyDiv w:val="1"/>
      <w:marLeft w:val="0"/>
      <w:marRight w:val="0"/>
      <w:marTop w:val="0"/>
      <w:marBottom w:val="0"/>
      <w:divBdr>
        <w:top w:val="none" w:sz="0" w:space="0" w:color="auto"/>
        <w:left w:val="none" w:sz="0" w:space="0" w:color="auto"/>
        <w:bottom w:val="none" w:sz="0" w:space="0" w:color="auto"/>
        <w:right w:val="none" w:sz="0" w:space="0" w:color="auto"/>
      </w:divBdr>
    </w:div>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023287170">
      <w:bodyDiv w:val="1"/>
      <w:marLeft w:val="0"/>
      <w:marRight w:val="0"/>
      <w:marTop w:val="0"/>
      <w:marBottom w:val="0"/>
      <w:divBdr>
        <w:top w:val="none" w:sz="0" w:space="0" w:color="auto"/>
        <w:left w:val="none" w:sz="0" w:space="0" w:color="auto"/>
        <w:bottom w:val="none" w:sz="0" w:space="0" w:color="auto"/>
        <w:right w:val="none" w:sz="0" w:space="0" w:color="auto"/>
      </w:divBdr>
    </w:div>
    <w:div w:id="1081559059">
      <w:bodyDiv w:val="1"/>
      <w:marLeft w:val="0"/>
      <w:marRight w:val="0"/>
      <w:marTop w:val="0"/>
      <w:marBottom w:val="0"/>
      <w:divBdr>
        <w:top w:val="none" w:sz="0" w:space="0" w:color="auto"/>
        <w:left w:val="none" w:sz="0" w:space="0" w:color="auto"/>
        <w:bottom w:val="none" w:sz="0" w:space="0" w:color="auto"/>
        <w:right w:val="none" w:sz="0" w:space="0" w:color="auto"/>
      </w:divBdr>
    </w:div>
    <w:div w:id="1115830943">
      <w:bodyDiv w:val="1"/>
      <w:marLeft w:val="0"/>
      <w:marRight w:val="0"/>
      <w:marTop w:val="0"/>
      <w:marBottom w:val="0"/>
      <w:divBdr>
        <w:top w:val="none" w:sz="0" w:space="0" w:color="auto"/>
        <w:left w:val="none" w:sz="0" w:space="0" w:color="auto"/>
        <w:bottom w:val="none" w:sz="0" w:space="0" w:color="auto"/>
        <w:right w:val="none" w:sz="0" w:space="0" w:color="auto"/>
      </w:divBdr>
    </w:div>
    <w:div w:id="1117486623">
      <w:bodyDiv w:val="1"/>
      <w:marLeft w:val="0"/>
      <w:marRight w:val="0"/>
      <w:marTop w:val="0"/>
      <w:marBottom w:val="0"/>
      <w:divBdr>
        <w:top w:val="none" w:sz="0" w:space="0" w:color="auto"/>
        <w:left w:val="none" w:sz="0" w:space="0" w:color="auto"/>
        <w:bottom w:val="none" w:sz="0" w:space="0" w:color="auto"/>
        <w:right w:val="none" w:sz="0" w:space="0" w:color="auto"/>
      </w:divBdr>
    </w:div>
    <w:div w:id="1207991210">
      <w:bodyDiv w:val="1"/>
      <w:marLeft w:val="0"/>
      <w:marRight w:val="0"/>
      <w:marTop w:val="0"/>
      <w:marBottom w:val="0"/>
      <w:divBdr>
        <w:top w:val="none" w:sz="0" w:space="0" w:color="auto"/>
        <w:left w:val="none" w:sz="0" w:space="0" w:color="auto"/>
        <w:bottom w:val="none" w:sz="0" w:space="0" w:color="auto"/>
        <w:right w:val="none" w:sz="0" w:space="0" w:color="auto"/>
      </w:divBdr>
    </w:div>
    <w:div w:id="1225867966">
      <w:bodyDiv w:val="1"/>
      <w:marLeft w:val="0"/>
      <w:marRight w:val="0"/>
      <w:marTop w:val="0"/>
      <w:marBottom w:val="0"/>
      <w:divBdr>
        <w:top w:val="none" w:sz="0" w:space="0" w:color="auto"/>
        <w:left w:val="none" w:sz="0" w:space="0" w:color="auto"/>
        <w:bottom w:val="none" w:sz="0" w:space="0" w:color="auto"/>
        <w:right w:val="none" w:sz="0" w:space="0" w:color="auto"/>
      </w:divBdr>
    </w:div>
    <w:div w:id="1231236619">
      <w:bodyDiv w:val="1"/>
      <w:marLeft w:val="0"/>
      <w:marRight w:val="0"/>
      <w:marTop w:val="0"/>
      <w:marBottom w:val="0"/>
      <w:divBdr>
        <w:top w:val="none" w:sz="0" w:space="0" w:color="auto"/>
        <w:left w:val="none" w:sz="0" w:space="0" w:color="auto"/>
        <w:bottom w:val="none" w:sz="0" w:space="0" w:color="auto"/>
        <w:right w:val="none" w:sz="0" w:space="0" w:color="auto"/>
      </w:divBdr>
      <w:divsChild>
        <w:div w:id="178742828">
          <w:marLeft w:val="0"/>
          <w:marRight w:val="0"/>
          <w:marTop w:val="166"/>
          <w:marBottom w:val="166"/>
          <w:divBdr>
            <w:top w:val="none" w:sz="0" w:space="0" w:color="auto"/>
            <w:left w:val="none" w:sz="0" w:space="0" w:color="auto"/>
            <w:bottom w:val="none" w:sz="0" w:space="0" w:color="auto"/>
            <w:right w:val="none" w:sz="0" w:space="0" w:color="auto"/>
          </w:divBdr>
        </w:div>
        <w:div w:id="1110201513">
          <w:marLeft w:val="0"/>
          <w:marRight w:val="0"/>
          <w:marTop w:val="166"/>
          <w:marBottom w:val="166"/>
          <w:divBdr>
            <w:top w:val="none" w:sz="0" w:space="0" w:color="auto"/>
            <w:left w:val="none" w:sz="0" w:space="0" w:color="auto"/>
            <w:bottom w:val="none" w:sz="0" w:space="0" w:color="auto"/>
            <w:right w:val="none" w:sz="0" w:space="0" w:color="auto"/>
          </w:divBdr>
        </w:div>
        <w:div w:id="1881672585">
          <w:marLeft w:val="0"/>
          <w:marRight w:val="0"/>
          <w:marTop w:val="166"/>
          <w:marBottom w:val="166"/>
          <w:divBdr>
            <w:top w:val="none" w:sz="0" w:space="0" w:color="auto"/>
            <w:left w:val="none" w:sz="0" w:space="0" w:color="auto"/>
            <w:bottom w:val="none" w:sz="0" w:space="0" w:color="auto"/>
            <w:right w:val="none" w:sz="0" w:space="0" w:color="auto"/>
          </w:divBdr>
        </w:div>
        <w:div w:id="55054496">
          <w:marLeft w:val="0"/>
          <w:marRight w:val="0"/>
          <w:marTop w:val="166"/>
          <w:marBottom w:val="166"/>
          <w:divBdr>
            <w:top w:val="none" w:sz="0" w:space="0" w:color="auto"/>
            <w:left w:val="none" w:sz="0" w:space="0" w:color="auto"/>
            <w:bottom w:val="none" w:sz="0" w:space="0" w:color="auto"/>
            <w:right w:val="none" w:sz="0" w:space="0" w:color="auto"/>
          </w:divBdr>
        </w:div>
      </w:divsChild>
    </w:div>
    <w:div w:id="1476993171">
      <w:bodyDiv w:val="1"/>
      <w:marLeft w:val="0"/>
      <w:marRight w:val="0"/>
      <w:marTop w:val="0"/>
      <w:marBottom w:val="0"/>
      <w:divBdr>
        <w:top w:val="none" w:sz="0" w:space="0" w:color="auto"/>
        <w:left w:val="none" w:sz="0" w:space="0" w:color="auto"/>
        <w:bottom w:val="none" w:sz="0" w:space="0" w:color="auto"/>
        <w:right w:val="none" w:sz="0" w:space="0" w:color="auto"/>
      </w:divBdr>
    </w:div>
    <w:div w:id="1616599986">
      <w:bodyDiv w:val="1"/>
      <w:marLeft w:val="0"/>
      <w:marRight w:val="0"/>
      <w:marTop w:val="0"/>
      <w:marBottom w:val="0"/>
      <w:divBdr>
        <w:top w:val="none" w:sz="0" w:space="0" w:color="auto"/>
        <w:left w:val="none" w:sz="0" w:space="0" w:color="auto"/>
        <w:bottom w:val="none" w:sz="0" w:space="0" w:color="auto"/>
        <w:right w:val="none" w:sz="0" w:space="0" w:color="auto"/>
      </w:divBdr>
      <w:divsChild>
        <w:div w:id="261843961">
          <w:marLeft w:val="0"/>
          <w:marRight w:val="0"/>
          <w:marTop w:val="0"/>
          <w:marBottom w:val="0"/>
          <w:divBdr>
            <w:top w:val="none" w:sz="0" w:space="0" w:color="auto"/>
            <w:left w:val="none" w:sz="0" w:space="0" w:color="auto"/>
            <w:bottom w:val="none" w:sz="0" w:space="0" w:color="auto"/>
            <w:right w:val="none" w:sz="0" w:space="0" w:color="auto"/>
          </w:divBdr>
          <w:divsChild>
            <w:div w:id="1901863879">
              <w:marLeft w:val="0"/>
              <w:marRight w:val="0"/>
              <w:marTop w:val="0"/>
              <w:marBottom w:val="0"/>
              <w:divBdr>
                <w:top w:val="none" w:sz="0" w:space="0" w:color="auto"/>
                <w:left w:val="none" w:sz="0" w:space="0" w:color="auto"/>
                <w:bottom w:val="none" w:sz="0" w:space="0" w:color="auto"/>
                <w:right w:val="none" w:sz="0" w:space="0" w:color="auto"/>
              </w:divBdr>
              <w:divsChild>
                <w:div w:id="1515262420">
                  <w:marLeft w:val="0"/>
                  <w:marRight w:val="0"/>
                  <w:marTop w:val="0"/>
                  <w:marBottom w:val="0"/>
                  <w:divBdr>
                    <w:top w:val="none" w:sz="0" w:space="0" w:color="auto"/>
                    <w:left w:val="none" w:sz="0" w:space="0" w:color="auto"/>
                    <w:bottom w:val="none" w:sz="0" w:space="0" w:color="auto"/>
                    <w:right w:val="none" w:sz="0" w:space="0" w:color="auto"/>
                  </w:divBdr>
                  <w:divsChild>
                    <w:div w:id="15890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51103">
      <w:bodyDiv w:val="1"/>
      <w:marLeft w:val="0"/>
      <w:marRight w:val="0"/>
      <w:marTop w:val="0"/>
      <w:marBottom w:val="0"/>
      <w:divBdr>
        <w:top w:val="none" w:sz="0" w:space="0" w:color="auto"/>
        <w:left w:val="none" w:sz="0" w:space="0" w:color="auto"/>
        <w:bottom w:val="none" w:sz="0" w:space="0" w:color="auto"/>
        <w:right w:val="none" w:sz="0" w:space="0" w:color="auto"/>
      </w:divBdr>
    </w:div>
    <w:div w:id="1703046484">
      <w:bodyDiv w:val="1"/>
      <w:marLeft w:val="0"/>
      <w:marRight w:val="0"/>
      <w:marTop w:val="0"/>
      <w:marBottom w:val="0"/>
      <w:divBdr>
        <w:top w:val="none" w:sz="0" w:space="0" w:color="auto"/>
        <w:left w:val="none" w:sz="0" w:space="0" w:color="auto"/>
        <w:bottom w:val="none" w:sz="0" w:space="0" w:color="auto"/>
        <w:right w:val="none" w:sz="0" w:space="0" w:color="auto"/>
      </w:divBdr>
      <w:divsChild>
        <w:div w:id="1936475283">
          <w:marLeft w:val="0"/>
          <w:marRight w:val="0"/>
          <w:marTop w:val="0"/>
          <w:marBottom w:val="0"/>
          <w:divBdr>
            <w:top w:val="none" w:sz="0" w:space="0" w:color="auto"/>
            <w:left w:val="none" w:sz="0" w:space="0" w:color="auto"/>
            <w:bottom w:val="none" w:sz="0" w:space="0" w:color="auto"/>
            <w:right w:val="none" w:sz="0" w:space="0" w:color="auto"/>
          </w:divBdr>
          <w:divsChild>
            <w:div w:id="1415202694">
              <w:marLeft w:val="0"/>
              <w:marRight w:val="0"/>
              <w:marTop w:val="0"/>
              <w:marBottom w:val="0"/>
              <w:divBdr>
                <w:top w:val="none" w:sz="0" w:space="0" w:color="auto"/>
                <w:left w:val="none" w:sz="0" w:space="0" w:color="auto"/>
                <w:bottom w:val="none" w:sz="0" w:space="0" w:color="auto"/>
                <w:right w:val="none" w:sz="0" w:space="0" w:color="auto"/>
              </w:divBdr>
              <w:divsChild>
                <w:div w:id="20632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442">
      <w:bodyDiv w:val="1"/>
      <w:marLeft w:val="0"/>
      <w:marRight w:val="0"/>
      <w:marTop w:val="0"/>
      <w:marBottom w:val="0"/>
      <w:divBdr>
        <w:top w:val="none" w:sz="0" w:space="0" w:color="auto"/>
        <w:left w:val="none" w:sz="0" w:space="0" w:color="auto"/>
        <w:bottom w:val="none" w:sz="0" w:space="0" w:color="auto"/>
        <w:right w:val="none" w:sz="0" w:space="0" w:color="auto"/>
      </w:divBdr>
    </w:div>
    <w:div w:id="1748502949">
      <w:bodyDiv w:val="1"/>
      <w:marLeft w:val="0"/>
      <w:marRight w:val="0"/>
      <w:marTop w:val="0"/>
      <w:marBottom w:val="0"/>
      <w:divBdr>
        <w:top w:val="none" w:sz="0" w:space="0" w:color="auto"/>
        <w:left w:val="none" w:sz="0" w:space="0" w:color="auto"/>
        <w:bottom w:val="none" w:sz="0" w:space="0" w:color="auto"/>
        <w:right w:val="none" w:sz="0" w:space="0" w:color="auto"/>
      </w:divBdr>
    </w:div>
    <w:div w:id="1817261759">
      <w:bodyDiv w:val="1"/>
      <w:marLeft w:val="0"/>
      <w:marRight w:val="0"/>
      <w:marTop w:val="0"/>
      <w:marBottom w:val="0"/>
      <w:divBdr>
        <w:top w:val="none" w:sz="0" w:space="0" w:color="auto"/>
        <w:left w:val="none" w:sz="0" w:space="0" w:color="auto"/>
        <w:bottom w:val="none" w:sz="0" w:space="0" w:color="auto"/>
        <w:right w:val="none" w:sz="0" w:space="0" w:color="auto"/>
      </w:divBdr>
    </w:div>
    <w:div w:id="1955285779">
      <w:marLeft w:val="0"/>
      <w:marRight w:val="0"/>
      <w:marTop w:val="0"/>
      <w:marBottom w:val="0"/>
      <w:divBdr>
        <w:top w:val="none" w:sz="0" w:space="0" w:color="auto"/>
        <w:left w:val="none" w:sz="0" w:space="0" w:color="auto"/>
        <w:bottom w:val="none" w:sz="0" w:space="0" w:color="auto"/>
        <w:right w:val="none" w:sz="0" w:space="0" w:color="auto"/>
      </w:divBdr>
      <w:divsChild>
        <w:div w:id="1986470203">
          <w:marLeft w:val="0"/>
          <w:marRight w:val="0"/>
          <w:marTop w:val="0"/>
          <w:marBottom w:val="0"/>
          <w:divBdr>
            <w:top w:val="none" w:sz="0" w:space="0" w:color="auto"/>
            <w:left w:val="none" w:sz="0" w:space="0" w:color="auto"/>
            <w:bottom w:val="none" w:sz="0" w:space="0" w:color="auto"/>
            <w:right w:val="none" w:sz="0" w:space="0" w:color="auto"/>
          </w:divBdr>
          <w:divsChild>
            <w:div w:id="487794280">
              <w:marLeft w:val="0"/>
              <w:marRight w:val="0"/>
              <w:marTop w:val="0"/>
              <w:marBottom w:val="0"/>
              <w:divBdr>
                <w:top w:val="none" w:sz="0" w:space="0" w:color="auto"/>
                <w:left w:val="none" w:sz="0" w:space="0" w:color="auto"/>
                <w:bottom w:val="none" w:sz="0" w:space="0" w:color="auto"/>
                <w:right w:val="none" w:sz="0" w:space="0" w:color="auto"/>
              </w:divBdr>
              <w:divsChild>
                <w:div w:id="467207139">
                  <w:marLeft w:val="0"/>
                  <w:marRight w:val="0"/>
                  <w:marTop w:val="0"/>
                  <w:marBottom w:val="0"/>
                  <w:divBdr>
                    <w:top w:val="none" w:sz="0" w:space="0" w:color="auto"/>
                    <w:left w:val="none" w:sz="0" w:space="0" w:color="auto"/>
                    <w:bottom w:val="none" w:sz="0" w:space="0" w:color="auto"/>
                    <w:right w:val="none" w:sz="0" w:space="0" w:color="auto"/>
                  </w:divBdr>
                  <w:divsChild>
                    <w:div w:id="926882431">
                      <w:marLeft w:val="0"/>
                      <w:marRight w:val="0"/>
                      <w:marTop w:val="0"/>
                      <w:marBottom w:val="150"/>
                      <w:divBdr>
                        <w:top w:val="none" w:sz="0" w:space="0" w:color="auto"/>
                        <w:left w:val="none" w:sz="0" w:space="0" w:color="auto"/>
                        <w:bottom w:val="none" w:sz="0" w:space="0" w:color="auto"/>
                        <w:right w:val="none" w:sz="0" w:space="0" w:color="auto"/>
                      </w:divBdr>
                      <w:divsChild>
                        <w:div w:id="559250846">
                          <w:marLeft w:val="0"/>
                          <w:marRight w:val="0"/>
                          <w:marTop w:val="0"/>
                          <w:marBottom w:val="0"/>
                          <w:divBdr>
                            <w:top w:val="none" w:sz="0" w:space="0" w:color="auto"/>
                            <w:left w:val="none" w:sz="0" w:space="0" w:color="auto"/>
                            <w:bottom w:val="none" w:sz="0" w:space="0" w:color="auto"/>
                            <w:right w:val="none" w:sz="0" w:space="0" w:color="auto"/>
                          </w:divBdr>
                          <w:divsChild>
                            <w:div w:id="1585727607">
                              <w:marLeft w:val="0"/>
                              <w:marRight w:val="0"/>
                              <w:marTop w:val="0"/>
                              <w:marBottom w:val="0"/>
                              <w:divBdr>
                                <w:top w:val="none" w:sz="0" w:space="0" w:color="auto"/>
                                <w:left w:val="none" w:sz="0" w:space="0" w:color="auto"/>
                                <w:bottom w:val="none" w:sz="0" w:space="0" w:color="auto"/>
                                <w:right w:val="none" w:sz="0" w:space="0" w:color="auto"/>
                              </w:divBdr>
                              <w:divsChild>
                                <w:div w:id="1280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4525">
                      <w:marLeft w:val="0"/>
                      <w:marRight w:val="0"/>
                      <w:marTop w:val="0"/>
                      <w:marBottom w:val="0"/>
                      <w:divBdr>
                        <w:top w:val="none" w:sz="0" w:space="0" w:color="auto"/>
                        <w:left w:val="none" w:sz="0" w:space="0" w:color="auto"/>
                        <w:bottom w:val="none" w:sz="0" w:space="0" w:color="auto"/>
                        <w:right w:val="none" w:sz="0" w:space="0" w:color="auto"/>
                      </w:divBdr>
                      <w:divsChild>
                        <w:div w:id="213079878">
                          <w:marLeft w:val="0"/>
                          <w:marRight w:val="225"/>
                          <w:marTop w:val="0"/>
                          <w:marBottom w:val="0"/>
                          <w:divBdr>
                            <w:top w:val="none" w:sz="0" w:space="0" w:color="auto"/>
                            <w:left w:val="none" w:sz="0" w:space="0" w:color="auto"/>
                            <w:bottom w:val="none" w:sz="0" w:space="0" w:color="auto"/>
                            <w:right w:val="none" w:sz="0" w:space="0" w:color="auto"/>
                          </w:divBdr>
                          <w:divsChild>
                            <w:div w:id="887109104">
                              <w:marLeft w:val="0"/>
                              <w:marRight w:val="0"/>
                              <w:marTop w:val="0"/>
                              <w:marBottom w:val="0"/>
                              <w:divBdr>
                                <w:top w:val="none" w:sz="0" w:space="0" w:color="auto"/>
                                <w:left w:val="none" w:sz="0" w:space="0" w:color="auto"/>
                                <w:bottom w:val="none" w:sz="0" w:space="0" w:color="auto"/>
                                <w:right w:val="none" w:sz="0" w:space="0" w:color="auto"/>
                              </w:divBdr>
                              <w:divsChild>
                                <w:div w:id="129589663">
                                  <w:marLeft w:val="0"/>
                                  <w:marRight w:val="0"/>
                                  <w:marTop w:val="0"/>
                                  <w:marBottom w:val="0"/>
                                  <w:divBdr>
                                    <w:top w:val="none" w:sz="0" w:space="0" w:color="auto"/>
                                    <w:left w:val="none" w:sz="0" w:space="0" w:color="auto"/>
                                    <w:bottom w:val="none" w:sz="0" w:space="0" w:color="auto"/>
                                    <w:right w:val="none" w:sz="0" w:space="0" w:color="auto"/>
                                  </w:divBdr>
                                  <w:divsChild>
                                    <w:div w:id="102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1525">
                              <w:marLeft w:val="0"/>
                              <w:marRight w:val="0"/>
                              <w:marTop w:val="0"/>
                              <w:marBottom w:val="0"/>
                              <w:divBdr>
                                <w:top w:val="none" w:sz="0" w:space="0" w:color="auto"/>
                                <w:left w:val="none" w:sz="0" w:space="0" w:color="auto"/>
                                <w:bottom w:val="none" w:sz="0" w:space="0" w:color="auto"/>
                                <w:right w:val="none" w:sz="0" w:space="0" w:color="auto"/>
                              </w:divBdr>
                              <w:divsChild>
                                <w:div w:id="1771656308">
                                  <w:marLeft w:val="0"/>
                                  <w:marRight w:val="0"/>
                                  <w:marTop w:val="0"/>
                                  <w:marBottom w:val="0"/>
                                  <w:divBdr>
                                    <w:top w:val="none" w:sz="0" w:space="0" w:color="auto"/>
                                    <w:left w:val="none" w:sz="0" w:space="0" w:color="auto"/>
                                    <w:bottom w:val="none" w:sz="0" w:space="0" w:color="auto"/>
                                    <w:right w:val="none" w:sz="0" w:space="0" w:color="auto"/>
                                  </w:divBdr>
                                </w:div>
                              </w:divsChild>
                            </w:div>
                            <w:div w:id="1206023003">
                              <w:marLeft w:val="0"/>
                              <w:marRight w:val="0"/>
                              <w:marTop w:val="0"/>
                              <w:marBottom w:val="0"/>
                              <w:divBdr>
                                <w:top w:val="none" w:sz="0" w:space="0" w:color="auto"/>
                                <w:left w:val="none" w:sz="0" w:space="0" w:color="auto"/>
                                <w:bottom w:val="none" w:sz="0" w:space="0" w:color="auto"/>
                                <w:right w:val="none" w:sz="0" w:space="0" w:color="auto"/>
                              </w:divBdr>
                              <w:divsChild>
                                <w:div w:id="299924337">
                                  <w:marLeft w:val="0"/>
                                  <w:marRight w:val="0"/>
                                  <w:marTop w:val="0"/>
                                  <w:marBottom w:val="0"/>
                                  <w:divBdr>
                                    <w:top w:val="none" w:sz="0" w:space="0" w:color="auto"/>
                                    <w:left w:val="none" w:sz="0" w:space="0" w:color="auto"/>
                                    <w:bottom w:val="none" w:sz="0" w:space="0" w:color="auto"/>
                                    <w:right w:val="none" w:sz="0" w:space="0" w:color="auto"/>
                                  </w:divBdr>
                                  <w:divsChild>
                                    <w:div w:id="1364018872">
                                      <w:marLeft w:val="0"/>
                                      <w:marRight w:val="0"/>
                                      <w:marTop w:val="0"/>
                                      <w:marBottom w:val="0"/>
                                      <w:divBdr>
                                        <w:top w:val="none" w:sz="0" w:space="0" w:color="auto"/>
                                        <w:left w:val="none" w:sz="0" w:space="0" w:color="auto"/>
                                        <w:bottom w:val="none" w:sz="0" w:space="0" w:color="auto"/>
                                        <w:right w:val="none" w:sz="0" w:space="0" w:color="auto"/>
                                      </w:divBdr>
                                      <w:divsChild>
                                        <w:div w:id="1890414342">
                                          <w:marLeft w:val="0"/>
                                          <w:marRight w:val="0"/>
                                          <w:marTop w:val="0"/>
                                          <w:marBottom w:val="0"/>
                                          <w:divBdr>
                                            <w:top w:val="none" w:sz="0" w:space="0" w:color="auto"/>
                                            <w:left w:val="none" w:sz="0" w:space="0" w:color="auto"/>
                                            <w:bottom w:val="none" w:sz="0" w:space="0" w:color="auto"/>
                                            <w:right w:val="none" w:sz="0" w:space="0" w:color="auto"/>
                                          </w:divBdr>
                                          <w:divsChild>
                                            <w:div w:id="940457054">
                                              <w:marLeft w:val="0"/>
                                              <w:marRight w:val="0"/>
                                              <w:marTop w:val="0"/>
                                              <w:marBottom w:val="0"/>
                                              <w:divBdr>
                                                <w:top w:val="none" w:sz="0" w:space="0" w:color="auto"/>
                                                <w:left w:val="none" w:sz="0" w:space="0" w:color="auto"/>
                                                <w:bottom w:val="none" w:sz="0" w:space="0" w:color="auto"/>
                                                <w:right w:val="none" w:sz="0" w:space="0" w:color="auto"/>
                                              </w:divBdr>
                                              <w:divsChild>
                                                <w:div w:id="1794060169">
                                                  <w:marLeft w:val="0"/>
                                                  <w:marRight w:val="0"/>
                                                  <w:marTop w:val="0"/>
                                                  <w:marBottom w:val="0"/>
                                                  <w:divBdr>
                                                    <w:top w:val="none" w:sz="0" w:space="0" w:color="auto"/>
                                                    <w:left w:val="none" w:sz="0" w:space="0" w:color="auto"/>
                                                    <w:bottom w:val="none" w:sz="0" w:space="0" w:color="auto"/>
                                                    <w:right w:val="none" w:sz="0" w:space="0" w:color="auto"/>
                                                  </w:divBdr>
                                                  <w:divsChild>
                                                    <w:div w:id="494999309">
                                                      <w:marLeft w:val="0"/>
                                                      <w:marRight w:val="0"/>
                                                      <w:marTop w:val="0"/>
                                                      <w:marBottom w:val="0"/>
                                                      <w:divBdr>
                                                        <w:top w:val="none" w:sz="0" w:space="0" w:color="auto"/>
                                                        <w:left w:val="none" w:sz="0" w:space="0" w:color="auto"/>
                                                        <w:bottom w:val="none" w:sz="0" w:space="0" w:color="auto"/>
                                                        <w:right w:val="none" w:sz="0" w:space="0" w:color="auto"/>
                                                      </w:divBdr>
                                                      <w:divsChild>
                                                        <w:div w:id="843203686">
                                                          <w:marLeft w:val="0"/>
                                                          <w:marRight w:val="0"/>
                                                          <w:marTop w:val="0"/>
                                                          <w:marBottom w:val="0"/>
                                                          <w:divBdr>
                                                            <w:top w:val="none" w:sz="0" w:space="0" w:color="auto"/>
                                                            <w:left w:val="none" w:sz="0" w:space="0" w:color="auto"/>
                                                            <w:bottom w:val="none" w:sz="0" w:space="0" w:color="auto"/>
                                                            <w:right w:val="none" w:sz="0" w:space="0" w:color="auto"/>
                                                          </w:divBdr>
                                                          <w:divsChild>
                                                            <w:div w:id="753205996">
                                                              <w:marLeft w:val="0"/>
                                                              <w:marRight w:val="0"/>
                                                              <w:marTop w:val="0"/>
                                                              <w:marBottom w:val="0"/>
                                                              <w:divBdr>
                                                                <w:top w:val="none" w:sz="0" w:space="0" w:color="auto"/>
                                                                <w:left w:val="none" w:sz="0" w:space="0" w:color="auto"/>
                                                                <w:bottom w:val="none" w:sz="0" w:space="0" w:color="auto"/>
                                                                <w:right w:val="none" w:sz="0" w:space="0" w:color="auto"/>
                                                              </w:divBdr>
                                                              <w:divsChild>
                                                                <w:div w:id="1237059485">
                                                                  <w:marLeft w:val="0"/>
                                                                  <w:marRight w:val="0"/>
                                                                  <w:marTop w:val="0"/>
                                                                  <w:marBottom w:val="0"/>
                                                                  <w:divBdr>
                                                                    <w:top w:val="none" w:sz="0" w:space="0" w:color="auto"/>
                                                                    <w:left w:val="none" w:sz="0" w:space="0" w:color="auto"/>
                                                                    <w:bottom w:val="none" w:sz="0" w:space="0" w:color="auto"/>
                                                                    <w:right w:val="none" w:sz="0" w:space="0" w:color="auto"/>
                                                                  </w:divBdr>
                                                                  <w:divsChild>
                                                                    <w:div w:id="1735735859">
                                                                      <w:marLeft w:val="0"/>
                                                                      <w:marRight w:val="0"/>
                                                                      <w:marTop w:val="0"/>
                                                                      <w:marBottom w:val="0"/>
                                                                      <w:divBdr>
                                                                        <w:top w:val="none" w:sz="0" w:space="0" w:color="auto"/>
                                                                        <w:left w:val="none" w:sz="0" w:space="0" w:color="auto"/>
                                                                        <w:bottom w:val="none" w:sz="0" w:space="0" w:color="auto"/>
                                                                        <w:right w:val="none" w:sz="0" w:space="0" w:color="auto"/>
                                                                      </w:divBdr>
                                                                      <w:divsChild>
                                                                        <w:div w:id="2122920262">
                                                                          <w:marLeft w:val="0"/>
                                                                          <w:marRight w:val="0"/>
                                                                          <w:marTop w:val="0"/>
                                                                          <w:marBottom w:val="0"/>
                                                                          <w:divBdr>
                                                                            <w:top w:val="none" w:sz="0" w:space="0" w:color="auto"/>
                                                                            <w:left w:val="none" w:sz="0" w:space="0" w:color="auto"/>
                                                                            <w:bottom w:val="none" w:sz="0" w:space="0" w:color="auto"/>
                                                                            <w:right w:val="none" w:sz="0" w:space="0" w:color="auto"/>
                                                                          </w:divBdr>
                                                                          <w:divsChild>
                                                                            <w:div w:id="268634255">
                                                                              <w:marLeft w:val="0"/>
                                                                              <w:marRight w:val="0"/>
                                                                              <w:marTop w:val="0"/>
                                                                              <w:marBottom w:val="150"/>
                                                                              <w:divBdr>
                                                                                <w:top w:val="none" w:sz="0" w:space="0" w:color="auto"/>
                                                                                <w:left w:val="none" w:sz="0" w:space="0" w:color="auto"/>
                                                                                <w:bottom w:val="single" w:sz="6" w:space="8" w:color="D6D6D6"/>
                                                                                <w:right w:val="none" w:sz="0" w:space="0" w:color="auto"/>
                                                                              </w:divBdr>
                                                                            </w:div>
                                                                            <w:div w:id="1731223945">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225"/>
                                                                              <w:marBottom w:val="225"/>
                                                                              <w:divBdr>
                                                                                <w:top w:val="none" w:sz="0" w:space="0" w:color="auto"/>
                                                                                <w:left w:val="none" w:sz="0" w:space="0" w:color="auto"/>
                                                                                <w:bottom w:val="none" w:sz="0" w:space="0" w:color="auto"/>
                                                                                <w:right w:val="none" w:sz="0" w:space="0" w:color="auto"/>
                                                                              </w:divBdr>
                                                                            </w:div>
                                                                            <w:div w:id="1564834620">
                                                                              <w:marLeft w:val="0"/>
                                                                              <w:marRight w:val="0"/>
                                                                              <w:marTop w:val="225"/>
                                                                              <w:marBottom w:val="225"/>
                                                                              <w:divBdr>
                                                                                <w:top w:val="none" w:sz="0" w:space="0" w:color="auto"/>
                                                                                <w:left w:val="none" w:sz="0" w:space="0" w:color="auto"/>
                                                                                <w:bottom w:val="none" w:sz="0" w:space="0" w:color="auto"/>
                                                                                <w:right w:val="none" w:sz="0" w:space="0" w:color="auto"/>
                                                                              </w:divBdr>
                                                                            </w:div>
                                                                            <w:div w:id="998582492">
                                                                              <w:marLeft w:val="0"/>
                                                                              <w:marRight w:val="0"/>
                                                                              <w:marTop w:val="0"/>
                                                                              <w:marBottom w:val="0"/>
                                                                              <w:divBdr>
                                                                                <w:top w:val="none" w:sz="0" w:space="0" w:color="auto"/>
                                                                                <w:left w:val="none" w:sz="0" w:space="0" w:color="auto"/>
                                                                                <w:bottom w:val="none" w:sz="0" w:space="0" w:color="auto"/>
                                                                                <w:right w:val="none" w:sz="0" w:space="0" w:color="auto"/>
                                                                              </w:divBdr>
                                                                              <w:divsChild>
                                                                                <w:div w:id="825322642">
                                                                                  <w:marLeft w:val="0"/>
                                                                                  <w:marRight w:val="0"/>
                                                                                  <w:marTop w:val="0"/>
                                                                                  <w:marBottom w:val="0"/>
                                                                                  <w:divBdr>
                                                                                    <w:top w:val="none" w:sz="0" w:space="0" w:color="auto"/>
                                                                                    <w:left w:val="none" w:sz="0" w:space="0" w:color="auto"/>
                                                                                    <w:bottom w:val="none" w:sz="0" w:space="0" w:color="auto"/>
                                                                                    <w:right w:val="none" w:sz="0" w:space="0" w:color="auto"/>
                                                                                  </w:divBdr>
                                                                                  <w:divsChild>
                                                                                    <w:div w:id="1568999449">
                                                                                      <w:marLeft w:val="0"/>
                                                                                      <w:marRight w:val="0"/>
                                                                                      <w:marTop w:val="0"/>
                                                                                      <w:marBottom w:val="0"/>
                                                                                      <w:divBdr>
                                                                                        <w:top w:val="none" w:sz="0" w:space="0" w:color="auto"/>
                                                                                        <w:left w:val="none" w:sz="0" w:space="0" w:color="auto"/>
                                                                                        <w:bottom w:val="none" w:sz="0" w:space="0" w:color="auto"/>
                                                                                        <w:right w:val="none" w:sz="0" w:space="0" w:color="auto"/>
                                                                                      </w:divBdr>
                                                                                    </w:div>
                                                                                    <w:div w:id="11798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5309">
                                                                              <w:marLeft w:val="0"/>
                                                                              <w:marRight w:val="0"/>
                                                                              <w:marTop w:val="0"/>
                                                                              <w:marBottom w:val="0"/>
                                                                              <w:divBdr>
                                                                                <w:top w:val="none" w:sz="0" w:space="0" w:color="auto"/>
                                                                                <w:left w:val="none" w:sz="0" w:space="0" w:color="auto"/>
                                                                                <w:bottom w:val="none" w:sz="0" w:space="0" w:color="auto"/>
                                                                                <w:right w:val="none" w:sz="0" w:space="0" w:color="auto"/>
                                                                              </w:divBdr>
                                                                              <w:divsChild>
                                                                                <w:div w:id="1540973470">
                                                                                  <w:marLeft w:val="0"/>
                                                                                  <w:marRight w:val="0"/>
                                                                                  <w:marTop w:val="240"/>
                                                                                  <w:marBottom w:val="240"/>
                                                                                  <w:divBdr>
                                                                                    <w:top w:val="none" w:sz="0" w:space="0" w:color="auto"/>
                                                                                    <w:left w:val="none" w:sz="0" w:space="0" w:color="auto"/>
                                                                                    <w:bottom w:val="none" w:sz="0" w:space="0" w:color="auto"/>
                                                                                    <w:right w:val="none" w:sz="0" w:space="0" w:color="auto"/>
                                                                                  </w:divBdr>
                                                                                  <w:divsChild>
                                                                                    <w:div w:id="77941360">
                                                                                      <w:marLeft w:val="0"/>
                                                                                      <w:marRight w:val="0"/>
                                                                                      <w:marTop w:val="0"/>
                                                                                      <w:marBottom w:val="0"/>
                                                                                      <w:divBdr>
                                                                                        <w:top w:val="none" w:sz="0" w:space="0" w:color="auto"/>
                                                                                        <w:left w:val="none" w:sz="0" w:space="0" w:color="auto"/>
                                                                                        <w:bottom w:val="none" w:sz="0" w:space="0" w:color="auto"/>
                                                                                        <w:right w:val="none" w:sz="0" w:space="0" w:color="auto"/>
                                                                                      </w:divBdr>
                                                                                      <w:divsChild>
                                                                                        <w:div w:id="1516844242">
                                                                                          <w:marLeft w:val="0"/>
                                                                                          <w:marRight w:val="0"/>
                                                                                          <w:marTop w:val="0"/>
                                                                                          <w:marBottom w:val="0"/>
                                                                                          <w:divBdr>
                                                                                            <w:top w:val="none" w:sz="0" w:space="0" w:color="auto"/>
                                                                                            <w:left w:val="none" w:sz="0" w:space="0" w:color="auto"/>
                                                                                            <w:bottom w:val="none" w:sz="0" w:space="0" w:color="auto"/>
                                                                                            <w:right w:val="none" w:sz="0" w:space="0" w:color="auto"/>
                                                                                          </w:divBdr>
                                                                                          <w:divsChild>
                                                                                            <w:div w:id="216279836">
                                                                                              <w:marLeft w:val="0"/>
                                                                                              <w:marRight w:val="0"/>
                                                                                              <w:marTop w:val="0"/>
                                                                                              <w:marBottom w:val="0"/>
                                                                                              <w:divBdr>
                                                                                                <w:top w:val="none" w:sz="0" w:space="0" w:color="auto"/>
                                                                                                <w:left w:val="none" w:sz="0" w:space="0" w:color="auto"/>
                                                                                                <w:bottom w:val="none" w:sz="0" w:space="0" w:color="auto"/>
                                                                                                <w:right w:val="none" w:sz="0" w:space="0" w:color="auto"/>
                                                                                              </w:divBdr>
                                                                                            </w:div>
                                                                                          </w:divsChild>
                                                                                        </w:div>
                                                                                        <w:div w:id="2043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6814">
                                                                                  <w:marLeft w:val="0"/>
                                                                                  <w:marRight w:val="0"/>
                                                                                  <w:marTop w:val="225"/>
                                                                                  <w:marBottom w:val="225"/>
                                                                                  <w:divBdr>
                                                                                    <w:top w:val="none" w:sz="0" w:space="0" w:color="auto"/>
                                                                                    <w:left w:val="none" w:sz="0" w:space="0" w:color="auto"/>
                                                                                    <w:bottom w:val="none" w:sz="0" w:space="0" w:color="auto"/>
                                                                                    <w:right w:val="none" w:sz="0" w:space="0" w:color="auto"/>
                                                                                  </w:divBdr>
                                                                                </w:div>
                                                                              </w:divsChild>
                                                                            </w:div>
                                                                            <w:div w:id="920215433">
                                                                              <w:marLeft w:val="0"/>
                                                                              <w:marRight w:val="0"/>
                                                                              <w:marTop w:val="0"/>
                                                                              <w:marBottom w:val="0"/>
                                                                              <w:divBdr>
                                                                                <w:top w:val="none" w:sz="0" w:space="0" w:color="auto"/>
                                                                                <w:left w:val="none" w:sz="0" w:space="0" w:color="auto"/>
                                                                                <w:bottom w:val="none" w:sz="0" w:space="0" w:color="auto"/>
                                                                                <w:right w:val="none" w:sz="0" w:space="0" w:color="auto"/>
                                                                              </w:divBdr>
                                                                              <w:divsChild>
                                                                                <w:div w:id="2122677058">
                                                                                  <w:marLeft w:val="0"/>
                                                                                  <w:marRight w:val="0"/>
                                                                                  <w:marTop w:val="0"/>
                                                                                  <w:marBottom w:val="0"/>
                                                                                  <w:divBdr>
                                                                                    <w:top w:val="none" w:sz="0" w:space="0" w:color="auto"/>
                                                                                    <w:left w:val="none" w:sz="0" w:space="0" w:color="auto"/>
                                                                                    <w:bottom w:val="none" w:sz="0" w:space="0" w:color="auto"/>
                                                                                    <w:right w:val="none" w:sz="0" w:space="0" w:color="auto"/>
                                                                                  </w:divBdr>
                                                                                  <w:divsChild>
                                                                                    <w:div w:id="1976566284">
                                                                                      <w:marLeft w:val="0"/>
                                                                                      <w:marRight w:val="0"/>
                                                                                      <w:marTop w:val="0"/>
                                                                                      <w:marBottom w:val="0"/>
                                                                                      <w:divBdr>
                                                                                        <w:top w:val="none" w:sz="0" w:space="0" w:color="auto"/>
                                                                                        <w:left w:val="none" w:sz="0" w:space="0" w:color="auto"/>
                                                                                        <w:bottom w:val="none" w:sz="0" w:space="0" w:color="auto"/>
                                                                                        <w:right w:val="none" w:sz="0" w:space="0" w:color="auto"/>
                                                                                      </w:divBdr>
                                                                                      <w:divsChild>
                                                                                        <w:div w:id="1821386304">
                                                                                          <w:marLeft w:val="0"/>
                                                                                          <w:marRight w:val="0"/>
                                                                                          <w:marTop w:val="0"/>
                                                                                          <w:marBottom w:val="0"/>
                                                                                          <w:divBdr>
                                                                                            <w:top w:val="none" w:sz="0" w:space="0" w:color="auto"/>
                                                                                            <w:left w:val="none" w:sz="0" w:space="0" w:color="auto"/>
                                                                                            <w:bottom w:val="none" w:sz="0" w:space="0" w:color="auto"/>
                                                                                            <w:right w:val="none" w:sz="0" w:space="0" w:color="auto"/>
                                                                                          </w:divBdr>
                                                                                        </w:div>
                                                                                        <w:div w:id="18127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335">
                                                                                  <w:marLeft w:val="0"/>
                                                                                  <w:marRight w:val="0"/>
                                                                                  <w:marTop w:val="225"/>
                                                                                  <w:marBottom w:val="225"/>
                                                                                  <w:divBdr>
                                                                                    <w:top w:val="none" w:sz="0" w:space="0" w:color="auto"/>
                                                                                    <w:left w:val="none" w:sz="0" w:space="0" w:color="auto"/>
                                                                                    <w:bottom w:val="none" w:sz="0" w:space="0" w:color="auto"/>
                                                                                    <w:right w:val="none" w:sz="0" w:space="0" w:color="auto"/>
                                                                                  </w:divBdr>
                                                                                </w:div>
                                                                              </w:divsChild>
                                                                            </w:div>
                                                                            <w:div w:id="779302265">
                                                                              <w:marLeft w:val="0"/>
                                                                              <w:marRight w:val="0"/>
                                                                              <w:marTop w:val="0"/>
                                                                              <w:marBottom w:val="0"/>
                                                                              <w:divBdr>
                                                                                <w:top w:val="none" w:sz="0" w:space="0" w:color="auto"/>
                                                                                <w:left w:val="none" w:sz="0" w:space="0" w:color="auto"/>
                                                                                <w:bottom w:val="none" w:sz="0" w:space="0" w:color="auto"/>
                                                                                <w:right w:val="none" w:sz="0" w:space="0" w:color="auto"/>
                                                                              </w:divBdr>
                                                                              <w:divsChild>
                                                                                <w:div w:id="1004238177">
                                                                                  <w:marLeft w:val="0"/>
                                                                                  <w:marRight w:val="0"/>
                                                                                  <w:marTop w:val="225"/>
                                                                                  <w:marBottom w:val="225"/>
                                                                                  <w:divBdr>
                                                                                    <w:top w:val="none" w:sz="0" w:space="0" w:color="auto"/>
                                                                                    <w:left w:val="none" w:sz="0" w:space="0" w:color="auto"/>
                                                                                    <w:bottom w:val="none" w:sz="0" w:space="0" w:color="auto"/>
                                                                                    <w:right w:val="none" w:sz="0" w:space="0" w:color="auto"/>
                                                                                  </w:divBdr>
                                                                                </w:div>
                                                                              </w:divsChild>
                                                                            </w:div>
                                                                            <w:div w:id="95442678">
                                                                              <w:marLeft w:val="0"/>
                                                                              <w:marRight w:val="0"/>
                                                                              <w:marTop w:val="0"/>
                                                                              <w:marBottom w:val="0"/>
                                                                              <w:divBdr>
                                                                                <w:top w:val="none" w:sz="0" w:space="0" w:color="auto"/>
                                                                                <w:left w:val="none" w:sz="0" w:space="0" w:color="auto"/>
                                                                                <w:bottom w:val="none" w:sz="0" w:space="0" w:color="auto"/>
                                                                                <w:right w:val="none" w:sz="0" w:space="0" w:color="auto"/>
                                                                              </w:divBdr>
                                                                            </w:div>
                                                                            <w:div w:id="475414860">
                                                                              <w:marLeft w:val="0"/>
                                                                              <w:marRight w:val="0"/>
                                                                              <w:marTop w:val="0"/>
                                                                              <w:marBottom w:val="0"/>
                                                                              <w:divBdr>
                                                                                <w:top w:val="none" w:sz="0" w:space="0" w:color="auto"/>
                                                                                <w:left w:val="none" w:sz="0" w:space="0" w:color="auto"/>
                                                                                <w:bottom w:val="none" w:sz="0" w:space="0" w:color="auto"/>
                                                                                <w:right w:val="none" w:sz="0" w:space="0" w:color="auto"/>
                                                                              </w:divBdr>
                                                                            </w:div>
                                                                            <w:div w:id="463473073">
                                                                              <w:marLeft w:val="0"/>
                                                                              <w:marRight w:val="0"/>
                                                                              <w:marTop w:val="0"/>
                                                                              <w:marBottom w:val="0"/>
                                                                              <w:divBdr>
                                                                                <w:top w:val="none" w:sz="0" w:space="0" w:color="auto"/>
                                                                                <w:left w:val="none" w:sz="0" w:space="0" w:color="auto"/>
                                                                                <w:bottom w:val="none" w:sz="0" w:space="0" w:color="auto"/>
                                                                                <w:right w:val="none" w:sz="0" w:space="0" w:color="auto"/>
                                                                              </w:divBdr>
                                                                            </w:div>
                                                                            <w:div w:id="776869079">
                                                                              <w:marLeft w:val="0"/>
                                                                              <w:marRight w:val="0"/>
                                                                              <w:marTop w:val="0"/>
                                                                              <w:marBottom w:val="0"/>
                                                                              <w:divBdr>
                                                                                <w:top w:val="none" w:sz="0" w:space="0" w:color="auto"/>
                                                                                <w:left w:val="none" w:sz="0" w:space="0" w:color="auto"/>
                                                                                <w:bottom w:val="none" w:sz="0" w:space="0" w:color="auto"/>
                                                                                <w:right w:val="none" w:sz="0" w:space="0" w:color="auto"/>
                                                                              </w:divBdr>
                                                                              <w:divsChild>
                                                                                <w:div w:id="1865360609">
                                                                                  <w:marLeft w:val="0"/>
                                                                                  <w:marRight w:val="0"/>
                                                                                  <w:marTop w:val="0"/>
                                                                                  <w:marBottom w:val="0"/>
                                                                                  <w:divBdr>
                                                                                    <w:top w:val="none" w:sz="0" w:space="0" w:color="auto"/>
                                                                                    <w:left w:val="none" w:sz="0" w:space="0" w:color="auto"/>
                                                                                    <w:bottom w:val="none" w:sz="0" w:space="0" w:color="auto"/>
                                                                                    <w:right w:val="none" w:sz="0" w:space="0" w:color="auto"/>
                                                                                  </w:divBdr>
                                                                                  <w:divsChild>
                                                                                    <w:div w:id="1806046320">
                                                                                      <w:marLeft w:val="0"/>
                                                                                      <w:marRight w:val="120"/>
                                                                                      <w:marTop w:val="0"/>
                                                                                      <w:marBottom w:val="0"/>
                                                                                      <w:divBdr>
                                                                                        <w:top w:val="none" w:sz="0" w:space="0" w:color="auto"/>
                                                                                        <w:left w:val="none" w:sz="0" w:space="0" w:color="auto"/>
                                                                                        <w:bottom w:val="none" w:sz="0" w:space="0" w:color="auto"/>
                                                                                        <w:right w:val="none" w:sz="0" w:space="0" w:color="auto"/>
                                                                                      </w:divBdr>
                                                                                    </w:div>
                                                                                    <w:div w:id="350765193">
                                                                                      <w:marLeft w:val="0"/>
                                                                                      <w:marRight w:val="0"/>
                                                                                      <w:marTop w:val="0"/>
                                                                                      <w:marBottom w:val="0"/>
                                                                                      <w:divBdr>
                                                                                        <w:top w:val="none" w:sz="0" w:space="0" w:color="auto"/>
                                                                                        <w:left w:val="none" w:sz="0" w:space="0" w:color="auto"/>
                                                                                        <w:bottom w:val="none" w:sz="0" w:space="0" w:color="auto"/>
                                                                                        <w:right w:val="none" w:sz="0" w:space="0" w:color="auto"/>
                                                                                      </w:divBdr>
                                                                                    </w:div>
                                                                                  </w:divsChild>
                                                                                </w:div>
                                                                                <w:div w:id="415053850">
                                                                                  <w:marLeft w:val="0"/>
                                                                                  <w:marRight w:val="0"/>
                                                                                  <w:marTop w:val="0"/>
                                                                                  <w:marBottom w:val="0"/>
                                                                                  <w:divBdr>
                                                                                    <w:top w:val="none" w:sz="0" w:space="0" w:color="auto"/>
                                                                                    <w:left w:val="none" w:sz="0" w:space="0" w:color="auto"/>
                                                                                    <w:bottom w:val="none" w:sz="0" w:space="0" w:color="auto"/>
                                                                                    <w:right w:val="none" w:sz="0" w:space="0" w:color="auto"/>
                                                                                  </w:divBdr>
                                                                                  <w:divsChild>
                                                                                    <w:div w:id="1479415132">
                                                                                      <w:marLeft w:val="0"/>
                                                                                      <w:marRight w:val="120"/>
                                                                                      <w:marTop w:val="0"/>
                                                                                      <w:marBottom w:val="0"/>
                                                                                      <w:divBdr>
                                                                                        <w:top w:val="none" w:sz="0" w:space="0" w:color="auto"/>
                                                                                        <w:left w:val="none" w:sz="0" w:space="0" w:color="auto"/>
                                                                                        <w:bottom w:val="none" w:sz="0" w:space="0" w:color="auto"/>
                                                                                        <w:right w:val="none" w:sz="0" w:space="0" w:color="auto"/>
                                                                                      </w:divBdr>
                                                                                    </w:div>
                                                                                    <w:div w:id="94180421">
                                                                                      <w:marLeft w:val="0"/>
                                                                                      <w:marRight w:val="0"/>
                                                                                      <w:marTop w:val="0"/>
                                                                                      <w:marBottom w:val="0"/>
                                                                                      <w:divBdr>
                                                                                        <w:top w:val="none" w:sz="0" w:space="0" w:color="auto"/>
                                                                                        <w:left w:val="none" w:sz="0" w:space="0" w:color="auto"/>
                                                                                        <w:bottom w:val="none" w:sz="0" w:space="0" w:color="auto"/>
                                                                                        <w:right w:val="none" w:sz="0" w:space="0" w:color="auto"/>
                                                                                      </w:divBdr>
                                                                                    </w:div>
                                                                                  </w:divsChild>
                                                                                </w:div>
                                                                                <w:div w:id="2062752804">
                                                                                  <w:marLeft w:val="0"/>
                                                                                  <w:marRight w:val="0"/>
                                                                                  <w:marTop w:val="0"/>
                                                                                  <w:marBottom w:val="0"/>
                                                                                  <w:divBdr>
                                                                                    <w:top w:val="none" w:sz="0" w:space="0" w:color="auto"/>
                                                                                    <w:left w:val="none" w:sz="0" w:space="0" w:color="auto"/>
                                                                                    <w:bottom w:val="none" w:sz="0" w:space="0" w:color="auto"/>
                                                                                    <w:right w:val="none" w:sz="0" w:space="0" w:color="auto"/>
                                                                                  </w:divBdr>
                                                                                  <w:divsChild>
                                                                                    <w:div w:id="14822342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EB98-C480-3D49-ACAD-398B7075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22</Pages>
  <Words>28139</Words>
  <Characters>160393</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J.S.</dc:creator>
  <cp:keywords/>
  <dc:description/>
  <cp:lastModifiedBy>Ellis J.S.</cp:lastModifiedBy>
  <cp:revision>26</cp:revision>
  <cp:lastPrinted>2020-04-20T10:14:00Z</cp:lastPrinted>
  <dcterms:created xsi:type="dcterms:W3CDTF">2020-04-06T08:32:00Z</dcterms:created>
  <dcterms:modified xsi:type="dcterms:W3CDTF">2020-05-04T08:44:00Z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3b13c1eb-dedf-3d5b-8e69-2f17faf11661</vt:lpwstr>
  </property>
  <property fmtid="{D5CDD505-2E9C-101B-9397-08002B2CF9AE}" pid="24" name="Mendeley Citation Style_1">
    <vt:lpwstr>http://www.zotero.org/styles/vancouver</vt:lpwstr>
  </property>
</Properties>
</file>